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5CF" w:rsidRPr="003375CF" w:rsidRDefault="003375CF" w:rsidP="003375CF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  <w:r w:rsidRPr="003375CF"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474DF" wp14:editId="33B4852D">
                <wp:simplePos x="0" y="0"/>
                <wp:positionH relativeFrom="column">
                  <wp:posOffset>3697605</wp:posOffset>
                </wp:positionH>
                <wp:positionV relativeFrom="paragraph">
                  <wp:posOffset>-34290</wp:posOffset>
                </wp:positionV>
                <wp:extent cx="2324100" cy="434975"/>
                <wp:effectExtent l="0" t="0" r="0" b="0"/>
                <wp:wrapNone/>
                <wp:docPr id="2" name="Заголовок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324100" cy="434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375CF" w:rsidRPr="006B798B" w:rsidRDefault="003375CF" w:rsidP="003375CF">
                            <w:pPr>
                              <w:pStyle w:val="a4"/>
                              <w:spacing w:before="0" w:beforeAutospacing="0" w:after="240" w:afterAutospacing="0" w:line="216" w:lineRule="auto"/>
                              <w:jc w:val="center"/>
                              <w:rPr>
                                <w:sz w:val="2"/>
                              </w:rPr>
                            </w:pPr>
                            <w:r w:rsidRPr="006B798B">
                              <w:rPr>
                                <w:rFonts w:ascii="Arial" w:eastAsia="+mj-ea" w:hAnsi="Arial" w:cs="Arial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56"/>
                              </w:rPr>
                              <w:t>Андижанский государственный медицинский институт</w:t>
                            </w:r>
                          </w:p>
                        </w:txbxContent>
                      </wps:txbx>
                      <wps:bodyPr vert="horz" wrap="square" lIns="91440" tIns="45720" rIns="91440" bIns="45720" numCol="1" rtlCol="0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474DF" id="Заголовок 3" o:spid="_x0000_s1026" style="position:absolute;left:0;text-align:left;margin-left:291.15pt;margin-top:-2.7pt;width:183pt;height: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" filled="f" stroked="f">
                <v:path arrowok="t"/>
                <o:lock v:ext="edit" grouping="t"/>
                <v:textbox>
                  <w:txbxContent>
                    <w:p w:rsidR="003375CF" w:rsidRPr="006B798B" w:rsidRDefault="003375CF" w:rsidP="003375CF">
                      <w:pPr>
                        <w:pStyle w:val="a4"/>
                        <w:spacing w:before="0" w:beforeAutospacing="0" w:after="240" w:afterAutospacing="0" w:line="216" w:lineRule="auto"/>
                        <w:jc w:val="center"/>
                        <w:rPr>
                          <w:sz w:val="2"/>
                        </w:rPr>
                      </w:pPr>
                      <w:r w:rsidRPr="006B798B">
                        <w:rPr>
                          <w:rFonts w:ascii="Arial" w:eastAsia="+mj-ea" w:hAnsi="Arial" w:cs="Arial"/>
                          <w:b/>
                          <w:bCs/>
                          <w:color w:val="000000"/>
                          <w:kern w:val="24"/>
                          <w:sz w:val="18"/>
                          <w:szCs w:val="56"/>
                        </w:rPr>
                        <w:t>Андижанский государственный медицинский институт</w:t>
                      </w:r>
                    </w:p>
                  </w:txbxContent>
                </v:textbox>
              </v:rect>
            </w:pict>
          </mc:Fallback>
        </mc:AlternateContent>
      </w:r>
      <w:r w:rsidRPr="003375CF"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F65D3FC" wp14:editId="70822CB5">
            <wp:simplePos x="0" y="0"/>
            <wp:positionH relativeFrom="column">
              <wp:posOffset>2853055</wp:posOffset>
            </wp:positionH>
            <wp:positionV relativeFrom="paragraph">
              <wp:posOffset>-194310</wp:posOffset>
            </wp:positionV>
            <wp:extent cx="798576" cy="665480"/>
            <wp:effectExtent l="0" t="0" r="1905" b="1270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8576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5CF" w:rsidRPr="003375CF" w:rsidRDefault="003375CF" w:rsidP="003375CF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</w:p>
    <w:p w:rsidR="003375CF" w:rsidRDefault="003375CF" w:rsidP="003375CF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  <w:lang w:val="en-US"/>
        </w:rPr>
      </w:pPr>
    </w:p>
    <w:p w:rsidR="003375CF" w:rsidRPr="003375CF" w:rsidRDefault="003375CF" w:rsidP="003375CF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 w:rsidRPr="003375CF">
        <w:rPr>
          <w:rFonts w:ascii="Arial" w:hAnsi="Arial" w:cs="Arial"/>
          <w:b/>
          <w:color w:val="00B050"/>
          <w:sz w:val="28"/>
          <w:szCs w:val="28"/>
          <w:lang w:val="en-US"/>
        </w:rPr>
        <w:t>Lecture2_General questions of the pathology of the endocrine system. Hormone</w:t>
      </w:r>
      <w:r w:rsidRPr="003375CF">
        <w:rPr>
          <w:rFonts w:ascii="Arial" w:hAnsi="Arial" w:cs="Arial"/>
          <w:b/>
          <w:color w:val="00B050"/>
          <w:sz w:val="28"/>
          <w:szCs w:val="28"/>
        </w:rPr>
        <w:t xml:space="preserve"> </w:t>
      </w:r>
      <w:r w:rsidRPr="003375CF">
        <w:rPr>
          <w:rFonts w:ascii="Arial" w:hAnsi="Arial" w:cs="Arial"/>
          <w:b/>
          <w:color w:val="00B050"/>
          <w:sz w:val="28"/>
          <w:szCs w:val="28"/>
          <w:lang w:val="en-US"/>
        </w:rPr>
        <w:t>therapy</w:t>
      </w:r>
      <w:r w:rsidRPr="003375CF">
        <w:rPr>
          <w:rFonts w:ascii="Arial" w:hAnsi="Arial" w:cs="Arial"/>
          <w:b/>
          <w:color w:val="00B050"/>
          <w:sz w:val="28"/>
          <w:szCs w:val="28"/>
        </w:rPr>
        <w:t>.</w:t>
      </w:r>
    </w:p>
    <w:p w:rsidR="00BF4115" w:rsidRDefault="00BF4115" w:rsidP="003375CF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</w:p>
    <w:p w:rsidR="003375CF" w:rsidRPr="003375CF" w:rsidRDefault="003375CF" w:rsidP="003375CF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  <w:r w:rsidRPr="003375CF">
        <w:rPr>
          <w:rFonts w:ascii="Arial" w:hAnsi="Arial" w:cs="Arial"/>
          <w:b/>
          <w:bCs/>
          <w:color w:val="00B050"/>
          <w:sz w:val="28"/>
          <w:szCs w:val="28"/>
        </w:rPr>
        <w:t>Тема-</w:t>
      </w:r>
      <w:r w:rsidRPr="003375CF">
        <w:rPr>
          <w:rFonts w:ascii="Arial" w:hAnsi="Arial" w:cs="Arial"/>
          <w:b/>
          <w:bCs/>
          <w:color w:val="00B050"/>
          <w:sz w:val="28"/>
          <w:szCs w:val="28"/>
          <w:lang w:val="uz-Latn-UZ"/>
        </w:rPr>
        <w:t>2</w:t>
      </w:r>
      <w:r w:rsidRPr="003375CF">
        <w:rPr>
          <w:rFonts w:ascii="Arial" w:hAnsi="Arial" w:cs="Arial"/>
          <w:b/>
          <w:bCs/>
          <w:color w:val="00B050"/>
          <w:sz w:val="28"/>
          <w:szCs w:val="28"/>
        </w:rPr>
        <w:t>: Общие вопросы патологии эндокринной системы</w:t>
      </w:r>
    </w:p>
    <w:p w:rsidR="00BF4115" w:rsidRDefault="00BF4115" w:rsidP="003375CF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</w:p>
    <w:p w:rsidR="003375CF" w:rsidRDefault="003375CF" w:rsidP="003375CF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  <w:r w:rsidRPr="003375CF">
        <w:rPr>
          <w:rFonts w:ascii="Arial" w:hAnsi="Arial" w:cs="Arial"/>
          <w:b/>
          <w:bCs/>
          <w:color w:val="00B050"/>
          <w:sz w:val="28"/>
          <w:szCs w:val="28"/>
        </w:rPr>
        <w:t>План лекции:</w:t>
      </w:r>
    </w:p>
    <w:p w:rsidR="00BF4115" w:rsidRPr="003375CF" w:rsidRDefault="00BF4115" w:rsidP="003375CF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</w:p>
    <w:p w:rsidR="003375CF" w:rsidRPr="003375CF" w:rsidRDefault="003375CF" w:rsidP="003375CF">
      <w:pPr>
        <w:numPr>
          <w:ilvl w:val="0"/>
          <w:numId w:val="6"/>
        </w:numPr>
        <w:spacing w:after="0" w:line="240" w:lineRule="auto"/>
        <w:ind w:left="1525" w:hanging="357"/>
        <w:contextualSpacing/>
        <w:jc w:val="both"/>
        <w:rPr>
          <w:rFonts w:ascii="Arial" w:eastAsia="Times New Roman" w:hAnsi="Arial" w:cs="Arial"/>
          <w:color w:val="002060"/>
          <w:sz w:val="28"/>
          <w:szCs w:val="24"/>
          <w:lang w:eastAsia="ru-RU"/>
        </w:rPr>
      </w:pPr>
      <w:r w:rsidRPr="003375CF">
        <w:rPr>
          <w:rFonts w:ascii="Arial" w:eastAsia="+mn-ea" w:hAnsi="Arial" w:cs="Arial"/>
          <w:color w:val="002060"/>
          <w:kern w:val="24"/>
          <w:sz w:val="28"/>
          <w:szCs w:val="64"/>
          <w:lang w:eastAsia="ru-RU"/>
        </w:rPr>
        <w:t>Гипоталамо-гипофизарная система общее понятие</w:t>
      </w:r>
    </w:p>
    <w:p w:rsidR="003375CF" w:rsidRPr="003375CF" w:rsidRDefault="003375CF" w:rsidP="003375CF">
      <w:pPr>
        <w:numPr>
          <w:ilvl w:val="0"/>
          <w:numId w:val="6"/>
        </w:numPr>
        <w:spacing w:after="0" w:line="240" w:lineRule="auto"/>
        <w:ind w:left="1525" w:hanging="357"/>
        <w:contextualSpacing/>
        <w:jc w:val="both"/>
        <w:rPr>
          <w:rFonts w:ascii="Arial" w:eastAsia="Times New Roman" w:hAnsi="Arial" w:cs="Arial"/>
          <w:color w:val="002060"/>
          <w:sz w:val="28"/>
          <w:szCs w:val="24"/>
          <w:lang w:eastAsia="ru-RU"/>
        </w:rPr>
      </w:pPr>
      <w:r w:rsidRPr="003375CF">
        <w:rPr>
          <w:rFonts w:ascii="Arial" w:eastAsia="+mn-ea" w:hAnsi="Arial" w:cs="Arial"/>
          <w:color w:val="002060"/>
          <w:kern w:val="24"/>
          <w:sz w:val="28"/>
          <w:szCs w:val="64"/>
          <w:lang w:eastAsia="ru-RU"/>
        </w:rPr>
        <w:t>Патологии Гипоталамо-гипофизарной системы</w:t>
      </w:r>
    </w:p>
    <w:p w:rsidR="003375CF" w:rsidRPr="003375CF" w:rsidRDefault="003375CF" w:rsidP="003375CF">
      <w:pPr>
        <w:numPr>
          <w:ilvl w:val="0"/>
          <w:numId w:val="6"/>
        </w:numPr>
        <w:spacing w:after="0" w:line="240" w:lineRule="auto"/>
        <w:ind w:left="1525" w:hanging="357"/>
        <w:contextualSpacing/>
        <w:jc w:val="both"/>
        <w:rPr>
          <w:rFonts w:ascii="Arial" w:eastAsia="Times New Roman" w:hAnsi="Arial" w:cs="Arial"/>
          <w:color w:val="002060"/>
          <w:sz w:val="28"/>
          <w:szCs w:val="24"/>
          <w:lang w:eastAsia="ru-RU"/>
        </w:rPr>
      </w:pPr>
      <w:r w:rsidRPr="003375CF">
        <w:rPr>
          <w:rFonts w:ascii="Arial" w:eastAsia="+mn-ea" w:hAnsi="Arial" w:cs="Arial"/>
          <w:color w:val="002060"/>
          <w:kern w:val="24"/>
          <w:sz w:val="28"/>
          <w:szCs w:val="64"/>
          <w:lang w:eastAsia="ru-RU"/>
        </w:rPr>
        <w:t xml:space="preserve">Патологии щитовидной железы, коры надпочечников, поджелудочной железы </w:t>
      </w:r>
    </w:p>
    <w:p w:rsidR="003375CF" w:rsidRPr="003375CF" w:rsidRDefault="003375CF" w:rsidP="003375CF">
      <w:pPr>
        <w:spacing w:after="0" w:line="240" w:lineRule="auto"/>
        <w:jc w:val="center"/>
        <w:rPr>
          <w:rFonts w:ascii="Arial" w:hAnsi="Arial" w:cs="Arial"/>
          <w:sz w:val="28"/>
          <w:szCs w:val="28"/>
          <w:lang w:bidi="ru-RU"/>
        </w:rPr>
      </w:pPr>
    </w:p>
    <w:p w:rsidR="00D37A3A" w:rsidRPr="003375CF" w:rsidRDefault="00D37A3A" w:rsidP="003375CF">
      <w:pPr>
        <w:spacing w:after="0" w:line="240" w:lineRule="auto"/>
        <w:jc w:val="center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ГИПОТАЛАМО-ГИПОФИЗАРНАЯ СИСТЕМА</w:t>
      </w:r>
      <w:r w:rsidRPr="003375CF">
        <w:rPr>
          <w:rFonts w:ascii="Arial" w:hAnsi="Arial" w:cs="Arial"/>
          <w:sz w:val="28"/>
          <w:szCs w:val="28"/>
          <w:lang w:bidi="ru-RU"/>
        </w:rPr>
        <w:br/>
      </w:r>
    </w:p>
    <w:p w:rsidR="00D37A3A" w:rsidRPr="003375CF" w:rsidRDefault="00D37A3A" w:rsidP="003375CF">
      <w:pPr>
        <w:spacing w:after="0" w:line="240" w:lineRule="auto"/>
        <w:ind w:firstLine="567"/>
        <w:jc w:val="both"/>
        <w:rPr>
          <w:rFonts w:ascii="Arial" w:hAnsi="Arial" w:cs="Arial"/>
          <w:i/>
          <w:sz w:val="28"/>
          <w:szCs w:val="28"/>
          <w:lang w:bidi="ru-RU"/>
        </w:rPr>
      </w:pPr>
      <w:r w:rsidRPr="003375CF">
        <w:rPr>
          <w:rFonts w:ascii="Arial" w:hAnsi="Arial" w:cs="Arial"/>
          <w:i/>
          <w:sz w:val="28"/>
          <w:szCs w:val="28"/>
          <w:lang w:bidi="ru-RU"/>
        </w:rPr>
        <w:t xml:space="preserve">В гипоталамусе выделяют три основные нейросекреторные клетки: </w:t>
      </w:r>
    </w:p>
    <w:p w:rsidR="00D37A3A" w:rsidRPr="003375CF" w:rsidRDefault="00D37A3A" w:rsidP="003375C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 xml:space="preserve">1)синтезирующие эффекторные гормоны (вазопрессин и окситоцин) вырабатываются в супраоптическом и паравентрикулярном ядре; </w:t>
      </w:r>
    </w:p>
    <w:p w:rsidR="00D37A3A" w:rsidRPr="003375CF" w:rsidRDefault="00D37A3A" w:rsidP="003375C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 xml:space="preserve">2) синтезирующие гормонные факторы: либерины и статины; секретируются нейронами. </w:t>
      </w:r>
    </w:p>
    <w:p w:rsidR="00D37A3A" w:rsidRPr="003375CF" w:rsidRDefault="00D37A3A" w:rsidP="003375C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 xml:space="preserve">3) синтезирующие монаамины и опиоиды (норадреналин, серотонин, g-аминомасляную кислота) и опиоиды вырабатываются мелкоклеточными центрами гипоталамуса. </w:t>
      </w:r>
    </w:p>
    <w:p w:rsidR="00D37A3A" w:rsidRPr="003375CF" w:rsidRDefault="00D37A3A" w:rsidP="003375C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 xml:space="preserve">Гипофиз </w:t>
      </w:r>
    </w:p>
    <w:p w:rsidR="00D37A3A" w:rsidRPr="003375CF" w:rsidRDefault="00D37A3A" w:rsidP="003375CF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bCs/>
          <w:sz w:val="28"/>
          <w:szCs w:val="28"/>
          <w:lang w:bidi="ru-RU"/>
        </w:rPr>
        <w:t xml:space="preserve">функционально выделяют 2 доли гипофиза: 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>переднюю,</w:t>
      </w:r>
      <w:r w:rsidRPr="003375CF">
        <w:rPr>
          <w:rFonts w:ascii="Arial" w:hAnsi="Arial" w:cs="Arial"/>
          <w:bCs/>
          <w:sz w:val="28"/>
          <w:szCs w:val="28"/>
          <w:lang w:bidi="ru-RU"/>
        </w:rPr>
        <w:t xml:space="preserve"> чисто эндокринную — 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>аденогипофиз;</w:t>
      </w:r>
      <w:r w:rsidRPr="003375CF">
        <w:rPr>
          <w:rFonts w:ascii="Arial" w:hAnsi="Arial" w:cs="Arial"/>
          <w:bCs/>
          <w:sz w:val="28"/>
          <w:szCs w:val="28"/>
          <w:lang w:bidi="ru-RU"/>
        </w:rPr>
        <w:t xml:space="preserve"> и 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>заднюю</w:t>
      </w:r>
      <w:r w:rsidRPr="003375CF">
        <w:rPr>
          <w:rFonts w:ascii="Arial" w:hAnsi="Arial" w:cs="Arial"/>
          <w:bCs/>
          <w:sz w:val="28"/>
          <w:szCs w:val="28"/>
          <w:lang w:bidi="ru-RU"/>
        </w:rPr>
        <w:t xml:space="preserve"> — 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 xml:space="preserve">нейрогипофиз, </w:t>
      </w:r>
      <w:r w:rsidRPr="003375CF">
        <w:rPr>
          <w:rFonts w:ascii="Arial" w:hAnsi="Arial" w:cs="Arial"/>
          <w:bCs/>
          <w:sz w:val="28"/>
          <w:szCs w:val="28"/>
          <w:lang w:bidi="ru-RU"/>
        </w:rPr>
        <w:t>где идет накопление гормонов,  гипоталамуса —АДГ и окситоцина.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 xml:space="preserve"> </w:t>
      </w:r>
    </w:p>
    <w:p w:rsidR="00D37A3A" w:rsidRPr="003375CF" w:rsidRDefault="00D37A3A" w:rsidP="003375CF">
      <w:p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bCs/>
          <w:sz w:val="28"/>
          <w:szCs w:val="28"/>
          <w:lang w:bidi="ru-RU"/>
        </w:rPr>
        <w:t>Гормоны, а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 xml:space="preserve">деногипофиза </w:t>
      </w:r>
      <w:r w:rsidRPr="003375CF">
        <w:rPr>
          <w:rFonts w:ascii="Arial" w:hAnsi="Arial" w:cs="Arial"/>
          <w:bCs/>
          <w:sz w:val="28"/>
          <w:szCs w:val="28"/>
          <w:lang w:bidi="ru-RU"/>
        </w:rPr>
        <w:t xml:space="preserve">: </w:t>
      </w:r>
    </w:p>
    <w:p w:rsidR="00F21B74" w:rsidRPr="003375CF" w:rsidRDefault="000F5CBC" w:rsidP="003375CF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bCs/>
          <w:sz w:val="28"/>
          <w:szCs w:val="28"/>
          <w:lang w:bidi="ru-RU"/>
        </w:rPr>
        <w:t>СТГ (соматотропин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>)</w:t>
      </w:r>
      <w:r w:rsidRPr="003375CF">
        <w:rPr>
          <w:rFonts w:ascii="Arial" w:hAnsi="Arial" w:cs="Arial"/>
          <w:bCs/>
          <w:sz w:val="28"/>
          <w:szCs w:val="28"/>
          <w:lang w:bidi="ru-RU"/>
        </w:rPr>
        <w:t>;</w:t>
      </w:r>
    </w:p>
    <w:p w:rsidR="00F21B74" w:rsidRPr="003375CF" w:rsidRDefault="000F5CBC" w:rsidP="003375CF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bCs/>
          <w:sz w:val="28"/>
          <w:szCs w:val="28"/>
          <w:lang w:bidi="ru-RU"/>
        </w:rPr>
        <w:t>ЛТГ (лактотропный гормон или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 xml:space="preserve"> </w:t>
      </w:r>
      <w:r w:rsidRPr="003375CF">
        <w:rPr>
          <w:rFonts w:ascii="Arial" w:hAnsi="Arial" w:cs="Arial"/>
          <w:bCs/>
          <w:sz w:val="28"/>
          <w:szCs w:val="28"/>
          <w:lang w:bidi="ru-RU"/>
        </w:rPr>
        <w:t>пролактин);</w:t>
      </w:r>
    </w:p>
    <w:p w:rsidR="00F21B74" w:rsidRPr="003375CF" w:rsidRDefault="000F5CBC" w:rsidP="003375CF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bCs/>
          <w:sz w:val="28"/>
          <w:szCs w:val="28"/>
          <w:lang w:bidi="ru-RU"/>
        </w:rPr>
        <w:t>ТТГ (тиротропин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>)</w:t>
      </w:r>
      <w:r w:rsidRPr="003375CF">
        <w:rPr>
          <w:rFonts w:ascii="Arial" w:hAnsi="Arial" w:cs="Arial"/>
          <w:bCs/>
          <w:sz w:val="28"/>
          <w:szCs w:val="28"/>
          <w:lang w:bidi="ru-RU"/>
        </w:rPr>
        <w:t>;</w:t>
      </w:r>
    </w:p>
    <w:p w:rsidR="00F21B74" w:rsidRPr="003375CF" w:rsidRDefault="000F5CBC" w:rsidP="003375CF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bCs/>
          <w:sz w:val="28"/>
          <w:szCs w:val="28"/>
          <w:lang w:bidi="ru-RU"/>
        </w:rPr>
        <w:t>ФСГ (фолликулостимулирующий или фоллитропин) и ЛГ (лютеинизирующий или лютропин);</w:t>
      </w:r>
    </w:p>
    <w:p w:rsidR="00F21B74" w:rsidRPr="003375CF" w:rsidRDefault="000F5CBC" w:rsidP="003375CF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bCs/>
          <w:sz w:val="28"/>
          <w:szCs w:val="28"/>
          <w:lang w:bidi="ru-RU"/>
        </w:rPr>
        <w:t>АКТГ (адренокортикотропный гормон или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 xml:space="preserve"> </w:t>
      </w:r>
      <w:r w:rsidRPr="003375CF">
        <w:rPr>
          <w:rFonts w:ascii="Arial" w:hAnsi="Arial" w:cs="Arial"/>
          <w:bCs/>
          <w:sz w:val="28"/>
          <w:szCs w:val="28"/>
          <w:lang w:bidi="ru-RU"/>
        </w:rPr>
        <w:t>кортикотропин).</w:t>
      </w:r>
    </w:p>
    <w:p w:rsidR="00D37A3A" w:rsidRPr="003375CF" w:rsidRDefault="00D37A3A" w:rsidP="003375CF">
      <w:p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bCs/>
          <w:sz w:val="28"/>
          <w:szCs w:val="28"/>
          <w:lang w:bidi="ru-RU"/>
        </w:rPr>
        <w:t>Гормон средней доли</w:t>
      </w:r>
    </w:p>
    <w:p w:rsidR="00F21B74" w:rsidRPr="003375CF" w:rsidRDefault="000F5CBC" w:rsidP="003375CF">
      <w:pPr>
        <w:numPr>
          <w:ilvl w:val="0"/>
          <w:numId w:val="4"/>
        </w:numPr>
        <w:spacing w:after="0" w:line="240" w:lineRule="auto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bCs/>
          <w:sz w:val="28"/>
          <w:szCs w:val="28"/>
          <w:lang w:bidi="ru-RU"/>
        </w:rPr>
        <w:t>МСГ (меланоцитостимулирующий гормон или</w:t>
      </w:r>
      <w:r w:rsidRPr="003375CF">
        <w:rPr>
          <w:rFonts w:ascii="Arial" w:hAnsi="Arial" w:cs="Arial"/>
          <w:bCs/>
          <w:i/>
          <w:iCs/>
          <w:sz w:val="28"/>
          <w:szCs w:val="28"/>
          <w:lang w:bidi="ru-RU"/>
        </w:rPr>
        <w:t xml:space="preserve"> меланотропин);</w:t>
      </w:r>
    </w:p>
    <w:p w:rsidR="0001158A" w:rsidRPr="003375CF" w:rsidRDefault="0001158A" w:rsidP="003375CF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В основе патогенеза заболеваний эндокринной системы лежат следующие механизмы.</w:t>
      </w:r>
    </w:p>
    <w:p w:rsidR="0001158A" w:rsidRPr="003375CF" w:rsidRDefault="0001158A" w:rsidP="003375C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Недостаточное выделение гормона (гипофункция эндокринных желез).</w:t>
      </w:r>
    </w:p>
    <w:p w:rsidR="0001158A" w:rsidRPr="003375CF" w:rsidRDefault="0001158A" w:rsidP="003375C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lastRenderedPageBreak/>
        <w:t>Избыточное выделение гормона (гиперфункция эндокринных желез).</w:t>
      </w:r>
    </w:p>
    <w:p w:rsidR="0001158A" w:rsidRPr="003375CF" w:rsidRDefault="0001158A" w:rsidP="003375C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Секреция аномального гормона.</w:t>
      </w:r>
      <w:r w:rsidRPr="003375CF">
        <w:rPr>
          <w:rFonts w:ascii="Arial" w:hAnsi="Arial" w:cs="Arial"/>
          <w:sz w:val="28"/>
          <w:szCs w:val="28"/>
          <w:lang w:bidi="ru-RU"/>
        </w:rPr>
        <w:tab/>
      </w:r>
    </w:p>
    <w:p w:rsidR="0001158A" w:rsidRPr="003375CF" w:rsidRDefault="0001158A" w:rsidP="003375C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Резистентность к действию гормона.</w:t>
      </w:r>
      <w:r w:rsidRPr="003375CF">
        <w:rPr>
          <w:rFonts w:ascii="Arial" w:hAnsi="Arial" w:cs="Arial"/>
          <w:sz w:val="28"/>
          <w:szCs w:val="28"/>
          <w:lang w:bidi="ru-RU"/>
        </w:rPr>
        <w:tab/>
      </w:r>
    </w:p>
    <w:p w:rsidR="0001158A" w:rsidRPr="003375CF" w:rsidRDefault="0001158A" w:rsidP="003375C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Аномалии транспорта и метаболизма гормонов.</w:t>
      </w:r>
    </w:p>
    <w:p w:rsidR="00003E7D" w:rsidRPr="003375CF" w:rsidRDefault="0001158A" w:rsidP="003375C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Множественные аномалии (сочетания нескольких перечисленных механизмов)</w:t>
      </w:r>
      <w:bookmarkStart w:id="0" w:name="bookmark20"/>
    </w:p>
    <w:p w:rsidR="0001158A" w:rsidRPr="003375CF" w:rsidRDefault="0001158A" w:rsidP="003375CF">
      <w:pPr>
        <w:spacing w:after="0" w:line="240" w:lineRule="auto"/>
        <w:ind w:firstLine="708"/>
        <w:jc w:val="both"/>
        <w:rPr>
          <w:rFonts w:ascii="Arial" w:hAnsi="Arial" w:cs="Arial"/>
          <w:color w:val="ED7D31" w:themeColor="accent2"/>
          <w:sz w:val="28"/>
          <w:szCs w:val="28"/>
          <w:lang w:bidi="ru-RU"/>
        </w:rPr>
      </w:pPr>
      <w:r w:rsidRPr="003375CF"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  <w:t>Гипофункция эндокринных желез</w:t>
      </w:r>
      <w:bookmarkEnd w:id="0"/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В подавляющем большинстве случаев недостаточность секреции гормона сопровождается клинической симптоматикой. Клинического значения не имеют дефицит тиреоидного кальцитонина, гормонов мозгового вещества надпочечников и гормонов желудочно-кишечного тракта. Это может объ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ясняться существованием в организме механизмов дублирования (или ком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пенсации) функции определенных гормонов, а также тем обстоятельством, что в регуляции физиологических процессов дефицитному гормону при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надлежит далеко не ведущая роль.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В XIX веке с помощью моделирования гипофункции (удаления) эндо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кринных желез было изучено физиологическое значение многих гормонов. Примерами клинических синдромов, обусловленных снижением (или пол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ным выпадением) функции эндокринных желез, могут служить гипотиреоз (дефицит гормонов щитовидной железы), гипокортицизм (дефицит гормо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нов коры надпочечников), сахарный диабет I типа (дефицит инсулина), ги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попитуитаризм (дефицит некоторых — изолированная форма, или всех — пангипопитуитаризм — гормонов гипофиза), гипогонадизм (дефицит поло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вых гормонов).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Интенсивность секреции и метаболизма большинства гормонов и соот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ветственно их уровень в крови значительно колеблются даже в физиологи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ческих условиях, подчиняясь определенным (суточным, сезонным и дру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гим) ритмам. Поэтому о гормональной недостаточности обычно говорят лишь в случае хронического дефицита того или иного гормона. Острая гор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мональная недостаточность развивается относительно редко и описана лишь для некоторых состояний (например, острая надпочечниковая недо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статочность — адреналовый криз) и является, как правило, дебютом или формой декомпенсации хронической недостаточности, т.е. не подвергается обратному развитию.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Недостаточность гипофиззависимых эндокринных желез (щитовидная железа, надпочечники, гонады) может быть первичной (разрушение самой периферической эндокринной железы), вторичной (дефицит соответствую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щего тропного гормона гипофиза), третичной (дефицит гипоталамических стимуляторов определенных тропных гормонов гипофиза).В основе патогенеза гипофункции периферических эндокринных желез могут лежать все известные патологические процессы: наследственные на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 xml:space="preserve">рушения (врожденная дисфункция коры </w:t>
      </w:r>
      <w:r w:rsidRPr="003375CF">
        <w:rPr>
          <w:rFonts w:ascii="Arial" w:hAnsi="Arial" w:cs="Arial"/>
          <w:sz w:val="28"/>
          <w:szCs w:val="28"/>
          <w:lang w:bidi="ru-RU"/>
        </w:rPr>
        <w:lastRenderedPageBreak/>
        <w:t>надпочечников, гипофизарный нанизм), инфекции (туберкулез надпочечников), инфаркт (синдром Шиена—Симмондса, Уотерхауса—Фридериксена), аутоиммунный процесс (аутоиммунный тиреоидит, приводящий к первичному гипотиреозу, сахар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ный диабет I типа), опухоли (гипопитуитаризм при опухоли гипофиза), де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фицит алиментарных факторов (гипотиреоз в результате выраженного де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фицита йода), интоксикации (алкогольный гипогонадизм).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Лечение при недостаточности эндокринных желез в большинстве случа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ев подразумевает заместительную гормо</w:t>
      </w:r>
      <w:r w:rsidR="00EC255D" w:rsidRPr="003375CF">
        <w:rPr>
          <w:rFonts w:ascii="Arial" w:hAnsi="Arial" w:cs="Arial"/>
          <w:sz w:val="28"/>
          <w:szCs w:val="28"/>
          <w:lang w:bidi="ru-RU"/>
        </w:rPr>
        <w:t>нальную терапию</w:t>
      </w:r>
      <w:r w:rsidRPr="003375CF">
        <w:rPr>
          <w:rFonts w:ascii="Arial" w:hAnsi="Arial" w:cs="Arial"/>
          <w:sz w:val="28"/>
          <w:szCs w:val="28"/>
          <w:lang w:bidi="ru-RU"/>
        </w:rPr>
        <w:t>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</w:pPr>
      <w:bookmarkStart w:id="1" w:name="bookmark22"/>
      <w:r w:rsidRPr="003375CF"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  <w:t>Гиперфункция эндокринных желез и избыток гормонов</w:t>
      </w:r>
      <w:bookmarkEnd w:id="1"/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Избыток большинства гормонов обусловливает патологическую симптома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тику. Описаны лишь немногие исключения из этого правила. Так, неиз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вестны клинические последствия избыточной секреции тестостерона у взрослых мужчин или прогестерона у лиц обоего пола. Избыточное содер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жание тех или иных гормонов в крови может иметь различный генез. Чаще всего оно связано с усилением продукции гормона той железой, которая в норме вырабатывает данный гормон (тиреотоксикоз, синдром Иценко— Кушинга, акромегалия). Причиной такой гиперфункции может быть чрез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мерная стимуляция эндокринной железы физиологическими (гиперкорти- цизм при избыточной секреции гипофизарного АКТГ — болезни Иценко— Кушинга) или патологическими (аутоантитела при диффузном токсичес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ком зобе) факторами. Во втором случае механизмы обратной связи сохра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нены и секреция физиологического стимулятора (ТТГ) гиперфункциони- рующей эндокринной железы оказывается подавленной. Аналогичное по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давление активности высших регуляторных центров эндокринной системы имеет место и при опухолях периферических желез внутренней секреции, сопровождающихся усиленной продукцией соответствующих гормонов, а также в случаях транзиторного высвобождения избытка гормона из железы при деструктивных процессах в ней (ти</w:t>
      </w:r>
      <w:r w:rsidR="00040EB0" w:rsidRPr="003375CF">
        <w:rPr>
          <w:rFonts w:ascii="Arial" w:hAnsi="Arial" w:cs="Arial"/>
          <w:sz w:val="28"/>
          <w:szCs w:val="28"/>
          <w:lang w:bidi="ru-RU"/>
        </w:rPr>
        <w:t>реотоксикоз при подостром тирео</w:t>
      </w:r>
      <w:r w:rsidRPr="003375CF">
        <w:rPr>
          <w:rFonts w:ascii="Arial" w:hAnsi="Arial" w:cs="Arial"/>
          <w:sz w:val="28"/>
          <w:szCs w:val="28"/>
          <w:lang w:bidi="ru-RU"/>
        </w:rPr>
        <w:t>дите).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Появление избытка гормона в крови может быть связано с его продук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цией тканями (обычно при их злокачественном перерождении), которые в норме не вырабатывают гормоны, т.е. не относятся к эндокринным орга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нам в обычном понимании этого термина. Примером таких состояний слу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жит синдром Иценко—Кушинга при мелкоклеточном раке легкого, кото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рый сопровождается эктопической продукцией значительных количеств АКТГ.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 xml:space="preserve">Другим примером эктопической продукции гормонов может служить секреция гормонов эмбриональной тканью — тиреотоксикоз при опухоли яичника, происходящей из эктопированной ткани щитовидной железы </w:t>
      </w:r>
      <w:r w:rsidRPr="003375CF">
        <w:rPr>
          <w:rFonts w:ascii="Arial" w:hAnsi="Arial" w:cs="Arial"/>
          <w:sz w:val="28"/>
          <w:szCs w:val="28"/>
          <w:lang w:bidi="en-US"/>
        </w:rPr>
        <w:t>(stroma ovarii).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Избыток гормона (с соответствующей клинической симптоматикой) может быть обусловлен и усилением образования гормона в периферичес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 xml:space="preserve">ких тканях из имеющихся в крови предшественников. От </w:t>
      </w:r>
      <w:r w:rsidRPr="003375CF">
        <w:rPr>
          <w:rFonts w:ascii="Arial" w:hAnsi="Arial" w:cs="Arial"/>
          <w:sz w:val="28"/>
          <w:szCs w:val="28"/>
          <w:lang w:bidi="ru-RU"/>
        </w:rPr>
        <w:lastRenderedPageBreak/>
        <w:t>эктопической продукции гормонов эта ситуация отличается тем, что такие ткани и в норме обладают способностью превращать предшественник в гормон, но эта способность ограничена доступностью предшественника. Например, при поражениях печени, где происходит разрушение андростендиона, из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быточные его количества поступают в жировую ткань, способную путем ароматизации превращать его в эстрогены.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Наконец, симптомы избытка гормонов, как и их недостаточности, не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редко имеют ятрогенные причины. Клиницистам хорошо известны тяже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лые последствия длительного лечения кортикостероидами. В ряде случаев соответствующая симптоматика обусловлена передозировкой гормонов, вводимых с терапевтической целью (тироксин, инсулин) или умышленным использованием гормонально-активных соединений (прием тироксина с целью похудания и т.п.). Важно помнить, что в отличие от ситуаций, в ко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торых избыток гормона определяется гиперфункцией конкретной железы, в таких случаях активность собственной железы угнетается.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</w:pPr>
      <w:bookmarkStart w:id="2" w:name="bookmark24"/>
      <w:r w:rsidRPr="003375CF"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  <w:t>Продукция аномальных гормонов</w:t>
      </w:r>
      <w:bookmarkEnd w:id="2"/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В относительно редких случаях причиной эндокринного заболевания слу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жат образование и секреция гормона, имеющего аномальное строение. Так, известна форма сахарного диабета, обусловленная точечной мутацией гена инсулина и приводящая к выработке в [3-клетках измененной молекулы гормона. Продуцируемый гормон лишен способности связываться с инсу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линовым рецептором и поэтому не оказывает сахаропонижающего дейст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вия.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При эктопической продукции пептидных гормонов опухолями неэндо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кринных тканей в кровь часто попадают соединения, отличающиеся по структуре от нормальных гормонов, эффекты которых также могут отли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чаться от эффектов гормонов. В определенном смысле к аномальным гор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монам можно причислить и аутоантитела, которые, взаимодействуя с гор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мональными рецепторами, имитируют эффекты истинных гормонов. На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пример, при диффузном токсическом зобе активность щитовидной железы возрастает под влиянием специфических иммуноглобулинов, а не под-дей- ствием гипофизарного ТТГ. Аутоантитела к инсулиновым рецепторам также могут оказывать некоторое инсулиноподобное действие. Таким обра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зом, продукция аномальных гормонов может обусловливать симптоматику как дефицита, так и избытка гормонов.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</w:pPr>
      <w:bookmarkStart w:id="3" w:name="bookmark26"/>
      <w:r w:rsidRPr="003375CF"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  <w:t>Резистентность к действию гормонов</w:t>
      </w:r>
      <w:bookmarkEnd w:id="3"/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Впервые возможность существования периферической резистентности в качестве причины эндокринных заболеваний заподозрена при обследова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нии больных с псевдогипопаратиреозом, при котором гипокальциемия су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ществует на фоне нормального или даже повышенного содержания парат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 xml:space="preserve">гормона в крови (см. раздел 11.7). В дальнейшем были описаны эндокрино- патии, связанные с </w:t>
      </w:r>
      <w:r w:rsidRPr="003375CF">
        <w:rPr>
          <w:rFonts w:ascii="Arial" w:hAnsi="Arial" w:cs="Arial"/>
          <w:sz w:val="28"/>
          <w:szCs w:val="28"/>
          <w:lang w:bidi="ru-RU"/>
        </w:rPr>
        <w:lastRenderedPageBreak/>
        <w:t>резистентностью и к другим гормонам. Нередко такие состояния имеют наследственную природу. Резистентность к гормонам может иметь различные причины. Чаще всего она связана с патологией гормональных рецепторов (снижением их числа или сродства к лиганду вследствие аномального синтеза) или появлением факторов, препятствую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щих связыванию гормона со своим рецептором. Такими факторами могут служить антитела как к самому гормону (например, инсулинорезистент- ность вследствие образования антиинсулиновых антител), так и к его ре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цептору. Первые, прочно связывая гормон, удерживают его в крови, лишая возможности вступить во взаимодействие с рецептором, а вторые блокиру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ют сам рецептор, не оставляя на нем мест, способных связать имеющийся гормон (например, гипотиреоз вследствие образования аутоантител, блоки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 xml:space="preserve">рующих рецептор ТТГ). Резистентность к гормонам может быть следствием нарушения и пострецепторных внутриклеточных механизмов (например, на уровне </w:t>
      </w:r>
      <w:r w:rsidRPr="003375CF">
        <w:rPr>
          <w:rFonts w:ascii="Arial" w:hAnsi="Arial" w:cs="Arial"/>
          <w:sz w:val="28"/>
          <w:szCs w:val="28"/>
          <w:lang w:bidi="en-US"/>
        </w:rPr>
        <w:t>G</w:t>
      </w:r>
      <w:r w:rsidRPr="003375CF">
        <w:rPr>
          <w:rFonts w:ascii="Arial" w:hAnsi="Arial" w:cs="Arial"/>
          <w:sz w:val="28"/>
          <w:szCs w:val="28"/>
          <w:lang w:bidi="ru-RU"/>
        </w:rPr>
        <w:t>-белков или конкретных ферментов) и, наконец, просто отсут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ствия клеток-мишеней из-за эмбриональных нарушений.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Характерной чертой всех состояний, обусловленных резистентностью к гормонам, является клиническая симптоматика гормональной недостаточ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ности на фоне повышенного или нормального содержания соответствую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щего гормона в крови. Это объясняется существованием механизма обрат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ной связи, играющего значительную роль в регуляции секреции гормонов. Отсутствие эффекта гормона может восприниматься как отсутствие самого гормона, в силу чего высшие регуляторные центры посылают сигналы, уси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ливающие продукцию недостающих гормонов железами внутренней секре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ции.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Резистентность к гормону обычно бывает генерализованной, но воз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можно существование и избирательной резистентности. Так, встречаются случаи избирательной резистентности тиреотрофов гипофиза к действию тиреоидных гормонов. В результате формируется редкое сочетание клини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ческой картины тиреотоксикоза без подавления секреции ТТГ.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</w:pPr>
      <w:bookmarkStart w:id="4" w:name="bookmark28"/>
      <w:r w:rsidRPr="003375CF"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  <w:t>Аномалии транспорта, метаболизма и секреции гормонов</w:t>
      </w:r>
      <w:bookmarkEnd w:id="4"/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Большинство гормонов в крови находится в связанном с транспортными белками состоянии. Связывание с белками играет двоякую роль. С одной стороны, связанный гормон оказывается в определенной степени защищен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ным от инактивирующего действия ряда ферментных систем крови. С дру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гой стороны, комплекс гормонов с транспортными белками служит бли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жайшим резервом при остром возрастании потребности организма в гормо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нальной стимуляции. Поскольку принято считать, что на клеточные рецеп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торы способен воздействовать только свободный гормон, количество кото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 xml:space="preserve">рого обычно не превышает 10 % от общего его содержания, то увеличение концентрации связывающих белков в плазме или прочности </w:t>
      </w:r>
      <w:r w:rsidRPr="003375CF">
        <w:rPr>
          <w:rFonts w:ascii="Arial" w:hAnsi="Arial" w:cs="Arial"/>
          <w:sz w:val="28"/>
          <w:szCs w:val="28"/>
          <w:lang w:bidi="ru-RU"/>
        </w:rPr>
        <w:lastRenderedPageBreak/>
        <w:t>связывания ими гормонов может снижать биологическую активность последних. Суще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ствует ряд врожденных и приобретенных состояний, при которых связыва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ние гормонов с белками плазмы меняется. Основным источником связыва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ющих гормоны белков является печень, поэтому печеночная патология не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редко сопровождается нарушением связывания гормонов и изменением со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отношения в крови их свободной и связанной форм. Связывание гормонов меняется и при ряде физиологических состояний. Наглядным примером тому может служить беременность, при которой значительно возрастает со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держание специфических глобулинов, связывающих стероидные и тирео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идные гормоны. Описаны случаи наследственного снижения уровня тирок- синсвязывающего глобулина и транскортина. Сами по себе изменения про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цессов связывания гормонов с белками не могут являться причиной эндо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кринной патологии, поскольку механизмы системы обратных связей при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водят к нормализации уровня свободного гормона. Так, уменьшение фрак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ции свободного Т</w:t>
      </w:r>
      <w:r w:rsidRPr="003375CF">
        <w:rPr>
          <w:rFonts w:ascii="Arial" w:hAnsi="Arial" w:cs="Arial"/>
          <w:sz w:val="28"/>
          <w:szCs w:val="28"/>
          <w:vertAlign w:val="subscript"/>
          <w:lang w:bidi="ru-RU"/>
        </w:rPr>
        <w:t>4</w:t>
      </w:r>
      <w:r w:rsidRPr="003375CF">
        <w:rPr>
          <w:rFonts w:ascii="Arial" w:hAnsi="Arial" w:cs="Arial"/>
          <w:sz w:val="28"/>
          <w:szCs w:val="28"/>
          <w:lang w:bidi="ru-RU"/>
        </w:rPr>
        <w:t xml:space="preserve"> при повышении уровня тироксинсвязывающего глобу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лина компенсируется повышением секреции ТТГ. Для того чтобы наруше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ние связывания гормона с белками привело к возникновению эндокрин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ной патологии, необходимо одновременное нарушение в регуляторной сис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теме обратной связи. Без этого никаких клинических проявлений не отме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чается, хотя результаты лабораторных исследований могут свидетельство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вать об отклонениях от нормы. Так, увеличение общего содержания тирок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сина в крови при беременности (в результате возрастания концентрации тироксинсвязывающего глобулина) не сопровождается тиреотоксикозом.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Это справедливо и в отношении нарушений скорости метаболизма гор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мона. Например, при тяжелых заболеваниях печени и при гипотиреозе резко замедляется распад глюкокортикоидов. Казалось бы, это должно сопровождаться увеличением концентрации кортизола в крови и появлени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ем симптомов гиперкортицизма. Однако, если обратная связь в системе АКТГ — кора надпочечников не нарушена, секреция АКТГ снижается, приводя к уменьшению секреции кортизола корой надпочечников, и уро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вень этого гормона в крови остается нормальным. Напротив, при ускоре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нии распада глюкокортикоидов усиление секреции АКТГ компенсирует дефицит кортизола в крови, и симптомы его недостаточности (гипокорти- цизм), как правило, не развиваются. Другим примером, иллюстрирующим компенсаторные возможности механизма обратной связи, является почеч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ная недостаточность, при которой замедляется экскреция многих гормо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нов. Несмотря на это, уровень гормонов в крови остается нормальным при интактности системы обратной связи.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Таким образом, изменения связывания или скорости метаболизма и экскреции гормонов сами по себе не приводят к возникновению их избыт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 xml:space="preserve">ка или недостаточности. Однако такие сдвиги имеют важное </w:t>
      </w:r>
      <w:r w:rsidRPr="003375CF">
        <w:rPr>
          <w:rFonts w:ascii="Arial" w:hAnsi="Arial" w:cs="Arial"/>
          <w:sz w:val="28"/>
          <w:szCs w:val="28"/>
          <w:lang w:bidi="ru-RU"/>
        </w:rPr>
        <w:lastRenderedPageBreak/>
        <w:t>значение для эндокринной фармакотерапии. Например, у больного, нуждающегося в глюкокортикоидной терапии и одновременно страдающего заболеванием печени, даже небольшие дозы кортикостероидов могут вызвать появление синдрома Кушинга. При тиреотоксикозе, когда ускоряется распад глюко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кортикоидов, нередко приходится повышать дозы глюкокортикоидных препаратов. У больного сахарным диабетом, получающего инсулин, разви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тие почечной недостаточности требует снижения дозировки гормона во из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бежание гипогликемии. Таким образом, изменения транспорта или скорос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ти метаболизма гормонов способны усиливать или вызывать эндокринную патологию только в условиях нарушения механизмов обратной связи или присоединения других заболеваний.</w:t>
      </w:r>
    </w:p>
    <w:p w:rsidR="00003E7D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Гормональные эффекты в значительной степени зависят от частоты или амплитуды импульсной секреции гормонов. Известно, что изменение ритма их секреции может быть причиной или проявлением некоторых эн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докринных заболеваний. Так, например, уже самая ранняя стадия болезни Иценко—Кушинга характеризуется нарушением суточного ритма секр</w:t>
      </w:r>
      <w:bookmarkStart w:id="5" w:name="bookmark30"/>
      <w:r w:rsidR="00003E7D" w:rsidRPr="003375CF">
        <w:rPr>
          <w:rFonts w:ascii="Arial" w:hAnsi="Arial" w:cs="Arial"/>
          <w:sz w:val="28"/>
          <w:szCs w:val="28"/>
          <w:lang w:bidi="ru-RU"/>
        </w:rPr>
        <w:t xml:space="preserve">еции кортизола.  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color w:val="ED7D31" w:themeColor="accent2"/>
          <w:sz w:val="28"/>
          <w:szCs w:val="28"/>
          <w:lang w:bidi="ru-RU"/>
        </w:rPr>
      </w:pPr>
      <w:r w:rsidRPr="003375CF"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  <w:t>Множественные аномалии</w:t>
      </w:r>
      <w:bookmarkEnd w:id="5"/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Поскольку в регуляции физиологических функций и процессов, как прави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ло, принимают участие гормоны многих эндокринных желез, а также в связи с тем, что эндокринные железы сами являются объектом гормональ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ных воздействий, при любой эндокринной патологии может происходить нарушение функционирования других желез внутренней секреции. Наибо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лее наглядным примером является пангипопитуитаризм, характеризую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щийся одновременной гипофункцией щитовидной железы, надпочечников и гонад. В этом случае речь все же идет о первичной патологии одного эндокринного органа — гипофиза, секретирующего различные тропные гормоны. В то же время существуют заболевания, при которых наблюдается одновременное поражение нескольких эндокринных желез с соответствую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щей клинической картиной. В основе таких заболеваний могут лежать ау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тоиммунная деструкция нескольких эндокринных желез (аутоиммунные полигландулярные синдромы), рецепторная патология (резистентность к гонадотропинам и ТТГ при псевдо гипопаратиреозе), множественные опу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холи эндокринных желез (синдромы множественных эндокринных неопла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зий), а также наследственные дефекты неясной этиологии (липодистро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фии).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При патологии коры надпочечников в отличие от других эндокринных желез, помимо гипо- и гиперфункции, встречается дисфункция. При врож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денной дисфункции коры надпочечников в результате дефицита отдельных ферментов развивается гиперпродукция одних гормонов при одновремен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ном дефиците других. Так, при наиболее часто встречающемся дефиците Р450с21 (21 -гидроксилазы) имеется дефицит глюко- и минералокортикои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 xml:space="preserve">дов в </w:t>
      </w:r>
      <w:r w:rsidRPr="003375CF">
        <w:rPr>
          <w:rFonts w:ascii="Arial" w:hAnsi="Arial" w:cs="Arial"/>
          <w:sz w:val="28"/>
          <w:szCs w:val="28"/>
          <w:lang w:bidi="ru-RU"/>
        </w:rPr>
        <w:lastRenderedPageBreak/>
        <w:t>сочетании с гиперсекрецией надпочечниковых андрогенов (см. раздел 7.11).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</w:pPr>
      <w:bookmarkStart w:id="6" w:name="bookmark32"/>
      <w:r w:rsidRPr="003375CF">
        <w:rPr>
          <w:rFonts w:ascii="Arial" w:hAnsi="Arial" w:cs="Arial"/>
          <w:b/>
          <w:bCs/>
          <w:color w:val="ED7D31" w:themeColor="accent2"/>
          <w:sz w:val="28"/>
          <w:szCs w:val="28"/>
          <w:lang w:bidi="ru-RU"/>
        </w:rPr>
        <w:t>Гормонотерапия и принципы лечения при эндокринопатиях</w:t>
      </w:r>
      <w:bookmarkEnd w:id="6"/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В настоящее время не существует такой области медицины, в которой не обсуждались бы те или иные проблемы гормонотерапии.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Применяют истинные гормоны, их аналоги, вещества с гормоноподоб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ным действием и вещества, являющиеся антагонистами гормонов.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В зависимости от заболевания используют заместительную гормоноте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рапию (при недостатке тех или иных гормонов) и супрессивную (подавляю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щую) терапию — при необходимости подавления избыточной продукции гормонов (тироксин).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Кроме того, существует фармакодинамическая гормонотерапия, ис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пользуемая, как правило, при неэндокринных заболеваниях (лечение глю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кокортикоидами при коллагенозах, бронхиальной астме и др.).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Заместительная гормонотерапия назначается при недостаточности желез внутренней секреции и, как правило, является жизненно необходи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мой (гипотиреоз, гипокортицизм, сахарный диабет I типа). Успех замести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тельной гормонотерапии во многом зависит от адекватности дозировки, а также времени введения гормона в течение суток (имитация суточного ритма), а иногда и сезона. Так, потребность в минералокортикоидах летом может увеличиться, а зимой уменьшиться, в то же время потребность в ти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роксине, наоборот, больше зимой. При неадекватно низкой дозе сохраняется симптоматика заболевания, передозировка ведет к тем же последствиям, что и эндогенная гиперпро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дукция гормона.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Порой требуется большой клинический опыт, чтобы не отнести жало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бы, связанные с избытком гормона, к симптомам его недостаточности, и наоборот.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Рассмотрим это на примере парадоксального клинического феноме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на — синдрома Сомоджи. Несмотря на плохое самочувствие, утренние го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ловные боли, появление ацетона в утренней порции мочи, высокий уро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вень гликемии по утрам, т.е. все основные клинические симптомы деком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пенсации сахарного диабета I типа, у больных увеличивается масса тела, их  состояние парадоксальным образом улучшается при присоединении интерн куррентных заболеваний.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Хроническая передозировка пролонгированных препаратов инсулина приводит к развитию гипогликемии ранним утром (3—5 ч утра), которая не распознается врачами. Гипогликемия активирует выброс контринсулярных гормонов — глюкагона, катехоламинов и глюкокортикоидов, уровень гли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кемии значительно повышается в 7—10 ч утра. Лечащий врач рассматрива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ет данное состояние как результат недостаточности вечерней дозы инсули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на и стремится еще больше увеличить ее. В результате замыкается пороч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ный круг: гиперинсулинемия — гипогликемия — рефлекторная гипергли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 xml:space="preserve">кемия — </w:t>
      </w:r>
      <w:r w:rsidRPr="003375CF">
        <w:rPr>
          <w:rFonts w:ascii="Arial" w:hAnsi="Arial" w:cs="Arial"/>
          <w:sz w:val="28"/>
          <w:szCs w:val="28"/>
          <w:lang w:bidi="ru-RU"/>
        </w:rPr>
        <w:lastRenderedPageBreak/>
        <w:t>передозировка инсулина. Повышение дозы инсулина способству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ет усилению его анаболического действия: у больных увеличивается масса тела.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Присоединение интеркуррентных заболеваний, операции, травмы при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водят к увеличению потребности в инсулине, что в данной ситуации у больных с декомпенсацией сахарного диабета улучшает общее состояние, так как уменьшает тяжесть скрытой ночной гипогликемии.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Примером супрессивной терапии является терапия глюкокортикоида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ми при врожденной дисфункции коры надпочечников, которая, восполняя дефицит глюкокортикоидов, является заместительной, а подавляя секре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цию АКТГ и андрогенов — супрессивной.</w:t>
      </w:r>
    </w:p>
    <w:p w:rsidR="0001158A" w:rsidRPr="003375CF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Стимулирующая терапия осуществляется, как правило, для активации деятельности периферических желез с помощью тропных гормонов (напри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мер, использование гонадотропинов для стимуляции овуляции), но воз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можно и использование веществ, близких по структуре к периферическим гормонам, с целью активации выделения тропных гормонов. Так, кломи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фен (кломид, клостильбегит) — препарат, обладающий свойствами агонис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та-антагониста рецепторов эстрогенов, блокируя последние, стимулирует выделение гонадолиберина и, соответственно, ЛГ и ФСГ.</w:t>
      </w:r>
    </w:p>
    <w:p w:rsidR="007353B5" w:rsidRDefault="0001158A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3375CF">
        <w:rPr>
          <w:rFonts w:ascii="Arial" w:hAnsi="Arial" w:cs="Arial"/>
          <w:sz w:val="28"/>
          <w:szCs w:val="28"/>
          <w:lang w:bidi="ru-RU"/>
        </w:rPr>
        <w:t>При обсуждении фармакодинамической гормонотерапии речь, как пра</w:t>
      </w:r>
      <w:r w:rsidRPr="003375CF">
        <w:rPr>
          <w:rFonts w:ascii="Arial" w:hAnsi="Arial" w:cs="Arial"/>
          <w:sz w:val="28"/>
          <w:szCs w:val="28"/>
          <w:lang w:bidi="ru-RU"/>
        </w:rPr>
        <w:softHyphen/>
        <w:t>вило, идет о лечении глюкокортикоидными препаратами при различных воспалительных и аутоиммунных заболеваниях.</w:t>
      </w:r>
    </w:p>
    <w:p w:rsidR="006E1027" w:rsidRDefault="006E1027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p w:rsidR="006E1027" w:rsidRDefault="006E1027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</w:p>
    <w:p w:rsidR="006E1027" w:rsidRPr="006B798B" w:rsidRDefault="006E1027" w:rsidP="006E10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</w:p>
    <w:p w:rsidR="006E1027" w:rsidRDefault="006E1027" w:rsidP="006E10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027" w:rsidRPr="006B798B" w:rsidRDefault="006E1027" w:rsidP="006E102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Дедов И.И., Мельниченко Г.А., Фадеев В.В. «Эндокринология». Учебник. –М.: «Медицина», 2000. Стр. 632.</w:t>
      </w:r>
    </w:p>
    <w:p w:rsidR="006E1027" w:rsidRPr="006B798B" w:rsidRDefault="006E1027" w:rsidP="006E102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>Гарднер Д., Шобек Д. Базисная и клиническая эндокринология / под ред. Г. А. Мельниченко. — М.: 2015. — Стр. 169.</w:t>
      </w:r>
    </w:p>
    <w:p w:rsidR="006E1027" w:rsidRPr="006B798B" w:rsidRDefault="006E1027" w:rsidP="006E102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 xml:space="preserve">Дедов И. И., Мельниченко Г. А. Эндокринология. Национальное руководство. Краткое издание. — 2-е изд., перераб. и доп. — М.: ГЭОТАР-Медиа, 2018. — Стр. 832. </w:t>
      </w:r>
    </w:p>
    <w:p w:rsidR="006E1027" w:rsidRPr="006B798B" w:rsidRDefault="006E1027" w:rsidP="006E102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98B">
        <w:rPr>
          <w:rFonts w:ascii="Times New Roman" w:hAnsi="Times New Roman" w:cs="Times New Roman"/>
          <w:sz w:val="28"/>
          <w:szCs w:val="28"/>
        </w:rPr>
        <w:t xml:space="preserve">Проверенный поставщик медицинской информации с 1899 года. </w:t>
      </w:r>
      <w:hyperlink r:id="rId8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</w:t>
        </w:r>
      </w:hyperlink>
      <w:hyperlink r:id="rId9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www.msdmanuals.com</w:t>
        </w:r>
      </w:hyperlink>
      <w:hyperlink r:id="rId10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  <w:hyperlink r:id="rId11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hyperlink r:id="rId12" w:history="1">
        <w:r w:rsidRPr="006B798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</w:p>
    <w:p w:rsidR="006E1027" w:rsidRPr="003375CF" w:rsidRDefault="006E1027" w:rsidP="00756FA1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bookmarkStart w:id="7" w:name="_GoBack"/>
      <w:bookmarkEnd w:id="7"/>
    </w:p>
    <w:sectPr w:rsidR="006E1027" w:rsidRPr="003375CF">
      <w:footerReference w:type="even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C1C" w:rsidRDefault="00264C1C">
      <w:pPr>
        <w:spacing w:after="0" w:line="240" w:lineRule="auto"/>
      </w:pPr>
      <w:r>
        <w:separator/>
      </w:r>
    </w:p>
  </w:endnote>
  <w:endnote w:type="continuationSeparator" w:id="0">
    <w:p w:rsidR="00264C1C" w:rsidRDefault="00264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FA2" w:rsidRDefault="0001158A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A15D2C1" wp14:editId="42430E01">
              <wp:simplePos x="0" y="0"/>
              <wp:positionH relativeFrom="page">
                <wp:posOffset>1476375</wp:posOffset>
              </wp:positionH>
              <wp:positionV relativeFrom="page">
                <wp:posOffset>9291955</wp:posOffset>
              </wp:positionV>
              <wp:extent cx="128270" cy="94615"/>
              <wp:effectExtent l="0" t="0" r="0" b="0"/>
              <wp:wrapNone/>
              <wp:docPr id="98" name="Shape 9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15FA2" w:rsidRDefault="0001158A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15D2C1" id="_x0000_t202" coordsize="21600,21600" o:spt="202" path="m,l,21600r21600,l21600,xe">
              <v:stroke joinstyle="miter"/>
              <v:path gradientshapeok="t" o:connecttype="rect"/>
            </v:shapetype>
            <v:shape id="Shape 98" o:spid="_x0000_s1027" type="#_x0000_t202" style="position:absolute;margin-left:116.25pt;margin-top:731.65pt;width:10.1pt;height:7.4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" filled="f" stroked="f">
              <v:textbox style="mso-fit-shape-to-text:t" inset="0,0,0,0">
                <w:txbxContent>
                  <w:p w:rsidR="00615FA2" w:rsidRDefault="0001158A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FA2" w:rsidRDefault="0001158A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17D18AD" wp14:editId="5728764B">
              <wp:simplePos x="0" y="0"/>
              <wp:positionH relativeFrom="page">
                <wp:posOffset>6106795</wp:posOffset>
              </wp:positionH>
              <wp:positionV relativeFrom="page">
                <wp:posOffset>9944735</wp:posOffset>
              </wp:positionV>
              <wp:extent cx="115570" cy="103505"/>
              <wp:effectExtent l="0" t="0" r="0" b="0"/>
              <wp:wrapNone/>
              <wp:docPr id="96" name="Shape 9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5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15FA2" w:rsidRDefault="0001158A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E10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7D18AD" id="_x0000_t202" coordsize="21600,21600" o:spt="202" path="m,l,21600r21600,l21600,xe">
              <v:stroke joinstyle="miter"/>
              <v:path gradientshapeok="t" o:connecttype="rect"/>
            </v:shapetype>
            <v:shape id="Shape 96" o:spid="_x0000_s1028" type="#_x0000_t202" style="position:absolute;margin-left:480.85pt;margin-top:783.05pt;width:9.1pt;height:8.1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" filled="f" stroked="f">
              <v:textbox style="mso-fit-shape-to-text:t" inset="0,0,0,0">
                <w:txbxContent>
                  <w:p w:rsidR="00615FA2" w:rsidRDefault="0001158A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6E10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C1C" w:rsidRDefault="00264C1C">
      <w:pPr>
        <w:spacing w:after="0" w:line="240" w:lineRule="auto"/>
      </w:pPr>
      <w:r>
        <w:separator/>
      </w:r>
    </w:p>
  </w:footnote>
  <w:footnote w:type="continuationSeparator" w:id="0">
    <w:p w:rsidR="00264C1C" w:rsidRDefault="00264C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D4790"/>
    <w:multiLevelType w:val="hybridMultilevel"/>
    <w:tmpl w:val="61FC792E"/>
    <w:lvl w:ilvl="0" w:tplc="3BAA7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B20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965C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C41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B24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9A4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02F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60C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1ABF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CC29E3"/>
    <w:multiLevelType w:val="multilevel"/>
    <w:tmpl w:val="68AC220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86684A"/>
    <w:multiLevelType w:val="hybridMultilevel"/>
    <w:tmpl w:val="3BC45CEE"/>
    <w:lvl w:ilvl="0" w:tplc="7F22D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6E95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FA82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085D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3406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1CBE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30D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620F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E2A1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DB60E4"/>
    <w:multiLevelType w:val="multilevel"/>
    <w:tmpl w:val="8DB8503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D75784D"/>
    <w:multiLevelType w:val="hybridMultilevel"/>
    <w:tmpl w:val="0A000472"/>
    <w:lvl w:ilvl="0" w:tplc="CD0239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30D2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F4C0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E636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B44B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6C9A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6ADD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C4B0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AA6C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921654"/>
    <w:multiLevelType w:val="hybridMultilevel"/>
    <w:tmpl w:val="862CC5EE"/>
    <w:lvl w:ilvl="0" w:tplc="DD3246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0632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C2B8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E01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6487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C80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CE9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34B4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7A5D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DCD25EA"/>
    <w:multiLevelType w:val="hybridMultilevel"/>
    <w:tmpl w:val="5FEA0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58A"/>
    <w:rsid w:val="00003E7D"/>
    <w:rsid w:val="0001158A"/>
    <w:rsid w:val="00040EB0"/>
    <w:rsid w:val="00042C74"/>
    <w:rsid w:val="000F5CBC"/>
    <w:rsid w:val="00264C1C"/>
    <w:rsid w:val="003375CF"/>
    <w:rsid w:val="006E1027"/>
    <w:rsid w:val="007353B5"/>
    <w:rsid w:val="00756FA1"/>
    <w:rsid w:val="0092603A"/>
    <w:rsid w:val="00AA3ACD"/>
    <w:rsid w:val="00BF4115"/>
    <w:rsid w:val="00D30D08"/>
    <w:rsid w:val="00D37A3A"/>
    <w:rsid w:val="00EC255D"/>
    <w:rsid w:val="00F2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97997-E24E-41D3-B545-F33B9881E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5C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375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E10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905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18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7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3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807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876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4593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037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83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57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1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40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909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56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4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417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197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sdmanuals.com/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msdmanuals.com/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sdmanuals.com/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msdmanuals.com/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sdmanuals.com/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9</Pages>
  <Words>3263</Words>
  <Characters>18605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dcterms:created xsi:type="dcterms:W3CDTF">2021-04-14T00:14:00Z</dcterms:created>
  <dcterms:modified xsi:type="dcterms:W3CDTF">2021-04-16T07:54:00Z</dcterms:modified>
</cp:coreProperties>
</file>