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FDF" w:rsidRDefault="00CF7FDF" w:rsidP="00CF7FDF">
      <w:pPr>
        <w:spacing w:after="0" w:line="240" w:lineRule="auto"/>
        <w:jc w:val="both"/>
        <w:rPr>
          <w:rFonts w:ascii="Arial" w:hAnsi="Arial" w:cs="Arial"/>
          <w:b/>
          <w:sz w:val="24"/>
          <w:szCs w:val="24"/>
        </w:rPr>
      </w:pPr>
    </w:p>
    <w:p w:rsidR="00CF7FDF" w:rsidRPr="003375CF" w:rsidRDefault="00CF7FDF" w:rsidP="00CF7FDF">
      <w:pPr>
        <w:spacing w:after="0" w:line="240" w:lineRule="auto"/>
        <w:jc w:val="both"/>
        <w:rPr>
          <w:rFonts w:ascii="Arial" w:hAnsi="Arial" w:cs="Arial"/>
          <w:b/>
          <w:sz w:val="28"/>
          <w:szCs w:val="28"/>
          <w:lang w:val="en-US"/>
        </w:rPr>
      </w:pPr>
      <w:r w:rsidRPr="003375CF">
        <w:rPr>
          <w:rFonts w:ascii="Arial" w:hAnsi="Arial" w:cs="Arial"/>
          <w:noProof/>
          <w:lang w:eastAsia="ru-RU"/>
        </w:rPr>
        <mc:AlternateContent>
          <mc:Choice Requires="wps">
            <w:drawing>
              <wp:anchor distT="0" distB="0" distL="114300" distR="114300" simplePos="0" relativeHeight="251659264" behindDoc="0" locked="0" layoutInCell="1" allowOverlap="1" wp14:anchorId="25E5107B" wp14:editId="5FB617C6">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CF7FDF" w:rsidRPr="006B798B" w:rsidRDefault="00CF7FDF" w:rsidP="00CF7FDF">
                            <w:pPr>
                              <w:pStyle w:val="a4"/>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5107B" id="Заголовок 3" o:spid="_x0000_s1026" style="position:absolute;left:0;text-align:left;margin-left:291.15pt;margin-top:-2.7pt;width:183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CF7FDF" w:rsidRPr="006B798B" w:rsidRDefault="00CF7FDF" w:rsidP="00CF7FDF">
                      <w:pPr>
                        <w:pStyle w:val="a4"/>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sidRPr="003375CF">
        <w:rPr>
          <w:rFonts w:ascii="Arial" w:hAnsi="Arial" w:cs="Arial"/>
          <w:noProof/>
          <w:lang w:eastAsia="ru-RU"/>
        </w:rPr>
        <w:drawing>
          <wp:anchor distT="0" distB="0" distL="114300" distR="114300" simplePos="0" relativeHeight="251660288" behindDoc="0" locked="0" layoutInCell="1" allowOverlap="1" wp14:anchorId="67BADFA5" wp14:editId="0722992F">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5"/>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CF7FDF" w:rsidRPr="003375CF" w:rsidRDefault="00CF7FDF" w:rsidP="00CF7FDF">
      <w:pPr>
        <w:spacing w:after="0" w:line="240" w:lineRule="auto"/>
        <w:jc w:val="both"/>
        <w:rPr>
          <w:rFonts w:ascii="Arial" w:hAnsi="Arial" w:cs="Arial"/>
          <w:b/>
          <w:sz w:val="28"/>
          <w:szCs w:val="28"/>
          <w:lang w:val="en-US"/>
        </w:rPr>
      </w:pPr>
    </w:p>
    <w:p w:rsidR="00CF7FDF" w:rsidRDefault="00CF7FDF" w:rsidP="00CF7FDF">
      <w:pPr>
        <w:spacing w:after="0" w:line="240" w:lineRule="auto"/>
        <w:jc w:val="center"/>
        <w:rPr>
          <w:rFonts w:ascii="Arial" w:hAnsi="Arial" w:cs="Arial"/>
          <w:b/>
          <w:color w:val="00B050"/>
          <w:sz w:val="28"/>
          <w:szCs w:val="28"/>
          <w:lang w:val="en-US"/>
        </w:rPr>
      </w:pPr>
    </w:p>
    <w:p w:rsidR="00CF7FDF" w:rsidRPr="00CF7FDF" w:rsidRDefault="00CF7FDF" w:rsidP="00CF7FDF">
      <w:pPr>
        <w:spacing w:after="0" w:line="240" w:lineRule="auto"/>
        <w:jc w:val="center"/>
        <w:rPr>
          <w:rFonts w:ascii="Arial" w:hAnsi="Arial" w:cs="Arial"/>
          <w:b/>
          <w:color w:val="00B050"/>
          <w:sz w:val="28"/>
          <w:szCs w:val="28"/>
          <w:lang w:val="en-US"/>
        </w:rPr>
      </w:pPr>
      <w:r w:rsidRPr="00CF7FDF">
        <w:rPr>
          <w:rFonts w:ascii="Arial" w:hAnsi="Arial" w:cs="Arial"/>
          <w:b/>
          <w:color w:val="00B050"/>
          <w:sz w:val="28"/>
          <w:szCs w:val="28"/>
          <w:lang w:val="en-US"/>
        </w:rPr>
        <w:t>Lecture 4: Laboratory and instrumental methods for the diagnosis of endocrinopathies.</w:t>
      </w:r>
      <w:r w:rsidRPr="00CF7FDF">
        <w:rPr>
          <w:rFonts w:ascii="Arial" w:hAnsi="Arial" w:cs="Arial"/>
          <w:b/>
          <w:color w:val="00B050"/>
          <w:sz w:val="28"/>
          <w:szCs w:val="28"/>
          <w:lang w:val="en-US"/>
        </w:rPr>
        <w:br/>
      </w:r>
    </w:p>
    <w:p w:rsidR="00CF7FDF" w:rsidRDefault="00CF7FDF" w:rsidP="00CF7FDF">
      <w:pPr>
        <w:spacing w:after="0" w:line="240" w:lineRule="auto"/>
        <w:jc w:val="center"/>
        <w:rPr>
          <w:rFonts w:ascii="Arial" w:hAnsi="Arial" w:cs="Arial"/>
          <w:b/>
          <w:bCs/>
          <w:color w:val="00B050"/>
          <w:sz w:val="28"/>
          <w:szCs w:val="28"/>
        </w:rPr>
      </w:pPr>
      <w:r w:rsidRPr="00CF7FDF">
        <w:rPr>
          <w:rFonts w:ascii="Arial" w:hAnsi="Arial" w:cs="Arial"/>
          <w:b/>
          <w:bCs/>
          <w:color w:val="00B050"/>
          <w:sz w:val="28"/>
          <w:szCs w:val="28"/>
        </w:rPr>
        <w:t>Тема-4: Лабораторные и инструментальные методы диагностики эндокринных заболеваний</w:t>
      </w:r>
    </w:p>
    <w:p w:rsidR="00CF7FDF" w:rsidRDefault="00CF7FDF" w:rsidP="00CF7FDF">
      <w:pPr>
        <w:spacing w:after="0" w:line="240" w:lineRule="auto"/>
        <w:jc w:val="center"/>
        <w:rPr>
          <w:rFonts w:ascii="Arial" w:hAnsi="Arial" w:cs="Arial"/>
          <w:b/>
          <w:bCs/>
          <w:color w:val="00B050"/>
          <w:sz w:val="28"/>
          <w:szCs w:val="28"/>
        </w:rPr>
      </w:pPr>
    </w:p>
    <w:p w:rsidR="00CF7FDF" w:rsidRDefault="00CF7FDF" w:rsidP="00CF7FDF">
      <w:pPr>
        <w:spacing w:after="0" w:line="240" w:lineRule="auto"/>
        <w:jc w:val="center"/>
        <w:rPr>
          <w:rFonts w:ascii="Arial" w:hAnsi="Arial" w:cs="Arial"/>
          <w:b/>
          <w:bCs/>
          <w:color w:val="00B050"/>
          <w:sz w:val="28"/>
          <w:szCs w:val="28"/>
        </w:rPr>
      </w:pPr>
      <w:r w:rsidRPr="003375CF">
        <w:rPr>
          <w:rFonts w:ascii="Arial" w:hAnsi="Arial" w:cs="Arial"/>
          <w:b/>
          <w:bCs/>
          <w:color w:val="00B050"/>
          <w:sz w:val="28"/>
          <w:szCs w:val="28"/>
        </w:rPr>
        <w:t>План лекции:</w:t>
      </w:r>
    </w:p>
    <w:p w:rsidR="00CF7FDF" w:rsidRPr="003375CF" w:rsidRDefault="00CF7FDF" w:rsidP="00CF7FDF">
      <w:pPr>
        <w:spacing w:after="0" w:line="240" w:lineRule="auto"/>
        <w:jc w:val="center"/>
        <w:rPr>
          <w:rFonts w:ascii="Arial" w:hAnsi="Arial" w:cs="Arial"/>
          <w:b/>
          <w:bCs/>
          <w:color w:val="00B050"/>
          <w:sz w:val="28"/>
          <w:szCs w:val="28"/>
        </w:rPr>
      </w:pPr>
    </w:p>
    <w:p w:rsidR="00000000" w:rsidRPr="00CF7FDF" w:rsidRDefault="00472C3A" w:rsidP="00CF7FDF">
      <w:pPr>
        <w:numPr>
          <w:ilvl w:val="0"/>
          <w:numId w:val="6"/>
        </w:numPr>
        <w:spacing w:after="0" w:line="240" w:lineRule="auto"/>
        <w:jc w:val="both"/>
        <w:rPr>
          <w:rFonts w:ascii="Arial" w:eastAsia="+mn-ea" w:hAnsi="Arial" w:cs="Arial"/>
          <w:color w:val="002060"/>
          <w:kern w:val="24"/>
          <w:sz w:val="28"/>
          <w:szCs w:val="64"/>
          <w:lang w:eastAsia="ru-RU"/>
        </w:rPr>
      </w:pPr>
      <w:r w:rsidRPr="00CF7FDF">
        <w:rPr>
          <w:rFonts w:ascii="Arial" w:eastAsia="+mn-ea" w:hAnsi="Arial" w:cs="Arial"/>
          <w:color w:val="002060"/>
          <w:kern w:val="24"/>
          <w:sz w:val="28"/>
          <w:szCs w:val="64"/>
          <w:lang w:eastAsia="ru-RU"/>
        </w:rPr>
        <w:t>Общие подходы к диагностике эндокринных заболеваний</w:t>
      </w:r>
    </w:p>
    <w:p w:rsidR="00000000" w:rsidRPr="00CF7FDF" w:rsidRDefault="00472C3A" w:rsidP="00CF7FDF">
      <w:pPr>
        <w:numPr>
          <w:ilvl w:val="0"/>
          <w:numId w:val="6"/>
        </w:numPr>
        <w:spacing w:after="0" w:line="240" w:lineRule="auto"/>
        <w:jc w:val="both"/>
        <w:rPr>
          <w:rFonts w:ascii="Arial" w:eastAsia="+mn-ea" w:hAnsi="Arial" w:cs="Arial"/>
          <w:color w:val="002060"/>
          <w:kern w:val="24"/>
          <w:sz w:val="28"/>
          <w:szCs w:val="64"/>
          <w:lang w:eastAsia="ru-RU"/>
        </w:rPr>
      </w:pPr>
      <w:r w:rsidRPr="00CF7FDF">
        <w:rPr>
          <w:rFonts w:ascii="Arial" w:eastAsia="+mn-ea" w:hAnsi="Arial" w:cs="Arial"/>
          <w:color w:val="002060"/>
          <w:kern w:val="24"/>
          <w:sz w:val="28"/>
          <w:szCs w:val="64"/>
          <w:lang w:eastAsia="ru-RU"/>
        </w:rPr>
        <w:t>Методы исследования эндокринопатий</w:t>
      </w:r>
    </w:p>
    <w:p w:rsidR="00000000" w:rsidRPr="00CF7FDF" w:rsidRDefault="00472C3A" w:rsidP="00CF7FDF">
      <w:pPr>
        <w:numPr>
          <w:ilvl w:val="0"/>
          <w:numId w:val="6"/>
        </w:numPr>
        <w:spacing w:after="0" w:line="240" w:lineRule="auto"/>
        <w:jc w:val="both"/>
        <w:rPr>
          <w:rFonts w:ascii="Arial" w:eastAsia="+mn-ea" w:hAnsi="Arial" w:cs="Arial"/>
          <w:color w:val="002060"/>
          <w:kern w:val="24"/>
          <w:sz w:val="28"/>
          <w:szCs w:val="64"/>
          <w:lang w:eastAsia="ru-RU"/>
        </w:rPr>
      </w:pPr>
      <w:r w:rsidRPr="00CF7FDF">
        <w:rPr>
          <w:rFonts w:ascii="Arial" w:eastAsia="+mn-ea" w:hAnsi="Arial" w:cs="Arial"/>
          <w:color w:val="002060"/>
          <w:kern w:val="24"/>
          <w:sz w:val="28"/>
          <w:szCs w:val="64"/>
          <w:lang w:eastAsia="ru-RU"/>
        </w:rPr>
        <w:t>Лабораторные методы исследования</w:t>
      </w:r>
    </w:p>
    <w:p w:rsidR="00000000" w:rsidRPr="00CF7FDF" w:rsidRDefault="00472C3A" w:rsidP="00CF7FDF">
      <w:pPr>
        <w:numPr>
          <w:ilvl w:val="0"/>
          <w:numId w:val="6"/>
        </w:numPr>
        <w:spacing w:after="0" w:line="240" w:lineRule="auto"/>
        <w:jc w:val="both"/>
        <w:rPr>
          <w:rFonts w:ascii="Arial" w:eastAsia="+mn-ea" w:hAnsi="Arial" w:cs="Arial"/>
          <w:color w:val="002060"/>
          <w:kern w:val="24"/>
          <w:sz w:val="28"/>
          <w:szCs w:val="64"/>
          <w:lang w:eastAsia="ru-RU"/>
        </w:rPr>
      </w:pPr>
      <w:r w:rsidRPr="00CF7FDF">
        <w:rPr>
          <w:rFonts w:ascii="Arial" w:eastAsia="+mn-ea" w:hAnsi="Arial" w:cs="Arial"/>
          <w:color w:val="002060"/>
          <w:kern w:val="24"/>
          <w:sz w:val="28"/>
          <w:szCs w:val="64"/>
          <w:lang w:eastAsia="ru-RU"/>
        </w:rPr>
        <w:t>Инструментальные методы исс</w:t>
      </w:r>
      <w:r w:rsidRPr="00CF7FDF">
        <w:rPr>
          <w:rFonts w:ascii="Arial" w:eastAsia="+mn-ea" w:hAnsi="Arial" w:cs="Arial"/>
          <w:color w:val="002060"/>
          <w:kern w:val="24"/>
          <w:sz w:val="28"/>
          <w:szCs w:val="64"/>
          <w:lang w:eastAsia="ru-RU"/>
        </w:rPr>
        <w:t>ледования</w:t>
      </w:r>
    </w:p>
    <w:p w:rsidR="00CF7FDF" w:rsidRDefault="00CF7FDF" w:rsidP="00CF7FDF">
      <w:pPr>
        <w:spacing w:after="0" w:line="240" w:lineRule="auto"/>
        <w:jc w:val="both"/>
        <w:rPr>
          <w:rFonts w:ascii="Arial" w:hAnsi="Arial" w:cs="Arial"/>
          <w:b/>
          <w:sz w:val="24"/>
          <w:szCs w:val="24"/>
        </w:rPr>
      </w:pPr>
    </w:p>
    <w:p w:rsidR="00CF7FDF" w:rsidRDefault="00CF7FDF" w:rsidP="00CF7FDF">
      <w:pPr>
        <w:spacing w:after="0" w:line="240" w:lineRule="auto"/>
        <w:jc w:val="both"/>
        <w:rPr>
          <w:rFonts w:ascii="Arial" w:hAnsi="Arial" w:cs="Arial"/>
          <w:b/>
          <w:sz w:val="24"/>
          <w:szCs w:val="24"/>
        </w:rPr>
      </w:pPr>
    </w:p>
    <w:p w:rsidR="00CF7FDF" w:rsidRDefault="00CF7FDF" w:rsidP="00CF7FDF">
      <w:pPr>
        <w:pStyle w:val="1"/>
        <w:ind w:firstLine="567"/>
        <w:jc w:val="both"/>
        <w:rPr>
          <w:rFonts w:ascii="Arial" w:eastAsiaTheme="minorHAnsi" w:hAnsi="Arial" w:cs="Arial"/>
          <w:b/>
          <w:sz w:val="24"/>
          <w:szCs w:val="24"/>
        </w:rPr>
      </w:pPr>
      <w:r w:rsidRPr="00CF7FDF">
        <w:rPr>
          <w:rFonts w:ascii="Arial" w:eastAsiaTheme="minorHAnsi" w:hAnsi="Arial" w:cs="Arial"/>
          <w:b/>
          <w:sz w:val="24"/>
          <w:szCs w:val="24"/>
        </w:rPr>
        <w:t>Общие подходы к диагностике эндокринных заболеваний</w:t>
      </w:r>
    </w:p>
    <w:p w:rsidR="00566EFE" w:rsidRPr="00CF7FDF" w:rsidRDefault="00934433" w:rsidP="00CF7FDF">
      <w:pPr>
        <w:pStyle w:val="1"/>
        <w:ind w:firstLine="567"/>
        <w:jc w:val="both"/>
        <w:rPr>
          <w:rFonts w:ascii="Arial" w:hAnsi="Arial" w:cs="Arial"/>
          <w:sz w:val="24"/>
          <w:szCs w:val="24"/>
        </w:rPr>
      </w:pPr>
      <w:r w:rsidRPr="00CF7FDF">
        <w:rPr>
          <w:rFonts w:ascii="Arial" w:hAnsi="Arial" w:cs="Arial"/>
          <w:sz w:val="24"/>
          <w:szCs w:val="24"/>
        </w:rPr>
        <w:t>До конца 60-х годов, т.е. до широкого внедрения в клиническую практику радиоиммунного и иммуноферментного анализа, единственным методом определения уровня гормонов был биологический, основной принцип ко</w:t>
      </w:r>
      <w:r w:rsidRPr="00CF7FDF">
        <w:rPr>
          <w:rFonts w:ascii="Arial" w:hAnsi="Arial" w:cs="Arial"/>
          <w:sz w:val="24"/>
          <w:szCs w:val="24"/>
        </w:rPr>
        <w:softHyphen/>
        <w:t>торого заключался в том, что в биологическую систему (животное, орган, ткань) вводятся известные количества изучаемого гормона. Затем строит</w:t>
      </w:r>
      <w:r w:rsidRPr="00CF7FDF">
        <w:rPr>
          <w:rFonts w:ascii="Arial" w:hAnsi="Arial" w:cs="Arial"/>
          <w:sz w:val="24"/>
          <w:szCs w:val="24"/>
        </w:rPr>
        <w:softHyphen/>
        <w:t>ся стандартная кривая, отражающая специфическое действие этого гор</w:t>
      </w:r>
      <w:r w:rsidRPr="00CF7FDF">
        <w:rPr>
          <w:rFonts w:ascii="Arial" w:hAnsi="Arial" w:cs="Arial"/>
          <w:sz w:val="24"/>
          <w:szCs w:val="24"/>
        </w:rPr>
        <w:softHyphen/>
        <w:t>мона, и на этой же системе сравнивают активность неизвестной пробы с известной. Так, пролактин дозозависимо стимулирует рост эпителия зоба голубей, тестостерон стимулирует рост предстательной железы у неполо</w:t>
      </w:r>
      <w:r w:rsidRPr="00CF7FDF">
        <w:rPr>
          <w:rFonts w:ascii="Arial" w:hAnsi="Arial" w:cs="Arial"/>
          <w:sz w:val="24"/>
          <w:szCs w:val="24"/>
        </w:rPr>
        <w:softHyphen/>
        <w:t>возрелых и кастрированных крыс. Внедрение радиоиммунных, а затем иммуноферментных методов стало базой для значительного совершенст</w:t>
      </w:r>
      <w:r w:rsidRPr="00CF7FDF">
        <w:rPr>
          <w:rFonts w:ascii="Arial" w:hAnsi="Arial" w:cs="Arial"/>
          <w:sz w:val="24"/>
          <w:szCs w:val="24"/>
        </w:rPr>
        <w:softHyphen/>
        <w:t>вования диагностики эндокринопатий. Однако полностью необходимость в биологических исследованиях не отпала, поскольку существуют ситуа</w:t>
      </w:r>
      <w:r w:rsidRPr="00CF7FDF">
        <w:rPr>
          <w:rFonts w:ascii="Arial" w:hAnsi="Arial" w:cs="Arial"/>
          <w:sz w:val="24"/>
          <w:szCs w:val="24"/>
        </w:rPr>
        <w:softHyphen/>
        <w:t>ции, при которых иммунологические свойства гормона сохранены, а био</w:t>
      </w:r>
      <w:r w:rsidRPr="00CF7FDF">
        <w:rPr>
          <w:rFonts w:ascii="Arial" w:hAnsi="Arial" w:cs="Arial"/>
          <w:sz w:val="24"/>
          <w:szCs w:val="24"/>
        </w:rPr>
        <w:softHyphen/>
        <w:t>логические нарушены. Наиболее используемыми в клинической практике методами определения гормонов являются радиоиммунный, иммунора- диометрический, радиорецепторный анализ, а также нерадиоактивные методики.</w:t>
      </w:r>
    </w:p>
    <w:p w:rsidR="007E1789" w:rsidRPr="00CF7FDF" w:rsidRDefault="007E1789"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В подавляющем большинстве случаев пациенты, у которых в дальнейшем обнаруживаются эндокринные заболевания, обращаются не к эндокринологу, а к врачам других специальностей. </w:t>
      </w:r>
    </w:p>
    <w:p w:rsidR="007E1789" w:rsidRPr="00CF7FDF" w:rsidRDefault="007E1789" w:rsidP="00CF7FDF">
      <w:pPr>
        <w:spacing w:after="0" w:line="240" w:lineRule="auto"/>
        <w:ind w:firstLine="567"/>
        <w:jc w:val="both"/>
        <w:rPr>
          <w:rFonts w:ascii="Arial" w:hAnsi="Arial" w:cs="Arial"/>
          <w:sz w:val="24"/>
          <w:szCs w:val="24"/>
        </w:rPr>
      </w:pPr>
      <w:r w:rsidRPr="00CF7FDF">
        <w:rPr>
          <w:rFonts w:ascii="Arial" w:hAnsi="Arial" w:cs="Arial"/>
          <w:sz w:val="24"/>
          <w:szCs w:val="24"/>
        </w:rPr>
        <w:t>Обследование пациента ведется согласно канонам внутренней медицины и , при необходимости, заканчивается лабораторными и инструментальными исследованиями.</w:t>
      </w:r>
    </w:p>
    <w:p w:rsidR="00CF7FDF" w:rsidRPr="00CF7FDF" w:rsidRDefault="00CF7FDF" w:rsidP="00CF7FDF">
      <w:pPr>
        <w:spacing w:after="0" w:line="240" w:lineRule="auto"/>
        <w:ind w:firstLine="567"/>
        <w:jc w:val="both"/>
        <w:rPr>
          <w:rFonts w:ascii="Arial" w:hAnsi="Arial" w:cs="Arial"/>
          <w:b/>
          <w:sz w:val="24"/>
          <w:szCs w:val="24"/>
        </w:rPr>
      </w:pPr>
      <w:r w:rsidRPr="00CF7FDF">
        <w:rPr>
          <w:rFonts w:ascii="Arial" w:hAnsi="Arial" w:cs="Arial"/>
          <w:b/>
          <w:sz w:val="24"/>
          <w:szCs w:val="24"/>
        </w:rPr>
        <w:t>Методы исследования эндокринной системы</w:t>
      </w:r>
    </w:p>
    <w:p w:rsidR="007E1789" w:rsidRPr="00CF7FDF" w:rsidRDefault="007E1789" w:rsidP="00CF7FDF">
      <w:pPr>
        <w:spacing w:after="0" w:line="240" w:lineRule="auto"/>
        <w:ind w:firstLine="567"/>
        <w:jc w:val="both"/>
        <w:rPr>
          <w:rFonts w:ascii="Arial" w:hAnsi="Arial" w:cs="Arial"/>
          <w:sz w:val="24"/>
          <w:szCs w:val="24"/>
        </w:rPr>
      </w:pPr>
      <w:r w:rsidRPr="00CF7FDF">
        <w:rPr>
          <w:rFonts w:ascii="Arial" w:hAnsi="Arial" w:cs="Arial"/>
          <w:sz w:val="24"/>
          <w:szCs w:val="24"/>
        </w:rPr>
        <w:t>К методам исследования эндокринопатий относятся:</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Расспрос</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Осмотр</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Пальпация</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Перкуссия</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Аускультация</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Лабораторный методы</w:t>
      </w:r>
    </w:p>
    <w:p w:rsidR="00F247D3" w:rsidRPr="00CF7FDF" w:rsidRDefault="00CA50FB" w:rsidP="00CF7FDF">
      <w:pPr>
        <w:numPr>
          <w:ilvl w:val="0"/>
          <w:numId w:val="1"/>
        </w:numPr>
        <w:spacing w:after="0" w:line="240" w:lineRule="auto"/>
        <w:jc w:val="both"/>
        <w:rPr>
          <w:rFonts w:ascii="Arial" w:hAnsi="Arial" w:cs="Arial"/>
          <w:sz w:val="24"/>
          <w:szCs w:val="24"/>
        </w:rPr>
      </w:pPr>
      <w:r w:rsidRPr="00CF7FDF">
        <w:rPr>
          <w:rFonts w:ascii="Arial" w:hAnsi="Arial" w:cs="Arial"/>
          <w:sz w:val="24"/>
          <w:szCs w:val="24"/>
        </w:rPr>
        <w:t>Инструментальные методы</w:t>
      </w:r>
    </w:p>
    <w:p w:rsidR="007E1789" w:rsidRPr="00CF7FDF" w:rsidRDefault="007E1789" w:rsidP="00CF7FDF">
      <w:pPr>
        <w:spacing w:after="0" w:line="240" w:lineRule="auto"/>
        <w:ind w:firstLine="567"/>
        <w:jc w:val="both"/>
        <w:rPr>
          <w:rFonts w:ascii="Arial" w:hAnsi="Arial" w:cs="Arial"/>
          <w:sz w:val="24"/>
          <w:szCs w:val="24"/>
        </w:rPr>
      </w:pPr>
      <w:r w:rsidRPr="00CF7FDF">
        <w:rPr>
          <w:rFonts w:ascii="Arial" w:hAnsi="Arial" w:cs="Arial"/>
          <w:sz w:val="24"/>
          <w:szCs w:val="24"/>
        </w:rPr>
        <w:lastRenderedPageBreak/>
        <w:t>Расспрос начинается со сбора жалоб больного. Жалобы больных, страдающих эндокринными заболеваниями могут быть разнообразны и не специфичны</w:t>
      </w:r>
    </w:p>
    <w:p w:rsidR="007E1789" w:rsidRPr="00CF7FDF" w:rsidRDefault="007E1789" w:rsidP="00CF7FDF">
      <w:pPr>
        <w:spacing w:after="0" w:line="240" w:lineRule="auto"/>
        <w:ind w:firstLine="567"/>
        <w:jc w:val="both"/>
        <w:rPr>
          <w:rFonts w:ascii="Arial" w:hAnsi="Arial" w:cs="Arial"/>
          <w:sz w:val="24"/>
          <w:szCs w:val="24"/>
        </w:rPr>
      </w:pPr>
      <w:r w:rsidRPr="00CF7FDF">
        <w:rPr>
          <w:rFonts w:ascii="Arial" w:hAnsi="Arial" w:cs="Arial"/>
          <w:sz w:val="24"/>
          <w:szCs w:val="24"/>
        </w:rPr>
        <w:t>Трудно, назвать органы и системы, нарушение функций которых не встречалось бы при эндокринных заболеваниях</w:t>
      </w:r>
      <w:r w:rsidR="00AC11EA" w:rsidRPr="00CF7FDF">
        <w:rPr>
          <w:rFonts w:ascii="Arial" w:hAnsi="Arial" w:cs="Arial"/>
          <w:sz w:val="24"/>
          <w:szCs w:val="24"/>
        </w:rPr>
        <w:t>. Со стороны сердечно-сосудистой системы, симптомы различных патологий отличаются друг от друга. Примерами симптомов тиреотоксикоза могут быть усиленные сердцебиения, повышение АД (артериальная гипертензия), лихорадка. Симптомы гипотиреоза: брадикардия понижение ад (артериальная гипотония) гиперальдостеронизм, синдром кушинга, феохромоцитома,</w:t>
      </w:r>
      <w:r w:rsidR="0018552B" w:rsidRPr="00CF7FDF">
        <w:rPr>
          <w:rFonts w:ascii="Arial" w:hAnsi="Arial" w:cs="Arial"/>
          <w:sz w:val="24"/>
          <w:szCs w:val="24"/>
        </w:rPr>
        <w:t xml:space="preserve"> диабетическая нефропатия, </w:t>
      </w:r>
      <w:r w:rsidR="00AC11EA" w:rsidRPr="00CF7FDF">
        <w:rPr>
          <w:rFonts w:ascii="Arial" w:hAnsi="Arial" w:cs="Arial"/>
          <w:sz w:val="24"/>
          <w:szCs w:val="24"/>
        </w:rPr>
        <w:t xml:space="preserve">понижение </w:t>
      </w:r>
      <w:r w:rsidR="0018552B" w:rsidRPr="00CF7FDF">
        <w:rPr>
          <w:rFonts w:ascii="Arial" w:hAnsi="Arial" w:cs="Arial"/>
          <w:sz w:val="24"/>
          <w:szCs w:val="24"/>
        </w:rPr>
        <w:t>АД</w:t>
      </w:r>
      <w:r w:rsidR="00AC11EA" w:rsidRPr="00CF7FDF">
        <w:rPr>
          <w:rFonts w:ascii="Arial" w:hAnsi="Arial" w:cs="Arial"/>
          <w:sz w:val="24"/>
          <w:szCs w:val="24"/>
        </w:rPr>
        <w:t xml:space="preserve"> (артериальная гипертензия)</w:t>
      </w:r>
      <w:r w:rsidR="0018552B" w:rsidRPr="00CF7FDF">
        <w:rPr>
          <w:rFonts w:ascii="Arial" w:hAnsi="Arial" w:cs="Arial"/>
          <w:sz w:val="24"/>
          <w:szCs w:val="24"/>
        </w:rPr>
        <w:t>.</w:t>
      </w:r>
    </w:p>
    <w:p w:rsidR="0018552B" w:rsidRPr="00CF7FDF" w:rsidRDefault="0018552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Изменение со стороны сердечно – сосудистой системы  обусловлены: </w:t>
      </w:r>
    </w:p>
    <w:p w:rsidR="0018552B" w:rsidRPr="00CF7FDF" w:rsidRDefault="0018552B" w:rsidP="00CF7FDF">
      <w:pPr>
        <w:spacing w:after="0" w:line="240" w:lineRule="auto"/>
        <w:ind w:firstLine="567"/>
        <w:jc w:val="both"/>
        <w:rPr>
          <w:rFonts w:ascii="Arial" w:hAnsi="Arial" w:cs="Arial"/>
          <w:sz w:val="24"/>
          <w:szCs w:val="24"/>
        </w:rPr>
      </w:pPr>
      <w:r w:rsidRPr="00CF7FDF">
        <w:rPr>
          <w:rFonts w:ascii="Arial" w:hAnsi="Arial" w:cs="Arial"/>
          <w:sz w:val="24"/>
          <w:szCs w:val="24"/>
        </w:rPr>
        <w:t>Повышением чувствительности к действию КА и токсическое действие Т3, Т4 при тиреотоксикозе, снижением чувствительности к КА при гипотиреозе, что влияет на сердечный выброс и тонус сосудов, проводящую систему сердца</w:t>
      </w:r>
    </w:p>
    <w:p w:rsidR="000D58D8" w:rsidRPr="00CF7FDF" w:rsidRDefault="0018552B" w:rsidP="00CF7FDF">
      <w:pPr>
        <w:spacing w:after="0" w:line="240" w:lineRule="auto"/>
        <w:ind w:firstLine="567"/>
        <w:jc w:val="both"/>
        <w:rPr>
          <w:rFonts w:ascii="Arial" w:hAnsi="Arial" w:cs="Arial"/>
          <w:sz w:val="24"/>
          <w:szCs w:val="24"/>
        </w:rPr>
      </w:pPr>
      <w:r w:rsidRPr="00CF7FDF">
        <w:rPr>
          <w:rFonts w:ascii="Arial" w:hAnsi="Arial" w:cs="Arial"/>
          <w:sz w:val="24"/>
          <w:szCs w:val="24"/>
        </w:rPr>
        <w:t>Избыток тиреоидных гормонов нарушает процессы окисления и фосфорелирования на уровне тканевого дыхания. Следствием этого является повышенная теплопродукция –лихорадка</w:t>
      </w:r>
      <w:r w:rsidR="000D58D8" w:rsidRPr="00CF7FDF">
        <w:rPr>
          <w:rFonts w:ascii="Arial" w:hAnsi="Arial" w:cs="Arial"/>
          <w:sz w:val="24"/>
          <w:szCs w:val="24"/>
        </w:rPr>
        <w:t>. При гиперальдостеронизме избыток альдостерона вызывает повышение реабсорбции натрия в почках, увеличение ОЦК, отек сосудистой стенки и её повышенную чувствительность к прессорному влиянию КА</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При Болезни Иценко –Кушинга (первичное повышение секреции АКТГ гипофизом) и Синдроме Иценко –Кушинга (опухоль коры надпочечников) повышению уровня кортизола, задержке натрия в организме, повышению тонуса сосудов</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Феохромоцитома надпочечника секретирует адреналин и норадреналин, что повышает МОК и ОПСС</w:t>
      </w:r>
    </w:p>
    <w:p w:rsidR="0018552B"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Причиной АГ при СД является диабетическая нефропатия (гломерулос</w:t>
      </w:r>
      <w:r w:rsidR="002C614B" w:rsidRPr="00CF7FDF">
        <w:rPr>
          <w:rFonts w:ascii="Arial" w:hAnsi="Arial" w:cs="Arial"/>
          <w:sz w:val="24"/>
          <w:szCs w:val="24"/>
        </w:rPr>
        <w:t>к</w:t>
      </w:r>
      <w:r w:rsidRPr="00CF7FDF">
        <w:rPr>
          <w:rFonts w:ascii="Arial" w:hAnsi="Arial" w:cs="Arial"/>
          <w:sz w:val="24"/>
          <w:szCs w:val="24"/>
        </w:rPr>
        <w:t>лероз)</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Система пищеварения:</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Повышенный аппетит при тиреотоксикозе (за счет гиперметаболизма), при СД (абсолютная или относительная недостаточность Ins нарушает утилизацию глюкозы с развитием дефицита энергии)</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Тошнота, рвота, диарея или гипердефекация при диабетическом кетоацидозе (раздражение кетоновыми телами СОЖКТ), при гипокортицизме появление желудочных симптомов связано с повышенной секрецией хлорида натрия в просвет кишечника, при тиреотоксикозе с усилением моторной функции кишечника </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Дисфагия при наличии большого зоба</w:t>
      </w:r>
    </w:p>
    <w:p w:rsidR="000D58D8" w:rsidRPr="00CF7FDF" w:rsidRDefault="000D58D8" w:rsidP="00CF7FDF">
      <w:pPr>
        <w:spacing w:after="0" w:line="240" w:lineRule="auto"/>
        <w:ind w:firstLine="567"/>
        <w:jc w:val="both"/>
        <w:rPr>
          <w:rFonts w:ascii="Arial" w:hAnsi="Arial" w:cs="Arial"/>
          <w:sz w:val="24"/>
          <w:szCs w:val="24"/>
        </w:rPr>
      </w:pPr>
      <w:r w:rsidRPr="00CF7FDF">
        <w:rPr>
          <w:rFonts w:ascii="Arial" w:hAnsi="Arial" w:cs="Arial"/>
          <w:sz w:val="24"/>
          <w:szCs w:val="24"/>
        </w:rPr>
        <w:t>Запоры при гипотиреозе, гиерпаратиреозе, гипральдостеронизме в следствие нарушения моторной функции кишечника</w:t>
      </w:r>
      <w:r w:rsidR="002C614B" w:rsidRPr="00CF7FDF">
        <w:rPr>
          <w:rFonts w:ascii="Arial" w:hAnsi="Arial" w:cs="Arial"/>
          <w:sz w:val="24"/>
          <w:szCs w:val="24"/>
        </w:rPr>
        <w:t>.</w:t>
      </w:r>
    </w:p>
    <w:p w:rsidR="002C614B" w:rsidRPr="00CF7FDF" w:rsidRDefault="002C614B" w:rsidP="00CF7FDF">
      <w:pPr>
        <w:spacing w:after="0" w:line="240" w:lineRule="auto"/>
        <w:jc w:val="both"/>
        <w:rPr>
          <w:rFonts w:ascii="Arial" w:hAnsi="Arial" w:cs="Arial"/>
          <w:sz w:val="24"/>
          <w:szCs w:val="24"/>
        </w:rPr>
      </w:pPr>
      <w:r w:rsidRPr="00CF7FDF">
        <w:rPr>
          <w:rFonts w:ascii="Arial" w:hAnsi="Arial" w:cs="Arial"/>
          <w:b/>
          <w:bCs/>
          <w:sz w:val="24"/>
          <w:szCs w:val="24"/>
        </w:rPr>
        <w:t>Мочевыделительная система:</w:t>
      </w:r>
    </w:p>
    <w:p w:rsidR="00F247D3" w:rsidRPr="00CF7FDF" w:rsidRDefault="00CA50FB" w:rsidP="00CF7FDF">
      <w:pPr>
        <w:numPr>
          <w:ilvl w:val="0"/>
          <w:numId w:val="2"/>
        </w:numPr>
        <w:spacing w:after="0" w:line="240" w:lineRule="auto"/>
        <w:jc w:val="both"/>
        <w:rPr>
          <w:rFonts w:ascii="Arial" w:hAnsi="Arial" w:cs="Arial"/>
          <w:sz w:val="24"/>
          <w:szCs w:val="24"/>
        </w:rPr>
      </w:pPr>
      <w:r w:rsidRPr="00CF7FDF">
        <w:rPr>
          <w:rFonts w:ascii="Arial" w:hAnsi="Arial" w:cs="Arial"/>
          <w:b/>
          <w:bCs/>
          <w:sz w:val="24"/>
          <w:szCs w:val="24"/>
        </w:rPr>
        <w:t>Полиурия</w:t>
      </w:r>
      <w:r w:rsidRPr="00CF7FDF">
        <w:rPr>
          <w:rFonts w:ascii="Arial" w:hAnsi="Arial" w:cs="Arial"/>
          <w:sz w:val="24"/>
          <w:szCs w:val="24"/>
        </w:rPr>
        <w:t xml:space="preserve"> при сахарном диабете (за счет осмотического диуреза при гипергликемии), при несахарном диабете (при дефиците вазопрессина наблюдается снижение реабсорбции воды в почечных канальцах)</w:t>
      </w:r>
    </w:p>
    <w:p w:rsidR="00F247D3" w:rsidRPr="00CF7FDF" w:rsidRDefault="00CA50FB" w:rsidP="00CF7FDF">
      <w:pPr>
        <w:numPr>
          <w:ilvl w:val="0"/>
          <w:numId w:val="2"/>
        </w:numPr>
        <w:spacing w:after="0" w:line="240" w:lineRule="auto"/>
        <w:jc w:val="both"/>
        <w:rPr>
          <w:rFonts w:ascii="Arial" w:hAnsi="Arial" w:cs="Arial"/>
          <w:sz w:val="24"/>
          <w:szCs w:val="24"/>
        </w:rPr>
      </w:pPr>
      <w:r w:rsidRPr="00CF7FDF">
        <w:rPr>
          <w:rFonts w:ascii="Arial" w:hAnsi="Arial" w:cs="Arial"/>
          <w:b/>
          <w:bCs/>
          <w:sz w:val="24"/>
          <w:szCs w:val="24"/>
        </w:rPr>
        <w:t>Недержание мочи или её задержка</w:t>
      </w:r>
      <w:r w:rsidRPr="00CF7FDF">
        <w:rPr>
          <w:rFonts w:ascii="Arial" w:hAnsi="Arial" w:cs="Arial"/>
          <w:sz w:val="24"/>
          <w:szCs w:val="24"/>
        </w:rPr>
        <w:t xml:space="preserve"> при гастроинтестинальной форме диабетической полинейропатии с нарушением тонуса МВП</w:t>
      </w:r>
    </w:p>
    <w:p w:rsidR="002C614B" w:rsidRPr="00CF7FDF" w:rsidRDefault="002C614B" w:rsidP="00CF7FDF">
      <w:pPr>
        <w:spacing w:after="0" w:line="240" w:lineRule="auto"/>
        <w:jc w:val="both"/>
        <w:rPr>
          <w:rFonts w:ascii="Arial" w:hAnsi="Arial" w:cs="Arial"/>
          <w:sz w:val="24"/>
          <w:szCs w:val="24"/>
        </w:rPr>
      </w:pPr>
      <w:r w:rsidRPr="00CF7FDF">
        <w:rPr>
          <w:rFonts w:ascii="Arial" w:hAnsi="Arial" w:cs="Arial"/>
          <w:b/>
          <w:bCs/>
          <w:sz w:val="24"/>
          <w:szCs w:val="24"/>
        </w:rPr>
        <w:t>Репродуктивная система:</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Снижение либидо</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Эректильная дисфункция</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Аменорея</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Метроррагии</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Гинекомастия</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Гигантомастия</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lastRenderedPageBreak/>
        <w:t>Лакторея, не связанная с лактацией</w:t>
      </w:r>
    </w:p>
    <w:p w:rsidR="00F247D3" w:rsidRPr="00CF7FDF" w:rsidRDefault="00CA50FB" w:rsidP="00CF7FDF">
      <w:pPr>
        <w:numPr>
          <w:ilvl w:val="0"/>
          <w:numId w:val="3"/>
        </w:numPr>
        <w:spacing w:after="0" w:line="240" w:lineRule="auto"/>
        <w:jc w:val="both"/>
        <w:rPr>
          <w:rFonts w:ascii="Arial" w:hAnsi="Arial" w:cs="Arial"/>
          <w:sz w:val="24"/>
          <w:szCs w:val="24"/>
        </w:rPr>
      </w:pPr>
      <w:r w:rsidRPr="00CF7FDF">
        <w:rPr>
          <w:rFonts w:ascii="Arial" w:hAnsi="Arial" w:cs="Arial"/>
          <w:sz w:val="24"/>
          <w:szCs w:val="24"/>
        </w:rPr>
        <w:t>Причины: нарушение выработки, регуляции половых гормонов, ЛГ, ФСГ, пролактина, развитие диабетичесской автономной полинейропатии</w:t>
      </w:r>
    </w:p>
    <w:p w:rsidR="002C614B" w:rsidRPr="00CF7FDF" w:rsidRDefault="002C614B" w:rsidP="00CF7FDF">
      <w:pPr>
        <w:spacing w:after="0" w:line="240" w:lineRule="auto"/>
        <w:jc w:val="both"/>
        <w:rPr>
          <w:rFonts w:ascii="Arial" w:hAnsi="Arial" w:cs="Arial"/>
          <w:sz w:val="24"/>
          <w:szCs w:val="24"/>
        </w:rPr>
      </w:pPr>
      <w:r w:rsidRPr="00CF7FDF">
        <w:rPr>
          <w:rFonts w:ascii="Arial" w:hAnsi="Arial" w:cs="Arial"/>
          <w:b/>
          <w:bCs/>
          <w:sz w:val="24"/>
          <w:szCs w:val="24"/>
        </w:rPr>
        <w:t>Центральная и периферическая нервная система:</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Головные боли</w:t>
      </w:r>
      <w:r w:rsidRPr="00CF7FDF">
        <w:rPr>
          <w:rFonts w:ascii="Arial" w:hAnsi="Arial" w:cs="Arial"/>
          <w:sz w:val="24"/>
          <w:szCs w:val="24"/>
        </w:rPr>
        <w:t xml:space="preserve"> вследствие повышения АД, давления растущей опухоли гипофиза на твердую мозговую оболочку</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Выпадение боковых полей зрения</w:t>
      </w:r>
      <w:r w:rsidRPr="00CF7FDF">
        <w:rPr>
          <w:rFonts w:ascii="Arial" w:hAnsi="Arial" w:cs="Arial"/>
          <w:sz w:val="24"/>
          <w:szCs w:val="24"/>
        </w:rPr>
        <w:t xml:space="preserve"> при аденоме гипофиза со сдавлением перекреста зрительных нервов</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Судорожный сидром</w:t>
      </w:r>
      <w:r w:rsidRPr="00CF7FDF">
        <w:rPr>
          <w:rFonts w:ascii="Arial" w:hAnsi="Arial" w:cs="Arial"/>
          <w:sz w:val="24"/>
          <w:szCs w:val="24"/>
        </w:rPr>
        <w:t xml:space="preserve"> при гипопаратиреозе, гипогликемии</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Депрессии и психозы с галлюцинациями, параноидное поведение, деменция</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Полинейропатия –</w:t>
      </w:r>
      <w:r w:rsidRPr="00CF7FDF">
        <w:rPr>
          <w:rFonts w:ascii="Arial" w:hAnsi="Arial" w:cs="Arial"/>
          <w:sz w:val="24"/>
          <w:szCs w:val="24"/>
        </w:rPr>
        <w:t>поражение периферической и автономной нервной системы при сахарном диабете</w:t>
      </w:r>
    </w:p>
    <w:p w:rsidR="00F247D3" w:rsidRPr="00CF7FDF" w:rsidRDefault="00CA50FB" w:rsidP="00CF7FDF">
      <w:pPr>
        <w:numPr>
          <w:ilvl w:val="0"/>
          <w:numId w:val="4"/>
        </w:numPr>
        <w:spacing w:after="0" w:line="240" w:lineRule="auto"/>
        <w:jc w:val="both"/>
        <w:rPr>
          <w:rFonts w:ascii="Arial" w:hAnsi="Arial" w:cs="Arial"/>
          <w:sz w:val="24"/>
          <w:szCs w:val="24"/>
        </w:rPr>
      </w:pPr>
      <w:r w:rsidRPr="00CF7FDF">
        <w:rPr>
          <w:rFonts w:ascii="Arial" w:hAnsi="Arial" w:cs="Arial"/>
          <w:b/>
          <w:bCs/>
          <w:sz w:val="24"/>
          <w:szCs w:val="24"/>
        </w:rPr>
        <w:t xml:space="preserve">Повышенная жажда </w:t>
      </w:r>
      <w:r w:rsidRPr="00CF7FDF">
        <w:rPr>
          <w:rFonts w:ascii="Arial" w:hAnsi="Arial" w:cs="Arial"/>
          <w:sz w:val="24"/>
          <w:szCs w:val="24"/>
        </w:rPr>
        <w:t>вследствие гиповолемии при несахарном диабете, нарушении осмолярности при сахарном диабете</w:t>
      </w:r>
    </w:p>
    <w:p w:rsidR="002C614B" w:rsidRPr="00CF7FDF" w:rsidRDefault="00445CBE" w:rsidP="00CF7FDF">
      <w:pPr>
        <w:spacing w:after="0" w:line="240" w:lineRule="auto"/>
        <w:jc w:val="both"/>
        <w:rPr>
          <w:rFonts w:ascii="Arial" w:hAnsi="Arial" w:cs="Arial"/>
          <w:b/>
          <w:sz w:val="24"/>
          <w:szCs w:val="24"/>
        </w:rPr>
      </w:pPr>
      <w:r w:rsidRPr="00CF7FDF">
        <w:rPr>
          <w:rFonts w:ascii="Arial" w:hAnsi="Arial" w:cs="Arial"/>
          <w:b/>
          <w:sz w:val="24"/>
          <w:szCs w:val="24"/>
        </w:rPr>
        <w:t>Анамнез</w:t>
      </w:r>
    </w:p>
    <w:p w:rsidR="00CE6431" w:rsidRPr="00CF7FDF" w:rsidRDefault="00CE6431" w:rsidP="00CF7FDF">
      <w:pPr>
        <w:spacing w:after="0" w:line="240" w:lineRule="auto"/>
        <w:ind w:firstLine="567"/>
        <w:jc w:val="both"/>
        <w:rPr>
          <w:rFonts w:ascii="Arial" w:hAnsi="Arial" w:cs="Arial"/>
          <w:sz w:val="24"/>
          <w:szCs w:val="24"/>
        </w:rPr>
      </w:pPr>
      <w:r w:rsidRPr="00CF7FDF">
        <w:rPr>
          <w:rFonts w:ascii="Arial" w:hAnsi="Arial" w:cs="Arial"/>
          <w:sz w:val="24"/>
          <w:szCs w:val="24"/>
        </w:rPr>
        <w:t>Нарушения в тех или иных железах внутренней секреции сопровождаются специфическими и неспецифическими симптомами.</w:t>
      </w:r>
    </w:p>
    <w:p w:rsidR="003D53A0" w:rsidRPr="00CF7FDF" w:rsidRDefault="003D53A0" w:rsidP="00CF7FDF">
      <w:pPr>
        <w:spacing w:after="0" w:line="240" w:lineRule="auto"/>
        <w:ind w:firstLine="567"/>
        <w:jc w:val="both"/>
        <w:rPr>
          <w:rFonts w:ascii="Arial" w:hAnsi="Arial" w:cs="Arial"/>
          <w:sz w:val="24"/>
          <w:szCs w:val="24"/>
        </w:rPr>
      </w:pPr>
      <w:r w:rsidRPr="00CF7FDF">
        <w:rPr>
          <w:rFonts w:ascii="Arial" w:hAnsi="Arial" w:cs="Arial"/>
          <w:sz w:val="24"/>
          <w:szCs w:val="24"/>
        </w:rPr>
        <w:t>Наследственная предрасположенность (сахарный и несахарный диабет, ДТЗ, гипотиреоз, ожирение). Туберкулез (недостаточность коры надпочечников) Аутоиммунные заболевания (сахарный диабет, недостаточность коры надпочечников, гипотиреоз, тиреотоксикоз на фоне аутоиммунногог тиреоидита)</w:t>
      </w:r>
    </w:p>
    <w:p w:rsidR="003D53A0" w:rsidRPr="00CF7FDF" w:rsidRDefault="003D53A0" w:rsidP="00CF7FDF">
      <w:pPr>
        <w:spacing w:after="0" w:line="240" w:lineRule="auto"/>
        <w:ind w:firstLine="567"/>
        <w:jc w:val="both"/>
        <w:rPr>
          <w:rFonts w:ascii="Arial" w:hAnsi="Arial" w:cs="Arial"/>
          <w:sz w:val="24"/>
          <w:szCs w:val="24"/>
        </w:rPr>
      </w:pPr>
    </w:p>
    <w:p w:rsidR="003D53A0" w:rsidRPr="00CF7FDF" w:rsidRDefault="003D53A0" w:rsidP="00CF7FDF">
      <w:pPr>
        <w:spacing w:after="0" w:line="240" w:lineRule="auto"/>
        <w:ind w:firstLine="567"/>
        <w:jc w:val="both"/>
        <w:rPr>
          <w:rFonts w:ascii="Arial" w:hAnsi="Arial" w:cs="Arial"/>
          <w:sz w:val="24"/>
          <w:szCs w:val="24"/>
        </w:rPr>
      </w:pPr>
      <w:r w:rsidRPr="00CF7FDF">
        <w:rPr>
          <w:rFonts w:ascii="Arial" w:hAnsi="Arial" w:cs="Arial"/>
          <w:sz w:val="24"/>
          <w:szCs w:val="24"/>
        </w:rPr>
        <w:t>Перенесенный инфекционный процесс –ангина, пневмония, ОРВИ (тиреоидиты).Пренесенные оперативные вмешательства (субтотальная резекция щитовидной железы, экстирпация матки с придатками, адреналэктомия). Облучение головы и шеи (ликвидаторы ЧАЭС, облучение по поводу онкопатологии, прием радиоактивного йода). Проживание на территории йоддефицита. Черепно –мозговые травмы, нейроинфекции (патология гипофиза). Все эти патологии могут сопровождать эндокринные заболевания, поэтому важно грамотно собрать все виды анамнеза.</w:t>
      </w:r>
    </w:p>
    <w:p w:rsidR="00F44B89" w:rsidRPr="00CF7FDF" w:rsidRDefault="00F44B89" w:rsidP="00CF7FDF">
      <w:pPr>
        <w:spacing w:after="0" w:line="240" w:lineRule="auto"/>
        <w:jc w:val="both"/>
        <w:rPr>
          <w:rFonts w:ascii="Arial" w:hAnsi="Arial" w:cs="Arial"/>
          <w:b/>
          <w:sz w:val="24"/>
          <w:szCs w:val="24"/>
        </w:rPr>
      </w:pPr>
      <w:r w:rsidRPr="00CF7FDF">
        <w:rPr>
          <w:rFonts w:ascii="Arial" w:hAnsi="Arial" w:cs="Arial"/>
          <w:b/>
          <w:sz w:val="24"/>
          <w:szCs w:val="24"/>
        </w:rPr>
        <w:t>Осмотр при патологии желез внутренней секреции</w:t>
      </w:r>
    </w:p>
    <w:p w:rsidR="00454DC3" w:rsidRPr="00CF7FDF" w:rsidRDefault="00454DC3" w:rsidP="00CF7FDF">
      <w:pPr>
        <w:spacing w:after="0" w:line="240" w:lineRule="auto"/>
        <w:ind w:firstLine="567"/>
        <w:jc w:val="both"/>
        <w:rPr>
          <w:rFonts w:ascii="Arial" w:hAnsi="Arial" w:cs="Arial"/>
          <w:sz w:val="24"/>
          <w:szCs w:val="24"/>
        </w:rPr>
      </w:pPr>
      <w:r w:rsidRPr="00CF7FDF">
        <w:rPr>
          <w:rFonts w:ascii="Arial" w:hAnsi="Arial" w:cs="Arial"/>
          <w:sz w:val="24"/>
          <w:szCs w:val="24"/>
        </w:rPr>
        <w:t>Нарушения в тех или иных железах внутренней секреции сопровождаются специфическими и неспецифическими симптомами.</w:t>
      </w:r>
    </w:p>
    <w:p w:rsidR="00F44B89" w:rsidRPr="00CF7FDF" w:rsidRDefault="00F44B89" w:rsidP="00CF7FDF">
      <w:pPr>
        <w:spacing w:after="0" w:line="240" w:lineRule="auto"/>
        <w:ind w:firstLine="567"/>
        <w:jc w:val="both"/>
        <w:rPr>
          <w:rFonts w:ascii="Arial" w:hAnsi="Arial" w:cs="Arial"/>
          <w:i/>
          <w:sz w:val="24"/>
          <w:szCs w:val="24"/>
        </w:rPr>
      </w:pPr>
      <w:r w:rsidRPr="00CF7FDF">
        <w:rPr>
          <w:rFonts w:ascii="Arial" w:hAnsi="Arial" w:cs="Arial"/>
          <w:i/>
          <w:sz w:val="24"/>
          <w:szCs w:val="24"/>
        </w:rPr>
        <w:t>Эндокринная офтальмопатия:</w:t>
      </w:r>
    </w:p>
    <w:p w:rsidR="00F44B89" w:rsidRPr="00CF7FDF" w:rsidRDefault="00F44B89" w:rsidP="00CF7FDF">
      <w:pPr>
        <w:spacing w:after="0" w:line="240" w:lineRule="auto"/>
        <w:ind w:firstLine="567"/>
        <w:jc w:val="both"/>
        <w:rPr>
          <w:rFonts w:ascii="Arial" w:hAnsi="Arial" w:cs="Arial"/>
          <w:sz w:val="24"/>
          <w:szCs w:val="24"/>
        </w:rPr>
      </w:pPr>
      <w:r w:rsidRPr="00CF7FDF">
        <w:rPr>
          <w:rFonts w:ascii="Arial" w:hAnsi="Arial" w:cs="Arial"/>
          <w:sz w:val="24"/>
          <w:szCs w:val="24"/>
        </w:rPr>
        <w:t>выпячивание глаз:</w:t>
      </w:r>
    </w:p>
    <w:p w:rsidR="00F44B89" w:rsidRPr="00CF7FDF" w:rsidRDefault="00F44B89" w:rsidP="00CF7FDF">
      <w:pPr>
        <w:spacing w:after="0" w:line="240" w:lineRule="auto"/>
        <w:ind w:firstLine="567"/>
        <w:jc w:val="both"/>
        <w:rPr>
          <w:rFonts w:ascii="Arial" w:hAnsi="Arial" w:cs="Arial"/>
          <w:sz w:val="24"/>
          <w:szCs w:val="24"/>
        </w:rPr>
      </w:pPr>
      <w:r w:rsidRPr="00CF7FDF">
        <w:rPr>
          <w:rFonts w:ascii="Arial" w:hAnsi="Arial" w:cs="Arial"/>
          <w:sz w:val="24"/>
          <w:szCs w:val="24"/>
        </w:rPr>
        <w:t>слезотечение,</w:t>
      </w:r>
    </w:p>
    <w:p w:rsidR="00F44B89" w:rsidRPr="00CF7FDF" w:rsidRDefault="00F44B89" w:rsidP="00CF7FDF">
      <w:pPr>
        <w:spacing w:after="0" w:line="240" w:lineRule="auto"/>
        <w:ind w:firstLine="567"/>
        <w:jc w:val="both"/>
        <w:rPr>
          <w:rFonts w:ascii="Arial" w:hAnsi="Arial" w:cs="Arial"/>
          <w:sz w:val="24"/>
          <w:szCs w:val="24"/>
        </w:rPr>
      </w:pPr>
      <w:r w:rsidRPr="00CF7FDF">
        <w:rPr>
          <w:rFonts w:ascii="Arial" w:hAnsi="Arial" w:cs="Arial"/>
          <w:sz w:val="24"/>
          <w:szCs w:val="24"/>
        </w:rPr>
        <w:t>светобоязнь,</w:t>
      </w:r>
    </w:p>
    <w:p w:rsidR="00F44B89" w:rsidRPr="00CF7FDF" w:rsidRDefault="008D6B27"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Симптом Грефе </w:t>
      </w:r>
      <w:r w:rsidR="00F44B89" w:rsidRPr="00CF7FDF">
        <w:rPr>
          <w:rFonts w:ascii="Arial" w:hAnsi="Arial" w:cs="Arial"/>
          <w:sz w:val="24"/>
          <w:szCs w:val="24"/>
        </w:rPr>
        <w:t>(при взгляде вниз между верхним веком и радужкой появляется участок склеры),</w:t>
      </w:r>
    </w:p>
    <w:p w:rsidR="00F44B89" w:rsidRPr="00CF7FDF" w:rsidRDefault="008D6B27"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Симптом Кохера </w:t>
      </w:r>
      <w:r w:rsidR="00F44B89" w:rsidRPr="00CF7FDF">
        <w:rPr>
          <w:rFonts w:ascii="Arial" w:hAnsi="Arial" w:cs="Arial"/>
          <w:sz w:val="24"/>
          <w:szCs w:val="24"/>
        </w:rPr>
        <w:t>(при взгляде вверх между нижним веком и радужкой появляется полоска склеры),</w:t>
      </w:r>
    </w:p>
    <w:p w:rsidR="00F44B89" w:rsidRPr="00CF7FDF" w:rsidRDefault="00F44B89" w:rsidP="00CF7FDF">
      <w:pPr>
        <w:spacing w:after="0" w:line="240" w:lineRule="auto"/>
        <w:ind w:firstLine="567"/>
        <w:jc w:val="both"/>
        <w:rPr>
          <w:rFonts w:ascii="Arial" w:hAnsi="Arial" w:cs="Arial"/>
          <w:sz w:val="24"/>
          <w:szCs w:val="24"/>
        </w:rPr>
      </w:pPr>
      <w:r w:rsidRPr="00CF7FDF">
        <w:rPr>
          <w:rFonts w:ascii="Arial" w:hAnsi="Arial" w:cs="Arial"/>
          <w:sz w:val="24"/>
          <w:szCs w:val="24"/>
        </w:rPr>
        <w:t>Симптом Мебиуса (нарушение конвергенции глазных яблок),</w:t>
      </w:r>
    </w:p>
    <w:p w:rsidR="00F44B89" w:rsidRPr="00CF7FDF" w:rsidRDefault="008D6B27"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Симптом Дельримпля </w:t>
      </w:r>
      <w:r w:rsidR="00F44B89" w:rsidRPr="00CF7FDF">
        <w:rPr>
          <w:rFonts w:ascii="Arial" w:hAnsi="Arial" w:cs="Arial"/>
          <w:sz w:val="24"/>
          <w:szCs w:val="24"/>
        </w:rPr>
        <w:t>(при взгляде прямо выявляется полоска склеры между верхним веком и радужкой)</w:t>
      </w:r>
    </w:p>
    <w:p w:rsidR="00454DC3" w:rsidRPr="00CF7FDF" w:rsidRDefault="00454DC3" w:rsidP="00CF7FDF">
      <w:pPr>
        <w:spacing w:after="0" w:line="240" w:lineRule="auto"/>
        <w:ind w:firstLine="567"/>
        <w:jc w:val="both"/>
        <w:rPr>
          <w:rFonts w:ascii="Arial" w:hAnsi="Arial" w:cs="Arial"/>
          <w:sz w:val="24"/>
          <w:szCs w:val="24"/>
        </w:rPr>
      </w:pPr>
      <w:r w:rsidRPr="00CF7FDF">
        <w:rPr>
          <w:rFonts w:ascii="Arial" w:hAnsi="Arial" w:cs="Arial"/>
          <w:sz w:val="24"/>
          <w:szCs w:val="24"/>
        </w:rPr>
        <w:t>Маскообразное, амимичное лицо с огрубевшими чертами лица</w:t>
      </w:r>
    </w:p>
    <w:p w:rsidR="00454DC3" w:rsidRPr="00CF7FDF" w:rsidRDefault="00454DC3" w:rsidP="00CF7FDF">
      <w:pPr>
        <w:spacing w:after="0" w:line="240" w:lineRule="auto"/>
        <w:ind w:firstLine="567"/>
        <w:jc w:val="both"/>
        <w:rPr>
          <w:rFonts w:ascii="Arial" w:hAnsi="Arial" w:cs="Arial"/>
          <w:sz w:val="24"/>
          <w:szCs w:val="24"/>
        </w:rPr>
      </w:pPr>
      <w:r w:rsidRPr="00CF7FDF">
        <w:rPr>
          <w:rFonts w:ascii="Arial" w:hAnsi="Arial" w:cs="Arial"/>
          <w:sz w:val="24"/>
          <w:szCs w:val="24"/>
        </w:rPr>
        <w:t>Симптом Хертога (выпадение волос наружной части бровей)</w:t>
      </w:r>
    </w:p>
    <w:p w:rsidR="00454DC3" w:rsidRPr="00CF7FDF" w:rsidRDefault="00454DC3" w:rsidP="00CF7FDF">
      <w:pPr>
        <w:spacing w:after="0" w:line="240" w:lineRule="auto"/>
        <w:ind w:firstLine="567"/>
        <w:jc w:val="both"/>
        <w:rPr>
          <w:rFonts w:ascii="Arial" w:hAnsi="Arial" w:cs="Arial"/>
          <w:sz w:val="24"/>
          <w:szCs w:val="24"/>
        </w:rPr>
      </w:pPr>
      <w:r w:rsidRPr="00CF7FDF">
        <w:rPr>
          <w:rFonts w:ascii="Arial" w:hAnsi="Arial" w:cs="Arial"/>
          <w:sz w:val="24"/>
          <w:szCs w:val="24"/>
        </w:rPr>
        <w:t>Увеличение языка (отпечатки зубов на боковой поверхности языка)</w:t>
      </w:r>
    </w:p>
    <w:p w:rsidR="00454DC3" w:rsidRPr="00CF7FDF" w:rsidRDefault="00454DC3" w:rsidP="00CF7FDF">
      <w:pPr>
        <w:spacing w:after="0" w:line="240" w:lineRule="auto"/>
        <w:ind w:firstLine="567"/>
        <w:jc w:val="both"/>
        <w:rPr>
          <w:rFonts w:ascii="Arial" w:hAnsi="Arial" w:cs="Arial"/>
          <w:sz w:val="24"/>
          <w:szCs w:val="24"/>
        </w:rPr>
      </w:pPr>
      <w:r w:rsidRPr="00CF7FDF">
        <w:rPr>
          <w:rFonts w:ascii="Arial" w:hAnsi="Arial" w:cs="Arial"/>
          <w:sz w:val="24"/>
          <w:szCs w:val="24"/>
        </w:rPr>
        <w:t>Выпадение и ломкость волос на голове</w:t>
      </w:r>
    </w:p>
    <w:p w:rsidR="00B4604C" w:rsidRPr="00CF7FDF" w:rsidRDefault="00B4604C" w:rsidP="00CF7FDF">
      <w:pPr>
        <w:spacing w:after="0" w:line="240" w:lineRule="auto"/>
        <w:ind w:firstLine="567"/>
        <w:jc w:val="both"/>
        <w:rPr>
          <w:rFonts w:ascii="Arial" w:hAnsi="Arial" w:cs="Arial"/>
          <w:sz w:val="24"/>
          <w:szCs w:val="24"/>
        </w:rPr>
      </w:pPr>
      <w:r w:rsidRPr="00CF7FDF">
        <w:rPr>
          <w:rFonts w:ascii="Arial" w:hAnsi="Arial" w:cs="Arial"/>
          <w:sz w:val="24"/>
          <w:szCs w:val="24"/>
        </w:rPr>
        <w:t>При акромегалии увеличение размера носа, губ, ушей и т.д.</w:t>
      </w:r>
    </w:p>
    <w:p w:rsidR="00B4604C" w:rsidRPr="00CF7FDF" w:rsidRDefault="00B4604C" w:rsidP="00CF7FDF">
      <w:pPr>
        <w:spacing w:after="0" w:line="240" w:lineRule="auto"/>
        <w:ind w:firstLine="567"/>
        <w:jc w:val="both"/>
        <w:rPr>
          <w:rFonts w:ascii="Arial" w:hAnsi="Arial" w:cs="Arial"/>
          <w:sz w:val="24"/>
          <w:szCs w:val="24"/>
        </w:rPr>
      </w:pPr>
      <w:r w:rsidRPr="00CF7FDF">
        <w:rPr>
          <w:rFonts w:ascii="Arial" w:hAnsi="Arial" w:cs="Arial"/>
          <w:sz w:val="24"/>
          <w:szCs w:val="24"/>
        </w:rPr>
        <w:lastRenderedPageBreak/>
        <w:t>Развитие акромегалии: Одна и та же больная слева в возрасте до 32 лет, справа в возрасте 35 лет (увеличение и утолщение носа, глаза кажутся глубоко посаженными из –за выступающих надбровных дуг).</w:t>
      </w:r>
    </w:p>
    <w:p w:rsidR="00B4604C" w:rsidRPr="00CF7FDF" w:rsidRDefault="00B4604C" w:rsidP="00CF7FDF">
      <w:pPr>
        <w:spacing w:after="0" w:line="240" w:lineRule="auto"/>
        <w:ind w:firstLine="567"/>
        <w:jc w:val="both"/>
        <w:rPr>
          <w:rFonts w:ascii="Arial" w:hAnsi="Arial" w:cs="Arial"/>
          <w:sz w:val="24"/>
          <w:szCs w:val="24"/>
        </w:rPr>
      </w:pPr>
      <w:r w:rsidRPr="00CF7FDF">
        <w:rPr>
          <w:rFonts w:ascii="Arial" w:hAnsi="Arial" w:cs="Arial"/>
          <w:sz w:val="24"/>
          <w:szCs w:val="24"/>
        </w:rPr>
        <w:t>При акромегалии увеличение нижней челюсти – прогнатия,</w:t>
      </w:r>
    </w:p>
    <w:p w:rsidR="007829D2" w:rsidRPr="00CF7FDF" w:rsidRDefault="00B4604C"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нижний и верхний ряд зубов не покрывают друг друга, что ведет к затруднению жевания.</w:t>
      </w:r>
      <w:r w:rsidR="007829D2" w:rsidRPr="00CF7FDF">
        <w:rPr>
          <w:rFonts w:ascii="Arial" w:hAnsi="Arial" w:cs="Arial"/>
          <w:sz w:val="24"/>
          <w:szCs w:val="24"/>
        </w:rPr>
        <w:t xml:space="preserve"> </w:t>
      </w:r>
    </w:p>
    <w:p w:rsidR="00B4604C" w:rsidRPr="00CF7FDF" w:rsidRDefault="007829D2" w:rsidP="00CF7FDF">
      <w:pPr>
        <w:spacing w:after="0" w:line="240" w:lineRule="auto"/>
        <w:ind w:firstLine="567"/>
        <w:jc w:val="both"/>
        <w:rPr>
          <w:rFonts w:ascii="Arial" w:hAnsi="Arial" w:cs="Arial"/>
          <w:sz w:val="24"/>
          <w:szCs w:val="24"/>
        </w:rPr>
      </w:pPr>
      <w:r w:rsidRPr="00CF7FDF">
        <w:rPr>
          <w:rFonts w:ascii="Arial" w:hAnsi="Arial" w:cs="Arial"/>
          <w:sz w:val="24"/>
          <w:szCs w:val="24"/>
        </w:rPr>
        <w:t>Стрии –сине –багровые полосы растяжения при гиперкортицизме на боковой поверхности живота, бедер, подмышечной области.Появляются вследствие истончения кожи и быстрого отложения жира, а также снижения синтеза коллагена, что приводит к просвечиванию капилляров.</w:t>
      </w:r>
    </w:p>
    <w:p w:rsidR="007829D2" w:rsidRPr="00CF7FDF" w:rsidRDefault="007829D2" w:rsidP="00CF7FDF">
      <w:pPr>
        <w:spacing w:after="0" w:line="240" w:lineRule="auto"/>
        <w:ind w:firstLine="567"/>
        <w:jc w:val="both"/>
        <w:rPr>
          <w:rFonts w:ascii="Arial" w:hAnsi="Arial" w:cs="Arial"/>
          <w:sz w:val="24"/>
          <w:szCs w:val="24"/>
        </w:rPr>
      </w:pPr>
      <w:r w:rsidRPr="00CF7FDF">
        <w:rPr>
          <w:rFonts w:ascii="Arial" w:hAnsi="Arial" w:cs="Arial"/>
          <w:sz w:val="24"/>
          <w:szCs w:val="24"/>
        </w:rPr>
        <w:t>Гиперпигментация кожи и слизистых оболочек с повышенным отложением мелатонина при хронической надпочечниковой недостаточности. Коричневая пигментация борозд на ладони у больного Аддисоновой болезнью</w:t>
      </w:r>
    </w:p>
    <w:p w:rsidR="00B4604C" w:rsidRPr="00CF7FDF" w:rsidRDefault="00B4604C" w:rsidP="00CF7FDF">
      <w:pPr>
        <w:spacing w:after="0" w:line="240" w:lineRule="auto"/>
        <w:ind w:firstLine="567"/>
        <w:jc w:val="both"/>
        <w:rPr>
          <w:rFonts w:ascii="Arial" w:hAnsi="Arial" w:cs="Arial"/>
          <w:sz w:val="24"/>
          <w:szCs w:val="24"/>
        </w:rPr>
      </w:pPr>
      <w:r w:rsidRPr="00CF7FDF">
        <w:rPr>
          <w:rFonts w:ascii="Arial" w:hAnsi="Arial" w:cs="Arial"/>
          <w:sz w:val="24"/>
          <w:szCs w:val="24"/>
        </w:rPr>
        <w:t>Ожирение лица (лунообразное) при синдроме или болезни Иценко –Кушинга</w:t>
      </w:r>
    </w:p>
    <w:p w:rsidR="00F65135" w:rsidRPr="00CF7FDF" w:rsidRDefault="00F65135" w:rsidP="00CF7FDF">
      <w:pPr>
        <w:spacing w:after="0" w:line="240" w:lineRule="auto"/>
        <w:ind w:firstLine="567"/>
        <w:jc w:val="both"/>
        <w:rPr>
          <w:rFonts w:ascii="Arial" w:hAnsi="Arial" w:cs="Arial"/>
          <w:i/>
          <w:sz w:val="24"/>
          <w:szCs w:val="24"/>
        </w:rPr>
      </w:pPr>
      <w:r w:rsidRPr="00CF7FDF">
        <w:rPr>
          <w:rFonts w:ascii="Arial" w:hAnsi="Arial" w:cs="Arial"/>
          <w:i/>
          <w:sz w:val="24"/>
          <w:szCs w:val="24"/>
        </w:rPr>
        <w:t>Нарушение роста</w:t>
      </w:r>
    </w:p>
    <w:p w:rsidR="00F65135" w:rsidRPr="00CF7FDF" w:rsidRDefault="00F65135"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Быстрый рост -гиперфункция аденогипофиза, отставание в росте - при гипотиреозе, гипопитуитаризме, </w:t>
      </w:r>
    </w:p>
    <w:p w:rsidR="00F65135" w:rsidRPr="00CF7FDF" w:rsidRDefault="00F65135"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w:t>
      </w:r>
      <w:r w:rsidRPr="00CF7FDF">
        <w:rPr>
          <w:rFonts w:ascii="Arial" w:hAnsi="Arial" w:cs="Arial"/>
          <w:i/>
          <w:sz w:val="24"/>
          <w:szCs w:val="24"/>
        </w:rPr>
        <w:t>пропорций</w:t>
      </w:r>
      <w:r w:rsidRPr="00CF7FDF">
        <w:rPr>
          <w:rFonts w:ascii="Arial" w:hAnsi="Arial" w:cs="Arial"/>
          <w:sz w:val="24"/>
          <w:szCs w:val="24"/>
        </w:rPr>
        <w:t xml:space="preserve"> – высокий рост и длинные конечности при гипогонадизме; детские пропорции тела и низкий рост при гипофизарном нанизме; феминизация и маскулинизация;</w:t>
      </w:r>
    </w:p>
    <w:p w:rsidR="00400765" w:rsidRPr="00CF7FDF" w:rsidRDefault="00F65135" w:rsidP="00CF7FDF">
      <w:pPr>
        <w:spacing w:after="0" w:line="240" w:lineRule="auto"/>
        <w:ind w:firstLine="567"/>
        <w:jc w:val="both"/>
        <w:rPr>
          <w:rFonts w:ascii="Arial" w:hAnsi="Arial" w:cs="Arial"/>
          <w:sz w:val="24"/>
          <w:szCs w:val="24"/>
        </w:rPr>
      </w:pPr>
      <w:r w:rsidRPr="00CF7FDF">
        <w:rPr>
          <w:rFonts w:ascii="Arial" w:hAnsi="Arial" w:cs="Arial"/>
          <w:i/>
          <w:sz w:val="24"/>
          <w:szCs w:val="24"/>
        </w:rPr>
        <w:t>изменения черепа</w:t>
      </w:r>
      <w:r w:rsidRPr="00CF7FDF">
        <w:rPr>
          <w:rFonts w:ascii="Arial" w:hAnsi="Arial" w:cs="Arial"/>
          <w:sz w:val="24"/>
          <w:szCs w:val="24"/>
        </w:rPr>
        <w:t>, кистей и стоп  при аденоме гипофиза (акромегалия) из-за усиления периостального роста под воздействием  соматотропина;</w:t>
      </w:r>
    </w:p>
    <w:p w:rsidR="00F65135" w:rsidRPr="00CF7FDF" w:rsidRDefault="00F65135" w:rsidP="00CF7FDF">
      <w:pPr>
        <w:spacing w:after="0" w:line="240" w:lineRule="auto"/>
        <w:ind w:firstLine="567"/>
        <w:jc w:val="both"/>
        <w:rPr>
          <w:rFonts w:ascii="Arial" w:hAnsi="Arial" w:cs="Arial"/>
          <w:i/>
          <w:sz w:val="24"/>
          <w:szCs w:val="24"/>
        </w:rPr>
      </w:pPr>
      <w:r w:rsidRPr="00CF7FDF">
        <w:rPr>
          <w:rFonts w:ascii="Arial" w:hAnsi="Arial" w:cs="Arial"/>
          <w:i/>
          <w:sz w:val="24"/>
          <w:szCs w:val="24"/>
        </w:rPr>
        <w:t>массы тела</w:t>
      </w:r>
    </w:p>
    <w:p w:rsidR="006A1CF8" w:rsidRPr="00CF7FDF" w:rsidRDefault="006A1CF8" w:rsidP="00CF7FDF">
      <w:pPr>
        <w:spacing w:after="0" w:line="240" w:lineRule="auto"/>
        <w:ind w:firstLine="567"/>
        <w:jc w:val="both"/>
        <w:rPr>
          <w:rFonts w:ascii="Arial" w:hAnsi="Arial" w:cs="Arial"/>
          <w:sz w:val="24"/>
          <w:szCs w:val="24"/>
        </w:rPr>
      </w:pPr>
      <w:r w:rsidRPr="00CF7FDF">
        <w:rPr>
          <w:rFonts w:ascii="Arial" w:hAnsi="Arial" w:cs="Arial"/>
          <w:sz w:val="24"/>
          <w:szCs w:val="24"/>
        </w:rPr>
        <w:t>Диагностика ожирения</w:t>
      </w:r>
      <w:r w:rsidR="004B7EBF" w:rsidRPr="00CF7FDF">
        <w:rPr>
          <w:rFonts w:ascii="Arial" w:hAnsi="Arial" w:cs="Arial"/>
          <w:sz w:val="24"/>
          <w:szCs w:val="24"/>
        </w:rPr>
        <w:t xml:space="preserve"> состоит в опре</w:t>
      </w:r>
      <w:r w:rsidR="00B87B6E" w:rsidRPr="00CF7FDF">
        <w:rPr>
          <w:rFonts w:ascii="Arial" w:hAnsi="Arial" w:cs="Arial"/>
          <w:sz w:val="24"/>
          <w:szCs w:val="24"/>
        </w:rPr>
        <w:t xml:space="preserve">делении ИМТ- индекса массы тела и окружности талии, </w:t>
      </w:r>
      <w:r w:rsidR="004B7EBF" w:rsidRPr="00CF7FDF">
        <w:rPr>
          <w:rFonts w:ascii="Arial" w:hAnsi="Arial" w:cs="Arial"/>
          <w:sz w:val="24"/>
          <w:szCs w:val="24"/>
        </w:rPr>
        <w:t xml:space="preserve"> которая рас</w:t>
      </w:r>
      <w:r w:rsidR="00B87B6E" w:rsidRPr="00CF7FDF">
        <w:rPr>
          <w:rFonts w:ascii="Arial" w:hAnsi="Arial" w:cs="Arial"/>
          <w:sz w:val="24"/>
          <w:szCs w:val="24"/>
        </w:rPr>
        <w:t>считываю</w:t>
      </w:r>
      <w:r w:rsidR="004B7EBF" w:rsidRPr="00CF7FDF">
        <w:rPr>
          <w:rFonts w:ascii="Arial" w:hAnsi="Arial" w:cs="Arial"/>
          <w:sz w:val="24"/>
          <w:szCs w:val="24"/>
        </w:rPr>
        <w:t xml:space="preserve">тся </w:t>
      </w:r>
      <w:r w:rsidR="00B87B6E" w:rsidRPr="00CF7FDF">
        <w:rPr>
          <w:rFonts w:ascii="Arial" w:hAnsi="Arial" w:cs="Arial"/>
          <w:sz w:val="24"/>
          <w:szCs w:val="24"/>
        </w:rPr>
        <w:t>по следующим формулам</w:t>
      </w:r>
      <w:r w:rsidR="004B7EBF" w:rsidRPr="00CF7FDF">
        <w:rPr>
          <w:rFonts w:ascii="Arial" w:hAnsi="Arial" w:cs="Arial"/>
          <w:sz w:val="24"/>
          <w:szCs w:val="24"/>
        </w:rPr>
        <w:t xml:space="preserve">: </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ИМТ = вес (кг) / рост (м2)</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Недостаточная масса тела ИМТ&lt; 18,5</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Норма                                    ИМТ 18,5 –24,9</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Избыточная масса тела     ИМТ 25,0 –29,9</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Ожирение       I  </w:t>
      </w:r>
      <w:r w:rsidR="00B87B6E" w:rsidRPr="00CF7FDF">
        <w:rPr>
          <w:rFonts w:ascii="Arial" w:hAnsi="Arial" w:cs="Arial"/>
          <w:sz w:val="24"/>
          <w:szCs w:val="24"/>
        </w:rPr>
        <w:t xml:space="preserve">ст           </w:t>
      </w:r>
      <w:r w:rsidRPr="00CF7FDF">
        <w:rPr>
          <w:rFonts w:ascii="Arial" w:hAnsi="Arial" w:cs="Arial"/>
          <w:sz w:val="24"/>
          <w:szCs w:val="24"/>
        </w:rPr>
        <w:t xml:space="preserve">       ИМТ 30,0 –34,9</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II                       ИМТ 35,0 –39,9</w:t>
      </w:r>
    </w:p>
    <w:p w:rsidR="004B7EBF" w:rsidRPr="00CF7FDF" w:rsidRDefault="004B7EBF"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III                       ИМТ &gt; 40                                           </w:t>
      </w:r>
    </w:p>
    <w:p w:rsidR="00F65135" w:rsidRPr="00CF7FDF" w:rsidRDefault="00F65135" w:rsidP="00CF7FDF">
      <w:pPr>
        <w:spacing w:after="0" w:line="240" w:lineRule="auto"/>
        <w:ind w:firstLine="567"/>
        <w:jc w:val="both"/>
        <w:rPr>
          <w:rFonts w:ascii="Arial" w:hAnsi="Arial" w:cs="Arial"/>
          <w:sz w:val="24"/>
          <w:szCs w:val="24"/>
        </w:rPr>
      </w:pPr>
      <w:r w:rsidRPr="00CF7FDF">
        <w:rPr>
          <w:rFonts w:ascii="Arial" w:hAnsi="Arial" w:cs="Arial"/>
          <w:sz w:val="24"/>
          <w:szCs w:val="24"/>
        </w:rPr>
        <w:t>увеличение МТ при гипотиреозе, СД, гиперкортицизме;</w:t>
      </w:r>
      <w:r w:rsidR="009F6548" w:rsidRPr="00CF7FDF">
        <w:rPr>
          <w:rFonts w:ascii="Arial" w:hAnsi="Arial" w:cs="Arial"/>
          <w:sz w:val="24"/>
          <w:szCs w:val="24"/>
        </w:rPr>
        <w:t xml:space="preserve"> </w:t>
      </w:r>
      <w:r w:rsidR="0073480B" w:rsidRPr="00CF7FDF">
        <w:rPr>
          <w:rFonts w:ascii="Arial" w:hAnsi="Arial" w:cs="Arial"/>
          <w:sz w:val="24"/>
          <w:szCs w:val="24"/>
        </w:rPr>
        <w:t xml:space="preserve"> </w:t>
      </w:r>
    </w:p>
    <w:p w:rsidR="0073480B" w:rsidRPr="00CF7FDF" w:rsidRDefault="0073480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Окружность талии   (измеряют  в конце выдоха, располагая измерительную ленту на середине расстояния между гребнями подвздошных костей и краем реберных дуг )</w:t>
      </w:r>
    </w:p>
    <w:p w:rsidR="0073480B" w:rsidRPr="00CF7FDF" w:rsidRDefault="0073480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Избыток висцерального жира при                   </w:t>
      </w:r>
      <w:r w:rsidRPr="00CF7FDF">
        <w:rPr>
          <w:rFonts w:ascii="Arial" w:hAnsi="Arial" w:cs="Arial"/>
          <w:sz w:val="24"/>
          <w:szCs w:val="24"/>
        </w:rPr>
        <w:br/>
      </w:r>
      <w:r w:rsidR="00E046A5" w:rsidRPr="00CF7FDF">
        <w:rPr>
          <w:rFonts w:ascii="Arial" w:hAnsi="Arial" w:cs="Arial"/>
          <w:sz w:val="24"/>
          <w:szCs w:val="24"/>
        </w:rPr>
        <w:t xml:space="preserve">   </w:t>
      </w:r>
      <w:r w:rsidRPr="00CF7FDF">
        <w:rPr>
          <w:rFonts w:ascii="Arial" w:hAnsi="Arial" w:cs="Arial"/>
          <w:sz w:val="24"/>
          <w:szCs w:val="24"/>
        </w:rPr>
        <w:t>ОТ мужчины &gt; 94 см  (ранее 102 см)</w:t>
      </w:r>
    </w:p>
    <w:p w:rsidR="0073480B" w:rsidRPr="00CF7FDF" w:rsidRDefault="0073480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ОТ женщины &gt; 80 см (ранее 88 см)</w:t>
      </w:r>
    </w:p>
    <w:p w:rsidR="0073480B" w:rsidRPr="00CF7FDF" w:rsidRDefault="0073480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Соотношение ОТ/ОБ (измерить ОТ в самом узком месте, ОБ в самом широком месте, разделить ОТ на ОБ)</w:t>
      </w:r>
    </w:p>
    <w:p w:rsidR="0073480B" w:rsidRPr="00CF7FDF" w:rsidRDefault="0073480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ОТ/ОБ &gt;1 – М,      ОТ/ОБ &gt; 0,85 – Ж</w:t>
      </w:r>
    </w:p>
    <w:p w:rsidR="009F6548" w:rsidRPr="00CF7FDF" w:rsidRDefault="009F6548" w:rsidP="00CF7FDF">
      <w:pPr>
        <w:spacing w:after="0" w:line="240" w:lineRule="auto"/>
        <w:ind w:firstLine="567"/>
        <w:jc w:val="both"/>
        <w:rPr>
          <w:rFonts w:ascii="Arial" w:hAnsi="Arial" w:cs="Arial"/>
          <w:sz w:val="24"/>
          <w:szCs w:val="24"/>
        </w:rPr>
      </w:pPr>
      <w:r w:rsidRPr="00CF7FDF">
        <w:rPr>
          <w:rFonts w:ascii="Arial" w:hAnsi="Arial" w:cs="Arial"/>
          <w:sz w:val="24"/>
          <w:szCs w:val="24"/>
        </w:rPr>
        <w:t>Церебральное</w:t>
      </w:r>
      <w:r w:rsidR="0073480B" w:rsidRPr="00CF7FDF">
        <w:rPr>
          <w:rFonts w:ascii="Arial" w:hAnsi="Arial" w:cs="Arial"/>
          <w:sz w:val="24"/>
          <w:szCs w:val="24"/>
        </w:rPr>
        <w:t xml:space="preserve"> ожирение </w:t>
      </w:r>
      <w:r w:rsidRPr="00CF7FDF">
        <w:rPr>
          <w:rFonts w:ascii="Arial" w:hAnsi="Arial" w:cs="Arial"/>
          <w:sz w:val="24"/>
          <w:szCs w:val="24"/>
        </w:rPr>
        <w:t xml:space="preserve"> -касается всего тела (ожирение лица, груди, толстый слой брюшины свисает в виде предника, чуть ли не достигая коленей, на ногах жировая подушка образует складки)</w:t>
      </w:r>
    </w:p>
    <w:p w:rsidR="009F6548" w:rsidRPr="00CF7FDF" w:rsidRDefault="009F6548" w:rsidP="00CF7FDF">
      <w:pPr>
        <w:spacing w:after="0" w:line="240" w:lineRule="auto"/>
        <w:ind w:firstLine="567"/>
        <w:jc w:val="both"/>
        <w:rPr>
          <w:rFonts w:ascii="Arial" w:hAnsi="Arial" w:cs="Arial"/>
          <w:sz w:val="24"/>
          <w:szCs w:val="24"/>
        </w:rPr>
      </w:pPr>
      <w:r w:rsidRPr="00CF7FDF">
        <w:rPr>
          <w:rFonts w:ascii="Arial" w:hAnsi="Arial" w:cs="Arial"/>
          <w:sz w:val="24"/>
          <w:szCs w:val="24"/>
        </w:rPr>
        <w:t>Фрелиха –разновидность гипотялямического ожирения с отложением жира в форме пояса сочетается с дистрофией гонад</w:t>
      </w:r>
    </w:p>
    <w:p w:rsidR="006A1CF8" w:rsidRPr="00CF7FDF" w:rsidRDefault="009F6548" w:rsidP="00CF7FDF">
      <w:pPr>
        <w:spacing w:after="0" w:line="240" w:lineRule="auto"/>
        <w:ind w:firstLine="567"/>
        <w:jc w:val="both"/>
        <w:rPr>
          <w:rFonts w:ascii="Arial" w:hAnsi="Arial" w:cs="Arial"/>
          <w:sz w:val="24"/>
          <w:szCs w:val="24"/>
        </w:rPr>
      </w:pPr>
      <w:r w:rsidRPr="00CF7FDF">
        <w:rPr>
          <w:rFonts w:ascii="Arial" w:hAnsi="Arial" w:cs="Arial"/>
          <w:sz w:val="24"/>
          <w:szCs w:val="24"/>
        </w:rPr>
        <w:t>Кушингоидное ожирение –лунообразное лицо, жировой горб над 7м шейным позвонком, ожирение верхней и средней частей живота</w:t>
      </w:r>
      <w:r w:rsidR="006A1CF8" w:rsidRPr="00CF7FDF">
        <w:rPr>
          <w:rFonts w:ascii="Arial" w:hAnsi="Arial" w:cs="Arial"/>
          <w:sz w:val="24"/>
          <w:szCs w:val="24"/>
        </w:rPr>
        <w:t>. Гипотиреоидное - равномерное распространение ожирения по всему телу, кожа более плотной консистенции чем при др.формах ожирения</w:t>
      </w:r>
    </w:p>
    <w:p w:rsidR="006A1CF8" w:rsidRPr="00CF7FDF" w:rsidRDefault="006A1CF8" w:rsidP="00CF7FDF">
      <w:pPr>
        <w:spacing w:after="0" w:line="240" w:lineRule="auto"/>
        <w:ind w:firstLine="567"/>
        <w:jc w:val="both"/>
        <w:rPr>
          <w:rFonts w:ascii="Arial" w:hAnsi="Arial" w:cs="Arial"/>
          <w:sz w:val="24"/>
          <w:szCs w:val="24"/>
        </w:rPr>
      </w:pPr>
      <w:r w:rsidRPr="00CF7FDF">
        <w:rPr>
          <w:rFonts w:ascii="Arial" w:hAnsi="Arial" w:cs="Arial"/>
          <w:sz w:val="24"/>
          <w:szCs w:val="24"/>
        </w:rPr>
        <w:lastRenderedPageBreak/>
        <w:t>Гипоовариальное - отложение жира в области веретел, таза, ягодичной области</w:t>
      </w:r>
    </w:p>
    <w:p w:rsidR="009F6548" w:rsidRPr="00CF7FDF" w:rsidRDefault="006A1CF8" w:rsidP="00CF7FDF">
      <w:pPr>
        <w:spacing w:after="0" w:line="240" w:lineRule="auto"/>
        <w:ind w:firstLine="567"/>
        <w:jc w:val="both"/>
        <w:rPr>
          <w:rFonts w:ascii="Arial" w:hAnsi="Arial" w:cs="Arial"/>
          <w:sz w:val="24"/>
          <w:szCs w:val="24"/>
        </w:rPr>
      </w:pPr>
      <w:r w:rsidRPr="00CF7FDF">
        <w:rPr>
          <w:rFonts w:ascii="Arial" w:hAnsi="Arial" w:cs="Arial"/>
          <w:sz w:val="24"/>
          <w:szCs w:val="24"/>
        </w:rPr>
        <w:t>Липодистрофический тип (Болезнь Симонса) – резко похудевшее лицо в контрасте с сильно ожиревшей ягодичной областью.</w:t>
      </w:r>
    </w:p>
    <w:p w:rsidR="00E046A5" w:rsidRPr="00CF7FDF" w:rsidRDefault="00E046A5" w:rsidP="00CF7FDF">
      <w:pPr>
        <w:spacing w:after="0" w:line="240" w:lineRule="auto"/>
        <w:ind w:firstLine="567"/>
        <w:jc w:val="both"/>
        <w:rPr>
          <w:rFonts w:ascii="Arial" w:hAnsi="Arial" w:cs="Arial"/>
          <w:sz w:val="24"/>
          <w:szCs w:val="24"/>
        </w:rPr>
      </w:pPr>
      <w:r w:rsidRPr="00CF7FDF">
        <w:rPr>
          <w:rFonts w:ascii="Arial" w:hAnsi="Arial" w:cs="Arial"/>
          <w:sz w:val="24"/>
          <w:szCs w:val="24"/>
        </w:rPr>
        <w:t>снижение МТ при тиреотоксикозе, СД, гипокортицизме;</w:t>
      </w:r>
    </w:p>
    <w:p w:rsidR="00FC431B" w:rsidRPr="00CF7FDF" w:rsidRDefault="00FC431B" w:rsidP="00CF7FDF">
      <w:pPr>
        <w:spacing w:after="0" w:line="240" w:lineRule="auto"/>
        <w:ind w:firstLine="567"/>
        <w:jc w:val="both"/>
        <w:rPr>
          <w:rFonts w:ascii="Arial" w:hAnsi="Arial" w:cs="Arial"/>
          <w:sz w:val="24"/>
          <w:szCs w:val="24"/>
        </w:rPr>
      </w:pPr>
      <w:r w:rsidRPr="00CF7FDF">
        <w:rPr>
          <w:rFonts w:ascii="Arial" w:hAnsi="Arial" w:cs="Arial"/>
          <w:sz w:val="24"/>
          <w:szCs w:val="24"/>
        </w:rPr>
        <w:t>нарушение питания с понижением веса ниже нормы прежде всего за счет жировых отложений в подкожной клетчатке и брюшной полости, атрофией мышечной ткани, уменьшением размеров внутренних органов, развитием нарушений белкового, углеводного, водно – солевого обмена. Снижение веса при эндокринных заболеваниях возможно из – за гиперметаболизма при гиперфункции щитовидной железы у больных ДТЗ</w:t>
      </w:r>
    </w:p>
    <w:p w:rsidR="00FC431B" w:rsidRPr="00CF7FDF" w:rsidRDefault="00FC431B"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При пониженной выработке всех гормонов передней доли гипофиза (болезнь Симмондса или гипофизарная кахексия) причиной являются послеродовые кровотечения, травмы головы с переломом костей черепа, нейроинфекции, ревматизм, синуситы, туберкулез. </w:t>
      </w:r>
    </w:p>
    <w:p w:rsidR="00FC431B" w:rsidRPr="00CF7FDF" w:rsidRDefault="00FC431B" w:rsidP="00CF7FDF">
      <w:pPr>
        <w:spacing w:after="0" w:line="240" w:lineRule="auto"/>
        <w:ind w:firstLine="567"/>
        <w:jc w:val="both"/>
        <w:rPr>
          <w:rFonts w:ascii="Arial" w:hAnsi="Arial" w:cs="Arial"/>
          <w:sz w:val="24"/>
          <w:szCs w:val="24"/>
        </w:rPr>
      </w:pPr>
      <w:r w:rsidRPr="00CF7FDF">
        <w:rPr>
          <w:rFonts w:ascii="Arial" w:hAnsi="Arial" w:cs="Arial"/>
          <w:sz w:val="24"/>
          <w:szCs w:val="24"/>
        </w:rPr>
        <w:t>Болезнь Симмондса (1914г.) Резкое истощение, остаются одна кожа да кости, отмечается старческий вид больных. Особенно лица, отсутствие волос на лице у мужчин,  часто выпадают волосы на лобке и подмышечной впадине, кожа сухая, матовая, потерявшая тургор, морщинистая</w:t>
      </w:r>
    </w:p>
    <w:p w:rsidR="00E046A5" w:rsidRPr="00CF7FDF" w:rsidRDefault="00E046A5" w:rsidP="00CF7FDF">
      <w:pPr>
        <w:spacing w:after="0" w:line="240" w:lineRule="auto"/>
        <w:ind w:firstLine="567"/>
        <w:jc w:val="both"/>
        <w:rPr>
          <w:rFonts w:ascii="Arial" w:hAnsi="Arial" w:cs="Arial"/>
          <w:sz w:val="24"/>
          <w:szCs w:val="24"/>
        </w:rPr>
      </w:pPr>
    </w:p>
    <w:p w:rsidR="00F65135" w:rsidRPr="00CF7FDF" w:rsidRDefault="00F65135" w:rsidP="00CF7FDF">
      <w:pPr>
        <w:spacing w:after="0" w:line="240" w:lineRule="auto"/>
        <w:ind w:firstLine="567"/>
        <w:jc w:val="both"/>
        <w:rPr>
          <w:rFonts w:ascii="Arial" w:hAnsi="Arial" w:cs="Arial"/>
          <w:sz w:val="24"/>
          <w:szCs w:val="24"/>
        </w:rPr>
      </w:pPr>
      <w:r w:rsidRPr="00CF7FDF">
        <w:rPr>
          <w:rFonts w:ascii="Arial" w:hAnsi="Arial" w:cs="Arial"/>
          <w:i/>
          <w:sz w:val="24"/>
          <w:szCs w:val="24"/>
        </w:rPr>
        <w:t>распределения подкожно-жировой клетчатки:</w:t>
      </w:r>
      <w:r w:rsidRPr="00CF7FDF">
        <w:rPr>
          <w:rFonts w:ascii="Arial" w:hAnsi="Arial" w:cs="Arial"/>
          <w:sz w:val="24"/>
          <w:szCs w:val="24"/>
        </w:rPr>
        <w:t xml:space="preserve"> равномерное – при алиментарно-конституциональном ожирении; диспластический тип при церебральном или гипоталамическом ожирении (чрезмерное ожирение туловища при менее выраженной полноте конечностей)</w:t>
      </w:r>
    </w:p>
    <w:p w:rsidR="001B38D8" w:rsidRPr="00CF7FDF" w:rsidRDefault="001B38D8"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w:t>
      </w:r>
    </w:p>
    <w:p w:rsidR="00470DA3" w:rsidRPr="00CF7FDF" w:rsidRDefault="00470DA3" w:rsidP="00CF7FDF">
      <w:pPr>
        <w:spacing w:after="0" w:line="240" w:lineRule="auto"/>
        <w:ind w:firstLine="567"/>
        <w:jc w:val="both"/>
        <w:rPr>
          <w:rFonts w:ascii="Arial" w:hAnsi="Arial" w:cs="Arial"/>
          <w:i/>
          <w:sz w:val="24"/>
          <w:szCs w:val="24"/>
        </w:rPr>
      </w:pPr>
      <w:r w:rsidRPr="00CF7FDF">
        <w:rPr>
          <w:rFonts w:ascii="Arial" w:hAnsi="Arial" w:cs="Arial"/>
          <w:i/>
          <w:sz w:val="24"/>
          <w:szCs w:val="24"/>
        </w:rPr>
        <w:t>Кожа</w:t>
      </w:r>
    </w:p>
    <w:p w:rsidR="00470DA3" w:rsidRPr="00CF7FDF" w:rsidRDefault="00470DA3" w:rsidP="00CF7FDF">
      <w:pPr>
        <w:spacing w:after="0" w:line="240" w:lineRule="auto"/>
        <w:ind w:firstLine="567"/>
        <w:jc w:val="both"/>
        <w:rPr>
          <w:rFonts w:ascii="Arial" w:hAnsi="Arial" w:cs="Arial"/>
          <w:sz w:val="24"/>
          <w:szCs w:val="24"/>
        </w:rPr>
      </w:pPr>
      <w:r w:rsidRPr="00CF7FDF">
        <w:rPr>
          <w:rFonts w:ascii="Arial" w:hAnsi="Arial" w:cs="Arial"/>
          <w:sz w:val="24"/>
          <w:szCs w:val="24"/>
        </w:rPr>
        <w:t>цвет, влажность, тургор:</w:t>
      </w:r>
    </w:p>
    <w:p w:rsidR="00470DA3" w:rsidRPr="00CF7FDF" w:rsidRDefault="00470DA3"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бронзовая на открытых участках и в местах трения одежды, складках с пигментацией слизистых (гипокортицизм), </w:t>
      </w:r>
    </w:p>
    <w:p w:rsidR="00470DA3" w:rsidRPr="00CF7FDF" w:rsidRDefault="00470DA3" w:rsidP="00CF7FDF">
      <w:pPr>
        <w:spacing w:after="0" w:line="240" w:lineRule="auto"/>
        <w:ind w:firstLine="567"/>
        <w:jc w:val="both"/>
        <w:rPr>
          <w:rFonts w:ascii="Arial" w:hAnsi="Arial" w:cs="Arial"/>
          <w:sz w:val="24"/>
          <w:szCs w:val="24"/>
        </w:rPr>
      </w:pPr>
      <w:r w:rsidRPr="00CF7FDF">
        <w:rPr>
          <w:rFonts w:ascii="Arial" w:hAnsi="Arial" w:cs="Arial"/>
          <w:sz w:val="24"/>
          <w:szCs w:val="24"/>
        </w:rPr>
        <w:t>мраморность, выраженный сосудистый рисунок, багрово-красный цвет, лунообразное лицо, стрии (гиперкортицизм);</w:t>
      </w:r>
    </w:p>
    <w:p w:rsidR="00470DA3" w:rsidRPr="00CF7FDF" w:rsidRDefault="00470DA3" w:rsidP="00CF7FDF">
      <w:pPr>
        <w:spacing w:after="0" w:line="240" w:lineRule="auto"/>
        <w:ind w:firstLine="567"/>
        <w:jc w:val="both"/>
        <w:rPr>
          <w:rFonts w:ascii="Arial" w:hAnsi="Arial" w:cs="Arial"/>
          <w:sz w:val="24"/>
          <w:szCs w:val="24"/>
        </w:rPr>
      </w:pPr>
      <w:r w:rsidRPr="00CF7FDF">
        <w:rPr>
          <w:rFonts w:ascii="Arial" w:hAnsi="Arial" w:cs="Arial"/>
          <w:sz w:val="24"/>
          <w:szCs w:val="24"/>
        </w:rPr>
        <w:t>сухость, шелушение, снижение тургора кожи, расширение сосудов (рубеоз),пиодермия, фурункулез, микоз, кожный зуд, трофические язвы, каротинемия, липодистрофия, ксантоматоз, липоидный некробиоз при СД;</w:t>
      </w:r>
    </w:p>
    <w:p w:rsidR="005768A4" w:rsidRPr="00CF7FDF" w:rsidRDefault="005768A4" w:rsidP="00CF7FDF">
      <w:pPr>
        <w:spacing w:after="0" w:line="240" w:lineRule="auto"/>
        <w:ind w:firstLine="567"/>
        <w:jc w:val="both"/>
        <w:rPr>
          <w:rFonts w:ascii="Arial" w:hAnsi="Arial" w:cs="Arial"/>
          <w:i/>
          <w:sz w:val="24"/>
          <w:szCs w:val="24"/>
        </w:rPr>
      </w:pPr>
      <w:r w:rsidRPr="00CF7FDF">
        <w:rPr>
          <w:rFonts w:ascii="Arial" w:hAnsi="Arial" w:cs="Arial"/>
          <w:i/>
          <w:sz w:val="24"/>
          <w:szCs w:val="24"/>
        </w:rPr>
        <w:t>Дериваты кожи:</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Сухие ломкие волосы, их выпадение на голове, в области наружных частей бровей при гипотиреозе;</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Рост волос по мужскому типу, жестких волос на теле при выпадении на голове при гиперкортицизме;</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Редкая растительность на лице у мужчин при гипогонадизме;</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Гирсутизм;</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Утолщение ногтей, подногтевой гиперкератоз при СД.</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i/>
          <w:sz w:val="24"/>
          <w:szCs w:val="24"/>
        </w:rPr>
        <w:t>Вирилизм.</w:t>
      </w:r>
      <w:r w:rsidRPr="00CF7FDF">
        <w:rPr>
          <w:rFonts w:ascii="Arial" w:hAnsi="Arial" w:cs="Arial"/>
          <w:sz w:val="24"/>
          <w:szCs w:val="24"/>
        </w:rPr>
        <w:t xml:space="preserve"> </w:t>
      </w:r>
    </w:p>
    <w:p w:rsidR="005768A4" w:rsidRPr="00CF7FDF" w:rsidRDefault="005768A4" w:rsidP="00CF7FDF">
      <w:pPr>
        <w:spacing w:after="0" w:line="240" w:lineRule="auto"/>
        <w:ind w:firstLine="567"/>
        <w:jc w:val="both"/>
        <w:rPr>
          <w:rFonts w:ascii="Arial" w:hAnsi="Arial" w:cs="Arial"/>
          <w:sz w:val="24"/>
          <w:szCs w:val="24"/>
        </w:rPr>
      </w:pPr>
      <w:r w:rsidRPr="00CF7FDF">
        <w:rPr>
          <w:rFonts w:ascii="Arial" w:hAnsi="Arial" w:cs="Arial"/>
          <w:sz w:val="24"/>
          <w:szCs w:val="24"/>
        </w:rPr>
        <w:t>Обнаружение вторичных половых признаков на лице молодой женщины по мужскому типу. Изменения связаны с эндокринными расстройствами (точнее, гипофизарными).</w:t>
      </w:r>
    </w:p>
    <w:p w:rsidR="00F65135" w:rsidRPr="00CF7FDF" w:rsidRDefault="005768A4" w:rsidP="00CF7FDF">
      <w:pPr>
        <w:spacing w:after="0" w:line="240" w:lineRule="auto"/>
        <w:ind w:firstLine="567"/>
        <w:jc w:val="both"/>
        <w:rPr>
          <w:rFonts w:ascii="Arial" w:hAnsi="Arial" w:cs="Arial"/>
          <w:sz w:val="24"/>
          <w:szCs w:val="24"/>
        </w:rPr>
      </w:pPr>
      <w:r w:rsidRPr="00CF7FDF">
        <w:rPr>
          <w:rFonts w:ascii="Arial" w:hAnsi="Arial" w:cs="Arial"/>
          <w:i/>
          <w:sz w:val="24"/>
          <w:szCs w:val="24"/>
        </w:rPr>
        <w:t>Ксантомы</w:t>
      </w:r>
      <w:r w:rsidRPr="00CF7FDF">
        <w:rPr>
          <w:rFonts w:ascii="Arial" w:hAnsi="Arial" w:cs="Arial"/>
          <w:sz w:val="24"/>
          <w:szCs w:val="24"/>
        </w:rPr>
        <w:t xml:space="preserve"> - скопления в коже гистиоцитов и фагоцитов, содержащих липиды в виде узелков и бугорков. Ксантомы локализуются в области ягодиц, задних поверхностей локтевых, коленных суставов, на ладонях и подошвах, ксантелазмы на коже век.</w:t>
      </w:r>
    </w:p>
    <w:p w:rsidR="000B3AE5" w:rsidRPr="00CF7FDF" w:rsidRDefault="000B3AE5" w:rsidP="00CF7FDF">
      <w:pPr>
        <w:spacing w:after="0" w:line="240" w:lineRule="auto"/>
        <w:ind w:firstLine="567"/>
        <w:jc w:val="both"/>
        <w:rPr>
          <w:rFonts w:ascii="Arial" w:hAnsi="Arial" w:cs="Arial"/>
          <w:sz w:val="24"/>
          <w:szCs w:val="24"/>
        </w:rPr>
      </w:pPr>
      <w:r w:rsidRPr="00CF7FDF">
        <w:rPr>
          <w:rFonts w:ascii="Arial" w:hAnsi="Arial" w:cs="Arial"/>
          <w:sz w:val="24"/>
          <w:szCs w:val="24"/>
        </w:rPr>
        <w:t>Плотные, «слизистые» отеки преимущественно конечностей при микседеме;</w:t>
      </w:r>
    </w:p>
    <w:p w:rsidR="000B3AE5" w:rsidRPr="00CF7FDF" w:rsidRDefault="000B3AE5" w:rsidP="00CF7FDF">
      <w:pPr>
        <w:spacing w:after="0" w:line="240" w:lineRule="auto"/>
        <w:ind w:firstLine="567"/>
        <w:jc w:val="both"/>
        <w:rPr>
          <w:rFonts w:ascii="Arial" w:hAnsi="Arial" w:cs="Arial"/>
          <w:sz w:val="24"/>
          <w:szCs w:val="24"/>
        </w:rPr>
      </w:pPr>
      <w:r w:rsidRPr="00CF7FDF">
        <w:rPr>
          <w:rFonts w:ascii="Arial" w:hAnsi="Arial" w:cs="Arial"/>
          <w:sz w:val="24"/>
          <w:szCs w:val="24"/>
        </w:rPr>
        <w:t>Увеличение лимфатических узлов шеи (тиреоидит)</w:t>
      </w:r>
    </w:p>
    <w:p w:rsidR="000B3AE5" w:rsidRPr="00CF7FDF" w:rsidRDefault="000B3AE5" w:rsidP="00CF7FDF">
      <w:pPr>
        <w:spacing w:after="0" w:line="240" w:lineRule="auto"/>
        <w:ind w:firstLine="567"/>
        <w:jc w:val="both"/>
        <w:rPr>
          <w:rFonts w:ascii="Arial" w:hAnsi="Arial" w:cs="Arial"/>
          <w:sz w:val="24"/>
          <w:szCs w:val="24"/>
        </w:rPr>
      </w:pPr>
      <w:r w:rsidRPr="00CF7FDF">
        <w:rPr>
          <w:rFonts w:ascii="Arial" w:hAnsi="Arial" w:cs="Arial"/>
          <w:sz w:val="24"/>
          <w:szCs w:val="24"/>
        </w:rPr>
        <w:lastRenderedPageBreak/>
        <w:t>Атрофия мышц, снижение тонуса и силы мышц при СД, гиперкортицизме, гипотиреозе;</w:t>
      </w:r>
    </w:p>
    <w:p w:rsidR="00B71B8D" w:rsidRPr="00CF7FDF" w:rsidRDefault="00B71B8D" w:rsidP="00CF7FDF">
      <w:pPr>
        <w:spacing w:after="0" w:line="240" w:lineRule="auto"/>
        <w:ind w:firstLine="567"/>
        <w:jc w:val="both"/>
        <w:rPr>
          <w:rFonts w:ascii="Arial" w:hAnsi="Arial" w:cs="Arial"/>
          <w:sz w:val="24"/>
          <w:szCs w:val="24"/>
        </w:rPr>
      </w:pPr>
      <w:r w:rsidRPr="00CF7FDF">
        <w:rPr>
          <w:rFonts w:ascii="Arial" w:hAnsi="Arial" w:cs="Arial"/>
          <w:i/>
          <w:sz w:val="24"/>
          <w:szCs w:val="24"/>
        </w:rPr>
        <w:t>Форма шеи</w:t>
      </w:r>
      <w:r w:rsidRPr="00CF7FDF">
        <w:rPr>
          <w:rFonts w:ascii="Arial" w:hAnsi="Arial" w:cs="Arial"/>
          <w:sz w:val="24"/>
          <w:szCs w:val="24"/>
        </w:rPr>
        <w:t xml:space="preserve"> меняется при увеличении щитовидной железы</w:t>
      </w:r>
    </w:p>
    <w:p w:rsidR="00B71B8D" w:rsidRPr="00CF7FDF" w:rsidRDefault="00B71B8D"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Диффузное равномерное увеличение щитовидной железы;</w:t>
      </w:r>
    </w:p>
    <w:p w:rsidR="00B71B8D" w:rsidRPr="00CF7FDF" w:rsidRDefault="00B71B8D" w:rsidP="00CF7FDF">
      <w:pPr>
        <w:spacing w:after="0" w:line="240" w:lineRule="auto"/>
        <w:ind w:firstLine="567"/>
        <w:jc w:val="both"/>
        <w:rPr>
          <w:rFonts w:ascii="Arial" w:hAnsi="Arial" w:cs="Arial"/>
          <w:sz w:val="24"/>
          <w:szCs w:val="24"/>
        </w:rPr>
      </w:pPr>
      <w:r w:rsidRPr="00CF7FDF">
        <w:rPr>
          <w:rFonts w:ascii="Arial" w:hAnsi="Arial" w:cs="Arial"/>
          <w:sz w:val="24"/>
          <w:szCs w:val="24"/>
        </w:rPr>
        <w:t xml:space="preserve"> С-м Мари – мелкий симметричный тремор пальцев вытянутых рук; </w:t>
      </w:r>
    </w:p>
    <w:p w:rsidR="00F65135" w:rsidRPr="00CF7FDF" w:rsidRDefault="00B71B8D" w:rsidP="00CF7FDF">
      <w:pPr>
        <w:spacing w:after="0" w:line="240" w:lineRule="auto"/>
        <w:ind w:firstLine="567"/>
        <w:jc w:val="both"/>
        <w:rPr>
          <w:rFonts w:ascii="Arial" w:hAnsi="Arial" w:cs="Arial"/>
          <w:sz w:val="24"/>
          <w:szCs w:val="24"/>
        </w:rPr>
      </w:pPr>
      <w:r w:rsidRPr="00CF7FDF">
        <w:rPr>
          <w:rFonts w:ascii="Arial" w:hAnsi="Arial" w:cs="Arial"/>
          <w:sz w:val="24"/>
          <w:szCs w:val="24"/>
        </w:rPr>
        <w:t>С-м «телеграфного столба» - выраженная дрожь больного ощущаемая при дотрагивании до  грудной клетки.</w:t>
      </w:r>
    </w:p>
    <w:p w:rsidR="00CF7FDF" w:rsidRDefault="00CF7FDF" w:rsidP="00CF7FDF">
      <w:pPr>
        <w:spacing w:after="0" w:line="240" w:lineRule="auto"/>
        <w:jc w:val="both"/>
        <w:rPr>
          <w:rFonts w:ascii="Arial" w:hAnsi="Arial" w:cs="Arial"/>
          <w:b/>
          <w:sz w:val="24"/>
          <w:szCs w:val="24"/>
        </w:rPr>
      </w:pPr>
    </w:p>
    <w:p w:rsidR="00487D56" w:rsidRPr="00CF7FDF" w:rsidRDefault="001C57C8" w:rsidP="00CF7FDF">
      <w:pPr>
        <w:spacing w:after="0" w:line="240" w:lineRule="auto"/>
        <w:jc w:val="both"/>
        <w:rPr>
          <w:rFonts w:ascii="Arial" w:hAnsi="Arial" w:cs="Arial"/>
          <w:b/>
          <w:sz w:val="24"/>
          <w:szCs w:val="24"/>
        </w:rPr>
      </w:pPr>
      <w:r w:rsidRPr="00CF7FDF">
        <w:rPr>
          <w:rFonts w:ascii="Arial" w:hAnsi="Arial" w:cs="Arial"/>
          <w:b/>
          <w:sz w:val="24"/>
          <w:szCs w:val="24"/>
        </w:rPr>
        <w:t>Инструментальные методы исследования</w:t>
      </w:r>
    </w:p>
    <w:p w:rsidR="001F2989" w:rsidRPr="00CF7FDF" w:rsidRDefault="0091612B" w:rsidP="00CF7FDF">
      <w:pPr>
        <w:spacing w:after="0" w:line="240" w:lineRule="auto"/>
        <w:ind w:firstLine="567"/>
        <w:jc w:val="both"/>
        <w:rPr>
          <w:rFonts w:ascii="Arial" w:hAnsi="Arial" w:cs="Arial"/>
          <w:sz w:val="24"/>
          <w:szCs w:val="24"/>
          <w:lang w:bidi="ru-RU"/>
        </w:rPr>
      </w:pPr>
      <w:r w:rsidRPr="00CF7FDF">
        <w:rPr>
          <w:rFonts w:ascii="Arial" w:hAnsi="Arial" w:cs="Arial"/>
          <w:b/>
          <w:sz w:val="24"/>
          <w:szCs w:val="24"/>
        </w:rPr>
        <w:t>Радиоиммунный анализ (РИА</w:t>
      </w:r>
      <w:r w:rsidRPr="00CF7FDF">
        <w:rPr>
          <w:rFonts w:ascii="Arial" w:hAnsi="Arial" w:cs="Arial"/>
          <w:sz w:val="24"/>
          <w:szCs w:val="24"/>
        </w:rPr>
        <w:t>) определения гормонов, значение которого для эндокринологии сравнивается со значением открытия телескопа для астрономии, был впервые разработан Соломоном Берсоном и лауреатом Нобелевской премии Розалин Ялоу. В основе РИА, как и других ра- диолигандных методов, лежит конкурентное связывание меченных радиоактивной меткой и немеченых веществ со специфическими лигандами. Если в систему, содержащую неизвестные количества исследуемого веще-ства, например гормона (Г), добавляются антитела (Ат), образуется комплекс гормон—антитело (Г—Ат). Если, помимо этого, в систему</w:t>
      </w:r>
      <w:r w:rsidR="001F2989" w:rsidRPr="00CF7FDF">
        <w:rPr>
          <w:rFonts w:ascii="Arial" w:hAnsi="Arial" w:cs="Arial"/>
          <w:sz w:val="24"/>
          <w:szCs w:val="24"/>
        </w:rPr>
        <w:t xml:space="preserve"> </w:t>
      </w:r>
      <w:r w:rsidR="001F2989" w:rsidRPr="00CF7FDF">
        <w:rPr>
          <w:rFonts w:ascii="Arial" w:hAnsi="Arial" w:cs="Arial"/>
          <w:sz w:val="24"/>
          <w:szCs w:val="24"/>
          <w:lang w:bidi="ru-RU"/>
        </w:rPr>
        <w:t xml:space="preserve">добавить меченый (например, </w:t>
      </w:r>
      <w:r w:rsidR="001F2989" w:rsidRPr="00CF7FDF">
        <w:rPr>
          <w:rFonts w:ascii="Arial" w:hAnsi="Arial" w:cs="Arial"/>
          <w:sz w:val="24"/>
          <w:szCs w:val="24"/>
          <w:vertAlign w:val="superscript"/>
          <w:lang w:bidi="ru-RU"/>
        </w:rPr>
        <w:t>125</w:t>
      </w:r>
      <w:r w:rsidR="001F2989" w:rsidRPr="00CF7FDF">
        <w:rPr>
          <w:rFonts w:ascii="Arial" w:hAnsi="Arial" w:cs="Arial"/>
          <w:sz w:val="24"/>
          <w:szCs w:val="24"/>
          <w:lang w:bidi="ru-RU"/>
        </w:rPr>
        <w:t>1) гормон (Г"), то исследуемый гормон (Г) и ме</w:t>
      </w:r>
      <w:r w:rsidR="001F2989" w:rsidRPr="00CF7FDF">
        <w:rPr>
          <w:rFonts w:ascii="Arial" w:hAnsi="Arial" w:cs="Arial"/>
          <w:sz w:val="24"/>
          <w:szCs w:val="24"/>
          <w:lang w:bidi="ru-RU"/>
        </w:rPr>
        <w:softHyphen/>
        <w:t xml:space="preserve">ченный </w:t>
      </w:r>
      <w:r w:rsidR="001F2989" w:rsidRPr="00CF7FDF">
        <w:rPr>
          <w:rFonts w:ascii="Arial" w:hAnsi="Arial" w:cs="Arial"/>
          <w:sz w:val="24"/>
          <w:szCs w:val="24"/>
          <w:vertAlign w:val="superscript"/>
          <w:lang w:bidi="ru-RU"/>
        </w:rPr>
        <w:t>12</w:t>
      </w:r>
      <w:r w:rsidR="001F2989" w:rsidRPr="00CF7FDF">
        <w:rPr>
          <w:rFonts w:ascii="Arial" w:hAnsi="Arial" w:cs="Arial"/>
          <w:sz w:val="24"/>
          <w:szCs w:val="24"/>
          <w:lang w:bidi="ru-RU"/>
        </w:rPr>
        <w:t>Л гормон (Г") начинают конкурировать за антитело (Ат) (рис. 4.1). Если в систему вносится фиксированное количество Г", то количест</w:t>
      </w:r>
      <w:r w:rsidR="001F2989" w:rsidRPr="00CF7FDF">
        <w:rPr>
          <w:rFonts w:ascii="Arial" w:hAnsi="Arial" w:cs="Arial"/>
          <w:sz w:val="24"/>
          <w:szCs w:val="24"/>
          <w:lang w:bidi="ru-RU"/>
        </w:rPr>
        <w:softHyphen/>
        <w:t>во комплексов Г"—Ат будет определяться количеством исследуемого гор</w:t>
      </w:r>
      <w:r w:rsidR="001F2989" w:rsidRPr="00CF7FDF">
        <w:rPr>
          <w:rFonts w:ascii="Arial" w:hAnsi="Arial" w:cs="Arial"/>
          <w:sz w:val="24"/>
          <w:szCs w:val="24"/>
          <w:lang w:bidi="ru-RU"/>
        </w:rPr>
        <w:softHyphen/>
        <w:t>мона. Затем комплексы Г"—Ат отделяются с помощью различных методов (например, преципитация), по радиоактивности преципитата определяет</w:t>
      </w:r>
      <w:r w:rsidR="001F2989" w:rsidRPr="00CF7FDF">
        <w:rPr>
          <w:rFonts w:ascii="Arial" w:hAnsi="Arial" w:cs="Arial"/>
          <w:sz w:val="24"/>
          <w:szCs w:val="24"/>
          <w:lang w:bidi="ru-RU"/>
        </w:rPr>
        <w:softHyphen/>
        <w:t>ся число связавшегося Г", после чего по стандартной кривой определяется количество исследуемого гормона (рис. 4.2). Для построения стандартных кривых используются растворы, содержащие известные количества неме</w:t>
      </w:r>
      <w:r w:rsidR="001F2989" w:rsidRPr="00CF7FDF">
        <w:rPr>
          <w:rFonts w:ascii="Arial" w:hAnsi="Arial" w:cs="Arial"/>
          <w:sz w:val="24"/>
          <w:szCs w:val="24"/>
          <w:lang w:bidi="ru-RU"/>
        </w:rPr>
        <w:softHyphen/>
        <w:t>ченого гормона. Преимуществами РИА являются высокая чувствитель</w:t>
      </w:r>
      <w:r w:rsidR="001F2989" w:rsidRPr="00CF7FDF">
        <w:rPr>
          <w:rFonts w:ascii="Arial" w:hAnsi="Arial" w:cs="Arial"/>
          <w:sz w:val="24"/>
          <w:szCs w:val="24"/>
          <w:lang w:bidi="ru-RU"/>
        </w:rPr>
        <w:softHyphen/>
        <w:t>ность, позволяющая определить ничтожно малые количества вещества (10</w:t>
      </w:r>
      <w:r w:rsidR="001F2989" w:rsidRPr="00CF7FDF">
        <w:rPr>
          <w:rFonts w:ascii="Arial" w:hAnsi="Arial" w:cs="Arial"/>
          <w:sz w:val="24"/>
          <w:szCs w:val="24"/>
          <w:vertAlign w:val="superscript"/>
          <w:lang w:bidi="ru-RU"/>
        </w:rPr>
        <w:t>-9</w:t>
      </w:r>
      <w:r w:rsidR="001F2989" w:rsidRPr="00CF7FDF">
        <w:rPr>
          <w:rFonts w:ascii="Arial" w:hAnsi="Arial" w:cs="Arial"/>
          <w:sz w:val="24"/>
          <w:szCs w:val="24"/>
          <w:lang w:bidi="ru-RU"/>
        </w:rPr>
        <w:t>—</w:t>
      </w:r>
      <w:r w:rsidR="001F2989" w:rsidRPr="00CF7FDF">
        <w:rPr>
          <w:rFonts w:ascii="Arial" w:hAnsi="Arial" w:cs="Arial"/>
          <w:sz w:val="24"/>
          <w:szCs w:val="24"/>
          <w:lang w:bidi="en-US"/>
        </w:rPr>
        <w:t>10</w:t>
      </w:r>
      <w:r w:rsidR="001F2989" w:rsidRPr="00CF7FDF">
        <w:rPr>
          <w:rFonts w:ascii="Arial" w:hAnsi="Arial" w:cs="Arial"/>
          <w:sz w:val="24"/>
          <w:szCs w:val="24"/>
          <w:vertAlign w:val="superscript"/>
          <w:lang w:bidi="en-US"/>
        </w:rPr>
        <w:t>-12</w:t>
      </w:r>
      <w:r w:rsidR="001F2989" w:rsidRPr="00CF7FDF">
        <w:rPr>
          <w:rFonts w:ascii="Arial" w:hAnsi="Arial" w:cs="Arial"/>
          <w:sz w:val="24"/>
          <w:szCs w:val="24"/>
          <w:lang w:bidi="en-US"/>
        </w:rPr>
        <w:t xml:space="preserve"> </w:t>
      </w:r>
      <w:r w:rsidR="001F2989" w:rsidRPr="00CF7FDF">
        <w:rPr>
          <w:rFonts w:ascii="Arial" w:hAnsi="Arial" w:cs="Arial"/>
          <w:sz w:val="24"/>
          <w:szCs w:val="24"/>
          <w:lang w:bidi="ru-RU"/>
        </w:rPr>
        <w:t>г/мл), высокая специфичность, точность и воспроизводи</w:t>
      </w:r>
      <w:r w:rsidR="001F2989" w:rsidRPr="00CF7FDF">
        <w:rPr>
          <w:rFonts w:ascii="Arial" w:hAnsi="Arial" w:cs="Arial"/>
          <w:sz w:val="24"/>
          <w:szCs w:val="24"/>
          <w:lang w:bidi="ru-RU"/>
        </w:rPr>
        <w:softHyphen/>
        <w:t>мость, а также простота выполнения. Недостатком метода является ис</w:t>
      </w:r>
      <w:r w:rsidR="001F2989" w:rsidRPr="00CF7FDF">
        <w:rPr>
          <w:rFonts w:ascii="Arial" w:hAnsi="Arial" w:cs="Arial"/>
          <w:sz w:val="24"/>
          <w:szCs w:val="24"/>
          <w:lang w:bidi="ru-RU"/>
        </w:rPr>
        <w:softHyphen/>
        <w:t>пользование радиоактивных изотопов, что определяет ограниченный срок годности тест-наборов Иммунорадиометрический анализ (ИРМА) по сути представляет собой .модификацию РИА, в которой радиоактивной меткой маркируется не антиген (гормон), а специфические антитела.</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При проведении радиорецепторного анализа (РРА) вместо антител к гормонам используются их собственные рецепторы. Помимо радиоактивной метки, в качестве маркеров в гормональном анализе могут использоваться ферменты (иммуноферментный анализ) и люминесцируюшие субстанции (люминесцентный анализ). Неизотопные метки более стабильны, чем радиоизотопные, что определяет широкое внедрение нерадиоактивных методов в клиническую практику.</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Помимо радиоиммунного анализа, не утратили значения и химические методы определения ряда веществ (обычно это метаболиты гормонов и их предшественников). Так, с помощью химических реакций определяют метаболиты адреналина и норадреналина (ванилилминдальная кислота), дофамина (гомованиловая кислота) и серотонина (5-гидроксииндолилуксус- ная кислота) в моче.</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Большинство описанных методов гормонального анализа представляет собой сложный многоступенчатый иммунохимический или химический процесс. Выделяется несколько групп факторов, которые могут привести к ложным результатам гормонального исследования:</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неспецифические факторы (связывание антител in vitro во многом зависит от температуры, pH среды и других показателей),</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lastRenderedPageBreak/>
        <w:t>•</w:t>
      </w:r>
      <w:r w:rsidRPr="00CF7FDF">
        <w:rPr>
          <w:rFonts w:ascii="Arial" w:hAnsi="Arial" w:cs="Arial"/>
          <w:sz w:val="24"/>
          <w:szCs w:val="24"/>
          <w:lang w:bidi="ru-RU"/>
        </w:rPr>
        <w:tab/>
        <w:t>перекрестно реагирующие субстанции (иммунологические аналогичные субстанции могут перекрестно реагировать с лигандами (антителами), особенно при использовании поликлональных антител; типичный пример — перекрестное реагирование антител к лютеинизирующему гормону (Л Г) с хорионическим гонадотропином (ХГ),</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циркулирующие предшественники и фрагменты гормонов, которые конкурируют за связывание с биологически активными гормонами (при исследовании уровней АКТГ, паратгормона, гастрина),</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циркулирующие аутоантитела (редко к эндогенному тироксину и трийодтиронину, чаще к тиреоглобулину),</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гетерофильные антитела (против тиреотропного гормона, а-фето- протеина, хорионического гонадотропина),</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попадание в тест-систему тканевых экстрактов и ферментов,</w:t>
      </w:r>
    </w:p>
    <w:p w:rsidR="001F2989" w:rsidRPr="00CF7FDF" w:rsidRDefault="001F2989" w:rsidP="00CF7FDF">
      <w:pPr>
        <w:tabs>
          <w:tab w:val="left" w:pos="567"/>
          <w:tab w:val="left" w:pos="851"/>
          <w:tab w:val="left" w:pos="1134"/>
        </w:tabs>
        <w:spacing w:after="0" w:line="240" w:lineRule="auto"/>
        <w:ind w:firstLine="284"/>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феномен «выбивания» (англ, hook-phenomenon): при очень высокой концентрации исследуемого гормона (антигена) при ряде методик (особенно сэндвич-РЙА) результаты могут оказаться ложноотрицательными, т.е. уровень гормона будет определен как нормальный или даже сниженный.</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Качество любого лабораторного метода оценивается по таким стандартным параметрам, как воспроизводимость, правильность, специфичность и чувствительность. Под воспроизводимостью понимают степень соответствия результатов повторных определений в одном и том же материале. Другими словами, воспроизводимость будет зависеть от того, насколько будут различаться результаты нескольких исследований одного и того же образца, проведенных оцениваемым методом. Воспроизводимость зависит от случайных погрешностей.</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Под правильностью понимают соответствие среднего значения результатов повторных определений одного и того же материала должной величине. Правильность зависит от систематических погрешностей (неспецифич- ность метода, неправильность построения калибровочной кривой и т.п.).</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Под специфичностью понимают возможность при помощи данного метода измерять лишь тот компонент, для определения которого он предназначен. Так, определение уровня интактного паратгормона является специфическим методом, поскольку он не дает перекрестных реакций с предшественниками и продуктами деградации паратгормона. По аналогии со специфичностью метода часто используется понятие «диагностическая специ-фичность» того или иного исследования или симптома. Так, исследование уровня антител к тиреоглобулину не является специфичным исследованием при диагностике аутоиммунного тиреоидита, поскольку указанные антитела могут определяться и при других аутоиммунных заболеваниях щитовидной железы, и в норме. Определение цир</w:t>
      </w:r>
      <w:r w:rsidR="00397DEA" w:rsidRPr="00CF7FDF">
        <w:rPr>
          <w:rFonts w:ascii="Arial" w:hAnsi="Arial" w:cs="Arial"/>
          <w:sz w:val="24"/>
          <w:szCs w:val="24"/>
          <w:lang w:bidi="ru-RU"/>
        </w:rPr>
        <w:t>кулирующих антител к 21-гидрок</w:t>
      </w:r>
      <w:r w:rsidRPr="00CF7FDF">
        <w:rPr>
          <w:rFonts w:ascii="Arial" w:hAnsi="Arial" w:cs="Arial"/>
          <w:sz w:val="24"/>
          <w:szCs w:val="24"/>
          <w:lang w:bidi="ru-RU"/>
        </w:rPr>
        <w:t>силазе (Р450с21) является высокоспецифичным исследованием при диа-гностике аддисоновой болезни (первичного гипокортицизма) аутоиммунного генеза, поскольку указанные антитела не обнаруживаются при другйх заболеваниях надпочечников и лишь в минимальном проценте случаев у здоровых людей и больных с другими аутоиммунными заболеваниями. К неспецифичным симптомам относятся общая слабость (тиреотоксикоз, сахарный диабет I типа, надпочечниковая недостаточность), прибавка массы тела (гипотиреоз, синдром Кушинга, экзогенно-конституциональное ожирение), нарушение менструального цикла (большинство эндокринопатий). Увеличение размеров носа, ушей, надбровных дуг, размеров рук и ног у взрослого человека является специфическим симптомом акромегалии.</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 xml:space="preserve">Под чувствительностью метода понимают возможность выявлять наименьшие колебания концентрации вещества. Классическим примером является диагностическая ценность низко- и высокочувствительных методов определения </w:t>
      </w:r>
      <w:r w:rsidRPr="00CF7FDF">
        <w:rPr>
          <w:rFonts w:ascii="Arial" w:hAnsi="Arial" w:cs="Arial"/>
          <w:sz w:val="24"/>
          <w:szCs w:val="24"/>
          <w:lang w:bidi="ru-RU"/>
        </w:rPr>
        <w:lastRenderedPageBreak/>
        <w:t xml:space="preserve">уровня тиреотропного гормона (ТТГ). Ранее использовавшийся низкочувствительный метод не давал возможности различить уровни ТТГ в нижнем диапазоне, что не позволяло его использовать для диагностики тиреотоксикоза. Другими словами, подавленный (низкий) при тиреотоксикозе уровень ТТГ с помощью низкочувствительного метода был неотличим от уровня, соответствующего нижней границе нормы. Для диагностики тиреотоксикоза в обязательном порядке проводились дополнительные определения уровней тиреоидных гормонов (тироксин, трийодтиронин). В диагностике первичного гипотиреоза, при котором имеет место повыше-ние уровня ТТГ, низкочувствительный метод имел самостоятельное значе </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ние. Высокочувствительный метод лишен этих недостатков и позволяет выявлять колебания уровня ТТГ в любом диапазоне, что делает его методом первого уровня для определения функционального состояния щитовидной железы.</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Интерпретация результатов гормональных исследований</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Благодаря совершенствованию и широкому внедрению в клиническую практику гормональных исследований постановка диагноза и контроль за лечением заболеваний эндокринных желез, с одной стороны, существенно облегчились, с другой стороны, это повлекло за собой ряд диагностических проблем. Прежде всего речь идет о ситуациях, при которых имеется расхождение данных клинической картины с пограничными гормональными сдвигами. Для того чтобы избежать диагностических ошибок, необходимо учитывать ряд ключевых принципов интерпретации результатов гормональных исследований. При изучении функционального состояния желез ис-пользуются следующие методические подходы:</w:t>
      </w:r>
    </w:p>
    <w:p w:rsidR="001F2989" w:rsidRPr="00CF7FDF" w:rsidRDefault="001F2989" w:rsidP="00CF7FDF">
      <w:pPr>
        <w:tabs>
          <w:tab w:val="left" w:pos="851"/>
        </w:tabs>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определение исходного (базального) уровня того или иного гормона;</w:t>
      </w:r>
    </w:p>
    <w:p w:rsidR="001F2989" w:rsidRPr="00CF7FDF" w:rsidRDefault="001F2989" w:rsidP="00CF7FDF">
      <w:pPr>
        <w:tabs>
          <w:tab w:val="left" w:pos="851"/>
        </w:tabs>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определение уровня гормона в динамике с учетом циркадного ритма его секреции;</w:t>
      </w:r>
    </w:p>
    <w:p w:rsidR="001F2989" w:rsidRPr="00CF7FDF" w:rsidRDefault="001F2989" w:rsidP="00CF7FDF">
      <w:pPr>
        <w:tabs>
          <w:tab w:val="left" w:pos="851"/>
        </w:tabs>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w:t>
      </w:r>
      <w:r w:rsidRPr="00CF7FDF">
        <w:rPr>
          <w:rFonts w:ascii="Arial" w:hAnsi="Arial" w:cs="Arial"/>
          <w:sz w:val="24"/>
          <w:szCs w:val="24"/>
          <w:lang w:bidi="ru-RU"/>
        </w:rPr>
        <w:tab/>
        <w:t>определение уровня гормона в условиях функциональных проб.</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Определение базального уровня гормонов, как правило, имеет диагностическое значение в том случае, если развернутой клинической картине предполагаемого заболевания соответствует явное патологическое отклонение гормональных показателей. Так, при развернутой клинической картине акромегалии обнаружение многократно повышенного уровня гормона роста (ГР) практически подтверждает диагноз. В большинстве случаев уровень гормона регулируется механизмом отрицательной обратной связи в соответствии с уровнем контролируемого им параметра («диагностические пары»). Обратная связь может иметь место между гормонами, принадлежащими к одной системе, как кортизол и АКТГ, или между гормоном и его биологическим эффектором, как, например, для паратгормона и кальция. Изолированное рассмотрение данных показателей может стать причиной ошибочного заключени</w:t>
      </w:r>
      <w:r w:rsidR="001C57C8" w:rsidRPr="00CF7FDF">
        <w:rPr>
          <w:rFonts w:ascii="Arial" w:hAnsi="Arial" w:cs="Arial"/>
          <w:sz w:val="24"/>
          <w:szCs w:val="24"/>
          <w:lang w:bidi="ru-RU"/>
        </w:rPr>
        <w:t>я</w:t>
      </w:r>
      <w:r w:rsidRPr="00CF7FDF">
        <w:rPr>
          <w:rFonts w:ascii="Arial" w:hAnsi="Arial" w:cs="Arial"/>
          <w:sz w:val="24"/>
          <w:szCs w:val="24"/>
          <w:lang w:bidi="ru-RU"/>
        </w:rPr>
        <w:t>.</w:t>
      </w:r>
    </w:p>
    <w:p w:rsidR="001F2989"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Уровни большинства гормонов имеют характерную суточную динамику (циркадный ритм секреции). Типичными примерами в этом плане являются кортизол, пролактин и гормон роста, ритм секреции которых определятся циклом сон—бодрствование. Так, во время сна наблюдается увеличение уровня пролактина; пик секреции гормона роста приходится на первые часы сна, тогда как уровень кортизола в это время очень низкий.</w:t>
      </w:r>
    </w:p>
    <w:p w:rsidR="006F67EB" w:rsidRPr="00CF7FDF" w:rsidRDefault="001F2989"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 xml:space="preserve">Большинство гормонов циркулирует в крови в связанном с белками- переносчиками состоянии. В ряде случаев происходит изменение степени связывания гормона с его переносчиками, что будет сказываться на результатах гормонального исследования. В первую очередь об этом следует помнить, если используются методы определения уровня общего (свободный + связанный) гормона. Так, при беременности уже через несколько недель после зачатия </w:t>
      </w:r>
      <w:r w:rsidRPr="00CF7FDF">
        <w:rPr>
          <w:rFonts w:ascii="Arial" w:hAnsi="Arial" w:cs="Arial"/>
          <w:sz w:val="24"/>
          <w:szCs w:val="24"/>
          <w:lang w:bidi="ru-RU"/>
        </w:rPr>
        <w:lastRenderedPageBreak/>
        <w:t>сывороточный уровень тироксинсвязывающего глобулина прогрессивно повышается в результате стимуляции его синтеза в печени значительным количеством эстрогенов. Повышение степени связывания тироксина приводит к компенсаторной гиперфункции щитовидной желе</w:t>
      </w:r>
      <w:r w:rsidR="006F67EB" w:rsidRPr="00CF7FDF">
        <w:rPr>
          <w:rFonts w:ascii="Arial" w:hAnsi="Arial" w:cs="Arial"/>
          <w:sz w:val="24"/>
          <w:szCs w:val="24"/>
        </w:rPr>
        <w:t xml:space="preserve"> </w:t>
      </w:r>
      <w:r w:rsidR="006F67EB" w:rsidRPr="00CF7FDF">
        <w:rPr>
          <w:rFonts w:ascii="Arial" w:hAnsi="Arial" w:cs="Arial"/>
          <w:sz w:val="24"/>
          <w:szCs w:val="24"/>
          <w:lang w:bidi="ru-RU"/>
        </w:rPr>
        <w:t>зы, для обеспечения поддержания физиологического уровня свободного биологически активного тироксина. В результате содержание общего тироксина и трийодтиронина к 20-й неделе беременности значительно повышается, что в ряде случаев приводит к ошибочному установлению диагноза тиреотоксикоза. Решающим в таких случаях оказывается исследование уровня свободных (несвязанных) гормонов.</w:t>
      </w:r>
    </w:p>
    <w:p w:rsidR="006F67EB" w:rsidRPr="00CF7FDF" w:rsidRDefault="006F67EB"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При обнаружении пограничных гормональных сдвигов перед врачом встают две проблемы. Во-первых, необходимо выяснить, имеется ли в данном случае заболевание. Если этот вопрос решен положительно, закономерно возникает второй: есть ли необходимость в терапевтическом вмеша-тельстве. Так, при обнаружении пограничного повышения уровня кальция в плазме крови, используя современные высокоточные методы определения содержания интактного паратгормона, нередко удается выявить субклинически текущий первичный гиперпаратиреоз. Если заболевание выявлено у пациента в пожилом возрасте и при этом оно не имеет никаких клинических проявлений, то оперативное лечение, как правило, не показано. Аналогичным образом обнаружение у пожилых пациентов, имеющих со-путствующую ИБС и нарушения ритма сердца, субклинического гипотиреоза (пограничное увеличение уровня ТТГ при нормальном содержании тиреоидных гормонов), как правило, не требует назначения заместитель-ной терапии L-тироксином.</w:t>
      </w:r>
    </w:p>
    <w:p w:rsidR="006F67EB" w:rsidRPr="00CF7FDF" w:rsidRDefault="006F67EB"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В клинической практике нередко возникают обратные ситуации, когда при развернутой клинической картине того или иного эндокринного забо</w:t>
      </w:r>
      <w:r w:rsidRPr="00CF7FDF">
        <w:rPr>
          <w:rFonts w:ascii="Arial" w:hAnsi="Arial" w:cs="Arial"/>
          <w:sz w:val="24"/>
          <w:szCs w:val="24"/>
        </w:rPr>
        <w:t xml:space="preserve"> </w:t>
      </w:r>
      <w:r w:rsidRPr="00CF7FDF">
        <w:rPr>
          <w:rFonts w:ascii="Arial" w:hAnsi="Arial" w:cs="Arial"/>
          <w:sz w:val="24"/>
          <w:szCs w:val="24"/>
          <w:lang w:bidi="ru-RU"/>
        </w:rPr>
        <w:t>левания не удается обнаружить характерного изменения уровня гормонов. Прежде всего это связано с пульсаторным характером гормональной секреции. Так, при акромегалии активность заболевания коррелирует с уровнем гормона роста достаточно слабо. Нередко пациенты с клинически манифестной акромегалией имеют нормальный базальный уровень гормона роста. Диагностическая проблема в данном случае может быть решена с помощью функциональных тестов (с глюкозой) или с помощью определения уровня соматомедина С (инсулиноподобного фактора роста 1). В отличие от гормона роста уровень последнего подвержен незначительным колебаниям, и единственным заболеванием и состоянием, при котором у взрослых обнаруживается повышение уровня соматомедина С, является акромегалия. Нормальный уровень соматомедина С — это важнейший критерий адекватности лечения акромегалии. Аналогичным образом при сахарном диабете уровень гликемии не позволяет судить о степени компенсации заболевания, поскольку может значительно варьировать изо дня в день и на протяжении суток в зависимости от времени приема и дозы сахаропонижающих препаратов, а также от времени приема и состава пищи. Показателем, позволяющим интегрально оценить уровень гликемии на протяжении последних 3—4 мес и, таким образом, качество компенсации сахарного диабета, является уровень гликированного гемоглобина.</w:t>
      </w:r>
    </w:p>
    <w:p w:rsidR="006F67EB" w:rsidRPr="00CF7FDF" w:rsidRDefault="006F67EB"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 xml:space="preserve">Достаточно низкой информативностью обладает однократное определение уровня кортизола в крови. На основании этого исследования диагноз надпочечниковой недостаточности может быть установлен лишь при раз-вернутой клинической картине и значительном, в десятки раз сниженном уровне кортизола. У многих больных даже при явной, развернутой клинической картине болезни Аддисона и у большинства пациентов с эндогенным гиперкортицизмом (синдром Кушинга) уровень кортизола в утренние часы не отличается от нормального. Большее диагностическое значение имеет исследование суточной экскреции свободного кортизола с мочой. Действительно, даже многократные заборы крови </w:t>
      </w:r>
      <w:r w:rsidRPr="00CF7FDF">
        <w:rPr>
          <w:rFonts w:ascii="Arial" w:hAnsi="Arial" w:cs="Arial"/>
          <w:sz w:val="24"/>
          <w:szCs w:val="24"/>
          <w:lang w:bidi="ru-RU"/>
        </w:rPr>
        <w:lastRenderedPageBreak/>
        <w:t>не</w:t>
      </w:r>
      <w:r w:rsidR="00397DEA" w:rsidRPr="00CF7FDF">
        <w:rPr>
          <w:rFonts w:ascii="Arial" w:hAnsi="Arial" w:cs="Arial"/>
          <w:sz w:val="24"/>
          <w:szCs w:val="24"/>
          <w:lang w:bidi="ru-RU"/>
        </w:rPr>
        <w:t xml:space="preserve"> позволяют интеграль</w:t>
      </w:r>
      <w:r w:rsidRPr="00CF7FDF">
        <w:rPr>
          <w:rFonts w:ascii="Arial" w:hAnsi="Arial" w:cs="Arial"/>
          <w:sz w:val="24"/>
          <w:szCs w:val="24"/>
          <w:lang w:bidi="ru-RU"/>
        </w:rPr>
        <w:t>но оценить количество секретированного на протяжении суток гормона. В то же время, несмотря на то что с мочой выделяется не более 1 % секретированного кортизола, уровень суточной экскреции гормона относят к тестам первого уровня при подозрении как на гипо-, так и на гиперкорти- золизм. Изложенное остается справедливым и в отношении определения уровня катехоламинов. Лишь значительное (в сотни раз) повышение уровня адреналина и норадреналина в плазме крови позволяет установить диа-гноз феохромоцитомы. Значительно более информативным является определение суточной экскреции метаболитов катехоламинов — метанефрина, норметанефрина и ванил ил миндальной кислоты (ВМК). Помимо возможности интегральной оценки уровня секреции гормонов на протяжении целых суток, определение метаболитов катехоламинов более информативно в связи с очень коротким периодом полужизни адреналина и норадренали-на в плазме крови.</w:t>
      </w:r>
    </w:p>
    <w:p w:rsidR="006F67EB" w:rsidRPr="00CF7FDF" w:rsidRDefault="006F67EB"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В связи с широким внедрением в клиническую практику на протяжении последних десятилетий визуализирующих методов (КТ, МРТ) диагностические и терапевтические проблемы нередко возникают при случайном обнаружении морфологических изменений эндокринных желез при отсутствии каких-либо клинических симптомов. Наиболее часто эндокринологи сталкиваются со случайно обнаруженными при КТ или МРТ органов брюшной полости и забрюшинного пространства образованиями надпочечников, которые стали обозначаться термином «инсиденталомы». Очень часто у таких пациентов имеется сопутствующая артериальная гипертензия, что требует исключения эндокринного генеза последней (феохромоцитома, синдром Кушинга, первичный гиперальдостеронизм). В этой ситуации, как правило^по- казано проведение функциональных гормональных проб, позволяющих исключить субклинические стадии перечисленных заболеваний.</w:t>
      </w:r>
    </w:p>
    <w:p w:rsidR="006F67EB" w:rsidRPr="00CF7FDF" w:rsidRDefault="006F67EB" w:rsidP="00CF7FDF">
      <w:pPr>
        <w:spacing w:after="0" w:line="240" w:lineRule="auto"/>
        <w:ind w:firstLine="567"/>
        <w:jc w:val="both"/>
        <w:rPr>
          <w:rFonts w:ascii="Arial" w:hAnsi="Arial" w:cs="Arial"/>
          <w:sz w:val="24"/>
          <w:szCs w:val="24"/>
          <w:lang w:bidi="ru-RU"/>
        </w:rPr>
      </w:pPr>
      <w:r w:rsidRPr="00CF7FDF">
        <w:rPr>
          <w:rFonts w:ascii="Arial" w:hAnsi="Arial" w:cs="Arial"/>
          <w:sz w:val="24"/>
          <w:szCs w:val="24"/>
          <w:lang w:bidi="ru-RU"/>
        </w:rPr>
        <w:t>Несмотря на улучшение методов гормонального анализа, функциональные пробы по сей день имеют принципиальное значение в диагностике эндокринопатий. Функциональные пробы подразделяются на стимулирующие и супрессионные (подавляющие). Общий принцип проведения проб заключается в том, что стимулирующие пробы назначаются при подозрении на недостаточность эндокринной железы, а супрессионные — при подозрении на ее гиперфункцию. Примерами стимулирующих проб являются проба с хорионическим гонадотропином (при подозрении на первичный гипогонадизм), проба с аналогами гонадотропин-рилизинг-гормона (при подозрении на втор</w:t>
      </w:r>
      <w:r w:rsidR="00397DEA" w:rsidRPr="00CF7FDF">
        <w:rPr>
          <w:rFonts w:ascii="Arial" w:hAnsi="Arial" w:cs="Arial"/>
          <w:sz w:val="24"/>
          <w:szCs w:val="24"/>
          <w:lang w:bidi="ru-RU"/>
        </w:rPr>
        <w:t xml:space="preserve">ичный гипогонадизм), проба с </w:t>
      </w:r>
      <w:r w:rsidRPr="00CF7FDF">
        <w:rPr>
          <w:rFonts w:ascii="Arial" w:hAnsi="Arial" w:cs="Arial"/>
          <w:sz w:val="24"/>
          <w:szCs w:val="24"/>
          <w:lang w:bidi="ru-RU"/>
        </w:rPr>
        <w:t>АКТГ (первые 24 аминокислоты нативного АКТГ, состоящего из 39 аминокислот) и инсулиновой гипогликемией (при подозрении на надпочечниковую недостаточность) и др. К супрессионным пробам относятся малая и большая дексаме- тазоновые пробы (диагностика и дифференциальная диагностика синдрома Кушинга), проба с глюкозой (диагностика акромегалии) и др.</w:t>
      </w:r>
    </w:p>
    <w:p w:rsidR="00FC431B" w:rsidRPr="00CF7FDF" w:rsidRDefault="006F67EB" w:rsidP="00CF7FDF">
      <w:pPr>
        <w:spacing w:after="0" w:line="240" w:lineRule="auto"/>
        <w:ind w:firstLine="567"/>
        <w:jc w:val="both"/>
        <w:rPr>
          <w:rFonts w:ascii="Arial" w:hAnsi="Arial" w:cs="Arial"/>
          <w:sz w:val="24"/>
          <w:szCs w:val="24"/>
        </w:rPr>
      </w:pPr>
      <w:r w:rsidRPr="00CF7FDF">
        <w:rPr>
          <w:rFonts w:ascii="Arial" w:hAnsi="Arial" w:cs="Arial"/>
          <w:sz w:val="24"/>
          <w:szCs w:val="24"/>
          <w:lang w:bidi="ru-RU"/>
        </w:rPr>
        <w:t>Основным диагностическим принципом в эндокринологии является приоритет функциональных гормональных исследований над инструментальными методами. К визуализирующим методам диагностики (КТ, МРТ, УЗИ) в подавляющем большинстве случаев переходят лишь после доказательства функционального нарушения деятельности эндокринной железы.</w:t>
      </w:r>
    </w:p>
    <w:p w:rsidR="000D6AB0" w:rsidRDefault="000D6AB0" w:rsidP="00CF7FDF">
      <w:pPr>
        <w:spacing w:after="0" w:line="240" w:lineRule="auto"/>
        <w:jc w:val="both"/>
        <w:rPr>
          <w:rFonts w:ascii="Arial" w:hAnsi="Arial" w:cs="Arial"/>
          <w:sz w:val="24"/>
          <w:szCs w:val="24"/>
        </w:rPr>
      </w:pPr>
    </w:p>
    <w:p w:rsidR="00472C3A" w:rsidRPr="00472C3A" w:rsidRDefault="00472C3A" w:rsidP="00472C3A">
      <w:pPr>
        <w:spacing w:after="0" w:line="240" w:lineRule="auto"/>
        <w:jc w:val="both"/>
        <w:rPr>
          <w:rFonts w:ascii="Arial" w:hAnsi="Arial" w:cs="Arial"/>
          <w:sz w:val="24"/>
          <w:szCs w:val="24"/>
        </w:rPr>
      </w:pPr>
      <w:r w:rsidRPr="00472C3A">
        <w:rPr>
          <w:rFonts w:ascii="Arial" w:hAnsi="Arial" w:cs="Arial"/>
          <w:b/>
          <w:bCs/>
          <w:sz w:val="24"/>
          <w:szCs w:val="24"/>
        </w:rPr>
        <w:t>Литература:</w:t>
      </w:r>
    </w:p>
    <w:p w:rsidR="00472C3A" w:rsidRPr="00472C3A" w:rsidRDefault="00472C3A" w:rsidP="00472C3A">
      <w:pPr>
        <w:spacing w:after="0" w:line="240" w:lineRule="auto"/>
        <w:jc w:val="both"/>
        <w:rPr>
          <w:rFonts w:ascii="Arial" w:hAnsi="Arial" w:cs="Arial"/>
          <w:sz w:val="24"/>
          <w:szCs w:val="24"/>
        </w:rPr>
      </w:pPr>
    </w:p>
    <w:p w:rsidR="00472C3A" w:rsidRPr="00472C3A" w:rsidRDefault="00472C3A" w:rsidP="00472C3A">
      <w:pPr>
        <w:numPr>
          <w:ilvl w:val="0"/>
          <w:numId w:val="7"/>
        </w:numPr>
        <w:spacing w:after="0" w:line="240" w:lineRule="auto"/>
        <w:jc w:val="both"/>
        <w:rPr>
          <w:rFonts w:ascii="Arial" w:hAnsi="Arial" w:cs="Arial"/>
          <w:sz w:val="24"/>
          <w:szCs w:val="24"/>
        </w:rPr>
      </w:pPr>
      <w:r w:rsidRPr="00472C3A">
        <w:rPr>
          <w:rFonts w:ascii="Arial" w:hAnsi="Arial" w:cs="Arial"/>
          <w:sz w:val="24"/>
          <w:szCs w:val="24"/>
        </w:rPr>
        <w:t>Дедов И.И., Мельниченко Г.А., Фадеев В.В. «Эндокринология». Учебник. –М.: «Медицина», 2000. Стр. 632.</w:t>
      </w:r>
    </w:p>
    <w:p w:rsidR="00472C3A" w:rsidRPr="00472C3A" w:rsidRDefault="00472C3A" w:rsidP="00472C3A">
      <w:pPr>
        <w:numPr>
          <w:ilvl w:val="0"/>
          <w:numId w:val="7"/>
        </w:numPr>
        <w:spacing w:after="0" w:line="240" w:lineRule="auto"/>
        <w:jc w:val="both"/>
        <w:rPr>
          <w:rFonts w:ascii="Arial" w:hAnsi="Arial" w:cs="Arial"/>
          <w:sz w:val="24"/>
          <w:szCs w:val="24"/>
        </w:rPr>
      </w:pPr>
      <w:r w:rsidRPr="00472C3A">
        <w:rPr>
          <w:rFonts w:ascii="Arial" w:hAnsi="Arial" w:cs="Arial"/>
          <w:sz w:val="24"/>
          <w:szCs w:val="24"/>
        </w:rPr>
        <w:t>Гарднер Д., Шобек Д. Базисная и клиническая эндокринология / под ред. Г. А. Мельниченко. — М.: 2015. — Стр. 169.</w:t>
      </w:r>
    </w:p>
    <w:p w:rsidR="00472C3A" w:rsidRPr="00472C3A" w:rsidRDefault="00472C3A" w:rsidP="00472C3A">
      <w:pPr>
        <w:numPr>
          <w:ilvl w:val="0"/>
          <w:numId w:val="7"/>
        </w:numPr>
        <w:spacing w:after="0" w:line="240" w:lineRule="auto"/>
        <w:jc w:val="both"/>
        <w:rPr>
          <w:rFonts w:ascii="Arial" w:hAnsi="Arial" w:cs="Arial"/>
          <w:sz w:val="24"/>
          <w:szCs w:val="24"/>
        </w:rPr>
      </w:pPr>
      <w:r w:rsidRPr="00472C3A">
        <w:rPr>
          <w:rFonts w:ascii="Arial" w:hAnsi="Arial" w:cs="Arial"/>
          <w:sz w:val="24"/>
          <w:szCs w:val="24"/>
        </w:rPr>
        <w:lastRenderedPageBreak/>
        <w:t xml:space="preserve">Дедов И. И., Мельниченко Г. А. Эндокринология. Национальное руководство. Краткое издание. — 2-е изд., перераб. и доп. — М.: ГЭОТАР-Медиа, 2018. — Стр. 832. </w:t>
      </w:r>
    </w:p>
    <w:p w:rsidR="00472C3A" w:rsidRPr="00472C3A" w:rsidRDefault="00472C3A" w:rsidP="00472C3A">
      <w:pPr>
        <w:numPr>
          <w:ilvl w:val="0"/>
          <w:numId w:val="7"/>
        </w:numPr>
        <w:spacing w:after="0" w:line="240" w:lineRule="auto"/>
        <w:jc w:val="both"/>
        <w:rPr>
          <w:rFonts w:ascii="Arial" w:hAnsi="Arial" w:cs="Arial"/>
          <w:sz w:val="24"/>
          <w:szCs w:val="24"/>
        </w:rPr>
      </w:pPr>
      <w:r w:rsidRPr="00472C3A">
        <w:rPr>
          <w:rFonts w:ascii="Arial" w:hAnsi="Arial" w:cs="Arial"/>
          <w:sz w:val="24"/>
          <w:szCs w:val="24"/>
        </w:rPr>
        <w:t xml:space="preserve">Проверенный поставщик медицинской информации с 1899 года. </w:t>
      </w:r>
      <w:hyperlink r:id="rId6" w:history="1">
        <w:r w:rsidRPr="00472C3A">
          <w:rPr>
            <w:rStyle w:val="a5"/>
            <w:rFonts w:ascii="Arial" w:hAnsi="Arial" w:cs="Arial"/>
            <w:sz w:val="24"/>
            <w:szCs w:val="24"/>
            <w:lang w:val="en-US"/>
          </w:rPr>
          <w:t>https://</w:t>
        </w:r>
      </w:hyperlink>
      <w:hyperlink r:id="rId7" w:history="1">
        <w:r w:rsidRPr="00472C3A">
          <w:rPr>
            <w:rStyle w:val="a5"/>
            <w:rFonts w:ascii="Arial" w:hAnsi="Arial" w:cs="Arial"/>
            <w:sz w:val="24"/>
            <w:szCs w:val="24"/>
            <w:lang w:val="en-US"/>
          </w:rPr>
          <w:t>www.msdmanuals.com</w:t>
        </w:r>
      </w:hyperlink>
      <w:hyperlink r:id="rId8" w:history="1">
        <w:r w:rsidRPr="00472C3A">
          <w:rPr>
            <w:rStyle w:val="a5"/>
            <w:rFonts w:ascii="Arial" w:hAnsi="Arial" w:cs="Arial"/>
            <w:sz w:val="24"/>
            <w:szCs w:val="24"/>
            <w:lang w:val="en-US"/>
          </w:rPr>
          <w:t>/</w:t>
        </w:r>
      </w:hyperlink>
      <w:hyperlink r:id="rId9" w:history="1">
        <w:r w:rsidRPr="00472C3A">
          <w:rPr>
            <w:rStyle w:val="a5"/>
            <w:rFonts w:ascii="Arial" w:hAnsi="Arial" w:cs="Arial"/>
            <w:sz w:val="24"/>
            <w:szCs w:val="24"/>
            <w:lang w:val="en-US"/>
          </w:rPr>
          <w:t>ru</w:t>
        </w:r>
      </w:hyperlink>
      <w:hyperlink r:id="rId10" w:history="1">
        <w:r w:rsidRPr="00472C3A">
          <w:rPr>
            <w:rStyle w:val="a5"/>
            <w:rFonts w:ascii="Arial" w:hAnsi="Arial" w:cs="Arial"/>
            <w:sz w:val="24"/>
            <w:szCs w:val="24"/>
            <w:lang w:val="en-US"/>
          </w:rPr>
          <w:t>/</w:t>
        </w:r>
      </w:hyperlink>
    </w:p>
    <w:p w:rsidR="00472C3A" w:rsidRPr="00CF7FDF" w:rsidRDefault="00472C3A" w:rsidP="00CF7FDF">
      <w:pPr>
        <w:spacing w:after="0" w:line="240" w:lineRule="auto"/>
        <w:jc w:val="both"/>
        <w:rPr>
          <w:rFonts w:ascii="Arial" w:hAnsi="Arial" w:cs="Arial"/>
          <w:sz w:val="24"/>
          <w:szCs w:val="24"/>
        </w:rPr>
      </w:pPr>
      <w:bookmarkStart w:id="0" w:name="_GoBack"/>
      <w:bookmarkEnd w:id="0"/>
    </w:p>
    <w:sectPr w:rsidR="00472C3A" w:rsidRPr="00CF7F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j-ea">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E2943"/>
    <w:multiLevelType w:val="hybridMultilevel"/>
    <w:tmpl w:val="503A5610"/>
    <w:lvl w:ilvl="0" w:tplc="00A61A6C">
      <w:start w:val="1"/>
      <w:numFmt w:val="decimal"/>
      <w:lvlText w:val="%1."/>
      <w:lvlJc w:val="left"/>
      <w:pPr>
        <w:tabs>
          <w:tab w:val="num" w:pos="720"/>
        </w:tabs>
        <w:ind w:left="720" w:hanging="360"/>
      </w:pPr>
    </w:lvl>
    <w:lvl w:ilvl="1" w:tplc="1D5A7F02" w:tentative="1">
      <w:start w:val="1"/>
      <w:numFmt w:val="decimal"/>
      <w:lvlText w:val="%2."/>
      <w:lvlJc w:val="left"/>
      <w:pPr>
        <w:tabs>
          <w:tab w:val="num" w:pos="1440"/>
        </w:tabs>
        <w:ind w:left="1440" w:hanging="360"/>
      </w:pPr>
    </w:lvl>
    <w:lvl w:ilvl="2" w:tplc="1226B180" w:tentative="1">
      <w:start w:val="1"/>
      <w:numFmt w:val="decimal"/>
      <w:lvlText w:val="%3."/>
      <w:lvlJc w:val="left"/>
      <w:pPr>
        <w:tabs>
          <w:tab w:val="num" w:pos="2160"/>
        </w:tabs>
        <w:ind w:left="2160" w:hanging="360"/>
      </w:pPr>
    </w:lvl>
    <w:lvl w:ilvl="3" w:tplc="2A08CBC0" w:tentative="1">
      <w:start w:val="1"/>
      <w:numFmt w:val="decimal"/>
      <w:lvlText w:val="%4."/>
      <w:lvlJc w:val="left"/>
      <w:pPr>
        <w:tabs>
          <w:tab w:val="num" w:pos="2880"/>
        </w:tabs>
        <w:ind w:left="2880" w:hanging="360"/>
      </w:pPr>
    </w:lvl>
    <w:lvl w:ilvl="4" w:tplc="008C45F4" w:tentative="1">
      <w:start w:val="1"/>
      <w:numFmt w:val="decimal"/>
      <w:lvlText w:val="%5."/>
      <w:lvlJc w:val="left"/>
      <w:pPr>
        <w:tabs>
          <w:tab w:val="num" w:pos="3600"/>
        </w:tabs>
        <w:ind w:left="3600" w:hanging="360"/>
      </w:pPr>
    </w:lvl>
    <w:lvl w:ilvl="5" w:tplc="00E48C1A" w:tentative="1">
      <w:start w:val="1"/>
      <w:numFmt w:val="decimal"/>
      <w:lvlText w:val="%6."/>
      <w:lvlJc w:val="left"/>
      <w:pPr>
        <w:tabs>
          <w:tab w:val="num" w:pos="4320"/>
        </w:tabs>
        <w:ind w:left="4320" w:hanging="360"/>
      </w:pPr>
    </w:lvl>
    <w:lvl w:ilvl="6" w:tplc="27EAC2A0" w:tentative="1">
      <w:start w:val="1"/>
      <w:numFmt w:val="decimal"/>
      <w:lvlText w:val="%7."/>
      <w:lvlJc w:val="left"/>
      <w:pPr>
        <w:tabs>
          <w:tab w:val="num" w:pos="5040"/>
        </w:tabs>
        <w:ind w:left="5040" w:hanging="360"/>
      </w:pPr>
    </w:lvl>
    <w:lvl w:ilvl="7" w:tplc="2D5C831C" w:tentative="1">
      <w:start w:val="1"/>
      <w:numFmt w:val="decimal"/>
      <w:lvlText w:val="%8."/>
      <w:lvlJc w:val="left"/>
      <w:pPr>
        <w:tabs>
          <w:tab w:val="num" w:pos="5760"/>
        </w:tabs>
        <w:ind w:left="5760" w:hanging="360"/>
      </w:pPr>
    </w:lvl>
    <w:lvl w:ilvl="8" w:tplc="6E644BEE" w:tentative="1">
      <w:start w:val="1"/>
      <w:numFmt w:val="decimal"/>
      <w:lvlText w:val="%9."/>
      <w:lvlJc w:val="left"/>
      <w:pPr>
        <w:tabs>
          <w:tab w:val="num" w:pos="6480"/>
        </w:tabs>
        <w:ind w:left="6480" w:hanging="360"/>
      </w:pPr>
    </w:lvl>
  </w:abstractNum>
  <w:abstractNum w:abstractNumId="1" w15:restartNumberingAfterBreak="0">
    <w:nsid w:val="232465F2"/>
    <w:multiLevelType w:val="hybridMultilevel"/>
    <w:tmpl w:val="9A4A94D2"/>
    <w:lvl w:ilvl="0" w:tplc="B21C4F2C">
      <w:start w:val="1"/>
      <w:numFmt w:val="bullet"/>
      <w:lvlText w:val="•"/>
      <w:lvlJc w:val="left"/>
      <w:pPr>
        <w:tabs>
          <w:tab w:val="num" w:pos="720"/>
        </w:tabs>
        <w:ind w:left="720" w:hanging="360"/>
      </w:pPr>
      <w:rPr>
        <w:rFonts w:ascii="Arial" w:hAnsi="Arial" w:hint="default"/>
      </w:rPr>
    </w:lvl>
    <w:lvl w:ilvl="1" w:tplc="E2E62030" w:tentative="1">
      <w:start w:val="1"/>
      <w:numFmt w:val="bullet"/>
      <w:lvlText w:val="•"/>
      <w:lvlJc w:val="left"/>
      <w:pPr>
        <w:tabs>
          <w:tab w:val="num" w:pos="1440"/>
        </w:tabs>
        <w:ind w:left="1440" w:hanging="360"/>
      </w:pPr>
      <w:rPr>
        <w:rFonts w:ascii="Arial" w:hAnsi="Arial" w:hint="default"/>
      </w:rPr>
    </w:lvl>
    <w:lvl w:ilvl="2" w:tplc="13CE4764" w:tentative="1">
      <w:start w:val="1"/>
      <w:numFmt w:val="bullet"/>
      <w:lvlText w:val="•"/>
      <w:lvlJc w:val="left"/>
      <w:pPr>
        <w:tabs>
          <w:tab w:val="num" w:pos="2160"/>
        </w:tabs>
        <w:ind w:left="2160" w:hanging="360"/>
      </w:pPr>
      <w:rPr>
        <w:rFonts w:ascii="Arial" w:hAnsi="Arial" w:hint="default"/>
      </w:rPr>
    </w:lvl>
    <w:lvl w:ilvl="3" w:tplc="2BACEAF6" w:tentative="1">
      <w:start w:val="1"/>
      <w:numFmt w:val="bullet"/>
      <w:lvlText w:val="•"/>
      <w:lvlJc w:val="left"/>
      <w:pPr>
        <w:tabs>
          <w:tab w:val="num" w:pos="2880"/>
        </w:tabs>
        <w:ind w:left="2880" w:hanging="360"/>
      </w:pPr>
      <w:rPr>
        <w:rFonts w:ascii="Arial" w:hAnsi="Arial" w:hint="default"/>
      </w:rPr>
    </w:lvl>
    <w:lvl w:ilvl="4" w:tplc="A810F696" w:tentative="1">
      <w:start w:val="1"/>
      <w:numFmt w:val="bullet"/>
      <w:lvlText w:val="•"/>
      <w:lvlJc w:val="left"/>
      <w:pPr>
        <w:tabs>
          <w:tab w:val="num" w:pos="3600"/>
        </w:tabs>
        <w:ind w:left="3600" w:hanging="360"/>
      </w:pPr>
      <w:rPr>
        <w:rFonts w:ascii="Arial" w:hAnsi="Arial" w:hint="default"/>
      </w:rPr>
    </w:lvl>
    <w:lvl w:ilvl="5" w:tplc="68E8F050" w:tentative="1">
      <w:start w:val="1"/>
      <w:numFmt w:val="bullet"/>
      <w:lvlText w:val="•"/>
      <w:lvlJc w:val="left"/>
      <w:pPr>
        <w:tabs>
          <w:tab w:val="num" w:pos="4320"/>
        </w:tabs>
        <w:ind w:left="4320" w:hanging="360"/>
      </w:pPr>
      <w:rPr>
        <w:rFonts w:ascii="Arial" w:hAnsi="Arial" w:hint="default"/>
      </w:rPr>
    </w:lvl>
    <w:lvl w:ilvl="6" w:tplc="BF2A510C" w:tentative="1">
      <w:start w:val="1"/>
      <w:numFmt w:val="bullet"/>
      <w:lvlText w:val="•"/>
      <w:lvlJc w:val="left"/>
      <w:pPr>
        <w:tabs>
          <w:tab w:val="num" w:pos="5040"/>
        </w:tabs>
        <w:ind w:left="5040" w:hanging="360"/>
      </w:pPr>
      <w:rPr>
        <w:rFonts w:ascii="Arial" w:hAnsi="Arial" w:hint="default"/>
      </w:rPr>
    </w:lvl>
    <w:lvl w:ilvl="7" w:tplc="93B64326" w:tentative="1">
      <w:start w:val="1"/>
      <w:numFmt w:val="bullet"/>
      <w:lvlText w:val="•"/>
      <w:lvlJc w:val="left"/>
      <w:pPr>
        <w:tabs>
          <w:tab w:val="num" w:pos="5760"/>
        </w:tabs>
        <w:ind w:left="5760" w:hanging="360"/>
      </w:pPr>
      <w:rPr>
        <w:rFonts w:ascii="Arial" w:hAnsi="Arial" w:hint="default"/>
      </w:rPr>
    </w:lvl>
    <w:lvl w:ilvl="8" w:tplc="88AC9A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486684A"/>
    <w:multiLevelType w:val="hybridMultilevel"/>
    <w:tmpl w:val="3BC45CEE"/>
    <w:lvl w:ilvl="0" w:tplc="7F22D3FA">
      <w:start w:val="1"/>
      <w:numFmt w:val="decimal"/>
      <w:lvlText w:val="%1."/>
      <w:lvlJc w:val="left"/>
      <w:pPr>
        <w:tabs>
          <w:tab w:val="num" w:pos="720"/>
        </w:tabs>
        <w:ind w:left="720" w:hanging="360"/>
      </w:pPr>
    </w:lvl>
    <w:lvl w:ilvl="1" w:tplc="AC6E953A" w:tentative="1">
      <w:start w:val="1"/>
      <w:numFmt w:val="decimal"/>
      <w:lvlText w:val="%2."/>
      <w:lvlJc w:val="left"/>
      <w:pPr>
        <w:tabs>
          <w:tab w:val="num" w:pos="1440"/>
        </w:tabs>
        <w:ind w:left="1440" w:hanging="360"/>
      </w:pPr>
    </w:lvl>
    <w:lvl w:ilvl="2" w:tplc="70FA8248" w:tentative="1">
      <w:start w:val="1"/>
      <w:numFmt w:val="decimal"/>
      <w:lvlText w:val="%3."/>
      <w:lvlJc w:val="left"/>
      <w:pPr>
        <w:tabs>
          <w:tab w:val="num" w:pos="2160"/>
        </w:tabs>
        <w:ind w:left="2160" w:hanging="360"/>
      </w:pPr>
    </w:lvl>
    <w:lvl w:ilvl="3" w:tplc="94085DA0" w:tentative="1">
      <w:start w:val="1"/>
      <w:numFmt w:val="decimal"/>
      <w:lvlText w:val="%4."/>
      <w:lvlJc w:val="left"/>
      <w:pPr>
        <w:tabs>
          <w:tab w:val="num" w:pos="2880"/>
        </w:tabs>
        <w:ind w:left="2880" w:hanging="360"/>
      </w:pPr>
    </w:lvl>
    <w:lvl w:ilvl="4" w:tplc="1E34069C" w:tentative="1">
      <w:start w:val="1"/>
      <w:numFmt w:val="decimal"/>
      <w:lvlText w:val="%5."/>
      <w:lvlJc w:val="left"/>
      <w:pPr>
        <w:tabs>
          <w:tab w:val="num" w:pos="3600"/>
        </w:tabs>
        <w:ind w:left="3600" w:hanging="360"/>
      </w:pPr>
    </w:lvl>
    <w:lvl w:ilvl="5" w:tplc="091CBE58" w:tentative="1">
      <w:start w:val="1"/>
      <w:numFmt w:val="decimal"/>
      <w:lvlText w:val="%6."/>
      <w:lvlJc w:val="left"/>
      <w:pPr>
        <w:tabs>
          <w:tab w:val="num" w:pos="4320"/>
        </w:tabs>
        <w:ind w:left="4320" w:hanging="360"/>
      </w:pPr>
    </w:lvl>
    <w:lvl w:ilvl="6" w:tplc="AB30D1F2" w:tentative="1">
      <w:start w:val="1"/>
      <w:numFmt w:val="decimal"/>
      <w:lvlText w:val="%7."/>
      <w:lvlJc w:val="left"/>
      <w:pPr>
        <w:tabs>
          <w:tab w:val="num" w:pos="5040"/>
        </w:tabs>
        <w:ind w:left="5040" w:hanging="360"/>
      </w:pPr>
    </w:lvl>
    <w:lvl w:ilvl="7" w:tplc="D9620FBA" w:tentative="1">
      <w:start w:val="1"/>
      <w:numFmt w:val="decimal"/>
      <w:lvlText w:val="%8."/>
      <w:lvlJc w:val="left"/>
      <w:pPr>
        <w:tabs>
          <w:tab w:val="num" w:pos="5760"/>
        </w:tabs>
        <w:ind w:left="5760" w:hanging="360"/>
      </w:pPr>
    </w:lvl>
    <w:lvl w:ilvl="8" w:tplc="A3E2A110" w:tentative="1">
      <w:start w:val="1"/>
      <w:numFmt w:val="decimal"/>
      <w:lvlText w:val="%9."/>
      <w:lvlJc w:val="left"/>
      <w:pPr>
        <w:tabs>
          <w:tab w:val="num" w:pos="6480"/>
        </w:tabs>
        <w:ind w:left="6480" w:hanging="360"/>
      </w:pPr>
    </w:lvl>
  </w:abstractNum>
  <w:abstractNum w:abstractNumId="3" w15:restartNumberingAfterBreak="0">
    <w:nsid w:val="2930496E"/>
    <w:multiLevelType w:val="hybridMultilevel"/>
    <w:tmpl w:val="AD840E40"/>
    <w:lvl w:ilvl="0" w:tplc="138071CA">
      <w:start w:val="1"/>
      <w:numFmt w:val="bullet"/>
      <w:lvlText w:val="•"/>
      <w:lvlJc w:val="left"/>
      <w:pPr>
        <w:tabs>
          <w:tab w:val="num" w:pos="720"/>
        </w:tabs>
        <w:ind w:left="720" w:hanging="360"/>
      </w:pPr>
      <w:rPr>
        <w:rFonts w:ascii="Arial" w:hAnsi="Arial" w:hint="default"/>
      </w:rPr>
    </w:lvl>
    <w:lvl w:ilvl="1" w:tplc="BDC4BAE4" w:tentative="1">
      <w:start w:val="1"/>
      <w:numFmt w:val="bullet"/>
      <w:lvlText w:val="•"/>
      <w:lvlJc w:val="left"/>
      <w:pPr>
        <w:tabs>
          <w:tab w:val="num" w:pos="1440"/>
        </w:tabs>
        <w:ind w:left="1440" w:hanging="360"/>
      </w:pPr>
      <w:rPr>
        <w:rFonts w:ascii="Arial" w:hAnsi="Arial" w:hint="default"/>
      </w:rPr>
    </w:lvl>
    <w:lvl w:ilvl="2" w:tplc="67B2A70A" w:tentative="1">
      <w:start w:val="1"/>
      <w:numFmt w:val="bullet"/>
      <w:lvlText w:val="•"/>
      <w:lvlJc w:val="left"/>
      <w:pPr>
        <w:tabs>
          <w:tab w:val="num" w:pos="2160"/>
        </w:tabs>
        <w:ind w:left="2160" w:hanging="360"/>
      </w:pPr>
      <w:rPr>
        <w:rFonts w:ascii="Arial" w:hAnsi="Arial" w:hint="default"/>
      </w:rPr>
    </w:lvl>
    <w:lvl w:ilvl="3" w:tplc="DDAA5724" w:tentative="1">
      <w:start w:val="1"/>
      <w:numFmt w:val="bullet"/>
      <w:lvlText w:val="•"/>
      <w:lvlJc w:val="left"/>
      <w:pPr>
        <w:tabs>
          <w:tab w:val="num" w:pos="2880"/>
        </w:tabs>
        <w:ind w:left="2880" w:hanging="360"/>
      </w:pPr>
      <w:rPr>
        <w:rFonts w:ascii="Arial" w:hAnsi="Arial" w:hint="default"/>
      </w:rPr>
    </w:lvl>
    <w:lvl w:ilvl="4" w:tplc="64442574" w:tentative="1">
      <w:start w:val="1"/>
      <w:numFmt w:val="bullet"/>
      <w:lvlText w:val="•"/>
      <w:lvlJc w:val="left"/>
      <w:pPr>
        <w:tabs>
          <w:tab w:val="num" w:pos="3600"/>
        </w:tabs>
        <w:ind w:left="3600" w:hanging="360"/>
      </w:pPr>
      <w:rPr>
        <w:rFonts w:ascii="Arial" w:hAnsi="Arial" w:hint="default"/>
      </w:rPr>
    </w:lvl>
    <w:lvl w:ilvl="5" w:tplc="34C4AEBE" w:tentative="1">
      <w:start w:val="1"/>
      <w:numFmt w:val="bullet"/>
      <w:lvlText w:val="•"/>
      <w:lvlJc w:val="left"/>
      <w:pPr>
        <w:tabs>
          <w:tab w:val="num" w:pos="4320"/>
        </w:tabs>
        <w:ind w:left="4320" w:hanging="360"/>
      </w:pPr>
      <w:rPr>
        <w:rFonts w:ascii="Arial" w:hAnsi="Arial" w:hint="default"/>
      </w:rPr>
    </w:lvl>
    <w:lvl w:ilvl="6" w:tplc="62FE47D0" w:tentative="1">
      <w:start w:val="1"/>
      <w:numFmt w:val="bullet"/>
      <w:lvlText w:val="•"/>
      <w:lvlJc w:val="left"/>
      <w:pPr>
        <w:tabs>
          <w:tab w:val="num" w:pos="5040"/>
        </w:tabs>
        <w:ind w:left="5040" w:hanging="360"/>
      </w:pPr>
      <w:rPr>
        <w:rFonts w:ascii="Arial" w:hAnsi="Arial" w:hint="default"/>
      </w:rPr>
    </w:lvl>
    <w:lvl w:ilvl="7" w:tplc="8E8062DA" w:tentative="1">
      <w:start w:val="1"/>
      <w:numFmt w:val="bullet"/>
      <w:lvlText w:val="•"/>
      <w:lvlJc w:val="left"/>
      <w:pPr>
        <w:tabs>
          <w:tab w:val="num" w:pos="5760"/>
        </w:tabs>
        <w:ind w:left="5760" w:hanging="360"/>
      </w:pPr>
      <w:rPr>
        <w:rFonts w:ascii="Arial" w:hAnsi="Arial" w:hint="default"/>
      </w:rPr>
    </w:lvl>
    <w:lvl w:ilvl="8" w:tplc="BEAC65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75784D"/>
    <w:multiLevelType w:val="hybridMultilevel"/>
    <w:tmpl w:val="0A000472"/>
    <w:lvl w:ilvl="0" w:tplc="CD0239F6">
      <w:start w:val="1"/>
      <w:numFmt w:val="decimal"/>
      <w:lvlText w:val="%1."/>
      <w:lvlJc w:val="left"/>
      <w:pPr>
        <w:tabs>
          <w:tab w:val="num" w:pos="720"/>
        </w:tabs>
        <w:ind w:left="720" w:hanging="360"/>
      </w:pPr>
    </w:lvl>
    <w:lvl w:ilvl="1" w:tplc="DF30D22A" w:tentative="1">
      <w:start w:val="1"/>
      <w:numFmt w:val="decimal"/>
      <w:lvlText w:val="%2."/>
      <w:lvlJc w:val="left"/>
      <w:pPr>
        <w:tabs>
          <w:tab w:val="num" w:pos="1440"/>
        </w:tabs>
        <w:ind w:left="1440" w:hanging="360"/>
      </w:pPr>
    </w:lvl>
    <w:lvl w:ilvl="2" w:tplc="31F4C016" w:tentative="1">
      <w:start w:val="1"/>
      <w:numFmt w:val="decimal"/>
      <w:lvlText w:val="%3."/>
      <w:lvlJc w:val="left"/>
      <w:pPr>
        <w:tabs>
          <w:tab w:val="num" w:pos="2160"/>
        </w:tabs>
        <w:ind w:left="2160" w:hanging="360"/>
      </w:pPr>
    </w:lvl>
    <w:lvl w:ilvl="3" w:tplc="82E636B8" w:tentative="1">
      <w:start w:val="1"/>
      <w:numFmt w:val="decimal"/>
      <w:lvlText w:val="%4."/>
      <w:lvlJc w:val="left"/>
      <w:pPr>
        <w:tabs>
          <w:tab w:val="num" w:pos="2880"/>
        </w:tabs>
        <w:ind w:left="2880" w:hanging="360"/>
      </w:pPr>
    </w:lvl>
    <w:lvl w:ilvl="4" w:tplc="89B44B6E" w:tentative="1">
      <w:start w:val="1"/>
      <w:numFmt w:val="decimal"/>
      <w:lvlText w:val="%5."/>
      <w:lvlJc w:val="left"/>
      <w:pPr>
        <w:tabs>
          <w:tab w:val="num" w:pos="3600"/>
        </w:tabs>
        <w:ind w:left="3600" w:hanging="360"/>
      </w:pPr>
    </w:lvl>
    <w:lvl w:ilvl="5" w:tplc="4D6C9A80" w:tentative="1">
      <w:start w:val="1"/>
      <w:numFmt w:val="decimal"/>
      <w:lvlText w:val="%6."/>
      <w:lvlJc w:val="left"/>
      <w:pPr>
        <w:tabs>
          <w:tab w:val="num" w:pos="4320"/>
        </w:tabs>
        <w:ind w:left="4320" w:hanging="360"/>
      </w:pPr>
    </w:lvl>
    <w:lvl w:ilvl="6" w:tplc="936ADDF4" w:tentative="1">
      <w:start w:val="1"/>
      <w:numFmt w:val="decimal"/>
      <w:lvlText w:val="%7."/>
      <w:lvlJc w:val="left"/>
      <w:pPr>
        <w:tabs>
          <w:tab w:val="num" w:pos="5040"/>
        </w:tabs>
        <w:ind w:left="5040" w:hanging="360"/>
      </w:pPr>
    </w:lvl>
    <w:lvl w:ilvl="7" w:tplc="76C4B0BC" w:tentative="1">
      <w:start w:val="1"/>
      <w:numFmt w:val="decimal"/>
      <w:lvlText w:val="%8."/>
      <w:lvlJc w:val="left"/>
      <w:pPr>
        <w:tabs>
          <w:tab w:val="num" w:pos="5760"/>
        </w:tabs>
        <w:ind w:left="5760" w:hanging="360"/>
      </w:pPr>
    </w:lvl>
    <w:lvl w:ilvl="8" w:tplc="B4AA6C2A" w:tentative="1">
      <w:start w:val="1"/>
      <w:numFmt w:val="decimal"/>
      <w:lvlText w:val="%9."/>
      <w:lvlJc w:val="left"/>
      <w:pPr>
        <w:tabs>
          <w:tab w:val="num" w:pos="6480"/>
        </w:tabs>
        <w:ind w:left="6480" w:hanging="360"/>
      </w:pPr>
    </w:lvl>
  </w:abstractNum>
  <w:abstractNum w:abstractNumId="5" w15:restartNumberingAfterBreak="0">
    <w:nsid w:val="6CD27E8A"/>
    <w:multiLevelType w:val="hybridMultilevel"/>
    <w:tmpl w:val="8E92F13A"/>
    <w:lvl w:ilvl="0" w:tplc="0114B094">
      <w:start w:val="1"/>
      <w:numFmt w:val="bullet"/>
      <w:lvlText w:val="•"/>
      <w:lvlJc w:val="left"/>
      <w:pPr>
        <w:tabs>
          <w:tab w:val="num" w:pos="720"/>
        </w:tabs>
        <w:ind w:left="720" w:hanging="360"/>
      </w:pPr>
      <w:rPr>
        <w:rFonts w:ascii="Arial" w:hAnsi="Arial" w:hint="default"/>
      </w:rPr>
    </w:lvl>
    <w:lvl w:ilvl="1" w:tplc="C77EB654" w:tentative="1">
      <w:start w:val="1"/>
      <w:numFmt w:val="bullet"/>
      <w:lvlText w:val="•"/>
      <w:lvlJc w:val="left"/>
      <w:pPr>
        <w:tabs>
          <w:tab w:val="num" w:pos="1440"/>
        </w:tabs>
        <w:ind w:left="1440" w:hanging="360"/>
      </w:pPr>
      <w:rPr>
        <w:rFonts w:ascii="Arial" w:hAnsi="Arial" w:hint="default"/>
      </w:rPr>
    </w:lvl>
    <w:lvl w:ilvl="2" w:tplc="44BAF9E8" w:tentative="1">
      <w:start w:val="1"/>
      <w:numFmt w:val="bullet"/>
      <w:lvlText w:val="•"/>
      <w:lvlJc w:val="left"/>
      <w:pPr>
        <w:tabs>
          <w:tab w:val="num" w:pos="2160"/>
        </w:tabs>
        <w:ind w:left="2160" w:hanging="360"/>
      </w:pPr>
      <w:rPr>
        <w:rFonts w:ascii="Arial" w:hAnsi="Arial" w:hint="default"/>
      </w:rPr>
    </w:lvl>
    <w:lvl w:ilvl="3" w:tplc="C76E5A0C" w:tentative="1">
      <w:start w:val="1"/>
      <w:numFmt w:val="bullet"/>
      <w:lvlText w:val="•"/>
      <w:lvlJc w:val="left"/>
      <w:pPr>
        <w:tabs>
          <w:tab w:val="num" w:pos="2880"/>
        </w:tabs>
        <w:ind w:left="2880" w:hanging="360"/>
      </w:pPr>
      <w:rPr>
        <w:rFonts w:ascii="Arial" w:hAnsi="Arial" w:hint="default"/>
      </w:rPr>
    </w:lvl>
    <w:lvl w:ilvl="4" w:tplc="DEF86E8C" w:tentative="1">
      <w:start w:val="1"/>
      <w:numFmt w:val="bullet"/>
      <w:lvlText w:val="•"/>
      <w:lvlJc w:val="left"/>
      <w:pPr>
        <w:tabs>
          <w:tab w:val="num" w:pos="3600"/>
        </w:tabs>
        <w:ind w:left="3600" w:hanging="360"/>
      </w:pPr>
      <w:rPr>
        <w:rFonts w:ascii="Arial" w:hAnsi="Arial" w:hint="default"/>
      </w:rPr>
    </w:lvl>
    <w:lvl w:ilvl="5" w:tplc="86D86F94" w:tentative="1">
      <w:start w:val="1"/>
      <w:numFmt w:val="bullet"/>
      <w:lvlText w:val="•"/>
      <w:lvlJc w:val="left"/>
      <w:pPr>
        <w:tabs>
          <w:tab w:val="num" w:pos="4320"/>
        </w:tabs>
        <w:ind w:left="4320" w:hanging="360"/>
      </w:pPr>
      <w:rPr>
        <w:rFonts w:ascii="Arial" w:hAnsi="Arial" w:hint="default"/>
      </w:rPr>
    </w:lvl>
    <w:lvl w:ilvl="6" w:tplc="13AE5224" w:tentative="1">
      <w:start w:val="1"/>
      <w:numFmt w:val="bullet"/>
      <w:lvlText w:val="•"/>
      <w:lvlJc w:val="left"/>
      <w:pPr>
        <w:tabs>
          <w:tab w:val="num" w:pos="5040"/>
        </w:tabs>
        <w:ind w:left="5040" w:hanging="360"/>
      </w:pPr>
      <w:rPr>
        <w:rFonts w:ascii="Arial" w:hAnsi="Arial" w:hint="default"/>
      </w:rPr>
    </w:lvl>
    <w:lvl w:ilvl="7" w:tplc="8DA463F2" w:tentative="1">
      <w:start w:val="1"/>
      <w:numFmt w:val="bullet"/>
      <w:lvlText w:val="•"/>
      <w:lvlJc w:val="left"/>
      <w:pPr>
        <w:tabs>
          <w:tab w:val="num" w:pos="5760"/>
        </w:tabs>
        <w:ind w:left="5760" w:hanging="360"/>
      </w:pPr>
      <w:rPr>
        <w:rFonts w:ascii="Arial" w:hAnsi="Arial" w:hint="default"/>
      </w:rPr>
    </w:lvl>
    <w:lvl w:ilvl="8" w:tplc="AA2ABB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A876894"/>
    <w:multiLevelType w:val="hybridMultilevel"/>
    <w:tmpl w:val="661A608A"/>
    <w:lvl w:ilvl="0" w:tplc="245890AE">
      <w:start w:val="1"/>
      <w:numFmt w:val="bullet"/>
      <w:lvlText w:val="•"/>
      <w:lvlJc w:val="left"/>
      <w:pPr>
        <w:tabs>
          <w:tab w:val="num" w:pos="720"/>
        </w:tabs>
        <w:ind w:left="720" w:hanging="360"/>
      </w:pPr>
      <w:rPr>
        <w:rFonts w:ascii="Arial" w:hAnsi="Arial" w:hint="default"/>
      </w:rPr>
    </w:lvl>
    <w:lvl w:ilvl="1" w:tplc="F24859F4" w:tentative="1">
      <w:start w:val="1"/>
      <w:numFmt w:val="bullet"/>
      <w:lvlText w:val="•"/>
      <w:lvlJc w:val="left"/>
      <w:pPr>
        <w:tabs>
          <w:tab w:val="num" w:pos="1440"/>
        </w:tabs>
        <w:ind w:left="1440" w:hanging="360"/>
      </w:pPr>
      <w:rPr>
        <w:rFonts w:ascii="Arial" w:hAnsi="Arial" w:hint="default"/>
      </w:rPr>
    </w:lvl>
    <w:lvl w:ilvl="2" w:tplc="3F74BEC0" w:tentative="1">
      <w:start w:val="1"/>
      <w:numFmt w:val="bullet"/>
      <w:lvlText w:val="•"/>
      <w:lvlJc w:val="left"/>
      <w:pPr>
        <w:tabs>
          <w:tab w:val="num" w:pos="2160"/>
        </w:tabs>
        <w:ind w:left="2160" w:hanging="360"/>
      </w:pPr>
      <w:rPr>
        <w:rFonts w:ascii="Arial" w:hAnsi="Arial" w:hint="default"/>
      </w:rPr>
    </w:lvl>
    <w:lvl w:ilvl="3" w:tplc="53E84CD6" w:tentative="1">
      <w:start w:val="1"/>
      <w:numFmt w:val="bullet"/>
      <w:lvlText w:val="•"/>
      <w:lvlJc w:val="left"/>
      <w:pPr>
        <w:tabs>
          <w:tab w:val="num" w:pos="2880"/>
        </w:tabs>
        <w:ind w:left="2880" w:hanging="360"/>
      </w:pPr>
      <w:rPr>
        <w:rFonts w:ascii="Arial" w:hAnsi="Arial" w:hint="default"/>
      </w:rPr>
    </w:lvl>
    <w:lvl w:ilvl="4" w:tplc="1DE2AC42" w:tentative="1">
      <w:start w:val="1"/>
      <w:numFmt w:val="bullet"/>
      <w:lvlText w:val="•"/>
      <w:lvlJc w:val="left"/>
      <w:pPr>
        <w:tabs>
          <w:tab w:val="num" w:pos="3600"/>
        </w:tabs>
        <w:ind w:left="3600" w:hanging="360"/>
      </w:pPr>
      <w:rPr>
        <w:rFonts w:ascii="Arial" w:hAnsi="Arial" w:hint="default"/>
      </w:rPr>
    </w:lvl>
    <w:lvl w:ilvl="5" w:tplc="D7A805E4" w:tentative="1">
      <w:start w:val="1"/>
      <w:numFmt w:val="bullet"/>
      <w:lvlText w:val="•"/>
      <w:lvlJc w:val="left"/>
      <w:pPr>
        <w:tabs>
          <w:tab w:val="num" w:pos="4320"/>
        </w:tabs>
        <w:ind w:left="4320" w:hanging="360"/>
      </w:pPr>
      <w:rPr>
        <w:rFonts w:ascii="Arial" w:hAnsi="Arial" w:hint="default"/>
      </w:rPr>
    </w:lvl>
    <w:lvl w:ilvl="6" w:tplc="49442C6A" w:tentative="1">
      <w:start w:val="1"/>
      <w:numFmt w:val="bullet"/>
      <w:lvlText w:val="•"/>
      <w:lvlJc w:val="left"/>
      <w:pPr>
        <w:tabs>
          <w:tab w:val="num" w:pos="5040"/>
        </w:tabs>
        <w:ind w:left="5040" w:hanging="360"/>
      </w:pPr>
      <w:rPr>
        <w:rFonts w:ascii="Arial" w:hAnsi="Arial" w:hint="default"/>
      </w:rPr>
    </w:lvl>
    <w:lvl w:ilvl="7" w:tplc="69DEE6FA" w:tentative="1">
      <w:start w:val="1"/>
      <w:numFmt w:val="bullet"/>
      <w:lvlText w:val="•"/>
      <w:lvlJc w:val="left"/>
      <w:pPr>
        <w:tabs>
          <w:tab w:val="num" w:pos="5760"/>
        </w:tabs>
        <w:ind w:left="5760" w:hanging="360"/>
      </w:pPr>
      <w:rPr>
        <w:rFonts w:ascii="Arial" w:hAnsi="Arial" w:hint="default"/>
      </w:rPr>
    </w:lvl>
    <w:lvl w:ilvl="8" w:tplc="8F3432B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5"/>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EFE"/>
    <w:rsid w:val="000B3AE5"/>
    <w:rsid w:val="000D58D8"/>
    <w:rsid w:val="000D6AB0"/>
    <w:rsid w:val="0018552B"/>
    <w:rsid w:val="001B38D8"/>
    <w:rsid w:val="001C57C8"/>
    <w:rsid w:val="001F2989"/>
    <w:rsid w:val="002C614B"/>
    <w:rsid w:val="00397DEA"/>
    <w:rsid w:val="003D53A0"/>
    <w:rsid w:val="00400765"/>
    <w:rsid w:val="00445CBE"/>
    <w:rsid w:val="00454DC3"/>
    <w:rsid w:val="00470DA3"/>
    <w:rsid w:val="00472C3A"/>
    <w:rsid w:val="00487D56"/>
    <w:rsid w:val="004B7EBF"/>
    <w:rsid w:val="00566EFE"/>
    <w:rsid w:val="005768A4"/>
    <w:rsid w:val="006A1CF8"/>
    <w:rsid w:val="006F67EB"/>
    <w:rsid w:val="0073480B"/>
    <w:rsid w:val="007829D2"/>
    <w:rsid w:val="007E1789"/>
    <w:rsid w:val="00891637"/>
    <w:rsid w:val="008D6B27"/>
    <w:rsid w:val="0091612B"/>
    <w:rsid w:val="00917A0B"/>
    <w:rsid w:val="00934433"/>
    <w:rsid w:val="009F6548"/>
    <w:rsid w:val="00AC11EA"/>
    <w:rsid w:val="00B4604C"/>
    <w:rsid w:val="00B71B8D"/>
    <w:rsid w:val="00B87B6E"/>
    <w:rsid w:val="00CA50FB"/>
    <w:rsid w:val="00CE6431"/>
    <w:rsid w:val="00CF7FDF"/>
    <w:rsid w:val="00E046A5"/>
    <w:rsid w:val="00F247D3"/>
    <w:rsid w:val="00F44B89"/>
    <w:rsid w:val="00F65135"/>
    <w:rsid w:val="00FC43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E11B5D-2F96-49FC-AA0A-EC40568F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934433"/>
    <w:rPr>
      <w:rFonts w:ascii="Times New Roman" w:eastAsia="Times New Roman" w:hAnsi="Times New Roman" w:cs="Times New Roman"/>
    </w:rPr>
  </w:style>
  <w:style w:type="paragraph" w:customStyle="1" w:styleId="1">
    <w:name w:val="Основной текст1"/>
    <w:basedOn w:val="a"/>
    <w:link w:val="a3"/>
    <w:rsid w:val="00934433"/>
    <w:pPr>
      <w:widowControl w:val="0"/>
      <w:spacing w:after="0" w:line="240" w:lineRule="auto"/>
      <w:ind w:firstLine="400"/>
    </w:pPr>
    <w:rPr>
      <w:rFonts w:ascii="Times New Roman" w:eastAsia="Times New Roman" w:hAnsi="Times New Roman" w:cs="Times New Roman"/>
    </w:rPr>
  </w:style>
  <w:style w:type="paragraph" w:styleId="a4">
    <w:name w:val="Normal (Web)"/>
    <w:basedOn w:val="a"/>
    <w:uiPriority w:val="99"/>
    <w:semiHidden/>
    <w:unhideWhenUsed/>
    <w:rsid w:val="00CF7FDF"/>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5">
    <w:name w:val="Hyperlink"/>
    <w:basedOn w:val="a0"/>
    <w:uiPriority w:val="99"/>
    <w:unhideWhenUsed/>
    <w:rsid w:val="00472C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248680">
      <w:bodyDiv w:val="1"/>
      <w:marLeft w:val="0"/>
      <w:marRight w:val="0"/>
      <w:marTop w:val="0"/>
      <w:marBottom w:val="0"/>
      <w:divBdr>
        <w:top w:val="none" w:sz="0" w:space="0" w:color="auto"/>
        <w:left w:val="none" w:sz="0" w:space="0" w:color="auto"/>
        <w:bottom w:val="none" w:sz="0" w:space="0" w:color="auto"/>
        <w:right w:val="none" w:sz="0" w:space="0" w:color="auto"/>
      </w:divBdr>
      <w:divsChild>
        <w:div w:id="1471895267">
          <w:marLeft w:val="547"/>
          <w:marRight w:val="0"/>
          <w:marTop w:val="154"/>
          <w:marBottom w:val="0"/>
          <w:divBdr>
            <w:top w:val="none" w:sz="0" w:space="0" w:color="auto"/>
            <w:left w:val="none" w:sz="0" w:space="0" w:color="auto"/>
            <w:bottom w:val="none" w:sz="0" w:space="0" w:color="auto"/>
            <w:right w:val="none" w:sz="0" w:space="0" w:color="auto"/>
          </w:divBdr>
        </w:div>
        <w:div w:id="1795560208">
          <w:marLeft w:val="547"/>
          <w:marRight w:val="0"/>
          <w:marTop w:val="154"/>
          <w:marBottom w:val="0"/>
          <w:divBdr>
            <w:top w:val="none" w:sz="0" w:space="0" w:color="auto"/>
            <w:left w:val="none" w:sz="0" w:space="0" w:color="auto"/>
            <w:bottom w:val="none" w:sz="0" w:space="0" w:color="auto"/>
            <w:right w:val="none" w:sz="0" w:space="0" w:color="auto"/>
          </w:divBdr>
        </w:div>
        <w:div w:id="1660841762">
          <w:marLeft w:val="547"/>
          <w:marRight w:val="0"/>
          <w:marTop w:val="154"/>
          <w:marBottom w:val="0"/>
          <w:divBdr>
            <w:top w:val="none" w:sz="0" w:space="0" w:color="auto"/>
            <w:left w:val="none" w:sz="0" w:space="0" w:color="auto"/>
            <w:bottom w:val="none" w:sz="0" w:space="0" w:color="auto"/>
            <w:right w:val="none" w:sz="0" w:space="0" w:color="auto"/>
          </w:divBdr>
        </w:div>
        <w:div w:id="1977253742">
          <w:marLeft w:val="547"/>
          <w:marRight w:val="0"/>
          <w:marTop w:val="154"/>
          <w:marBottom w:val="0"/>
          <w:divBdr>
            <w:top w:val="none" w:sz="0" w:space="0" w:color="auto"/>
            <w:left w:val="none" w:sz="0" w:space="0" w:color="auto"/>
            <w:bottom w:val="none" w:sz="0" w:space="0" w:color="auto"/>
            <w:right w:val="none" w:sz="0" w:space="0" w:color="auto"/>
          </w:divBdr>
        </w:div>
        <w:div w:id="1292205076">
          <w:marLeft w:val="547"/>
          <w:marRight w:val="0"/>
          <w:marTop w:val="154"/>
          <w:marBottom w:val="0"/>
          <w:divBdr>
            <w:top w:val="none" w:sz="0" w:space="0" w:color="auto"/>
            <w:left w:val="none" w:sz="0" w:space="0" w:color="auto"/>
            <w:bottom w:val="none" w:sz="0" w:space="0" w:color="auto"/>
            <w:right w:val="none" w:sz="0" w:space="0" w:color="auto"/>
          </w:divBdr>
        </w:div>
        <w:div w:id="1040547796">
          <w:marLeft w:val="547"/>
          <w:marRight w:val="0"/>
          <w:marTop w:val="154"/>
          <w:marBottom w:val="0"/>
          <w:divBdr>
            <w:top w:val="none" w:sz="0" w:space="0" w:color="auto"/>
            <w:left w:val="none" w:sz="0" w:space="0" w:color="auto"/>
            <w:bottom w:val="none" w:sz="0" w:space="0" w:color="auto"/>
            <w:right w:val="none" w:sz="0" w:space="0" w:color="auto"/>
          </w:divBdr>
        </w:div>
        <w:div w:id="1970089607">
          <w:marLeft w:val="547"/>
          <w:marRight w:val="0"/>
          <w:marTop w:val="154"/>
          <w:marBottom w:val="0"/>
          <w:divBdr>
            <w:top w:val="none" w:sz="0" w:space="0" w:color="auto"/>
            <w:left w:val="none" w:sz="0" w:space="0" w:color="auto"/>
            <w:bottom w:val="none" w:sz="0" w:space="0" w:color="auto"/>
            <w:right w:val="none" w:sz="0" w:space="0" w:color="auto"/>
          </w:divBdr>
        </w:div>
      </w:divsChild>
    </w:div>
    <w:div w:id="190340802">
      <w:bodyDiv w:val="1"/>
      <w:marLeft w:val="0"/>
      <w:marRight w:val="0"/>
      <w:marTop w:val="0"/>
      <w:marBottom w:val="0"/>
      <w:divBdr>
        <w:top w:val="none" w:sz="0" w:space="0" w:color="auto"/>
        <w:left w:val="none" w:sz="0" w:space="0" w:color="auto"/>
        <w:bottom w:val="none" w:sz="0" w:space="0" w:color="auto"/>
        <w:right w:val="none" w:sz="0" w:space="0" w:color="auto"/>
      </w:divBdr>
      <w:divsChild>
        <w:div w:id="447897661">
          <w:marLeft w:val="547"/>
          <w:marRight w:val="0"/>
          <w:marTop w:val="115"/>
          <w:marBottom w:val="0"/>
          <w:divBdr>
            <w:top w:val="none" w:sz="0" w:space="0" w:color="auto"/>
            <w:left w:val="none" w:sz="0" w:space="0" w:color="auto"/>
            <w:bottom w:val="none" w:sz="0" w:space="0" w:color="auto"/>
            <w:right w:val="none" w:sz="0" w:space="0" w:color="auto"/>
          </w:divBdr>
        </w:div>
        <w:div w:id="262230815">
          <w:marLeft w:val="547"/>
          <w:marRight w:val="0"/>
          <w:marTop w:val="115"/>
          <w:marBottom w:val="0"/>
          <w:divBdr>
            <w:top w:val="none" w:sz="0" w:space="0" w:color="auto"/>
            <w:left w:val="none" w:sz="0" w:space="0" w:color="auto"/>
            <w:bottom w:val="none" w:sz="0" w:space="0" w:color="auto"/>
            <w:right w:val="none" w:sz="0" w:space="0" w:color="auto"/>
          </w:divBdr>
        </w:div>
        <w:div w:id="1659916947">
          <w:marLeft w:val="547"/>
          <w:marRight w:val="0"/>
          <w:marTop w:val="115"/>
          <w:marBottom w:val="0"/>
          <w:divBdr>
            <w:top w:val="none" w:sz="0" w:space="0" w:color="auto"/>
            <w:left w:val="none" w:sz="0" w:space="0" w:color="auto"/>
            <w:bottom w:val="none" w:sz="0" w:space="0" w:color="auto"/>
            <w:right w:val="none" w:sz="0" w:space="0" w:color="auto"/>
          </w:divBdr>
        </w:div>
        <w:div w:id="303437651">
          <w:marLeft w:val="547"/>
          <w:marRight w:val="0"/>
          <w:marTop w:val="115"/>
          <w:marBottom w:val="0"/>
          <w:divBdr>
            <w:top w:val="none" w:sz="0" w:space="0" w:color="auto"/>
            <w:left w:val="none" w:sz="0" w:space="0" w:color="auto"/>
            <w:bottom w:val="none" w:sz="0" w:space="0" w:color="auto"/>
            <w:right w:val="none" w:sz="0" w:space="0" w:color="auto"/>
          </w:divBdr>
        </w:div>
        <w:div w:id="1374185392">
          <w:marLeft w:val="547"/>
          <w:marRight w:val="0"/>
          <w:marTop w:val="115"/>
          <w:marBottom w:val="0"/>
          <w:divBdr>
            <w:top w:val="none" w:sz="0" w:space="0" w:color="auto"/>
            <w:left w:val="none" w:sz="0" w:space="0" w:color="auto"/>
            <w:bottom w:val="none" w:sz="0" w:space="0" w:color="auto"/>
            <w:right w:val="none" w:sz="0" w:space="0" w:color="auto"/>
          </w:divBdr>
        </w:div>
        <w:div w:id="1214274315">
          <w:marLeft w:val="547"/>
          <w:marRight w:val="0"/>
          <w:marTop w:val="115"/>
          <w:marBottom w:val="0"/>
          <w:divBdr>
            <w:top w:val="none" w:sz="0" w:space="0" w:color="auto"/>
            <w:left w:val="none" w:sz="0" w:space="0" w:color="auto"/>
            <w:bottom w:val="none" w:sz="0" w:space="0" w:color="auto"/>
            <w:right w:val="none" w:sz="0" w:space="0" w:color="auto"/>
          </w:divBdr>
        </w:div>
        <w:div w:id="2002613806">
          <w:marLeft w:val="547"/>
          <w:marRight w:val="0"/>
          <w:marTop w:val="115"/>
          <w:marBottom w:val="0"/>
          <w:divBdr>
            <w:top w:val="none" w:sz="0" w:space="0" w:color="auto"/>
            <w:left w:val="none" w:sz="0" w:space="0" w:color="auto"/>
            <w:bottom w:val="none" w:sz="0" w:space="0" w:color="auto"/>
            <w:right w:val="none" w:sz="0" w:space="0" w:color="auto"/>
          </w:divBdr>
        </w:div>
        <w:div w:id="1341814993">
          <w:marLeft w:val="547"/>
          <w:marRight w:val="0"/>
          <w:marTop w:val="115"/>
          <w:marBottom w:val="0"/>
          <w:divBdr>
            <w:top w:val="none" w:sz="0" w:space="0" w:color="auto"/>
            <w:left w:val="none" w:sz="0" w:space="0" w:color="auto"/>
            <w:bottom w:val="none" w:sz="0" w:space="0" w:color="auto"/>
            <w:right w:val="none" w:sz="0" w:space="0" w:color="auto"/>
          </w:divBdr>
        </w:div>
      </w:divsChild>
    </w:div>
    <w:div w:id="263343825">
      <w:bodyDiv w:val="1"/>
      <w:marLeft w:val="0"/>
      <w:marRight w:val="0"/>
      <w:marTop w:val="0"/>
      <w:marBottom w:val="0"/>
      <w:divBdr>
        <w:top w:val="none" w:sz="0" w:space="0" w:color="auto"/>
        <w:left w:val="none" w:sz="0" w:space="0" w:color="auto"/>
        <w:bottom w:val="none" w:sz="0" w:space="0" w:color="auto"/>
        <w:right w:val="none" w:sz="0" w:space="0" w:color="auto"/>
      </w:divBdr>
      <w:divsChild>
        <w:div w:id="479271614">
          <w:marLeft w:val="547"/>
          <w:marRight w:val="0"/>
          <w:marTop w:val="154"/>
          <w:marBottom w:val="0"/>
          <w:divBdr>
            <w:top w:val="none" w:sz="0" w:space="0" w:color="auto"/>
            <w:left w:val="none" w:sz="0" w:space="0" w:color="auto"/>
            <w:bottom w:val="none" w:sz="0" w:space="0" w:color="auto"/>
            <w:right w:val="none" w:sz="0" w:space="0" w:color="auto"/>
          </w:divBdr>
        </w:div>
        <w:div w:id="803156095">
          <w:marLeft w:val="547"/>
          <w:marRight w:val="0"/>
          <w:marTop w:val="154"/>
          <w:marBottom w:val="0"/>
          <w:divBdr>
            <w:top w:val="none" w:sz="0" w:space="0" w:color="auto"/>
            <w:left w:val="none" w:sz="0" w:space="0" w:color="auto"/>
            <w:bottom w:val="none" w:sz="0" w:space="0" w:color="auto"/>
            <w:right w:val="none" w:sz="0" w:space="0" w:color="auto"/>
          </w:divBdr>
        </w:div>
      </w:divsChild>
    </w:div>
    <w:div w:id="699822759">
      <w:bodyDiv w:val="1"/>
      <w:marLeft w:val="0"/>
      <w:marRight w:val="0"/>
      <w:marTop w:val="0"/>
      <w:marBottom w:val="0"/>
      <w:divBdr>
        <w:top w:val="none" w:sz="0" w:space="0" w:color="auto"/>
        <w:left w:val="none" w:sz="0" w:space="0" w:color="auto"/>
        <w:bottom w:val="none" w:sz="0" w:space="0" w:color="auto"/>
        <w:right w:val="none" w:sz="0" w:space="0" w:color="auto"/>
      </w:divBdr>
      <w:divsChild>
        <w:div w:id="2110004155">
          <w:marLeft w:val="806"/>
          <w:marRight w:val="0"/>
          <w:marTop w:val="154"/>
          <w:marBottom w:val="0"/>
          <w:divBdr>
            <w:top w:val="none" w:sz="0" w:space="0" w:color="auto"/>
            <w:left w:val="none" w:sz="0" w:space="0" w:color="auto"/>
            <w:bottom w:val="none" w:sz="0" w:space="0" w:color="auto"/>
            <w:right w:val="none" w:sz="0" w:space="0" w:color="auto"/>
          </w:divBdr>
        </w:div>
        <w:div w:id="653526949">
          <w:marLeft w:val="806"/>
          <w:marRight w:val="0"/>
          <w:marTop w:val="154"/>
          <w:marBottom w:val="0"/>
          <w:divBdr>
            <w:top w:val="none" w:sz="0" w:space="0" w:color="auto"/>
            <w:left w:val="none" w:sz="0" w:space="0" w:color="auto"/>
            <w:bottom w:val="none" w:sz="0" w:space="0" w:color="auto"/>
            <w:right w:val="none" w:sz="0" w:space="0" w:color="auto"/>
          </w:divBdr>
        </w:div>
        <w:div w:id="188220091">
          <w:marLeft w:val="806"/>
          <w:marRight w:val="0"/>
          <w:marTop w:val="154"/>
          <w:marBottom w:val="0"/>
          <w:divBdr>
            <w:top w:val="none" w:sz="0" w:space="0" w:color="auto"/>
            <w:left w:val="none" w:sz="0" w:space="0" w:color="auto"/>
            <w:bottom w:val="none" w:sz="0" w:space="0" w:color="auto"/>
            <w:right w:val="none" w:sz="0" w:space="0" w:color="auto"/>
          </w:divBdr>
        </w:div>
        <w:div w:id="1462460087">
          <w:marLeft w:val="806"/>
          <w:marRight w:val="0"/>
          <w:marTop w:val="154"/>
          <w:marBottom w:val="0"/>
          <w:divBdr>
            <w:top w:val="none" w:sz="0" w:space="0" w:color="auto"/>
            <w:left w:val="none" w:sz="0" w:space="0" w:color="auto"/>
            <w:bottom w:val="none" w:sz="0" w:space="0" w:color="auto"/>
            <w:right w:val="none" w:sz="0" w:space="0" w:color="auto"/>
          </w:divBdr>
        </w:div>
      </w:divsChild>
    </w:div>
    <w:div w:id="767041105">
      <w:bodyDiv w:val="1"/>
      <w:marLeft w:val="0"/>
      <w:marRight w:val="0"/>
      <w:marTop w:val="0"/>
      <w:marBottom w:val="0"/>
      <w:divBdr>
        <w:top w:val="none" w:sz="0" w:space="0" w:color="auto"/>
        <w:left w:val="none" w:sz="0" w:space="0" w:color="auto"/>
        <w:bottom w:val="none" w:sz="0" w:space="0" w:color="auto"/>
        <w:right w:val="none" w:sz="0" w:space="0" w:color="auto"/>
      </w:divBdr>
      <w:divsChild>
        <w:div w:id="2060476772">
          <w:marLeft w:val="547"/>
          <w:marRight w:val="0"/>
          <w:marTop w:val="134"/>
          <w:marBottom w:val="0"/>
          <w:divBdr>
            <w:top w:val="none" w:sz="0" w:space="0" w:color="auto"/>
            <w:left w:val="none" w:sz="0" w:space="0" w:color="auto"/>
            <w:bottom w:val="none" w:sz="0" w:space="0" w:color="auto"/>
            <w:right w:val="none" w:sz="0" w:space="0" w:color="auto"/>
          </w:divBdr>
        </w:div>
        <w:div w:id="829906218">
          <w:marLeft w:val="547"/>
          <w:marRight w:val="0"/>
          <w:marTop w:val="134"/>
          <w:marBottom w:val="0"/>
          <w:divBdr>
            <w:top w:val="none" w:sz="0" w:space="0" w:color="auto"/>
            <w:left w:val="none" w:sz="0" w:space="0" w:color="auto"/>
            <w:bottom w:val="none" w:sz="0" w:space="0" w:color="auto"/>
            <w:right w:val="none" w:sz="0" w:space="0" w:color="auto"/>
          </w:divBdr>
        </w:div>
      </w:divsChild>
    </w:div>
    <w:div w:id="1372917337">
      <w:bodyDiv w:val="1"/>
      <w:marLeft w:val="0"/>
      <w:marRight w:val="0"/>
      <w:marTop w:val="0"/>
      <w:marBottom w:val="0"/>
      <w:divBdr>
        <w:top w:val="none" w:sz="0" w:space="0" w:color="auto"/>
        <w:left w:val="none" w:sz="0" w:space="0" w:color="auto"/>
        <w:bottom w:val="none" w:sz="0" w:space="0" w:color="auto"/>
        <w:right w:val="none" w:sz="0" w:space="0" w:color="auto"/>
      </w:divBdr>
      <w:divsChild>
        <w:div w:id="549458229">
          <w:marLeft w:val="547"/>
          <w:marRight w:val="0"/>
          <w:marTop w:val="115"/>
          <w:marBottom w:val="0"/>
          <w:divBdr>
            <w:top w:val="none" w:sz="0" w:space="0" w:color="auto"/>
            <w:left w:val="none" w:sz="0" w:space="0" w:color="auto"/>
            <w:bottom w:val="none" w:sz="0" w:space="0" w:color="auto"/>
            <w:right w:val="none" w:sz="0" w:space="0" w:color="auto"/>
          </w:divBdr>
        </w:div>
        <w:div w:id="2031177035">
          <w:marLeft w:val="547"/>
          <w:marRight w:val="0"/>
          <w:marTop w:val="115"/>
          <w:marBottom w:val="0"/>
          <w:divBdr>
            <w:top w:val="none" w:sz="0" w:space="0" w:color="auto"/>
            <w:left w:val="none" w:sz="0" w:space="0" w:color="auto"/>
            <w:bottom w:val="none" w:sz="0" w:space="0" w:color="auto"/>
            <w:right w:val="none" w:sz="0" w:space="0" w:color="auto"/>
          </w:divBdr>
        </w:div>
        <w:div w:id="1245995550">
          <w:marLeft w:val="547"/>
          <w:marRight w:val="0"/>
          <w:marTop w:val="115"/>
          <w:marBottom w:val="0"/>
          <w:divBdr>
            <w:top w:val="none" w:sz="0" w:space="0" w:color="auto"/>
            <w:left w:val="none" w:sz="0" w:space="0" w:color="auto"/>
            <w:bottom w:val="none" w:sz="0" w:space="0" w:color="auto"/>
            <w:right w:val="none" w:sz="0" w:space="0" w:color="auto"/>
          </w:divBdr>
        </w:div>
        <w:div w:id="1635985199">
          <w:marLeft w:val="547"/>
          <w:marRight w:val="0"/>
          <w:marTop w:val="115"/>
          <w:marBottom w:val="0"/>
          <w:divBdr>
            <w:top w:val="none" w:sz="0" w:space="0" w:color="auto"/>
            <w:left w:val="none" w:sz="0" w:space="0" w:color="auto"/>
            <w:bottom w:val="none" w:sz="0" w:space="0" w:color="auto"/>
            <w:right w:val="none" w:sz="0" w:space="0" w:color="auto"/>
          </w:divBdr>
        </w:div>
      </w:divsChild>
    </w:div>
    <w:div w:id="1770151440">
      <w:bodyDiv w:val="1"/>
      <w:marLeft w:val="0"/>
      <w:marRight w:val="0"/>
      <w:marTop w:val="0"/>
      <w:marBottom w:val="0"/>
      <w:divBdr>
        <w:top w:val="none" w:sz="0" w:space="0" w:color="auto"/>
        <w:left w:val="none" w:sz="0" w:space="0" w:color="auto"/>
        <w:bottom w:val="none" w:sz="0" w:space="0" w:color="auto"/>
        <w:right w:val="none" w:sz="0" w:space="0" w:color="auto"/>
      </w:divBdr>
      <w:divsChild>
        <w:div w:id="481239348">
          <w:marLeft w:val="547"/>
          <w:marRight w:val="0"/>
          <w:marTop w:val="134"/>
          <w:marBottom w:val="0"/>
          <w:divBdr>
            <w:top w:val="none" w:sz="0" w:space="0" w:color="auto"/>
            <w:left w:val="none" w:sz="0" w:space="0" w:color="auto"/>
            <w:bottom w:val="none" w:sz="0" w:space="0" w:color="auto"/>
            <w:right w:val="none" w:sz="0" w:space="0" w:color="auto"/>
          </w:divBdr>
        </w:div>
        <w:div w:id="2023513166">
          <w:marLeft w:val="547"/>
          <w:marRight w:val="0"/>
          <w:marTop w:val="134"/>
          <w:marBottom w:val="0"/>
          <w:divBdr>
            <w:top w:val="none" w:sz="0" w:space="0" w:color="auto"/>
            <w:left w:val="none" w:sz="0" w:space="0" w:color="auto"/>
            <w:bottom w:val="none" w:sz="0" w:space="0" w:color="auto"/>
            <w:right w:val="none" w:sz="0" w:space="0" w:color="auto"/>
          </w:divBdr>
        </w:div>
        <w:div w:id="647366278">
          <w:marLeft w:val="547"/>
          <w:marRight w:val="0"/>
          <w:marTop w:val="134"/>
          <w:marBottom w:val="0"/>
          <w:divBdr>
            <w:top w:val="none" w:sz="0" w:space="0" w:color="auto"/>
            <w:left w:val="none" w:sz="0" w:space="0" w:color="auto"/>
            <w:bottom w:val="none" w:sz="0" w:space="0" w:color="auto"/>
            <w:right w:val="none" w:sz="0" w:space="0" w:color="auto"/>
          </w:divBdr>
        </w:div>
        <w:div w:id="293565864">
          <w:marLeft w:val="547"/>
          <w:marRight w:val="0"/>
          <w:marTop w:val="134"/>
          <w:marBottom w:val="0"/>
          <w:divBdr>
            <w:top w:val="none" w:sz="0" w:space="0" w:color="auto"/>
            <w:left w:val="none" w:sz="0" w:space="0" w:color="auto"/>
            <w:bottom w:val="none" w:sz="0" w:space="0" w:color="auto"/>
            <w:right w:val="none" w:sz="0" w:space="0" w:color="auto"/>
          </w:divBdr>
        </w:div>
      </w:divsChild>
    </w:div>
    <w:div w:id="2068872188">
      <w:bodyDiv w:val="1"/>
      <w:marLeft w:val="0"/>
      <w:marRight w:val="0"/>
      <w:marTop w:val="0"/>
      <w:marBottom w:val="0"/>
      <w:divBdr>
        <w:top w:val="none" w:sz="0" w:space="0" w:color="auto"/>
        <w:left w:val="none" w:sz="0" w:space="0" w:color="auto"/>
        <w:bottom w:val="none" w:sz="0" w:space="0" w:color="auto"/>
        <w:right w:val="none" w:sz="0" w:space="0" w:color="auto"/>
      </w:divBdr>
      <w:divsChild>
        <w:div w:id="1787770850">
          <w:marLeft w:val="547"/>
          <w:marRight w:val="0"/>
          <w:marTop w:val="115"/>
          <w:marBottom w:val="0"/>
          <w:divBdr>
            <w:top w:val="none" w:sz="0" w:space="0" w:color="auto"/>
            <w:left w:val="none" w:sz="0" w:space="0" w:color="auto"/>
            <w:bottom w:val="none" w:sz="0" w:space="0" w:color="auto"/>
            <w:right w:val="none" w:sz="0" w:space="0" w:color="auto"/>
          </w:divBdr>
        </w:div>
        <w:div w:id="215508873">
          <w:marLeft w:val="547"/>
          <w:marRight w:val="0"/>
          <w:marTop w:val="115"/>
          <w:marBottom w:val="0"/>
          <w:divBdr>
            <w:top w:val="none" w:sz="0" w:space="0" w:color="auto"/>
            <w:left w:val="none" w:sz="0" w:space="0" w:color="auto"/>
            <w:bottom w:val="none" w:sz="0" w:space="0" w:color="auto"/>
            <w:right w:val="none" w:sz="0" w:space="0" w:color="auto"/>
          </w:divBdr>
        </w:div>
        <w:div w:id="260063807">
          <w:marLeft w:val="547"/>
          <w:marRight w:val="0"/>
          <w:marTop w:val="115"/>
          <w:marBottom w:val="0"/>
          <w:divBdr>
            <w:top w:val="none" w:sz="0" w:space="0" w:color="auto"/>
            <w:left w:val="none" w:sz="0" w:space="0" w:color="auto"/>
            <w:bottom w:val="none" w:sz="0" w:space="0" w:color="auto"/>
            <w:right w:val="none" w:sz="0" w:space="0" w:color="auto"/>
          </w:divBdr>
        </w:div>
        <w:div w:id="1020855763">
          <w:marLeft w:val="547"/>
          <w:marRight w:val="0"/>
          <w:marTop w:val="115"/>
          <w:marBottom w:val="0"/>
          <w:divBdr>
            <w:top w:val="none" w:sz="0" w:space="0" w:color="auto"/>
            <w:left w:val="none" w:sz="0" w:space="0" w:color="auto"/>
            <w:bottom w:val="none" w:sz="0" w:space="0" w:color="auto"/>
            <w:right w:val="none" w:sz="0" w:space="0" w:color="auto"/>
          </w:divBdr>
        </w:div>
        <w:div w:id="780805251">
          <w:marLeft w:val="547"/>
          <w:marRight w:val="0"/>
          <w:marTop w:val="115"/>
          <w:marBottom w:val="0"/>
          <w:divBdr>
            <w:top w:val="none" w:sz="0" w:space="0" w:color="auto"/>
            <w:left w:val="none" w:sz="0" w:space="0" w:color="auto"/>
            <w:bottom w:val="none" w:sz="0" w:space="0" w:color="auto"/>
            <w:right w:val="none" w:sz="0" w:space="0" w:color="auto"/>
          </w:divBdr>
        </w:div>
        <w:div w:id="59914032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dmanuals.com/ru/" TargetMode="External"/><Relationship Id="rId3" Type="http://schemas.openxmlformats.org/officeDocument/2006/relationships/settings" Target="settings.xml"/><Relationship Id="rId7" Type="http://schemas.openxmlformats.org/officeDocument/2006/relationships/hyperlink" Target="https://www.msdmanuals.c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sdmanuals.com/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sdmanuals.com/ru/" TargetMode="External"/><Relationship Id="rId4" Type="http://schemas.openxmlformats.org/officeDocument/2006/relationships/webSettings" Target="webSettings.xml"/><Relationship Id="rId9" Type="http://schemas.openxmlformats.org/officeDocument/2006/relationships/hyperlink" Target="https://www.msdmanuals.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11</Pages>
  <Words>4573</Words>
  <Characters>26070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DELL</cp:lastModifiedBy>
  <cp:revision>7</cp:revision>
  <dcterms:created xsi:type="dcterms:W3CDTF">2021-04-14T03:18:00Z</dcterms:created>
  <dcterms:modified xsi:type="dcterms:W3CDTF">2021-04-16T16:04:00Z</dcterms:modified>
</cp:coreProperties>
</file>