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BB5" w:rsidRPr="003375CF" w:rsidRDefault="004F5BB5" w:rsidP="004F5BB5">
      <w:pPr>
        <w:spacing w:after="0" w:line="240" w:lineRule="auto"/>
        <w:jc w:val="both"/>
        <w:rPr>
          <w:rFonts w:ascii="Arial" w:hAnsi="Arial" w:cs="Arial"/>
          <w:b/>
          <w:sz w:val="28"/>
          <w:szCs w:val="28"/>
          <w:lang w:val="en-US"/>
        </w:rPr>
      </w:pPr>
      <w:bookmarkStart w:id="0" w:name="_GoBack"/>
      <w:bookmarkEnd w:id="0"/>
      <w:r w:rsidRPr="003375CF">
        <w:rPr>
          <w:rFonts w:ascii="Arial" w:hAnsi="Arial" w:cs="Arial"/>
          <w:noProof/>
          <w:lang w:eastAsia="ru-RU"/>
        </w:rPr>
        <mc:AlternateContent>
          <mc:Choice Requires="wps">
            <w:drawing>
              <wp:anchor distT="0" distB="0" distL="114300" distR="114300" simplePos="0" relativeHeight="251659264" behindDoc="0" locked="0" layoutInCell="1" allowOverlap="1" wp14:anchorId="5D6ED703" wp14:editId="003B74BF">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4F5BB5" w:rsidRPr="006B798B" w:rsidRDefault="004F5BB5" w:rsidP="004F5BB5">
                            <w:pPr>
                              <w:pStyle w:val="a5"/>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ED703" id="Заголовок 3" o:spid="_x0000_s1026" style="position:absolute;left:0;text-align:left;margin-left:291.15pt;margin-top:-2.7pt;width:183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4F5BB5" w:rsidRPr="006B798B" w:rsidRDefault="004F5BB5" w:rsidP="004F5BB5">
                      <w:pPr>
                        <w:pStyle w:val="a5"/>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sidRPr="003375CF">
        <w:rPr>
          <w:rFonts w:ascii="Arial" w:hAnsi="Arial" w:cs="Arial"/>
          <w:noProof/>
          <w:lang w:eastAsia="ru-RU"/>
        </w:rPr>
        <w:drawing>
          <wp:anchor distT="0" distB="0" distL="114300" distR="114300" simplePos="0" relativeHeight="251660288" behindDoc="0" locked="0" layoutInCell="1" allowOverlap="1" wp14:anchorId="03FA7106" wp14:editId="39CE980C">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5"/>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4F5BB5" w:rsidRPr="003375CF" w:rsidRDefault="004F5BB5" w:rsidP="004F5BB5">
      <w:pPr>
        <w:spacing w:after="0" w:line="240" w:lineRule="auto"/>
        <w:jc w:val="both"/>
        <w:rPr>
          <w:rFonts w:ascii="Arial" w:hAnsi="Arial" w:cs="Arial"/>
          <w:b/>
          <w:sz w:val="28"/>
          <w:szCs w:val="28"/>
          <w:lang w:val="en-US"/>
        </w:rPr>
      </w:pPr>
    </w:p>
    <w:p w:rsidR="004F5BB5" w:rsidRDefault="004F5BB5" w:rsidP="004F5BB5">
      <w:pPr>
        <w:spacing w:after="0" w:line="240" w:lineRule="auto"/>
        <w:jc w:val="center"/>
        <w:rPr>
          <w:rFonts w:ascii="Arial" w:hAnsi="Arial" w:cs="Arial"/>
          <w:b/>
          <w:color w:val="00B050"/>
          <w:sz w:val="28"/>
          <w:szCs w:val="28"/>
          <w:lang w:val="en-US"/>
        </w:rPr>
      </w:pPr>
    </w:p>
    <w:p w:rsidR="004F5BB5" w:rsidRPr="00CF7FDF" w:rsidRDefault="004F5BB5" w:rsidP="004F5BB5">
      <w:pPr>
        <w:spacing w:after="0" w:line="240" w:lineRule="auto"/>
        <w:jc w:val="center"/>
        <w:rPr>
          <w:rFonts w:ascii="Arial" w:hAnsi="Arial" w:cs="Arial"/>
          <w:b/>
          <w:color w:val="00B050"/>
          <w:sz w:val="28"/>
          <w:szCs w:val="28"/>
          <w:lang w:val="en-US"/>
        </w:rPr>
      </w:pPr>
      <w:r w:rsidRPr="004F5BB5">
        <w:rPr>
          <w:rFonts w:ascii="Arial" w:hAnsi="Arial" w:cs="Arial"/>
          <w:b/>
          <w:color w:val="00B050"/>
          <w:sz w:val="28"/>
          <w:szCs w:val="28"/>
          <w:lang w:val="en-US"/>
        </w:rPr>
        <w:t>Lecture 5: Hypothalamic-pituitary diseases</w:t>
      </w:r>
      <w:r w:rsidRPr="00CF7FDF">
        <w:rPr>
          <w:rFonts w:ascii="Arial" w:hAnsi="Arial" w:cs="Arial"/>
          <w:b/>
          <w:color w:val="00B050"/>
          <w:sz w:val="28"/>
          <w:szCs w:val="28"/>
          <w:lang w:val="en-US"/>
        </w:rPr>
        <w:t>.</w:t>
      </w:r>
      <w:r w:rsidRPr="00CF7FDF">
        <w:rPr>
          <w:rFonts w:ascii="Arial" w:hAnsi="Arial" w:cs="Arial"/>
          <w:b/>
          <w:color w:val="00B050"/>
          <w:sz w:val="28"/>
          <w:szCs w:val="28"/>
          <w:lang w:val="en-US"/>
        </w:rPr>
        <w:br/>
      </w:r>
    </w:p>
    <w:p w:rsidR="004F5BB5" w:rsidRPr="004F5BB5" w:rsidRDefault="004F5BB5" w:rsidP="004F5BB5">
      <w:pPr>
        <w:spacing w:after="0" w:line="240" w:lineRule="auto"/>
        <w:jc w:val="center"/>
        <w:rPr>
          <w:rFonts w:ascii="Arial" w:hAnsi="Arial" w:cs="Arial"/>
          <w:b/>
          <w:bCs/>
          <w:color w:val="00B050"/>
          <w:sz w:val="28"/>
          <w:szCs w:val="28"/>
        </w:rPr>
      </w:pPr>
      <w:r w:rsidRPr="00CF7FDF">
        <w:rPr>
          <w:rFonts w:ascii="Arial" w:hAnsi="Arial" w:cs="Arial"/>
          <w:b/>
          <w:bCs/>
          <w:color w:val="00B050"/>
          <w:sz w:val="28"/>
          <w:szCs w:val="28"/>
        </w:rPr>
        <w:t>Тема</w:t>
      </w:r>
      <w:r w:rsidRPr="004F5BB5">
        <w:rPr>
          <w:rFonts w:ascii="Arial" w:hAnsi="Arial" w:cs="Arial"/>
          <w:b/>
          <w:bCs/>
          <w:color w:val="00B050"/>
          <w:sz w:val="28"/>
          <w:szCs w:val="28"/>
        </w:rPr>
        <w:t>-</w:t>
      </w:r>
      <w:r w:rsidRPr="004F5BB5">
        <w:rPr>
          <w:rFonts w:ascii="Arial" w:hAnsi="Arial" w:cs="Arial"/>
          <w:b/>
          <w:bCs/>
          <w:color w:val="00B050"/>
          <w:sz w:val="28"/>
          <w:szCs w:val="28"/>
        </w:rPr>
        <w:t>5</w:t>
      </w:r>
      <w:r w:rsidRPr="004F5BB5">
        <w:rPr>
          <w:rFonts w:ascii="Arial" w:hAnsi="Arial" w:cs="Arial"/>
          <w:b/>
          <w:bCs/>
          <w:color w:val="00B050"/>
          <w:sz w:val="28"/>
          <w:szCs w:val="28"/>
        </w:rPr>
        <w:t xml:space="preserve">: </w:t>
      </w:r>
      <w:r w:rsidRPr="004F5BB5">
        <w:rPr>
          <w:rFonts w:ascii="Arial" w:hAnsi="Arial" w:cs="Arial"/>
          <w:b/>
          <w:bCs/>
          <w:color w:val="00B050"/>
          <w:sz w:val="28"/>
          <w:szCs w:val="28"/>
        </w:rPr>
        <w:t>Заболевания гипоталамо-гипофизарной системы</w:t>
      </w:r>
    </w:p>
    <w:p w:rsidR="004F5BB5" w:rsidRPr="004F5BB5" w:rsidRDefault="004F5BB5" w:rsidP="004F5BB5">
      <w:pPr>
        <w:spacing w:after="0" w:line="240" w:lineRule="auto"/>
        <w:jc w:val="center"/>
        <w:rPr>
          <w:rFonts w:ascii="Arial" w:hAnsi="Arial" w:cs="Arial"/>
          <w:b/>
          <w:bCs/>
          <w:color w:val="00B050"/>
          <w:sz w:val="28"/>
          <w:szCs w:val="28"/>
        </w:rPr>
      </w:pPr>
    </w:p>
    <w:p w:rsidR="004F5BB5" w:rsidRDefault="004F5BB5" w:rsidP="004F5BB5">
      <w:pPr>
        <w:spacing w:after="0" w:line="240" w:lineRule="auto"/>
        <w:jc w:val="center"/>
        <w:rPr>
          <w:rFonts w:ascii="Arial" w:hAnsi="Arial" w:cs="Arial"/>
          <w:b/>
          <w:bCs/>
          <w:color w:val="00B050"/>
          <w:sz w:val="28"/>
          <w:szCs w:val="28"/>
        </w:rPr>
      </w:pPr>
      <w:r w:rsidRPr="003375CF">
        <w:rPr>
          <w:rFonts w:ascii="Arial" w:hAnsi="Arial" w:cs="Arial"/>
          <w:b/>
          <w:bCs/>
          <w:color w:val="00B050"/>
          <w:sz w:val="28"/>
          <w:szCs w:val="28"/>
        </w:rPr>
        <w:t>План лекции:</w:t>
      </w:r>
    </w:p>
    <w:p w:rsidR="004F5BB5" w:rsidRPr="003375CF" w:rsidRDefault="004F5BB5" w:rsidP="004F5BB5">
      <w:pPr>
        <w:spacing w:after="0" w:line="240" w:lineRule="auto"/>
        <w:jc w:val="center"/>
        <w:rPr>
          <w:rFonts w:ascii="Arial" w:hAnsi="Arial" w:cs="Arial"/>
          <w:b/>
          <w:bCs/>
          <w:color w:val="00B050"/>
          <w:sz w:val="28"/>
          <w:szCs w:val="28"/>
        </w:rPr>
      </w:pPr>
    </w:p>
    <w:p w:rsidR="004F5BB5" w:rsidRPr="00920592" w:rsidRDefault="004F5BB5" w:rsidP="004F5BB5">
      <w:pPr>
        <w:numPr>
          <w:ilvl w:val="0"/>
          <w:numId w:val="6"/>
        </w:numPr>
        <w:spacing w:after="0" w:line="240" w:lineRule="auto"/>
        <w:jc w:val="both"/>
        <w:rPr>
          <w:rFonts w:ascii="Arial" w:eastAsia="+mn-ea" w:hAnsi="Arial" w:cs="Arial"/>
          <w:color w:val="002060"/>
          <w:kern w:val="24"/>
          <w:sz w:val="28"/>
          <w:szCs w:val="64"/>
          <w:lang w:eastAsia="ru-RU"/>
        </w:rPr>
      </w:pPr>
      <w:r w:rsidRPr="00920592">
        <w:rPr>
          <w:rFonts w:ascii="Arial" w:eastAsia="+mn-ea" w:hAnsi="Arial" w:cs="Arial"/>
          <w:color w:val="002060"/>
          <w:kern w:val="24"/>
          <w:sz w:val="28"/>
          <w:szCs w:val="64"/>
          <w:lang w:eastAsia="ru-RU"/>
        </w:rPr>
        <w:t>Анатомия и физиология гипоталамо-гипофизарной системы</w:t>
      </w:r>
    </w:p>
    <w:p w:rsidR="004F5BB5" w:rsidRPr="00920592" w:rsidRDefault="004F5BB5" w:rsidP="004F5BB5">
      <w:pPr>
        <w:numPr>
          <w:ilvl w:val="0"/>
          <w:numId w:val="6"/>
        </w:numPr>
        <w:spacing w:after="0" w:line="240" w:lineRule="auto"/>
        <w:jc w:val="both"/>
        <w:rPr>
          <w:rFonts w:ascii="Arial" w:eastAsia="+mn-ea" w:hAnsi="Arial" w:cs="Arial"/>
          <w:color w:val="002060"/>
          <w:kern w:val="24"/>
          <w:sz w:val="28"/>
          <w:szCs w:val="64"/>
          <w:lang w:eastAsia="ru-RU"/>
        </w:rPr>
      </w:pPr>
      <w:r w:rsidRPr="00920592">
        <w:rPr>
          <w:rFonts w:ascii="Arial" w:eastAsia="+mn-ea" w:hAnsi="Arial" w:cs="Arial"/>
          <w:color w:val="002060"/>
          <w:kern w:val="24"/>
          <w:sz w:val="28"/>
          <w:szCs w:val="64"/>
          <w:lang w:eastAsia="ru-RU"/>
        </w:rPr>
        <w:t xml:space="preserve">Биосинтез, секреция, регуляция и механизмы действия гормонов гипофиза и гипоталамуса </w:t>
      </w:r>
    </w:p>
    <w:p w:rsidR="00920592" w:rsidRPr="00920592" w:rsidRDefault="00920592" w:rsidP="004C39F5">
      <w:pPr>
        <w:numPr>
          <w:ilvl w:val="0"/>
          <w:numId w:val="6"/>
        </w:numPr>
        <w:spacing w:after="0" w:line="240" w:lineRule="auto"/>
        <w:jc w:val="both"/>
        <w:rPr>
          <w:rFonts w:ascii="Arial" w:hAnsi="Arial" w:cs="Arial"/>
          <w:color w:val="002060"/>
          <w:sz w:val="24"/>
          <w:szCs w:val="24"/>
        </w:rPr>
      </w:pPr>
      <w:r w:rsidRPr="00920592">
        <w:rPr>
          <w:rFonts w:ascii="Arial" w:eastAsia="+mn-ea" w:hAnsi="Arial" w:cs="Arial"/>
          <w:color w:val="002060"/>
          <w:kern w:val="24"/>
          <w:sz w:val="28"/>
          <w:szCs w:val="64"/>
          <w:lang w:eastAsia="ru-RU"/>
        </w:rPr>
        <w:t>Патогенез гипофизарного нанизма</w:t>
      </w:r>
    </w:p>
    <w:p w:rsidR="004F5BB5" w:rsidRPr="00920592" w:rsidRDefault="00920592" w:rsidP="004C39F5">
      <w:pPr>
        <w:numPr>
          <w:ilvl w:val="0"/>
          <w:numId w:val="6"/>
        </w:numPr>
        <w:spacing w:after="0" w:line="240" w:lineRule="auto"/>
        <w:jc w:val="both"/>
        <w:rPr>
          <w:rFonts w:ascii="Arial" w:hAnsi="Arial" w:cs="Arial"/>
          <w:color w:val="002060"/>
          <w:sz w:val="24"/>
          <w:szCs w:val="24"/>
        </w:rPr>
      </w:pPr>
      <w:r w:rsidRPr="00920592">
        <w:rPr>
          <w:rFonts w:ascii="Arial" w:eastAsia="+mn-ea" w:hAnsi="Arial" w:cs="Arial"/>
          <w:color w:val="002060"/>
          <w:kern w:val="24"/>
          <w:sz w:val="28"/>
          <w:szCs w:val="64"/>
          <w:lang w:eastAsia="ru-RU"/>
        </w:rPr>
        <w:t>Акромегалия и гигантизм.</w:t>
      </w:r>
    </w:p>
    <w:p w:rsidR="004F5BB5" w:rsidRDefault="004F5BB5" w:rsidP="004F5BB5">
      <w:pPr>
        <w:spacing w:after="0" w:line="240" w:lineRule="auto"/>
        <w:jc w:val="both"/>
        <w:rPr>
          <w:rFonts w:ascii="Arial" w:hAnsi="Arial" w:cs="Arial"/>
          <w:sz w:val="24"/>
          <w:szCs w:val="24"/>
        </w:rPr>
      </w:pPr>
    </w:p>
    <w:p w:rsidR="00D82DCC" w:rsidRPr="004F5BB5" w:rsidRDefault="00D82DCC" w:rsidP="004F5BB5">
      <w:pPr>
        <w:spacing w:after="0" w:line="240" w:lineRule="auto"/>
        <w:jc w:val="center"/>
        <w:rPr>
          <w:rFonts w:ascii="Arial" w:hAnsi="Arial" w:cs="Arial"/>
          <w:b/>
          <w:sz w:val="24"/>
          <w:szCs w:val="24"/>
        </w:rPr>
      </w:pPr>
      <w:r w:rsidRPr="004F5BB5">
        <w:rPr>
          <w:rFonts w:ascii="Arial" w:hAnsi="Arial" w:cs="Arial"/>
          <w:b/>
          <w:sz w:val="24"/>
          <w:szCs w:val="24"/>
        </w:rPr>
        <w:t>Анатомия и физиология гипоталамо-гипофизарной системы</w:t>
      </w:r>
    </w:p>
    <w:p w:rsidR="004F5BB5" w:rsidRPr="004F5BB5" w:rsidRDefault="004F5BB5" w:rsidP="004F5BB5">
      <w:pPr>
        <w:spacing w:after="0" w:line="240" w:lineRule="auto"/>
        <w:jc w:val="both"/>
        <w:rPr>
          <w:rFonts w:ascii="Arial" w:hAnsi="Arial" w:cs="Arial"/>
          <w:b/>
          <w:sz w:val="24"/>
          <w:szCs w:val="24"/>
        </w:rPr>
      </w:pP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b/>
          <w:i/>
          <w:sz w:val="24"/>
          <w:szCs w:val="24"/>
        </w:rPr>
        <w:t>Гипофиз</w:t>
      </w:r>
      <w:r w:rsidRPr="004F5BB5">
        <w:rPr>
          <w:rFonts w:ascii="Arial" w:hAnsi="Arial" w:cs="Arial"/>
          <w:sz w:val="24"/>
          <w:szCs w:val="24"/>
        </w:rPr>
        <w:t xml:space="preserve"> — железа внутренней секреции, расположенная в гипофизарной ямке турецкого седла клиновидной кости (рис. 5.1). Турецкое седло покрыто диафрагмой — отрогом твердой мозговой оболочки с отверстием, через которое проходит ножка гипофиза, связывающая его с гипоталамусом. Масса гипофиза составляет от 0,5 до 0,7 г, размеры 1,3x0,6x1,0 см, но они могут меняться в зависимости от возраста и пола (у женщин он больше, чем у мужчин).</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В гипофизе различают две основные доли: переднюю (аденогипофиз), составляющую 70 % массы железы, и заднюю (нейрогипофиз).</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i/>
          <w:sz w:val="24"/>
          <w:szCs w:val="24"/>
        </w:rPr>
        <w:t>Аденогипофиз</w:t>
      </w:r>
      <w:r w:rsidRPr="004F5BB5">
        <w:rPr>
          <w:rFonts w:ascii="Arial" w:hAnsi="Arial" w:cs="Arial"/>
          <w:sz w:val="24"/>
          <w:szCs w:val="24"/>
        </w:rPr>
        <w:t xml:space="preserve"> условно разделяют </w:t>
      </w:r>
      <w:r w:rsidR="000C0CB7" w:rsidRPr="004F5BB5">
        <w:rPr>
          <w:rFonts w:ascii="Arial" w:hAnsi="Arial" w:cs="Arial"/>
          <w:sz w:val="24"/>
          <w:szCs w:val="24"/>
        </w:rPr>
        <w:t>на переднюю дистальную, воронко</w:t>
      </w:r>
      <w:r w:rsidRPr="004F5BB5">
        <w:rPr>
          <w:rFonts w:ascii="Arial" w:hAnsi="Arial" w:cs="Arial"/>
          <w:sz w:val="24"/>
          <w:szCs w:val="24"/>
        </w:rPr>
        <w:t>вую и промежуточную части. Передняя доля гипофиза развивается из кармана Ратке — воронкообразного эпителиального выпячивания крыши (задней стенки) ротовой полости зародыша. Задняя доля образуется из клеток дивертикула дна III желудочка мозга. Промежуточная доля, как правило, анатомически не обособлена и вместе с передней долей входит в состав аденогипофиза. В процессе эмбриогенеза клетки гипофиза могут выходить за пределы турецкого седла, образуя так называемые глоточные гипофизы. После гипофизэктомии эти образования могут поддерживать минимальную секрецию отдельных гипофизарных гормонов, имитируя неполное удаление гипофиза.</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Аденогипофиз состоит из трех основных типов железистых клеток: ацидофильных, базофильных, составляющих группу хромофилов, и хромофобов.</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Ацидофильные (эозинофильные) клетки составляют 30—40 % от числа клеток передней доли гипофиза. По гормональной продукции различают два типа ацидофилов: соматотрофы, вырабатывающие гормон роста (ГР), и лактотрофы, вырабатывающие пролактин.</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Базофилы по размеру больше ацидофилов, они составляют около 10 % от числа клеток аденогипофиза. Выделяют 3 типа базофильных клеток: I тип — тиреотрофы, продуцирующие тиреотропный гормон (ТГГ), 11 тип — кортикотрофы — АКТГ-продуцирующие клетки, и III тип — гонадотрофы, продуцирующие два гормона — фолликулостимулирующий (ФСГ) и лютеинизирующий (ЛГ). Таким образом, в физиологических условиях каждый тип клеток специализируется на выработке одного гормона. В условиях патологии, особенно при опухолевом росте, эти клетки могут приобретать мульти- гормональную секреторную активность, например секретировать одновре-менно ГР, пролактин и т.д. Эта особенность </w:t>
      </w:r>
      <w:r w:rsidRPr="004F5BB5">
        <w:rPr>
          <w:rFonts w:ascii="Arial" w:hAnsi="Arial" w:cs="Arial"/>
          <w:sz w:val="24"/>
          <w:szCs w:val="24"/>
        </w:rPr>
        <w:lastRenderedPageBreak/>
        <w:t>свидетельствует о едином происхождении отдельных клеток аденогипофиза из одной стволовой клетки.</w:t>
      </w:r>
    </w:p>
    <w:p w:rsidR="00D82DCC"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Хромофобные клетки — самые крупные клетки аденогипофиза, составляющие до 50—60 % всей массы его клеток. Их рассматривают как источник, из которого дифференцируются </w:t>
      </w:r>
      <w:r w:rsidR="00564830" w:rsidRPr="004F5BB5">
        <w:rPr>
          <w:rFonts w:ascii="Arial" w:hAnsi="Arial" w:cs="Arial"/>
          <w:sz w:val="24"/>
          <w:szCs w:val="24"/>
        </w:rPr>
        <w:t xml:space="preserve">хромофилы. В популяции </w:t>
      </w:r>
      <w:r w:rsidRPr="004F5BB5">
        <w:rPr>
          <w:rFonts w:ascii="Arial" w:hAnsi="Arial" w:cs="Arial"/>
          <w:sz w:val="24"/>
          <w:szCs w:val="24"/>
        </w:rPr>
        <w:t xml:space="preserve"> гипофизоцитов постоянно присутствует еще один вид клеток: так называемые камбиальные элементы, способные по мере необходимости дифференцироваться в те или иные специализированные клетки.</w:t>
      </w:r>
    </w:p>
    <w:p w:rsidR="000B0DEA" w:rsidRPr="004F5BB5" w:rsidRDefault="00D82DCC" w:rsidP="004F5BB5">
      <w:pPr>
        <w:spacing w:after="0" w:line="240" w:lineRule="auto"/>
        <w:ind w:firstLine="567"/>
        <w:jc w:val="both"/>
        <w:rPr>
          <w:rFonts w:ascii="Arial" w:hAnsi="Arial" w:cs="Arial"/>
          <w:sz w:val="24"/>
          <w:szCs w:val="24"/>
        </w:rPr>
      </w:pPr>
      <w:r w:rsidRPr="004F5BB5">
        <w:rPr>
          <w:rFonts w:ascii="Arial" w:hAnsi="Arial" w:cs="Arial"/>
          <w:sz w:val="24"/>
          <w:szCs w:val="24"/>
        </w:rPr>
        <w:t>Среди хромофобов аденогипофиза выделяют мелкие, имеющие длинные ветвистые отростки, фолликулярно-з</w:t>
      </w:r>
      <w:r w:rsidR="000B0DEA" w:rsidRPr="004F5BB5">
        <w:rPr>
          <w:rFonts w:ascii="Arial" w:hAnsi="Arial" w:cs="Arial"/>
          <w:sz w:val="24"/>
          <w:szCs w:val="24"/>
        </w:rPr>
        <w:t>вездчатые клетки. Роль этих кле ток окончательно не ясна; имеются данные, что в определенных условиях они обладают способностью продуцировать цитокины.</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i/>
          <w:sz w:val="24"/>
          <w:szCs w:val="24"/>
        </w:rPr>
        <w:t>Промежуточная доля</w:t>
      </w:r>
      <w:r w:rsidRPr="004F5BB5">
        <w:rPr>
          <w:rFonts w:ascii="Arial" w:hAnsi="Arial" w:cs="Arial"/>
          <w:sz w:val="24"/>
          <w:szCs w:val="24"/>
        </w:rPr>
        <w:t xml:space="preserve"> гипофиза образована главным образом крупными базофильными клетками, которые вырабатывают проопиомеланокортин (ПОМ К). У человека эта часть гипофиза развита слабо.</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i/>
          <w:sz w:val="24"/>
          <w:szCs w:val="24"/>
        </w:rPr>
        <w:t xml:space="preserve">Нейрогипофиз </w:t>
      </w:r>
      <w:r w:rsidRPr="004F5BB5">
        <w:rPr>
          <w:rFonts w:ascii="Arial" w:hAnsi="Arial" w:cs="Arial"/>
          <w:sz w:val="24"/>
          <w:szCs w:val="24"/>
        </w:rPr>
        <w:t>— производное дна воронки промежуточного мозга, включает в себя заднюю долю гипофиза, область срединного возвышения, серого бугра и стебель воронки. В собственно нейрогипофизе (задней доле гипофиза) оканчиваются волокна гипоталамо-гипофизарного тракта, идущие от супраоптического и паравентрикулярных ядер гипоталамуса.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 задней и промежуточной долях ок</w:t>
      </w:r>
      <w:r w:rsidR="000C0CB7" w:rsidRPr="004F5BB5">
        <w:rPr>
          <w:rFonts w:ascii="Arial" w:hAnsi="Arial" w:cs="Arial"/>
          <w:sz w:val="24"/>
          <w:szCs w:val="24"/>
        </w:rPr>
        <w:t>анчиваются дофаминпептидерги</w:t>
      </w:r>
      <w:r w:rsidRPr="004F5BB5">
        <w:rPr>
          <w:rFonts w:ascii="Arial" w:hAnsi="Arial" w:cs="Arial"/>
          <w:sz w:val="24"/>
          <w:szCs w:val="24"/>
        </w:rPr>
        <w:t>ческие нервные волокна аркуатного ядра. Задняя доля нейрогипофиза образована клетками эпендимного типа, окруженными густой сетью щелевидных капилляров. Аксовазальными синапсами с булавовидными терминалями заканчиваются аксоны нейросекреторных клеток, по которым поступают секретируемые в ядрах гипотал</w:t>
      </w:r>
      <w:r w:rsidR="00481A6F" w:rsidRPr="004F5BB5">
        <w:rPr>
          <w:rFonts w:ascii="Arial" w:hAnsi="Arial" w:cs="Arial"/>
          <w:sz w:val="24"/>
          <w:szCs w:val="24"/>
        </w:rPr>
        <w:t>амуса вазопрессин (антидиурети</w:t>
      </w:r>
      <w:r w:rsidRPr="004F5BB5">
        <w:rPr>
          <w:rFonts w:ascii="Arial" w:hAnsi="Arial" w:cs="Arial"/>
          <w:sz w:val="24"/>
          <w:szCs w:val="24"/>
        </w:rPr>
        <w:t>ческий гормон) и окситоцин.</w:t>
      </w:r>
      <w:r w:rsidR="00481A6F" w:rsidRPr="004F5BB5">
        <w:rPr>
          <w:rFonts w:ascii="Arial" w:hAnsi="Arial" w:cs="Arial"/>
          <w:sz w:val="24"/>
          <w:szCs w:val="24"/>
        </w:rPr>
        <w:t xml:space="preserve"> </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Кровоснабжение гипофиза осуществляется верхними и нижними гипофизарными артериями — ветвями внутренней сонной артерии и артериального (виллизиева) круга большого мозга. Нижние гипофизарные артерии кровоснабжают нейрогипофиз, а верхние — аденогипофиз, который связан с гипоталамусом обильной сосудистой сетью, так называемой портальной системой.</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Портальная система располагается в области медиального возвышения медиобазального гипоталамуса. Она включает две системы капилляров: разветвления артериол верхних гипофизарных артерий формируют первичную капиллярную сеть, капилляры которой образуют многочисленные петли и клубочки, с которыми контактируют терм</w:t>
      </w:r>
      <w:r w:rsidR="003F7924" w:rsidRPr="004F5BB5">
        <w:rPr>
          <w:rFonts w:ascii="Arial" w:hAnsi="Arial" w:cs="Arial"/>
          <w:sz w:val="24"/>
          <w:szCs w:val="24"/>
        </w:rPr>
        <w:t>инали аксонов мелких пептидадре</w:t>
      </w:r>
      <w:r w:rsidRPr="004F5BB5">
        <w:rPr>
          <w:rFonts w:ascii="Arial" w:hAnsi="Arial" w:cs="Arial"/>
          <w:sz w:val="24"/>
          <w:szCs w:val="24"/>
        </w:rPr>
        <w:t>нергических клеток аркуатного, вентромедиального и паравентрикулярного ядер. Капилляры первичного сплетения собираются в портальные вены, идущие вдоль гипофизарной ножки в переднюю долю, где они распадаются на капилляры синусоидного типа (вторичная капиллярная сеть), разветвляющиеся между трабекулами паренхимы железы. Синусоиды вторичной капиллярной сети собираются в выносящие вены, по которым кровь, обогащенная гормонами передней доли гипофиза, поступает в систему венозных синусов твердой мозговой оболочки и далее в общий кровоток.</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Иннервация аденогипофиза осуществляется главным образом постганглионарными симпатическими волокнами, идущими через сонное сплетение, связанное с верхними шейными узлами.</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Благодаря своему множественному гормональному воздействию на организм аденогипофиз является ключевым регулятором эндокринной системы. Секретируемые им гормоны (ЛГ, ФСГ, ТТГ, АКТГ) модулируют функции соответствующих периферических эндокринных желез: щитовидной, коры надпочечников, гонад. Другие гормоны (ГР, пролактин) оказывают прямое действие </w:t>
      </w:r>
      <w:r w:rsidRPr="004F5BB5">
        <w:rPr>
          <w:rFonts w:ascii="Arial" w:hAnsi="Arial" w:cs="Arial"/>
          <w:sz w:val="24"/>
          <w:szCs w:val="24"/>
        </w:rPr>
        <w:lastRenderedPageBreak/>
        <w:t>на органы и ткани-мишени. Будучи связанным с нервной системой человека через гипоталамус, гипофиз входит в состав единой функциональной системы, обеспечивающей постоянство внутренней среды организма, а также циркадные (суточные), месячные, сезонные и другие ритмические колебания гормонов.</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Гипоталамус — отдел промежуточного мозга, которому принадлежит ведущая роль в регуляции многих функций организма, прежде всего гомеостаза.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Гипоталамус расположен на основании мозга и ограничен спереди перекрестом зрительных нервов, сзади мамиллярными телами, по бокам расходящимися трактами зрительных нервов. Сверху в гипоталамическую область внедряется III желудочек мозга. Масса гипоталамуса взрослого человека составляет около 4 г. Проводящие пути тесно связывают гипоталамус с соседними структурами головного мозга. Взаимосвязь гипофиза и гипоталамуса осуществляется через портальные сосуды аденогипофиза, стенки которых проницаемы для крупных белков. Группы клеток образуют от </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дельные ядра гипоталамуса, среди которых различают 32 пары. Ядро образуется из скоплений нервных клеток, не обладающих секреторной активностью, и нейросекреторных клеток, сконцентрированных в основном около стенок III желудочка, эти клетки продуцируют активные вещества — нейрогормоны (рис, 5.2),</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 передней области гипоталамуса сосредоточены нейросекреторные клетки, образующие супраоптическое и паравентрикулярное ядра. Нейросекреторные клетки супраоптического ядра вырабатывают преимущественно вазопрессин, паравентрикулярного — окситоцин.</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В средней области гипоталамуса, вокруг нижнего края III желудочка мозга, лежат серобугорные ядра, дуговидно охватывающие воронку гипофиза. Кверху и латеральнее от них находятся крупные вентромедиальные и дорсомедиальные ядра. В задней области гипоталамуса расположены медиальные и латеральные ядра сосцевидного тела. Кпереди от сосцевидных тел выступает дно III желудочка в виде серого бугра, этот выступ вытягивается в воронку, переходящую в </w:t>
      </w:r>
      <w:r w:rsidR="003F7924" w:rsidRPr="004F5BB5">
        <w:rPr>
          <w:rFonts w:ascii="Arial" w:hAnsi="Arial" w:cs="Arial"/>
          <w:sz w:val="24"/>
          <w:szCs w:val="24"/>
        </w:rPr>
        <w:t>дистальном направлении в гипофи</w:t>
      </w:r>
      <w:r w:rsidRPr="004F5BB5">
        <w:rPr>
          <w:rFonts w:ascii="Arial" w:hAnsi="Arial" w:cs="Arial"/>
          <w:sz w:val="24"/>
          <w:szCs w:val="24"/>
        </w:rPr>
        <w:t>зарную ножку и далее в заднюю долю гипофиза. Расширенная верхняя часть воронки — срединное возвышение выстлано эпендимой, за которой идет слой нервных волокон гипоталамо-гипофизарного пучка. Наружная часть срединного возвышения образована опорными нейроглиальными клетками (эпендимными), между которыми залегают многочисленные нервные волокна. В этих нервных волокнах наблюдается отложение нейросекреторных гранул.</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Вентромедиальные ядра гипоталамуса принято считать центром насыщения, латеральную часть гипоталамуса — центром голода. Повреждение вентромедиальных ядер, как правило, сопровождается ожирением. Нарушение функции гипоталамуса проявляется только при двустороннем пора-жении. В переднем гипоталамусе расположены нейроны, чувствительные к теплу и холоду; задний гипоталамус обеспечивает теплоотдачу. Под воздействием эндогенных пирогенов (интерлейкин-1), например, при инфекционных заболеваниях передний гипоталамус в избытке продуцирует простагландин Е2, ЧТО сопровождается уменьшением теплоотдачи и повышением температуры тела. В переднем гипоталамусе, кроме того, располагается центр сна, повреждение которого приводит к бессоннице.</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Повреждение вентромедиальной части гипоталамуса и премамилляр- ной области сопровождается нарушением кратковременной памяти. Передний гипоталамус стимулирует парасимпатический, а задний гипоталамус — симпатический отдел вегетативной нервной системы.</w:t>
      </w:r>
      <w:r w:rsidRPr="004F5BB5">
        <w:rPr>
          <w:rFonts w:ascii="Arial" w:hAnsi="Arial" w:cs="Arial"/>
          <w:sz w:val="24"/>
          <w:szCs w:val="24"/>
        </w:rPr>
        <w:tab/>
      </w:r>
    </w:p>
    <w:p w:rsidR="000B0DEA" w:rsidRPr="004F5BB5" w:rsidRDefault="000B0DEA" w:rsidP="004F5BB5">
      <w:pPr>
        <w:spacing w:after="0" w:line="240" w:lineRule="auto"/>
        <w:ind w:firstLine="567"/>
        <w:jc w:val="both"/>
        <w:rPr>
          <w:rFonts w:ascii="Arial" w:hAnsi="Arial" w:cs="Arial"/>
          <w:b/>
          <w:i/>
          <w:sz w:val="24"/>
          <w:szCs w:val="24"/>
        </w:rPr>
      </w:pPr>
      <w:r w:rsidRPr="004F5BB5">
        <w:rPr>
          <w:rFonts w:ascii="Arial" w:hAnsi="Arial" w:cs="Arial"/>
          <w:b/>
          <w:i/>
          <w:sz w:val="24"/>
          <w:szCs w:val="24"/>
        </w:rPr>
        <w:lastRenderedPageBreak/>
        <w:t>Биосинтез, секреция, регуляция и механизмы действия гормонов гипофиза и гипоталамуса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Известные в настоящее время гипофизотропные гормоны гипоталамуса подразделяют на гормоны, усиливающие (рилизинг-гормоны, либерины) и тормозящие (статины) выделение соответствующих тропных гормонов. Уже с начала 70-х годов XX века стало очевидно, что роль либеринов в организме не сводится к схеме один гормон — один Либерии (статин). Тиро- либерин оказался способным стимулировать продукцию и ТТГ, и пролактина; гонадолиберин оказался одним общим рилизинг-гормоном и для ЛГ, и для ФСГ. Влияние соматостатина на организм оказалось уникальным: это вещество снижает не только базальную и стимулированную секрецию ГР, но и выделение АКТГ и пролактина при некоторых формах их патоло-гической гиперсекреции, ингибирует секрецию глюкагона, инсулина, гастрина, а также секретина, холецистокинина, вазоактивного интестинального пептида.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Роль либеринов и статинов не сводится только к регуляции деятельности аденогипофиза. Соматостатин и тиролиберин оказывают прямое действие на ЦНС, вызывая различные поведенческие и двигательные реакции. Представление об исключительно гипоталамическом происхождении рили- зинг-гормонов в настоящее время отвергнуто. Тканевое происхождение либеринов и статинов значительно обширнее. Помимо гипоталамуса, нейро-пептиды вырабатываются в эпифизе, других внегипоталамических отделах мозга (передний мозг, задняя часть промежуточного мозга, задний мозг, двигательные нейроны спинного мозга, ядра черепных нервов), клетках поджелудочной железы и ЖКТ.</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При перерезке (поражении, сдавлении) ножки гипофиза уровни ЛГ, ФСГ, ГР, ТТГ и АКТГ в плазме крови снижаются, тогда как уровень пролактина, наоборот, повышается. Указанный феномен известен под названием «синдром изолированного гипофиза». Таким образом, большинство гормонов гипофиза находится под преимущественно стимулирующим влиянием гипоталамуса в отличие от секреции пролактина, которая находится под тоническим ингибирующим воздействием гипоталамуса. При низкой перерезке ножки гипофиза сохраняется секреция вазопрессина и окситоцина аксонами срединного возвышения, и несахарный диабет не развивается. При удалении гипоталамуса или высокой перерезке ножки гипофиза продукция вазопрессина и окситоцина, а также всех гормонов гипофиза, кроме пролактина, выпадает.</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 норме на долю пролактинсекретирующих клеток (лактотрофов) приходится около 10—25 % клеток аденогипофиза. Во время беременности их число достигает 70 % и гипофиз увеличивается практически в 2 раза. Про-лактин является белком с молекулярной массой 23 кДа. Кроме того, как в норме, так и при различных гипоталамо-гипофизарных заболеваниях в крови могут циркулировать не обладающие нормальной биологической активностью «большие» формы пролактина (big- и big-big-пролактин) с молекулярной массой до 100 кДа. Основной физиологической функцией пролактина является обеспечение лактации. Увеличение числа пролактотро-' фов во время беременности обеспечивается усиливающимися воздействиями плацентарных и яичниковых эстрогенов. Последние, кроме того, сдерживают гиперсекрецию пролактина, которая значительно усиливается после родов, обеспечивая лактацию. Стимулирующее влияние на секрецию пролактина оказывает и сам процесс кормления грудью.</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Основным ингибитором секреции пролактина является дофамин, местом синтеза которого является дугообразное ядро гипоталамуса. Мощным стимулятором секреции пролактина является тиротропин-рилизинг-гормон (ТРГ), что частично объясняет феномен гиперпролактинемии при первичном гипотиреозе.</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 xml:space="preserve">Тиреотропный гормон (ТТГ) представляет собой гликопротеид с молекулярной массой 28 кДа, который состоит из двух субъединиц: одинаковой для ТТГ, Л Г, ФСГ и хорионического гонадотропина (ХГ) а-субъединицы и специфичной для ТТГ р-субъединицы. На долю тиреотрофов приходится около 10 % клеток аденогипофиза. Основной функцией ТТГ является регуляция биосинтеза, запасания, секреции гормонов щитовидной железы, а также трофическое и пролиферативное влияние на тиреоциты. Тиреоидные гормоны оказывают ингибирующее влияние на секрецию ТТГ, при этом указанный эффект для Т3 (трийодтиронина) в 40 раз выше такового для Т4. </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Несмотря на это, экзогенно введенный Т4 сильнее подавляет секрецию ТТГ, поскольку легче достигает гипофиза, где затем частично конвертируется в Т3. Секреция Т4 и ТТГ находится в логарифмической зависимости: даже небольшое снижение уровня Т4 приводит к значительному повышению уровня ТТГ, и наоборот, что определяет принципиальное клиническое значение определения уровня ТТГ при диагностике первичного гипотиреоза и тиреотоксикоза.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Основным гипоталамическим регулятором секреции ТТГ является ТРГ, состоящий из трех аминокислот. Прямое влияние тиреоидных гормонов на секрецию ТРГ в настоящее время не описано. Базальную секрецию ТТГ по-давляют дофамин, глюкокортикоиды и соматостатин.</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Гормон роста (ГР) представляет собой полипептид, состоящий из 191 аминокислоты, структура которого на 92 % аналогична таковой для плацентарного лактогена или хорионического соматомаммотропина. На долю клеток, секретирующих ГР (соматотрофов), приходится до 50 % всех клеток аденогипофиза. Гормон роста, кроме того, обозначается как соматотропин или соматотропный гормон (СТГ), однако это название используется все реже, поскольку ГР не является в полной мере тропным гормоном, как ГТГ, ЛГ, ФСГ и АКТГ.</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Эффекты ГР на уровне тканей реализуются преимущественно через инсулиноподобный ростовой фактор 1 (ИФР-1) или соматомедин С, синтез которого происходит в печени под влиянием ГР. ИФР-1 представляет собой белок, состоящий из 70 аминокислот, который циркулирует в комплексе с ИФР-связывающим белком. Большое значение придается также тому ИФР-1, который образуется непосредственно в органах-мишенях под влиянием гормона роста, в частности ИФР-1, образующемуся в области эпифизарной ростовой пластинки. ИФР-1 и ИФР-2 (соматомедин А) обладают структурным сходством с инсулином, причем соматомединам свойственны некоторые инсулиноподобные эффекты (рис. 5.3).</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Основным эффектом ГР у детей и подростков является стимуляция продольного роста костей (преимущественно длинных трубчатых костей и в меньшей степени губчатых). В пренатальном и неонатальном периодах ГР незначительно влияет на рост, о чем может свидетельствовать близкий к нормальному рост новорожденных, имеющих дефицит ГР. Гормон роста активирует обмен костной ткани, вызывая усиление костеобразования и в меньшей степени — остеорезорбции. Помимо влияния на рост костей, ГР имеет широкий спектр метаболических эффектов. ГР является анаболическим гормоном, стимулирующим синтез белка и задержку азота в организме, ГР оказывает выраженное липолитическое действие, даже при ограничении энергетической ценности пищи. Влияние ГР на водно-солевой обмен проявляется антинатрийуретическим действием, увеличением объема внеклеточной жидкости с одновременным повышением активности ренина плазмы и уровня альдостерона. ГР оказывает двухфазное действие на углеводный обмен. Введение физиологических доз ГР дает кратковременный (в течение первых 2 ч) </w:t>
      </w:r>
      <w:r w:rsidRPr="004F5BB5">
        <w:rPr>
          <w:rFonts w:ascii="Arial" w:hAnsi="Arial" w:cs="Arial"/>
          <w:sz w:val="24"/>
          <w:szCs w:val="24"/>
        </w:rPr>
        <w:lastRenderedPageBreak/>
        <w:t>инсулиноподобный эффект, проявляющийся незначительным снижением гликемии, а затем контринсулярный эффект. Первый эффект реализуется за счет подавления печеночной продукции глюкозы и усиления ее периферической утилизации; второй, напротив, связан с активацией печеночной продукции глюкозы и замедлением периферического клиренса углеводов.</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Синтез и секреция ГР контролируются двумя гипоталамическими нейропептидами — рилизинг-гормоном ГР (соматолиберин, ГР-РГ) и соматостатином. Главным продуцентом ГР-РГ является дугообразное ядро гипоталамуса. Соматостатин в гипоталамусе секретируется преимущественно в паравентрикулярной и медиальной преоптических областях, а также определяется во многих других областях головного мозга, выполняя функцию нейротрансмиттера. Кроме того, соматостатин секретируется D-клетками островков Лангерганса поджелудочной железы и кишечника.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 течение дня уровень ГР в плазме сохраняется низким; пик содержания ГР отмечается после приема пищи, и его уровень прогрессивно увеличивается во время сна. У растущих детей интегральный суточный уровень ГР выше, чем у взрослых.</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Лютеинизирующий и фолликулостимулирующий гормоны (ЛГ и ФСГ) секретируются гонадотрофами, на долю которых приходится около 10 % клеток аденогипофиза, при этом большинство гонадотрофов продуцирует как Л Г, так и ФСГ. Как указывалось, ЛГ и ФСГ, являясь глико протеидами, имеют идентичную а- и уникальную р-субъединицу. ЛГ и ФСГ регулируют функцию гонад. Принципиально, что секреция Л Г и ФСГ в женском орга-низме происходит циклически, что и определяет фазное функционирование всей половой системы у женщины. В мужском организме такая цикличность отсутствует. Характер секреции гонадотропинов определяется продукцией гипоталамического гонадотропин-рилизинг-гормона (ГТ-РГ). Формирование характера функционирования системы гипоталамус — гона- дотрофы происходит внутриутробно под влиянием тестикулярных андрогенов: при их отсутствии система начинает функционировать циклически, по женскому типу.</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 яичниках ФСГ стимулирует рост клеток гранулезы и секрецию последними эстрогенов; в яичках ФСГ вместе с тестостероном стимулирует сперматогенез. ЛГ в яичниках стимулирует синтез андрогенов клетками теки, в яичках является регулятором продукции тестостерона клетками Лейдига.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Адренокортикотропный гормон (АКТГ, кортикотропин) продуцируется кортикотрофами, на долю которых приходится около 15 % всех клеток аденогипофиза. Предшественником АКТГ является крупный (265 аминокис-лот) белок проопиомеланокортин (ПОМК). При расщеплении молекулы последнего в эквимолярных количествах образуются АКТГ, состоящий из 39 аминокислот, а- и у-меланоцитостимулирующий гормон (МСГ), р-липо- тропный гормон (р-ЛПГ). В дальнейшем АКТГ может расщепляться на а- МСГ и кортикотропиноподобный промежуточный пептид. р-ЛПГ, расщепляясь, может превращаться в р-МСГ и а-, у- и p-эндорфины. Все перечис-ленные соединения обозначаются как ПОМ К-дериваты.</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Функция АКТГ заключается в регуляции синтеза кортизола и андрогенов соответственно клубочковой и сетчатой зонами коры надпочечников. АКТГ оказывает стимулирующее воздействие на ранние этапы синтеза всех кортикостероидов, поэтому он активирует и секрецию альдостерона. Тем не менее продукция последнего клубочковой зоной преимущественно регулируется системой ренин—ангиотензин—альдостерон (см. главу 7). Таким образом, при дефиците АКТГ продукция альдостерона существенным образом не меняется.</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 xml:space="preserve">Главным регулятором синтеза и секреции АКТГ является кортикотропин-рилизинг-гормон (КРГ), секретирующийся преимущественно пара- вентрикулярными ядрами гипоталамуса. Основным ингибитором секреции АКТГ является кортизол. Регуляция секреции КРГ, АКТГ и кортизола характеризуется отрицательной обратной связью, которая лежит в основе функционирования всех гипофиззависимых эндокринных желез (кора надпочечников, щитовидная железа, гонады). </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Любое физиологическое или экзогенное стрессорное воздействие на организм приводит к стимуляции секреции АКТГ и соответственно кортизола, обеспечивая, таким образом, адаптацию организма. Секреция АКТГ характеризуется типичным циркадным ритмом (см. главу 7).</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Самостоятельной и во многом автономной системой является нейрогипофиз, состоящий, как указывалось, из аксонов супраоптического и пара- вентрикулярного ядер гипоталамуса.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Вазопрессин (аргинин-вазопрессин, антидиуретический гормон, АДГ) является белком, состоящим из 9 аминокислот. V2-рецепторы АДГ находятся в дистальных извитых канальцах почек. Их активация приводит к усилению реабсорбции воды. В высоких концентрациях АДГ способен активировать Угрецепторы сосудов, вызывая их сужение. В физиологических условиях секреция АДГ регулируется осморецепторами гипоталамуса. Гиперосмолярность плазмы приводит к стимуляции секреции АДГ. Другими непрямыми стимуляторами секреции АДГ являются гиповолемия и артериальная гипотензия. В данном случае афферентное звено включает предсердные во- люмрецепторы, а также каротидные и аортальные барорецепторы, импуль- сация от которых достигает супраоптического и паравентрикулярного ядер по вегетативным нервам и ретикулярной формации промежуточного и среднего мозга.</w:t>
      </w:r>
    </w:p>
    <w:p w:rsidR="000B0DEA" w:rsidRPr="004F5BB5" w:rsidRDefault="000B0DEA" w:rsidP="004F5BB5">
      <w:pPr>
        <w:spacing w:after="0" w:line="240" w:lineRule="auto"/>
        <w:ind w:firstLine="567"/>
        <w:jc w:val="both"/>
        <w:rPr>
          <w:rFonts w:ascii="Arial" w:hAnsi="Arial" w:cs="Arial"/>
          <w:sz w:val="24"/>
          <w:szCs w:val="24"/>
        </w:rPr>
      </w:pPr>
      <w:r w:rsidRPr="004F5BB5">
        <w:rPr>
          <w:rFonts w:ascii="Arial" w:hAnsi="Arial" w:cs="Arial"/>
          <w:sz w:val="24"/>
          <w:szCs w:val="24"/>
        </w:rPr>
        <w:t>Окситоцин секретируется преимущественно паравентрикулярными и в меньшей степени супраоптическими ядрами гипоталамуса. Он так же, как и вазопрессин, состоит из 9 аминокислот, но отличается от него двумя аминокислотными остатками. Окситоцин, воздействуя на мускулатуру матки, увеличивает силу ее сокращений. Таким образом, окситоцин имеет принципиальное значение в обеспечении родовой деятельности и послеродового сокращения матки. Стимулируя сокращение миоэпителиальных клеток альвеол молочных желез, окситоцин способствует поступлению молока в млечные протоки. Физиологическими стимуляторами секреции окситоцина являются кормление грудью и в значительно большей степени растяже- ние половых путей женщины (искусственное или во врем</w:t>
      </w:r>
      <w:r w:rsidR="00C84AB7" w:rsidRPr="004F5BB5">
        <w:rPr>
          <w:rFonts w:ascii="Arial" w:hAnsi="Arial" w:cs="Arial"/>
          <w:sz w:val="24"/>
          <w:szCs w:val="24"/>
        </w:rPr>
        <w:t>я родов). Секре</w:t>
      </w:r>
      <w:r w:rsidRPr="004F5BB5">
        <w:rPr>
          <w:rFonts w:ascii="Arial" w:hAnsi="Arial" w:cs="Arial"/>
          <w:sz w:val="24"/>
          <w:szCs w:val="24"/>
        </w:rPr>
        <w:t>цию окситоцина стимулируют эстрогены, подавляет алкоголь.</w:t>
      </w:r>
    </w:p>
    <w:p w:rsidR="00C84AB7" w:rsidRPr="004F5BB5" w:rsidRDefault="00C84AB7" w:rsidP="004F5BB5">
      <w:pPr>
        <w:spacing w:after="0" w:line="240" w:lineRule="auto"/>
        <w:jc w:val="both"/>
        <w:rPr>
          <w:rFonts w:ascii="Arial" w:hAnsi="Arial" w:cs="Arial"/>
          <w:b/>
          <w:bCs/>
          <w:sz w:val="24"/>
          <w:szCs w:val="24"/>
        </w:rPr>
      </w:pPr>
      <w:r w:rsidRPr="004F5BB5">
        <w:rPr>
          <w:rFonts w:ascii="Arial" w:hAnsi="Arial" w:cs="Arial"/>
          <w:b/>
          <w:bCs/>
          <w:sz w:val="24"/>
          <w:szCs w:val="24"/>
        </w:rPr>
        <w:t>Классификация гипоталамо – гипофизарных заболеваний</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en-US"/>
        </w:rPr>
        <w:t>I</w:t>
      </w:r>
      <w:r w:rsidRPr="004F5BB5">
        <w:rPr>
          <w:rFonts w:ascii="Arial" w:hAnsi="Arial" w:cs="Arial"/>
          <w:sz w:val="24"/>
          <w:szCs w:val="24"/>
        </w:rPr>
        <w:t xml:space="preserve">. </w:t>
      </w:r>
      <w:r w:rsidRPr="004F5BB5">
        <w:rPr>
          <w:rFonts w:ascii="Arial" w:hAnsi="Arial" w:cs="Arial"/>
          <w:b/>
          <w:bCs/>
          <w:sz w:val="24"/>
          <w:szCs w:val="24"/>
        </w:rPr>
        <w:t>Гипоталамо – аденогипофизарные заболевания</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1. Заболевания связанные с нарушением секреции гормона роста;</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акромегалия, гигантизм;</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гипофизарный нанизм.</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2. Заболевания связанные с нарушением секреции АКТГ:</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болезнь Иценко-Кушинга;</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гипоталамический пубертатный синдром.</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3. Заболевания связанные с нарушением секреции пролактина:</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синдром гиперпролактинемии.</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4. Заболевания связанные с нарушением секреции ТТГ:</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опухоли гипофиза с повышенной секрецией ТТГ.</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5. Заболевания связанные с нарушением секреции гонадотропних гормонов:</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r>
      <w:r w:rsidRPr="004F5BB5">
        <w:rPr>
          <w:rFonts w:ascii="Arial" w:hAnsi="Arial" w:cs="Arial"/>
          <w:sz w:val="24"/>
          <w:szCs w:val="24"/>
          <w:lang w:val="uk-UA"/>
        </w:rPr>
        <w:tab/>
        <w:t>- адипозо-генитальная дистрофия.</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lastRenderedPageBreak/>
        <w:tab/>
        <w:t>6. Гипопитуитаризм (гипоталамо-гипофизарная кахексия).</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7. Гипоталамическое ожирения.</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 xml:space="preserve">ІІ. </w:t>
      </w:r>
      <w:r w:rsidRPr="004F5BB5">
        <w:rPr>
          <w:rFonts w:ascii="Arial" w:hAnsi="Arial" w:cs="Arial"/>
          <w:b/>
          <w:bCs/>
          <w:sz w:val="24"/>
          <w:szCs w:val="24"/>
          <w:lang w:val="uk-UA"/>
        </w:rPr>
        <w:t>Гипоталамо-нейрогипофизарные заболевания.</w:t>
      </w:r>
    </w:p>
    <w:p w:rsidR="00C84AB7" w:rsidRPr="004F5BB5" w:rsidRDefault="00C84AB7" w:rsidP="004F5BB5">
      <w:pPr>
        <w:spacing w:after="0" w:line="240" w:lineRule="auto"/>
        <w:jc w:val="both"/>
        <w:rPr>
          <w:rFonts w:ascii="Arial" w:hAnsi="Arial" w:cs="Arial"/>
          <w:sz w:val="24"/>
          <w:szCs w:val="24"/>
        </w:rPr>
      </w:pPr>
      <w:r w:rsidRPr="004F5BB5">
        <w:rPr>
          <w:rFonts w:ascii="Arial" w:hAnsi="Arial" w:cs="Arial"/>
          <w:sz w:val="24"/>
          <w:szCs w:val="24"/>
          <w:lang w:val="uk-UA"/>
        </w:rPr>
        <w:tab/>
        <w:t>1. Недостаточность секреции вазопресина (несахарный диабет).</w:t>
      </w:r>
    </w:p>
    <w:p w:rsidR="00C84AB7" w:rsidRPr="004F5BB5" w:rsidRDefault="00C84AB7" w:rsidP="004F5BB5">
      <w:pPr>
        <w:spacing w:after="0" w:line="240" w:lineRule="auto"/>
        <w:jc w:val="both"/>
        <w:rPr>
          <w:rFonts w:ascii="Arial" w:hAnsi="Arial" w:cs="Arial"/>
          <w:sz w:val="24"/>
          <w:szCs w:val="24"/>
          <w:lang w:val="uk-UA"/>
        </w:rPr>
      </w:pPr>
      <w:r w:rsidRPr="004F5BB5">
        <w:rPr>
          <w:rFonts w:ascii="Arial" w:hAnsi="Arial" w:cs="Arial"/>
          <w:sz w:val="24"/>
          <w:szCs w:val="24"/>
          <w:lang w:val="uk-UA"/>
        </w:rPr>
        <w:tab/>
        <w:t>2. Синдром избыточной секреции вазопресина (синдром Пархона).</w:t>
      </w:r>
    </w:p>
    <w:p w:rsidR="00C84AB7" w:rsidRPr="004F5BB5" w:rsidRDefault="00C84AB7" w:rsidP="004F5BB5">
      <w:pPr>
        <w:spacing w:after="0" w:line="240" w:lineRule="auto"/>
        <w:jc w:val="both"/>
        <w:rPr>
          <w:rFonts w:ascii="Arial" w:hAnsi="Arial" w:cs="Arial"/>
          <w:b/>
          <w:sz w:val="24"/>
          <w:szCs w:val="24"/>
        </w:rPr>
      </w:pPr>
      <w:r w:rsidRPr="004F5BB5">
        <w:rPr>
          <w:rFonts w:ascii="Arial" w:hAnsi="Arial" w:cs="Arial"/>
          <w:b/>
          <w:sz w:val="24"/>
          <w:szCs w:val="24"/>
        </w:rPr>
        <w:t>Этиология гипоталамо - гипофизарных расстройств</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Опухоли (краниофарингиомы) или метастазы</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Инфекционные заболевания:</w:t>
      </w:r>
      <w:r w:rsidRPr="004F5BB5">
        <w:rPr>
          <w:rFonts w:ascii="Arial" w:hAnsi="Arial" w:cs="Arial"/>
          <w:sz w:val="24"/>
          <w:szCs w:val="24"/>
        </w:rPr>
        <w:br/>
        <w:t>острые (скарлатина, грипп),</w:t>
      </w:r>
      <w:r w:rsidRPr="004F5BB5">
        <w:rPr>
          <w:rFonts w:ascii="Arial" w:hAnsi="Arial" w:cs="Arial"/>
          <w:sz w:val="24"/>
          <w:szCs w:val="24"/>
        </w:rPr>
        <w:br/>
        <w:t>хронические (туберкулез, малярия, токсоплазмоз)</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Травма</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Сосудистые повреждения (тромбоз, тромбоэмболия)</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Нарушения обмена веществ (xanthomathosis)</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Врожденная гипофизарная гипо - или аплазия</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Синдром пустого турецкого</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Генетическая предрасположенность</w:t>
      </w:r>
    </w:p>
    <w:p w:rsidR="006F6CBE" w:rsidRPr="004F5BB5" w:rsidRDefault="006F6CBE" w:rsidP="004F5BB5">
      <w:pPr>
        <w:spacing w:after="0" w:line="240" w:lineRule="auto"/>
        <w:jc w:val="both"/>
        <w:rPr>
          <w:rFonts w:ascii="Arial" w:hAnsi="Arial" w:cs="Arial"/>
          <w:sz w:val="24"/>
          <w:szCs w:val="24"/>
        </w:rPr>
      </w:pPr>
      <w:r w:rsidRPr="004F5BB5">
        <w:rPr>
          <w:rFonts w:ascii="Arial" w:hAnsi="Arial" w:cs="Arial"/>
          <w:sz w:val="24"/>
          <w:szCs w:val="24"/>
        </w:rPr>
        <w:t>Идиопатический</w:t>
      </w:r>
    </w:p>
    <w:p w:rsidR="000B2AD7" w:rsidRPr="004F5BB5" w:rsidRDefault="000B2AD7" w:rsidP="004F5BB5">
      <w:pPr>
        <w:spacing w:after="0" w:line="240" w:lineRule="auto"/>
        <w:jc w:val="both"/>
        <w:rPr>
          <w:rFonts w:ascii="Arial" w:hAnsi="Arial" w:cs="Arial"/>
          <w:b/>
          <w:sz w:val="24"/>
          <w:szCs w:val="24"/>
        </w:rPr>
      </w:pPr>
      <w:r w:rsidRPr="004F5BB5">
        <w:rPr>
          <w:rFonts w:ascii="Arial" w:hAnsi="Arial" w:cs="Arial"/>
          <w:b/>
          <w:sz w:val="24"/>
          <w:szCs w:val="24"/>
        </w:rPr>
        <w:t>Проявление гипоталамо - гипофизарных расстройств</w:t>
      </w:r>
    </w:p>
    <w:p w:rsidR="001D3083" w:rsidRPr="004F5BB5" w:rsidRDefault="00A711D8" w:rsidP="004F5BB5">
      <w:pPr>
        <w:numPr>
          <w:ilvl w:val="0"/>
          <w:numId w:val="1"/>
        </w:numPr>
        <w:spacing w:after="0" w:line="240" w:lineRule="auto"/>
        <w:jc w:val="both"/>
        <w:rPr>
          <w:rFonts w:ascii="Arial" w:hAnsi="Arial" w:cs="Arial"/>
          <w:sz w:val="24"/>
          <w:szCs w:val="24"/>
        </w:rPr>
      </w:pPr>
      <w:r w:rsidRPr="004F5BB5">
        <w:rPr>
          <w:rFonts w:ascii="Arial" w:hAnsi="Arial" w:cs="Arial"/>
          <w:sz w:val="24"/>
          <w:szCs w:val="24"/>
        </w:rPr>
        <w:t>Гиперсекреция (ПРЛ, ГР, АКТГ)</w:t>
      </w:r>
    </w:p>
    <w:p w:rsidR="001D3083" w:rsidRPr="004F5BB5" w:rsidRDefault="00A711D8" w:rsidP="004F5BB5">
      <w:pPr>
        <w:numPr>
          <w:ilvl w:val="0"/>
          <w:numId w:val="1"/>
        </w:numPr>
        <w:spacing w:after="0" w:line="240" w:lineRule="auto"/>
        <w:jc w:val="both"/>
        <w:rPr>
          <w:rFonts w:ascii="Arial" w:hAnsi="Arial" w:cs="Arial"/>
          <w:sz w:val="24"/>
          <w:szCs w:val="24"/>
        </w:rPr>
      </w:pPr>
      <w:r w:rsidRPr="004F5BB5">
        <w:rPr>
          <w:rFonts w:ascii="Arial" w:hAnsi="Arial" w:cs="Arial"/>
          <w:sz w:val="24"/>
          <w:szCs w:val="24"/>
        </w:rPr>
        <w:t>Гипосекреция (пангипопитуитаризм)</w:t>
      </w:r>
    </w:p>
    <w:p w:rsidR="001D3083" w:rsidRPr="004F5BB5" w:rsidRDefault="00A711D8" w:rsidP="004F5BB5">
      <w:pPr>
        <w:numPr>
          <w:ilvl w:val="0"/>
          <w:numId w:val="1"/>
        </w:numPr>
        <w:spacing w:after="0" w:line="240" w:lineRule="auto"/>
        <w:jc w:val="both"/>
        <w:rPr>
          <w:rFonts w:ascii="Arial" w:hAnsi="Arial" w:cs="Arial"/>
          <w:sz w:val="24"/>
          <w:szCs w:val="24"/>
        </w:rPr>
      </w:pPr>
      <w:r w:rsidRPr="004F5BB5">
        <w:rPr>
          <w:rFonts w:ascii="Arial" w:hAnsi="Arial" w:cs="Arial"/>
          <w:sz w:val="24"/>
          <w:szCs w:val="24"/>
        </w:rPr>
        <w:t>Расширение турецкого седла (рентген, КТ, МРТ)</w:t>
      </w:r>
    </w:p>
    <w:p w:rsidR="001D3083" w:rsidRPr="004F5BB5" w:rsidRDefault="00A711D8" w:rsidP="004F5BB5">
      <w:pPr>
        <w:numPr>
          <w:ilvl w:val="0"/>
          <w:numId w:val="1"/>
        </w:numPr>
        <w:spacing w:after="0" w:line="240" w:lineRule="auto"/>
        <w:jc w:val="both"/>
        <w:rPr>
          <w:rFonts w:ascii="Arial" w:hAnsi="Arial" w:cs="Arial"/>
          <w:sz w:val="24"/>
          <w:szCs w:val="24"/>
        </w:rPr>
      </w:pPr>
      <w:r w:rsidRPr="004F5BB5">
        <w:rPr>
          <w:rFonts w:ascii="Arial" w:hAnsi="Arial" w:cs="Arial"/>
          <w:sz w:val="24"/>
          <w:szCs w:val="24"/>
        </w:rPr>
        <w:t>Потеря зрения (битемпоральная гемианопсия или дефекты поля зрения)</w:t>
      </w:r>
    </w:p>
    <w:p w:rsidR="00C84AB7"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Гипофизарный нанизм, или гипопитуитаризм — это заболевание, при котором частично или полностью прекращается выработка гормона роста — соматотропина (соматотропного гормона) [1]. Оно сопровождается нарушением роста скелета, из-за чего мужчины не вырастают выше 130 см, а женщины — выше 120 см. В связи с этим характерным проявлением болезнь также называют карликовостью.</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Наиболее частые причины гипофизарного нанизма:</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Наследственность — мутации в гене соматотропного гормона (GH1) или его рецепторах. Частота встречаемости врождённого гипопитуитаризма колеблется от 1:4000 до 1:10000 [5].</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Дефекты развития гипоталамо-гипофизарной системы — области головного мозга, где вырабатывается соматотропный гормон:</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гипоплазия (недоразвитие) гипофиза;</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полное отсутствие гипофиза. При этом дефицит гормона роста сочетается с нехваткой других гормонов, которые вырабатываются в гипофизе. Такое состояние называется пангипопитуитаризмом. Оно проявляется надпочечниковой недостаточностью, ухудшением работы щитовидной железы (гипотиреозом), несахарным диабетом, гипогонадотропным гипогонадизмом (отсутствием полового развития и дефицитом гормона роста).</w:t>
      </w:r>
    </w:p>
    <w:p w:rsidR="0019338D" w:rsidRPr="004F5BB5" w:rsidRDefault="0019338D" w:rsidP="004F5BB5">
      <w:pPr>
        <w:spacing w:after="0" w:line="240" w:lineRule="auto"/>
        <w:ind w:firstLine="567"/>
        <w:jc w:val="both"/>
        <w:rPr>
          <w:rFonts w:ascii="Arial" w:hAnsi="Arial" w:cs="Arial"/>
          <w:i/>
          <w:sz w:val="24"/>
          <w:szCs w:val="24"/>
        </w:rPr>
      </w:pPr>
      <w:r w:rsidRPr="004F5BB5">
        <w:rPr>
          <w:rFonts w:ascii="Arial" w:hAnsi="Arial" w:cs="Arial"/>
          <w:i/>
          <w:sz w:val="24"/>
          <w:szCs w:val="24"/>
        </w:rPr>
        <w:t>Опухоли гипофиза:</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краниофарингиома — доброкачественная опухоль гипофизарной области, одна из самых распространённых в детском возрасте;</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гамартома — редкий вид доброкачественной опухоли;</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герминома — редкий вид опухоли, чаще всего бывает злокачественной — и др.</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Травмы головного мозга с повреждением гипофиза, возникшие до того, как человек достиг социально приемлемого роста — 155-170 см (например, родовая травма).</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Инфекционные заболевания — менингиты, энцефалиты и др.</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Облучение головы и шеи.</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Токсические последствия химиотерапии.</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Теоретически, спровоцировать развитие гипофизарного нанизма может любое заболевание, которое будет затрагивать работу гипофиза.</w:t>
      </w:r>
    </w:p>
    <w:p w:rsidR="0019338D" w:rsidRPr="004F5BB5" w:rsidRDefault="0019338D" w:rsidP="004F5BB5">
      <w:pPr>
        <w:spacing w:after="0" w:line="240" w:lineRule="auto"/>
        <w:ind w:firstLine="567"/>
        <w:jc w:val="both"/>
        <w:rPr>
          <w:rFonts w:ascii="Arial" w:hAnsi="Arial" w:cs="Arial"/>
          <w:i/>
          <w:sz w:val="24"/>
          <w:szCs w:val="24"/>
        </w:rPr>
      </w:pPr>
      <w:r w:rsidRPr="004F5BB5">
        <w:rPr>
          <w:rFonts w:ascii="Arial" w:hAnsi="Arial" w:cs="Arial"/>
          <w:i/>
          <w:sz w:val="24"/>
          <w:szCs w:val="24"/>
        </w:rPr>
        <w:t>Симптомы гипофизарного нанизма</w:t>
      </w:r>
    </w:p>
    <w:p w:rsidR="0019338D"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 Гипофизарный нанизм проявляется по-разному. Симптоматика зависит от причин дефицита гормона роста.</w:t>
      </w:r>
    </w:p>
    <w:p w:rsidR="00580477" w:rsidRPr="004F5BB5" w:rsidRDefault="0019338D" w:rsidP="004F5BB5">
      <w:pPr>
        <w:spacing w:after="0" w:line="240" w:lineRule="auto"/>
        <w:ind w:firstLine="567"/>
        <w:jc w:val="both"/>
        <w:rPr>
          <w:rFonts w:ascii="Arial" w:hAnsi="Arial" w:cs="Arial"/>
          <w:sz w:val="24"/>
          <w:szCs w:val="24"/>
        </w:rPr>
      </w:pPr>
      <w:r w:rsidRPr="004F5BB5">
        <w:rPr>
          <w:rFonts w:ascii="Arial" w:hAnsi="Arial" w:cs="Arial"/>
          <w:sz w:val="24"/>
          <w:szCs w:val="24"/>
        </w:rPr>
        <w:t>Основной симптом — отставание в темпах линейного роста [2]. Такие дети вырастают менее чем на 4 см в год. Нарушение динамики роста будет заметно уже в первые месяцы жизни ребёнка. Если повреждение гипоталамуса или гипофиза возникло в более позднем возрасте, то отставание в росте будет отмечаться позднее. Также для детей с гипофизарным нанизмом характерно отставание костного (биологического) возраста от паспортного (фактического) более чем на 2-3 года.</w:t>
      </w:r>
      <w:r w:rsidR="00580477" w:rsidRPr="004F5BB5">
        <w:rPr>
          <w:rFonts w:ascii="Arial" w:hAnsi="Arial" w:cs="Arial"/>
          <w:sz w:val="24"/>
          <w:szCs w:val="24"/>
        </w:rPr>
        <w:t xml:space="preserve"> При нехватке гормонов роста телосложение остаётся пропорциональным. Это важный диагностический критерий: он позволяет исключить разные формы скелетных дисплазий. Задержка полового развития в период полового созревания объясняется отставанием костного возраста. В норме начало полового созревания у девочек наступает в период с 8-13 лет, у мальчиков — с 9-14 лет. При этом у девочек начинают расти грудные железы, а у мальчиков увеличивается объём яичек. У детей с дефицитом гормона роста эти признаки полового созревания появляются позже обычного.</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Симптомами врождённого гипофизарного нанизма у новорождённых являются: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гипогликемия — низкий уровень глюкозы в крови натощак. Это физиологическое состояние может встречаться и у здоровых детей из-за незрелости поджелудочной железы. Дети с нанизмом сталкиваются с ним гораздо чаще, особенно на первом году жизни, поскольку гормон роста участвует в регуляции углеводного обмена;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позднее закрытие большого родничка;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задержка костного созревания;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истончение кожи — может быть связано со снижением функции щитовидной железы;</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медленный рост ногтей и волос;</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высокий голос.</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Часто у детей с гипопитуитаризмом встречается множественный кариес зубов. Это объясняется задержкой окостенения скелета и снижением обменных процессов в костной ткани.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Психоинтеллектуальное развитие у детей с гипофизарным нанизмом, как правило, не страдает, но возможны некоторые психологические проблемы: повышенная потребность в родительской опеке, снижение самооценки, трудности в общении со сверстниками.</w:t>
      </w:r>
    </w:p>
    <w:p w:rsidR="00580477" w:rsidRPr="00920592" w:rsidRDefault="00580477" w:rsidP="004F5BB5">
      <w:pPr>
        <w:spacing w:after="0" w:line="240" w:lineRule="auto"/>
        <w:ind w:firstLine="567"/>
        <w:jc w:val="both"/>
        <w:rPr>
          <w:rFonts w:ascii="Arial" w:hAnsi="Arial" w:cs="Arial"/>
          <w:b/>
          <w:sz w:val="24"/>
          <w:szCs w:val="24"/>
        </w:rPr>
      </w:pPr>
      <w:r w:rsidRPr="00920592">
        <w:rPr>
          <w:rFonts w:ascii="Arial" w:hAnsi="Arial" w:cs="Arial"/>
          <w:b/>
          <w:sz w:val="24"/>
          <w:szCs w:val="24"/>
        </w:rPr>
        <w:t>Патогенез гипофизарного нанизма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В зависимости от причин дефицита соматотропного гормона есть несколько вариантов механизмов развития заболевания. При этом в основе патогенеза всегда будет лежать нарушение выработки гормона роста. В дальнейшем его нехватка станет причиной нарушения работы органов и систем, на которые он оказывает влияние: костной, мышечной и соединительной ткани, жирового углеводного обмена. В некоторых случаях первоначально будут развиваться гипоталамические нарушения, а недостаточность соматотропного гормона станет вторичным проявлением. Молекулярной основой изолированного дефицита гормона роста является мутация определённого гена, которая не даёт организму синтезировать гормон. От видов генетических мутаций зависит, будет ли дефицит соматотропного гормона изолированным, или же он будет сочетаться с нехваткой других гормонов гипофиза, которые лежат в основе других патологий:</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дефицит тиреотропного гормона — вторичный гипотиреоз;</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пролактина — гипопролактинемия;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гонадотропинов — аменорея и недоразвитие половых органов у женщин, снижение потенции и либидо у мужчин;</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АКТГ — вторичная недостаточность надпочечников;</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вазопрессина — несахарный диабет;</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кортизола — гипокортицизм.</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У некоторых пациентов с мутацией конкретных генов выявляется гиперплазия передней доли гипофиза (аденогипофиза). В процессе жизни может произойти её атрофия вплоть до формирования синдрома "пустого турецкого седла" — недостаточности области головного мозга, где расположен гипофиз. Данный синдром приводит к внедрению мягкой мозговой оболочки в полость турецкого седла, сдавлению и уменьшению гипофиза, что нарушает или полностью прекращает его работу.</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Классификация и стадии развития гипофизарного нанизма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 Единой, общепринятой классификации гипофизарного нанизма не существует. Наиболее удобной для практикующих врачей является классификация, основанная на причинах заболевания. Она выделяет две большие группы: врождённый и п</w:t>
      </w:r>
      <w:r w:rsidR="002C38A0" w:rsidRPr="004F5BB5">
        <w:rPr>
          <w:rFonts w:ascii="Arial" w:hAnsi="Arial" w:cs="Arial"/>
          <w:sz w:val="24"/>
          <w:szCs w:val="24"/>
        </w:rPr>
        <w:t>риобретённый гипопитуитаризм</w:t>
      </w:r>
      <w:r w:rsidRPr="004F5BB5">
        <w:rPr>
          <w:rFonts w:ascii="Arial" w:hAnsi="Arial" w:cs="Arial"/>
          <w:sz w:val="24"/>
          <w:szCs w:val="24"/>
        </w:rPr>
        <w:t>.</w:t>
      </w:r>
    </w:p>
    <w:p w:rsidR="00580477" w:rsidRPr="004F5BB5" w:rsidRDefault="00580477" w:rsidP="004F5BB5">
      <w:pPr>
        <w:spacing w:after="0" w:line="240" w:lineRule="auto"/>
        <w:ind w:firstLine="567"/>
        <w:jc w:val="both"/>
        <w:rPr>
          <w:rFonts w:ascii="Arial" w:hAnsi="Arial" w:cs="Arial"/>
          <w:sz w:val="24"/>
          <w:szCs w:val="24"/>
        </w:rPr>
      </w:pP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Врождённый гипофизарный нанизм делится на три подгруппы:</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Наследственный:</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изолированный дефицит гормона роста: мутации гена самого гормона (GH1) или мутации гена рецептора к соматотропину (GHRHR);</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множественный дефицит гормонов передней доли гипофиза: мутации гена PIT-1 или гена PROP1.</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Идиопатический (незафисимый) дефицит СТГ-релизинг гормонов, которые стимулируют выработку гормонов передней доли гипофиза.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Дефекты развития гипоталамо-гипофизарной системы:</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патология срединной трубки;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нарушение развития гипофиза: врождённая аплазия (отсутствие гипофиза), гипоплазия (недоразвитие), эктопия (неправильное расположение).</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Приобретённый гипофизарный нанизм включает в себя девять причин развития болезни: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Опухоли гипоталамуса и гипофиза: краниофарингиома, гамартома, нейрофиброма, герминома, аденома гипофиза.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Опухоли других отделов мозга: глиома зрительного перекреста.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Травмы: черепно-мозговая, хирургическое повреждение ножки гипофиза.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Инфекционные заболевания: вирусный, бактериальный энцефалит и менингит, неспецифический гипофизит (воспаление гипофиза).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Супраселлярные арахноидальные кисты — полые опухоли, заполненные жидкостью (ликвором), которые распространяются в полость черепа.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Сосудистые нарушения: аневризмы сосудов гипофиза, инфаркт гипофиза.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Облучение головы и шеи по поводу лейкемии, медуллобластомы, ретинобластомы; общее облучение всего тела (при пересадке костного мозга).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Токсические последствия химиотерапии.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Инфильтративные болезни: саркоидоз, гистиоцитоз.</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Осложнения гипофизарного нанизма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Осложнения заболевания связаны с утратой воздействия гормона роста на органы и системы. Они развиваются вследствие несвоевременной диагностики.</w:t>
      </w:r>
    </w:p>
    <w:p w:rsidR="00580477" w:rsidRPr="004F5BB5" w:rsidRDefault="00580477" w:rsidP="004F5BB5">
      <w:pPr>
        <w:spacing w:after="0" w:line="240" w:lineRule="auto"/>
        <w:ind w:firstLine="567"/>
        <w:jc w:val="both"/>
        <w:rPr>
          <w:rFonts w:ascii="Arial" w:hAnsi="Arial" w:cs="Arial"/>
          <w:sz w:val="24"/>
          <w:szCs w:val="24"/>
        </w:rPr>
      </w:pP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У новорождённого с дефицитом соматотропина относительную опасность может представлять гипогликемическое состояние, поскольку этот гормон играет важную роль в регуляции углеводного обмена. Клинически гипогликемия проявляется бледностью, потливостью, повышенным аппетитом, беспокойством ребёнка, иногда наблюдается судорожный синдром. Так как сомтатотропин усиливает синтез белка и тормозит его распад, у детей с дефицитом этого гормона может снизиться уровень общего белка в организме и его фракций. Это сказывается на общем физическом развитии: снижается иммунитет, повышается риск присоединения других гормональных сопутствующих нарушений.</w:t>
      </w:r>
      <w:r w:rsidR="002C38A0" w:rsidRPr="004F5BB5">
        <w:rPr>
          <w:rFonts w:ascii="Arial" w:hAnsi="Arial" w:cs="Arial"/>
          <w:sz w:val="24"/>
          <w:szCs w:val="24"/>
        </w:rPr>
        <w:t xml:space="preserve"> </w:t>
      </w:r>
      <w:r w:rsidRPr="004F5BB5">
        <w:rPr>
          <w:rFonts w:ascii="Arial" w:hAnsi="Arial" w:cs="Arial"/>
          <w:sz w:val="24"/>
          <w:szCs w:val="24"/>
        </w:rPr>
        <w:t>Значительная часть эффектов гормона роста передаётся через ИПФР-I (инсулиноподобный фактор роста-I). Он вырабатывается в печени под действием соматотропина и стимулирует рост внутренних органов. Вследствие дефицита соматотропного гормона рост и своевременное развитие органов может частично нарушиться. Это приводит к нарушению работы печени, почек, сердечно-сосудистой системы. Такое осложнение встречается нечасто.</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При дефиците гормона роста совместно с другими гормонами гипофиза (пангипопитуитаризме) будет развиваться недостаточность других эндокринных желёз — щитовидной железы, надпочечников, репродуктивной системы. Несвоевременная диагностика этих нарушений после рождения опасна для жизни, а также может стать причиной необратимым нарушений психического или интеллектуального развития. Лечение гипофизарного нанизма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b/>
          <w:sz w:val="24"/>
          <w:szCs w:val="24"/>
        </w:rPr>
        <w:t>Лечение</w:t>
      </w:r>
      <w:r w:rsidRPr="004F5BB5">
        <w:rPr>
          <w:rFonts w:ascii="Arial" w:hAnsi="Arial" w:cs="Arial"/>
          <w:sz w:val="24"/>
          <w:szCs w:val="24"/>
        </w:rPr>
        <w:t xml:space="preserve"> проводится рекомбинантным гормоном роста, который получают методом генной инженерии. Он назначается после исключения активных злокачественных новообразований и тяжёлых сопутствующих заболеваний (как физических, так и психических). Эти состояния являются противопоказанием к использованию данного препарата.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Если имеются другие дефициты гормонов гипофиза, то перед лечением их также нужно компенсировать. Иначе должного эффекта от применения гормона роста не будет.</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Лечение гипофизарного нанизма рекомбинантным гормоном роста</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Цели лечения: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ускорить темп роста и нормализовать рост;</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стимулировать начало периода полового созревания с нормальным ростом;</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достичь генетически прогнозируемого роста ребёнка или опередить его;</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улучшить качество жизни;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повысить минеральную плотность костей;</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снизить факторы риска сердечно-сосудистых заболеваний.</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Противопоказания к назначению рекомбинантным гормоном роста: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закрытые зоны роста, за счёт которых происходит линейный рост (при их закрытии человек перестаёт расти);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активные злокачественные новообразования;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прогрессирующий рост внутричерепных опухолей;</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аллергия на препарат.</w:t>
      </w:r>
    </w:p>
    <w:p w:rsidR="00580477" w:rsidRPr="004F5BB5" w:rsidRDefault="00580477" w:rsidP="004F5BB5">
      <w:pPr>
        <w:spacing w:after="0" w:line="240" w:lineRule="auto"/>
        <w:ind w:firstLine="567"/>
        <w:jc w:val="both"/>
        <w:rPr>
          <w:rFonts w:ascii="Arial" w:hAnsi="Arial" w:cs="Arial"/>
          <w:i/>
          <w:sz w:val="24"/>
          <w:szCs w:val="24"/>
        </w:rPr>
      </w:pPr>
      <w:r w:rsidRPr="004F5BB5">
        <w:rPr>
          <w:rFonts w:ascii="Arial" w:hAnsi="Arial" w:cs="Arial"/>
          <w:i/>
          <w:sz w:val="24"/>
          <w:szCs w:val="24"/>
        </w:rPr>
        <w:t>Прекращают терапию гормоном роста при:</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закрытии зон роста;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плохой скорости прибавки роста — менее 2 см в год;</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достижении социально приемлемого роста.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Крайне редко возможны побочные эффекты и осложнения при терапии гормоном роста: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доброкачественная внутричерепная гипертензия — повышение внутричерепного давления;</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боли в суставах — обычно наблюдаются при значительном ускорении линейного роста;</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возможно усугубление заболеваний, связанных с недифференцированными дисплазиями соединительной ткани (сколиозов);</w:t>
      </w:r>
    </w:p>
    <w:p w:rsidR="00580477"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отёки — связано с функцией гормона роста задерживать жидкости в организме;</w:t>
      </w:r>
    </w:p>
    <w:p w:rsidR="0019338D" w:rsidRPr="004F5BB5" w:rsidRDefault="00580477" w:rsidP="004F5BB5">
      <w:pPr>
        <w:spacing w:after="0" w:line="240" w:lineRule="auto"/>
        <w:ind w:firstLine="567"/>
        <w:jc w:val="both"/>
        <w:rPr>
          <w:rFonts w:ascii="Arial" w:hAnsi="Arial" w:cs="Arial"/>
          <w:sz w:val="24"/>
          <w:szCs w:val="24"/>
        </w:rPr>
      </w:pPr>
      <w:r w:rsidRPr="004F5BB5">
        <w:rPr>
          <w:rFonts w:ascii="Arial" w:hAnsi="Arial" w:cs="Arial"/>
          <w:sz w:val="24"/>
          <w:szCs w:val="24"/>
        </w:rPr>
        <w:t>пубертатная гинекомастия — увеличение грудных желёз за счёт разрастания железистой ткани у мальчиков.</w:t>
      </w:r>
      <w:r w:rsidR="00924C1B" w:rsidRPr="004F5BB5">
        <w:rPr>
          <w:rFonts w:ascii="Arial" w:hAnsi="Arial" w:cs="Arial"/>
          <w:sz w:val="24"/>
          <w:szCs w:val="24"/>
        </w:rPr>
        <w:t xml:space="preserve"> </w:t>
      </w:r>
    </w:p>
    <w:p w:rsidR="00AA12A5" w:rsidRPr="004F5BB5" w:rsidRDefault="00AA12A5" w:rsidP="004F5BB5">
      <w:pPr>
        <w:spacing w:after="0" w:line="240" w:lineRule="auto"/>
        <w:ind w:firstLine="567"/>
        <w:jc w:val="both"/>
        <w:rPr>
          <w:rFonts w:ascii="Arial" w:hAnsi="Arial" w:cs="Arial"/>
          <w:b/>
          <w:i/>
          <w:sz w:val="24"/>
          <w:szCs w:val="24"/>
        </w:rPr>
      </w:pPr>
      <w:r w:rsidRPr="004F5BB5">
        <w:rPr>
          <w:rFonts w:ascii="Arial" w:hAnsi="Arial" w:cs="Arial"/>
          <w:b/>
          <w:i/>
          <w:sz w:val="24"/>
          <w:szCs w:val="24"/>
        </w:rPr>
        <w:t>Акромегалия и гигантизм.</w:t>
      </w:r>
    </w:p>
    <w:p w:rsidR="00441786" w:rsidRPr="004F5BB5" w:rsidRDefault="00441786" w:rsidP="004F5BB5">
      <w:pPr>
        <w:spacing w:after="0" w:line="240" w:lineRule="auto"/>
        <w:ind w:firstLine="567"/>
        <w:jc w:val="both"/>
        <w:rPr>
          <w:rFonts w:ascii="Arial" w:hAnsi="Arial" w:cs="Arial"/>
          <w:sz w:val="24"/>
          <w:szCs w:val="24"/>
        </w:rPr>
      </w:pPr>
      <w:r w:rsidRPr="004F5BB5">
        <w:rPr>
          <w:rFonts w:ascii="Arial" w:hAnsi="Arial" w:cs="Arial"/>
          <w:sz w:val="24"/>
          <w:szCs w:val="24"/>
        </w:rPr>
        <w:t>ГР стимулирует соматический рост и регулирует обмен веществ. Главным стимулятором синтеза и секреции ГР является рилизинг гормон гормона роста (РГГР), а ингибитором этих процессов – соматостатин. ГР контролирует синтез инсулиноподобного фактора роста 1 (ИФР-1), называемого также соматомедином-С, от которого в основном и зависит рост тканей. ИФР-1 продуцируется многими тканями, но главным его источником является печень. Метаболические эффекты ГР развиваются двухфазно. Вначале ГР действует подобно инсулину, увеличивая поглощение глюкозы мышцами и жировой тканью, стимулируя захват аминокислот и синтез белка в печени и мышцах и угнетая липолиз в жировой ткани. Через несколько часов развиваются более выраженные антиинсулиновые метаболические эффекты. К ним относится торможение захвата и утилизации глюкозы, что сопровождается повышением уровня глюкозы в крови и усилением липолиза с возрастанием уровня свободных жирных кислот в плазме.</w:t>
      </w:r>
    </w:p>
    <w:p w:rsidR="00441786" w:rsidRPr="004F5BB5" w:rsidRDefault="00441786" w:rsidP="004F5BB5">
      <w:pPr>
        <w:spacing w:after="0" w:line="240" w:lineRule="auto"/>
        <w:ind w:firstLine="567"/>
        <w:jc w:val="both"/>
        <w:rPr>
          <w:rFonts w:ascii="Arial" w:hAnsi="Arial" w:cs="Arial"/>
          <w:sz w:val="24"/>
          <w:szCs w:val="24"/>
        </w:rPr>
      </w:pPr>
    </w:p>
    <w:p w:rsidR="00441786" w:rsidRPr="004F5BB5" w:rsidRDefault="00441786" w:rsidP="004F5BB5">
      <w:pPr>
        <w:spacing w:after="0" w:line="240" w:lineRule="auto"/>
        <w:ind w:firstLine="567"/>
        <w:jc w:val="both"/>
        <w:rPr>
          <w:rFonts w:ascii="Arial" w:hAnsi="Arial" w:cs="Arial"/>
          <w:sz w:val="24"/>
          <w:szCs w:val="24"/>
        </w:rPr>
      </w:pPr>
      <w:r w:rsidRPr="004F5BB5">
        <w:rPr>
          <w:rFonts w:ascii="Arial" w:hAnsi="Arial" w:cs="Arial"/>
          <w:sz w:val="24"/>
          <w:szCs w:val="24"/>
        </w:rPr>
        <w:t>Клетки многих аденом, секретирующих гормон роста (ГР), содержат мутантную форму Gs белка, который активирует аденилатциклазу. Клетки с мутантной формой протеина Gs секретируют ГР даже в отсутствие гормона, высвобождающего гормон роста (ГРРГ). Описаны также случаи эктопической секреции ГРРГ опухолями, особенно поджелудочной железы и легких.</w:t>
      </w:r>
    </w:p>
    <w:p w:rsidR="00441786" w:rsidRPr="004F5BB5" w:rsidRDefault="00441786" w:rsidP="004F5BB5">
      <w:pPr>
        <w:spacing w:after="0" w:line="240" w:lineRule="auto"/>
        <w:ind w:firstLine="567"/>
        <w:jc w:val="both"/>
        <w:rPr>
          <w:rFonts w:ascii="Arial" w:hAnsi="Arial" w:cs="Arial"/>
          <w:i/>
          <w:sz w:val="24"/>
          <w:szCs w:val="24"/>
        </w:rPr>
      </w:pPr>
      <w:r w:rsidRPr="004F5BB5">
        <w:rPr>
          <w:rFonts w:ascii="Arial" w:hAnsi="Arial" w:cs="Arial"/>
          <w:i/>
          <w:sz w:val="24"/>
          <w:szCs w:val="24"/>
        </w:rPr>
        <w:t>Клинические проявления</w:t>
      </w:r>
    </w:p>
    <w:p w:rsidR="00441786" w:rsidRPr="004F5BB5" w:rsidRDefault="00441786" w:rsidP="004F5BB5">
      <w:pPr>
        <w:spacing w:after="0" w:line="240" w:lineRule="auto"/>
        <w:ind w:firstLine="567"/>
        <w:jc w:val="both"/>
        <w:rPr>
          <w:rFonts w:ascii="Arial" w:hAnsi="Arial" w:cs="Arial"/>
          <w:sz w:val="24"/>
          <w:szCs w:val="24"/>
        </w:rPr>
      </w:pPr>
      <w:r w:rsidRPr="004F5BB5">
        <w:rPr>
          <w:rFonts w:ascii="Arial" w:hAnsi="Arial" w:cs="Arial"/>
          <w:sz w:val="24"/>
          <w:szCs w:val="24"/>
        </w:rPr>
        <w:t>Гипофизарный гигантизм Это редкое состояние возникает в тех случаях, когда гиперсекреция ГР начинается в детстве, еще до закрытия эпифизарных зон роста. Скорость роста скелета и предельно достижимый рост увеличиваются, но кости практически не деформируются. Тем не менее можно наблюдать отек мягких тканей и увеличение периферических нервов. Часто имеет место задержка полового созревания или гипогонадотропный гипогонадизм с характерным евнухоидным строением тела.</w:t>
      </w:r>
    </w:p>
    <w:p w:rsidR="00441786" w:rsidRPr="004F5BB5" w:rsidRDefault="00441786" w:rsidP="004F5BB5">
      <w:pPr>
        <w:spacing w:after="0" w:line="240" w:lineRule="auto"/>
        <w:ind w:firstLine="567"/>
        <w:jc w:val="both"/>
        <w:rPr>
          <w:rFonts w:ascii="Arial" w:hAnsi="Arial" w:cs="Arial"/>
          <w:sz w:val="24"/>
          <w:szCs w:val="24"/>
        </w:rPr>
      </w:pPr>
    </w:p>
    <w:p w:rsidR="00441786" w:rsidRPr="004F5BB5" w:rsidRDefault="00441786" w:rsidP="004F5BB5">
      <w:pPr>
        <w:spacing w:after="0" w:line="240" w:lineRule="auto"/>
        <w:ind w:firstLine="567"/>
        <w:jc w:val="both"/>
        <w:rPr>
          <w:rFonts w:ascii="Arial" w:hAnsi="Arial" w:cs="Arial"/>
          <w:i/>
          <w:sz w:val="24"/>
          <w:szCs w:val="24"/>
        </w:rPr>
      </w:pPr>
      <w:r w:rsidRPr="004F5BB5">
        <w:rPr>
          <w:rFonts w:ascii="Arial" w:hAnsi="Arial" w:cs="Arial"/>
          <w:i/>
          <w:sz w:val="24"/>
          <w:szCs w:val="24"/>
        </w:rPr>
        <w:t>Акромегалия</w:t>
      </w:r>
    </w:p>
    <w:p w:rsidR="00AA12A5" w:rsidRPr="004F5BB5" w:rsidRDefault="00441786" w:rsidP="004F5BB5">
      <w:pPr>
        <w:spacing w:after="0" w:line="240" w:lineRule="auto"/>
        <w:ind w:firstLine="567"/>
        <w:jc w:val="both"/>
        <w:rPr>
          <w:rFonts w:ascii="Arial" w:hAnsi="Arial" w:cs="Arial"/>
          <w:sz w:val="24"/>
          <w:szCs w:val="24"/>
        </w:rPr>
      </w:pPr>
      <w:r w:rsidRPr="004F5BB5">
        <w:rPr>
          <w:rFonts w:ascii="Arial" w:hAnsi="Arial" w:cs="Arial"/>
          <w:sz w:val="24"/>
          <w:szCs w:val="24"/>
        </w:rPr>
        <w:t xml:space="preserve">К акромегалии приводит гиперсекреция ГР, начинающаяся в 20-40-летнем возрасте. Если гиперсекреция ГР начинается после закрытия эпифизарных зон роста, она раньше всего проявляется клинически огрубением черт лица и гипертрофией мягких тканей кистей и стоп. Изменяется общий вид, больным приходится увеличивать размеры колец, перчаток и обуви. Следить за течением заболевания помогают фотографии пациента, сделанные в разное время. </w:t>
      </w:r>
    </w:p>
    <w:p w:rsidR="00441786" w:rsidRPr="004F5BB5" w:rsidRDefault="00441786" w:rsidP="004F5BB5">
      <w:pPr>
        <w:spacing w:after="0" w:line="240" w:lineRule="auto"/>
        <w:ind w:firstLine="567"/>
        <w:jc w:val="both"/>
        <w:rPr>
          <w:rFonts w:ascii="Arial" w:hAnsi="Arial" w:cs="Arial"/>
          <w:sz w:val="24"/>
          <w:szCs w:val="24"/>
        </w:rPr>
      </w:pPr>
      <w:r w:rsidRPr="004F5BB5">
        <w:rPr>
          <w:rFonts w:ascii="Arial" w:hAnsi="Arial" w:cs="Arial"/>
          <w:sz w:val="24"/>
          <w:szCs w:val="24"/>
        </w:rPr>
        <w:t>Избыточная продукция ГР в периоде до полового созревания и до завершения окостенения обуславливает гигантизм</w:t>
      </w:r>
      <w:r w:rsidR="00B31498" w:rsidRPr="004F5BB5">
        <w:rPr>
          <w:rFonts w:ascii="Arial" w:hAnsi="Arial" w:cs="Arial"/>
          <w:sz w:val="24"/>
          <w:szCs w:val="24"/>
        </w:rPr>
        <w:t>.</w:t>
      </w:r>
    </w:p>
    <w:p w:rsidR="00B31498" w:rsidRPr="004F5BB5" w:rsidRDefault="00B31498" w:rsidP="004F5BB5">
      <w:pPr>
        <w:spacing w:after="0" w:line="240" w:lineRule="auto"/>
        <w:ind w:firstLine="567"/>
        <w:jc w:val="both"/>
        <w:rPr>
          <w:rFonts w:ascii="Arial" w:hAnsi="Arial" w:cs="Arial"/>
          <w:sz w:val="24"/>
          <w:szCs w:val="24"/>
        </w:rPr>
      </w:pPr>
      <w:r w:rsidRPr="004F5BB5">
        <w:rPr>
          <w:rFonts w:ascii="Arial" w:hAnsi="Arial" w:cs="Arial"/>
          <w:sz w:val="24"/>
          <w:szCs w:val="24"/>
        </w:rPr>
        <w:t>Гиперфункции гипофиза у взрослых приводят к акромегалии- непропорционально интенсивный рост отдельных частей тела (пальцев рук и ног, носа, нижней челюсти, языка, внутренних органов).</w:t>
      </w:r>
    </w:p>
    <w:p w:rsidR="00B31498" w:rsidRPr="004F5BB5" w:rsidRDefault="00B31498" w:rsidP="004F5BB5">
      <w:pPr>
        <w:spacing w:after="0" w:line="240" w:lineRule="auto"/>
        <w:ind w:firstLine="567"/>
        <w:jc w:val="both"/>
        <w:rPr>
          <w:rFonts w:ascii="Arial" w:hAnsi="Arial" w:cs="Arial"/>
          <w:b/>
          <w:sz w:val="24"/>
          <w:szCs w:val="24"/>
        </w:rPr>
      </w:pPr>
      <w:r w:rsidRPr="004F5BB5">
        <w:rPr>
          <w:rFonts w:ascii="Arial" w:hAnsi="Arial" w:cs="Arial"/>
          <w:b/>
          <w:sz w:val="24"/>
          <w:szCs w:val="24"/>
        </w:rPr>
        <w:t>Гипопитуитаризм</w:t>
      </w:r>
    </w:p>
    <w:p w:rsidR="00B31498" w:rsidRPr="004F5BB5" w:rsidRDefault="00B31498" w:rsidP="004F5BB5">
      <w:pPr>
        <w:spacing w:after="0" w:line="240" w:lineRule="auto"/>
        <w:ind w:firstLine="567"/>
        <w:jc w:val="both"/>
        <w:rPr>
          <w:rFonts w:ascii="Arial" w:hAnsi="Arial" w:cs="Arial"/>
          <w:sz w:val="24"/>
          <w:szCs w:val="24"/>
        </w:rPr>
      </w:pPr>
      <w:r w:rsidRPr="004F5BB5">
        <w:rPr>
          <w:rFonts w:ascii="Arial" w:hAnsi="Arial" w:cs="Arial"/>
          <w:sz w:val="24"/>
          <w:szCs w:val="24"/>
        </w:rPr>
        <w:lastRenderedPageBreak/>
        <w:t>синдром, в основе которой лежит поражения гипоталамо-гипофизарной системы с стойким снижением или выпадением функции аденогипофиза и нарушением деятельности периферических эндокринных желез.</w:t>
      </w:r>
    </w:p>
    <w:p w:rsidR="00B31498" w:rsidRPr="004F5BB5" w:rsidRDefault="00B31498" w:rsidP="004F5BB5">
      <w:pPr>
        <w:spacing w:after="0" w:line="240" w:lineRule="auto"/>
        <w:ind w:firstLine="567"/>
        <w:jc w:val="both"/>
        <w:rPr>
          <w:rFonts w:ascii="Arial" w:hAnsi="Arial" w:cs="Arial"/>
          <w:sz w:val="24"/>
          <w:szCs w:val="24"/>
        </w:rPr>
      </w:pPr>
      <w:r w:rsidRPr="004F5BB5">
        <w:rPr>
          <w:rFonts w:ascii="Arial" w:hAnsi="Arial" w:cs="Arial"/>
          <w:sz w:val="24"/>
          <w:szCs w:val="24"/>
        </w:rPr>
        <w:t>Несахарный диабет</w:t>
      </w:r>
    </w:p>
    <w:p w:rsidR="00B31498" w:rsidRPr="004F5BB5" w:rsidRDefault="00B31498" w:rsidP="004F5BB5">
      <w:pPr>
        <w:spacing w:after="0" w:line="240" w:lineRule="auto"/>
        <w:ind w:firstLine="567"/>
        <w:jc w:val="both"/>
        <w:rPr>
          <w:rFonts w:ascii="Arial" w:hAnsi="Arial" w:cs="Arial"/>
          <w:sz w:val="24"/>
          <w:szCs w:val="24"/>
        </w:rPr>
      </w:pPr>
      <w:r w:rsidRPr="004F5BB5">
        <w:rPr>
          <w:rFonts w:ascii="Arial" w:hAnsi="Arial" w:cs="Arial"/>
          <w:sz w:val="24"/>
          <w:szCs w:val="24"/>
        </w:rPr>
        <w:t>это заболевания, которое возникает вследствие абсолютной или относительной недостаточности вазопресина (антидиуритического гормона, АДГ) и характеризуется жаждой и выделением большого количества мочи с низким удельным весом</w:t>
      </w:r>
      <w:r w:rsidR="004D45C5" w:rsidRPr="004F5BB5">
        <w:rPr>
          <w:rFonts w:ascii="Arial" w:hAnsi="Arial" w:cs="Arial"/>
          <w:sz w:val="24"/>
          <w:szCs w:val="24"/>
        </w:rPr>
        <w:t>.</w:t>
      </w:r>
    </w:p>
    <w:p w:rsidR="004D45C5" w:rsidRPr="004F5BB5" w:rsidRDefault="004D45C5" w:rsidP="004F5BB5">
      <w:pPr>
        <w:spacing w:after="0" w:line="240" w:lineRule="auto"/>
        <w:ind w:firstLine="567"/>
        <w:jc w:val="both"/>
        <w:rPr>
          <w:rFonts w:ascii="Arial" w:hAnsi="Arial" w:cs="Arial"/>
          <w:i/>
          <w:sz w:val="24"/>
          <w:szCs w:val="24"/>
        </w:rPr>
      </w:pPr>
      <w:r w:rsidRPr="004F5BB5">
        <w:rPr>
          <w:rFonts w:ascii="Arial" w:hAnsi="Arial" w:cs="Arial"/>
          <w:i/>
          <w:sz w:val="24"/>
          <w:szCs w:val="24"/>
        </w:rPr>
        <w:t>Патогенез</w:t>
      </w:r>
    </w:p>
    <w:p w:rsidR="00C62EA3" w:rsidRPr="004F5BB5" w:rsidRDefault="00C62EA3" w:rsidP="004F5BB5">
      <w:pPr>
        <w:spacing w:after="0" w:line="240" w:lineRule="auto"/>
        <w:ind w:firstLine="567"/>
        <w:jc w:val="both"/>
        <w:rPr>
          <w:rFonts w:ascii="Arial" w:hAnsi="Arial" w:cs="Arial"/>
          <w:sz w:val="24"/>
          <w:szCs w:val="24"/>
        </w:rPr>
      </w:pPr>
      <w:r w:rsidRPr="004F5BB5">
        <w:rPr>
          <w:rFonts w:ascii="Arial" w:hAnsi="Arial" w:cs="Arial"/>
          <w:sz w:val="24"/>
          <w:szCs w:val="24"/>
        </w:rPr>
        <w:t>Дефицит АДГ → нарушение концентрации мочи на уровне дистальных канальцев нефрона → полиурия, гипоизостенурия → дегидратация → стимуляция центра жажды → полидипсия. Периферический НД: снижение или отсутствие чувствительности рецепторов почечных канальцев к АДГ или усиленная инактивация последнего в печени, почках, плаценте.</w:t>
      </w:r>
    </w:p>
    <w:p w:rsidR="00C62EA3" w:rsidRPr="004F5BB5" w:rsidRDefault="00C62EA3" w:rsidP="004F5BB5">
      <w:pPr>
        <w:spacing w:after="0" w:line="240" w:lineRule="auto"/>
        <w:ind w:firstLine="567"/>
        <w:jc w:val="both"/>
        <w:rPr>
          <w:rFonts w:ascii="Arial" w:hAnsi="Arial" w:cs="Arial"/>
          <w:sz w:val="24"/>
          <w:szCs w:val="24"/>
        </w:rPr>
      </w:pPr>
      <w:r w:rsidRPr="004F5BB5">
        <w:rPr>
          <w:rFonts w:ascii="Arial" w:hAnsi="Arial" w:cs="Arial"/>
          <w:sz w:val="24"/>
          <w:szCs w:val="24"/>
        </w:rPr>
        <w:t>Синдром</w:t>
      </w:r>
      <w:r w:rsidR="00684A96" w:rsidRPr="004F5BB5">
        <w:rPr>
          <w:rFonts w:ascii="Arial" w:hAnsi="Arial" w:cs="Arial"/>
          <w:sz w:val="24"/>
          <w:szCs w:val="24"/>
        </w:rPr>
        <w:t xml:space="preserve"> Пархона </w:t>
      </w:r>
      <w:r w:rsidRPr="004F5BB5">
        <w:rPr>
          <w:rFonts w:ascii="Arial" w:hAnsi="Arial" w:cs="Arial"/>
          <w:sz w:val="24"/>
          <w:szCs w:val="24"/>
        </w:rPr>
        <w:t>(гипергидропексический синдром, несахарный антидиабет, синдром неадекватной продукции вазопрессина) синдром, который развивается вследствие неадекватной продукции антидиуретического гормона и характеризуется олигуриею, задержкой жидкости в организме, отсутствием жажды.</w:t>
      </w:r>
    </w:p>
    <w:p w:rsidR="00C62EA3" w:rsidRPr="004F5BB5" w:rsidRDefault="00C62EA3" w:rsidP="004F5BB5">
      <w:pPr>
        <w:spacing w:after="0" w:line="240" w:lineRule="auto"/>
        <w:ind w:firstLine="567"/>
        <w:jc w:val="both"/>
        <w:rPr>
          <w:rFonts w:ascii="Arial" w:hAnsi="Arial" w:cs="Arial"/>
          <w:b/>
          <w:sz w:val="24"/>
          <w:szCs w:val="24"/>
        </w:rPr>
      </w:pPr>
      <w:r w:rsidRPr="004F5BB5">
        <w:rPr>
          <w:rFonts w:ascii="Arial" w:hAnsi="Arial" w:cs="Arial"/>
          <w:b/>
          <w:sz w:val="24"/>
          <w:szCs w:val="24"/>
        </w:rPr>
        <w:t>Ожирение</w:t>
      </w:r>
    </w:p>
    <w:p w:rsidR="00417A7A" w:rsidRPr="004F5BB5" w:rsidRDefault="00684A96" w:rsidP="004F5BB5">
      <w:pPr>
        <w:spacing w:after="0" w:line="240" w:lineRule="auto"/>
        <w:ind w:firstLine="567"/>
        <w:jc w:val="both"/>
        <w:rPr>
          <w:rFonts w:ascii="Arial" w:hAnsi="Arial" w:cs="Arial"/>
          <w:sz w:val="24"/>
          <w:szCs w:val="24"/>
        </w:rPr>
      </w:pPr>
      <w:r w:rsidRPr="004F5BB5">
        <w:rPr>
          <w:rFonts w:ascii="Arial" w:hAnsi="Arial" w:cs="Arial"/>
          <w:sz w:val="24"/>
          <w:szCs w:val="24"/>
        </w:rPr>
        <w:t>З</w:t>
      </w:r>
      <w:r w:rsidR="00C62EA3" w:rsidRPr="004F5BB5">
        <w:rPr>
          <w:rFonts w:ascii="Arial" w:hAnsi="Arial" w:cs="Arial"/>
          <w:sz w:val="24"/>
          <w:szCs w:val="24"/>
        </w:rPr>
        <w:t>аболевание организма, которое характеризуется избыточным откладыванием жира в подкожной клетчатке и тканях вследствие нарушенного обмена веществ. По предварительным данным, в России не менее 30% трудоспособного населения имеют избыточную массу тела и 25% - ожирение. По прогнозам экспертов ВОЗ к 2025 г. в мире будет насчитываться более 300 млн. человек с диагнозом “ожирение”.Причины ожирения.          Постоянное переедание приводит к нарушению работы центра аппетита (того самого, что в головном мозге), и нормальное количество съеденной пищи уже не может подавить чувство голода. Человеку приходится есть все больше и больше. Избыточная, лишняя пища откладывается как бы "про запас" в жировое депо, что ведет к увеличению количества жира в организме, то есть к развитию ожирения.</w:t>
      </w:r>
      <w:r w:rsidR="00417A7A" w:rsidRPr="004F5BB5">
        <w:rPr>
          <w:rFonts w:ascii="Arial" w:hAnsi="Arial" w:cs="Arial"/>
          <w:sz w:val="24"/>
          <w:szCs w:val="24"/>
        </w:rPr>
        <w:t xml:space="preserve">        В 1994 г. был открыт гормон — лептин, который синтезируется жировой тканью. </w:t>
      </w:r>
      <w:r w:rsidRPr="004F5BB5">
        <w:rPr>
          <w:rFonts w:ascii="Arial" w:hAnsi="Arial" w:cs="Arial"/>
          <w:sz w:val="24"/>
          <w:szCs w:val="24"/>
        </w:rPr>
        <w:t xml:space="preserve"> </w:t>
      </w:r>
      <w:r w:rsidR="00417A7A" w:rsidRPr="004F5BB5">
        <w:rPr>
          <w:rFonts w:ascii="Arial" w:hAnsi="Arial" w:cs="Arial"/>
          <w:sz w:val="24"/>
          <w:szCs w:val="24"/>
        </w:rPr>
        <w:t>Полагают, что регуляторный эффект этого белка</w:t>
      </w:r>
      <w:r w:rsidRPr="004F5BB5">
        <w:rPr>
          <w:rFonts w:ascii="Arial" w:hAnsi="Arial" w:cs="Arial"/>
          <w:sz w:val="24"/>
          <w:szCs w:val="24"/>
        </w:rPr>
        <w:t xml:space="preserve"> </w:t>
      </w:r>
      <w:r w:rsidR="00417A7A" w:rsidRPr="004F5BB5">
        <w:rPr>
          <w:rFonts w:ascii="Arial" w:hAnsi="Arial" w:cs="Arial"/>
          <w:sz w:val="24"/>
          <w:szCs w:val="24"/>
        </w:rPr>
        <w:t>реализуется на уровне пищевых центров гипоталамуса. Это позволяет рассматривать лептин как специфический гормон, регулирующий запасы энергии</w:t>
      </w:r>
      <w:r w:rsidRPr="004F5BB5">
        <w:rPr>
          <w:rFonts w:ascii="Arial" w:hAnsi="Arial" w:cs="Arial"/>
          <w:sz w:val="24"/>
          <w:szCs w:val="24"/>
        </w:rPr>
        <w:t xml:space="preserve"> в </w:t>
      </w:r>
      <w:r w:rsidR="00417A7A" w:rsidRPr="004F5BB5">
        <w:rPr>
          <w:rFonts w:ascii="Arial" w:hAnsi="Arial" w:cs="Arial"/>
          <w:sz w:val="24"/>
          <w:szCs w:val="24"/>
        </w:rPr>
        <w:t>организме. При ожирении его количество увеличено, но жир</w:t>
      </w:r>
      <w:r w:rsidR="00A766D4" w:rsidRPr="004F5BB5">
        <w:rPr>
          <w:rFonts w:ascii="Arial" w:hAnsi="Arial" w:cs="Arial"/>
          <w:sz w:val="24"/>
          <w:szCs w:val="24"/>
        </w:rPr>
        <w:t xml:space="preserve">овая ткань резистентна к нему. </w:t>
      </w:r>
      <w:r w:rsidR="00417A7A" w:rsidRPr="004F5BB5">
        <w:rPr>
          <w:rFonts w:ascii="Arial" w:hAnsi="Arial" w:cs="Arial"/>
          <w:sz w:val="24"/>
          <w:szCs w:val="24"/>
        </w:rPr>
        <w:t xml:space="preserve">Таким образом, согласно современным представлениям, в основе накопления массы жира лежит не только энергетический дисбаланс (преобладание энергии потребления над энергией расхода) как полагали ранее, но и дисбаланс нутриентов и в частности жира. </w:t>
      </w:r>
    </w:p>
    <w:p w:rsidR="00C62EA3" w:rsidRPr="004F5BB5" w:rsidRDefault="00417A7A" w:rsidP="004F5BB5">
      <w:pPr>
        <w:spacing w:after="0" w:line="240" w:lineRule="auto"/>
        <w:ind w:firstLine="567"/>
        <w:jc w:val="both"/>
        <w:rPr>
          <w:rFonts w:ascii="Arial" w:hAnsi="Arial" w:cs="Arial"/>
          <w:sz w:val="24"/>
          <w:szCs w:val="24"/>
        </w:rPr>
      </w:pPr>
      <w:r w:rsidRPr="004F5BB5">
        <w:rPr>
          <w:rFonts w:ascii="Arial" w:hAnsi="Arial" w:cs="Arial"/>
          <w:sz w:val="24"/>
          <w:szCs w:val="24"/>
        </w:rPr>
        <w:t>Варианты осуществления различных влияний лептина.   Лептин снижает аппетит и потребление пищи, повышает расход энергии, изменяет метаболизм жиров и глюкозы, а также нейроэндокринную функцию путем либо прямого влияния, либо активации специфических структур в центральной нервной системе.</w:t>
      </w:r>
    </w:p>
    <w:p w:rsidR="00417A7A" w:rsidRPr="004F5BB5" w:rsidRDefault="00417A7A" w:rsidP="004F5BB5">
      <w:pPr>
        <w:spacing w:after="0" w:line="240" w:lineRule="auto"/>
        <w:ind w:firstLine="567"/>
        <w:jc w:val="both"/>
        <w:rPr>
          <w:rFonts w:ascii="Arial" w:hAnsi="Arial" w:cs="Arial"/>
          <w:i/>
          <w:sz w:val="24"/>
          <w:szCs w:val="24"/>
        </w:rPr>
      </w:pPr>
      <w:r w:rsidRPr="004F5BB5">
        <w:rPr>
          <w:rFonts w:ascii="Arial" w:hAnsi="Arial" w:cs="Arial"/>
          <w:i/>
          <w:sz w:val="24"/>
          <w:szCs w:val="24"/>
        </w:rPr>
        <w:t>Классификация ожирения</w:t>
      </w:r>
    </w:p>
    <w:p w:rsidR="001D3083" w:rsidRPr="004F5BB5" w:rsidRDefault="00A711D8" w:rsidP="004F5BB5">
      <w:pPr>
        <w:numPr>
          <w:ilvl w:val="0"/>
          <w:numId w:val="2"/>
        </w:numPr>
        <w:spacing w:after="0" w:line="240" w:lineRule="auto"/>
        <w:jc w:val="both"/>
        <w:rPr>
          <w:rFonts w:ascii="Arial" w:hAnsi="Arial" w:cs="Arial"/>
          <w:b/>
          <w:sz w:val="24"/>
          <w:szCs w:val="24"/>
          <w:u w:val="single"/>
        </w:rPr>
      </w:pPr>
      <w:r w:rsidRPr="004F5BB5">
        <w:rPr>
          <w:rFonts w:ascii="Arial" w:hAnsi="Arial" w:cs="Arial"/>
          <w:b/>
          <w:sz w:val="24"/>
          <w:szCs w:val="24"/>
          <w:u w:val="single"/>
          <w:lang w:val="en-US"/>
        </w:rPr>
        <w:t>I</w:t>
      </w:r>
      <w:r w:rsidRPr="004F5BB5">
        <w:rPr>
          <w:rFonts w:ascii="Arial" w:hAnsi="Arial" w:cs="Arial"/>
          <w:b/>
          <w:bCs/>
          <w:sz w:val="24"/>
          <w:szCs w:val="24"/>
          <w:u w:val="single"/>
        </w:rPr>
        <w:t>.Первичное ожирение</w:t>
      </w:r>
    </w:p>
    <w:p w:rsidR="001D3083" w:rsidRPr="004F5BB5" w:rsidRDefault="00A711D8" w:rsidP="004F5BB5">
      <w:pPr>
        <w:numPr>
          <w:ilvl w:val="0"/>
          <w:numId w:val="3"/>
        </w:numPr>
        <w:spacing w:after="0" w:line="240" w:lineRule="auto"/>
        <w:jc w:val="both"/>
        <w:rPr>
          <w:rFonts w:ascii="Arial" w:hAnsi="Arial" w:cs="Arial"/>
          <w:sz w:val="24"/>
          <w:szCs w:val="24"/>
        </w:rPr>
      </w:pPr>
      <w:r w:rsidRPr="004F5BB5">
        <w:rPr>
          <w:rFonts w:ascii="Arial" w:hAnsi="Arial" w:cs="Arial"/>
          <w:sz w:val="24"/>
          <w:szCs w:val="24"/>
          <w:lang w:val="en-US"/>
        </w:rPr>
        <w:t>1</w:t>
      </w:r>
      <w:r w:rsidRPr="004F5BB5">
        <w:rPr>
          <w:rFonts w:ascii="Arial" w:hAnsi="Arial" w:cs="Arial"/>
          <w:i/>
          <w:iCs/>
          <w:sz w:val="24"/>
          <w:szCs w:val="24"/>
        </w:rPr>
        <w:t>.Алиментарно-конституциональное (экзогенно-конституциональное):</w:t>
      </w:r>
    </w:p>
    <w:p w:rsidR="001D3083" w:rsidRPr="004F5BB5" w:rsidRDefault="00A711D8" w:rsidP="004F5BB5">
      <w:pPr>
        <w:numPr>
          <w:ilvl w:val="0"/>
          <w:numId w:val="4"/>
        </w:numPr>
        <w:spacing w:after="0" w:line="240" w:lineRule="auto"/>
        <w:jc w:val="both"/>
        <w:rPr>
          <w:rFonts w:ascii="Arial" w:hAnsi="Arial" w:cs="Arial"/>
          <w:sz w:val="24"/>
          <w:szCs w:val="24"/>
        </w:rPr>
      </w:pPr>
      <w:r w:rsidRPr="004F5BB5">
        <w:rPr>
          <w:rFonts w:ascii="Arial" w:hAnsi="Arial" w:cs="Arial"/>
          <w:sz w:val="24"/>
          <w:szCs w:val="24"/>
        </w:rPr>
        <w:t>Гиноидное</w:t>
      </w:r>
    </w:p>
    <w:p w:rsidR="001D3083" w:rsidRPr="004F5BB5" w:rsidRDefault="00A711D8" w:rsidP="004F5BB5">
      <w:pPr>
        <w:numPr>
          <w:ilvl w:val="0"/>
          <w:numId w:val="4"/>
        </w:numPr>
        <w:spacing w:after="0" w:line="240" w:lineRule="auto"/>
        <w:jc w:val="both"/>
        <w:rPr>
          <w:rFonts w:ascii="Arial" w:hAnsi="Arial" w:cs="Arial"/>
          <w:sz w:val="24"/>
          <w:szCs w:val="24"/>
        </w:rPr>
      </w:pPr>
      <w:r w:rsidRPr="004F5BB5">
        <w:rPr>
          <w:rFonts w:ascii="Arial" w:hAnsi="Arial" w:cs="Arial"/>
          <w:sz w:val="24"/>
          <w:szCs w:val="24"/>
        </w:rPr>
        <w:t>Андроидное (висцеральное):</w:t>
      </w:r>
    </w:p>
    <w:p w:rsidR="00417A7A" w:rsidRPr="004F5BB5" w:rsidRDefault="00417A7A" w:rsidP="004F5BB5">
      <w:pPr>
        <w:spacing w:after="0" w:line="240" w:lineRule="auto"/>
        <w:jc w:val="both"/>
        <w:rPr>
          <w:rFonts w:ascii="Arial" w:hAnsi="Arial" w:cs="Arial"/>
          <w:sz w:val="24"/>
          <w:szCs w:val="24"/>
        </w:rPr>
      </w:pPr>
      <w:r w:rsidRPr="004F5BB5">
        <w:rPr>
          <w:rFonts w:ascii="Arial" w:hAnsi="Arial" w:cs="Arial"/>
          <w:sz w:val="24"/>
          <w:szCs w:val="24"/>
        </w:rPr>
        <w:t xml:space="preserve"> - с отдельными компонентами метаболического синдрома</w:t>
      </w:r>
    </w:p>
    <w:p w:rsidR="00417A7A" w:rsidRPr="004F5BB5" w:rsidRDefault="00417A7A" w:rsidP="004F5BB5">
      <w:pPr>
        <w:spacing w:after="0" w:line="240" w:lineRule="auto"/>
        <w:jc w:val="both"/>
        <w:rPr>
          <w:rFonts w:ascii="Arial" w:hAnsi="Arial" w:cs="Arial"/>
          <w:sz w:val="24"/>
          <w:szCs w:val="24"/>
        </w:rPr>
      </w:pPr>
      <w:r w:rsidRPr="004F5BB5">
        <w:rPr>
          <w:rFonts w:ascii="Arial" w:hAnsi="Arial" w:cs="Arial"/>
          <w:sz w:val="24"/>
          <w:szCs w:val="24"/>
        </w:rPr>
        <w:t xml:space="preserve"> - с развернутым метаболическим синдромом</w:t>
      </w:r>
    </w:p>
    <w:p w:rsidR="001D3083" w:rsidRPr="004F5BB5" w:rsidRDefault="00F62F6F"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 xml:space="preserve">  </w:t>
      </w:r>
      <w:r w:rsidR="00A711D8" w:rsidRPr="004F5BB5">
        <w:rPr>
          <w:rFonts w:ascii="Arial" w:hAnsi="Arial" w:cs="Arial"/>
          <w:sz w:val="24"/>
          <w:szCs w:val="24"/>
        </w:rPr>
        <w:t>С выраженными</w:t>
      </w:r>
      <w:r w:rsidR="00A711D8" w:rsidRPr="004F5BB5">
        <w:rPr>
          <w:rFonts w:ascii="Arial" w:hAnsi="Arial" w:cs="Arial"/>
          <w:b/>
          <w:bCs/>
          <w:sz w:val="24"/>
          <w:szCs w:val="24"/>
        </w:rPr>
        <w:t xml:space="preserve"> </w:t>
      </w:r>
      <w:r w:rsidR="00A711D8" w:rsidRPr="004F5BB5">
        <w:rPr>
          <w:rFonts w:ascii="Arial" w:hAnsi="Arial" w:cs="Arial"/>
          <w:sz w:val="24"/>
          <w:szCs w:val="24"/>
        </w:rPr>
        <w:t>нарушениями пищевого поведения:</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 синдром ночной еды</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 сезонные аффективные колебания</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lastRenderedPageBreak/>
        <w:t xml:space="preserve">- гиперфагическая реакция на стресс </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 «</w:t>
      </w:r>
      <w:r w:rsidRPr="004F5BB5">
        <w:rPr>
          <w:rFonts w:ascii="Arial" w:hAnsi="Arial" w:cs="Arial"/>
          <w:sz w:val="24"/>
          <w:szCs w:val="24"/>
          <w:lang w:val="en-US"/>
        </w:rPr>
        <w:t>binge</w:t>
      </w:r>
      <w:r w:rsidRPr="004F5BB5">
        <w:rPr>
          <w:rFonts w:ascii="Arial" w:hAnsi="Arial" w:cs="Arial"/>
          <w:sz w:val="24"/>
          <w:szCs w:val="24"/>
        </w:rPr>
        <w:t>»</w:t>
      </w:r>
      <w:r w:rsidRPr="004F5BB5">
        <w:rPr>
          <w:rFonts w:ascii="Arial" w:hAnsi="Arial" w:cs="Arial"/>
          <w:sz w:val="24"/>
          <w:szCs w:val="24"/>
          <w:lang w:val="en-US"/>
        </w:rPr>
        <w:t>-eating</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С синдромом Пиквика, с синдромом апноэ во сне</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Пубертатно-юношеское ожирение (пубертатный гипоталамический синдром, синдром псевдо-Фрелиха)</w:t>
      </w:r>
    </w:p>
    <w:p w:rsidR="001D3083" w:rsidRPr="004F5BB5" w:rsidRDefault="00A711D8" w:rsidP="004F5BB5">
      <w:pPr>
        <w:numPr>
          <w:ilvl w:val="0"/>
          <w:numId w:val="5"/>
        </w:numPr>
        <w:tabs>
          <w:tab w:val="clear" w:pos="720"/>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Смешанное ожирение</w:t>
      </w:r>
    </w:p>
    <w:p w:rsidR="00F62F6F" w:rsidRPr="004F5BB5" w:rsidRDefault="00F62F6F" w:rsidP="004F5BB5">
      <w:pPr>
        <w:spacing w:after="0" w:line="240" w:lineRule="auto"/>
        <w:jc w:val="both"/>
        <w:rPr>
          <w:rFonts w:ascii="Arial" w:hAnsi="Arial" w:cs="Arial"/>
          <w:b/>
          <w:sz w:val="24"/>
          <w:szCs w:val="24"/>
          <w:u w:val="single"/>
        </w:rPr>
      </w:pPr>
      <w:r w:rsidRPr="004F5BB5">
        <w:rPr>
          <w:rFonts w:ascii="Arial" w:hAnsi="Arial" w:cs="Arial"/>
          <w:b/>
          <w:sz w:val="24"/>
          <w:szCs w:val="24"/>
          <w:u w:val="single"/>
        </w:rPr>
        <w:t>II Симптоматическое ожирение</w:t>
      </w:r>
    </w:p>
    <w:p w:rsidR="00F62F6F" w:rsidRPr="004F5BB5" w:rsidRDefault="00F62F6F" w:rsidP="004F5BB5">
      <w:pPr>
        <w:pStyle w:val="a4"/>
        <w:numPr>
          <w:ilvl w:val="0"/>
          <w:numId w:val="7"/>
        </w:numPr>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С установленными генетическими дефектами:</w:t>
      </w:r>
    </w:p>
    <w:p w:rsidR="00F62F6F" w:rsidRPr="004F5BB5" w:rsidRDefault="00F62F6F" w:rsidP="004F5BB5">
      <w:pPr>
        <w:pStyle w:val="a4"/>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В составе известных генетических синдромов с полиорганными поражениями</w:t>
      </w:r>
    </w:p>
    <w:p w:rsidR="00F62F6F" w:rsidRPr="004F5BB5" w:rsidRDefault="00F62F6F" w:rsidP="004F5BB5">
      <w:pPr>
        <w:pStyle w:val="a4"/>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Генетические дефекты структур, вовлеченных в регуляцию обмена жира</w:t>
      </w:r>
    </w:p>
    <w:p w:rsidR="00F62F6F" w:rsidRPr="004F5BB5" w:rsidRDefault="00F62F6F" w:rsidP="004F5BB5">
      <w:pPr>
        <w:pStyle w:val="a4"/>
        <w:numPr>
          <w:ilvl w:val="0"/>
          <w:numId w:val="7"/>
        </w:numPr>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Церебральное (адипозогенитальная дистрофия, синдром Бабинского-Пехкранц-Фрелиха):</w:t>
      </w:r>
    </w:p>
    <w:p w:rsidR="00F62F6F" w:rsidRPr="004F5BB5" w:rsidRDefault="00F62F6F" w:rsidP="004F5BB5">
      <w:pPr>
        <w:pStyle w:val="a4"/>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Опухоли головного мозга</w:t>
      </w:r>
    </w:p>
    <w:p w:rsidR="00F62F6F" w:rsidRPr="004F5BB5" w:rsidRDefault="00F62F6F" w:rsidP="004F5BB5">
      <w:pPr>
        <w:pStyle w:val="a4"/>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Диссеминация системных поражений, инфекционные заболевания</w:t>
      </w:r>
    </w:p>
    <w:p w:rsidR="00F62F6F" w:rsidRPr="004F5BB5" w:rsidRDefault="00F62F6F" w:rsidP="004F5BB5">
      <w:pPr>
        <w:pStyle w:val="a4"/>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Гормонально неактивные опухоли гипофиза, синдром «пустого» турецкого седла, синдром «псевдоопухоли»</w:t>
      </w:r>
    </w:p>
    <w:p w:rsidR="00F62F6F" w:rsidRPr="004F5BB5" w:rsidRDefault="00F62F6F" w:rsidP="004F5BB5">
      <w:pPr>
        <w:pStyle w:val="a4"/>
        <w:numPr>
          <w:ilvl w:val="0"/>
          <w:numId w:val="7"/>
        </w:numPr>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Ожирение на фоне психических заболеваний и/или приема нейролептиков</w:t>
      </w:r>
    </w:p>
    <w:p w:rsidR="00F62F6F" w:rsidRPr="004F5BB5" w:rsidRDefault="00F62F6F" w:rsidP="004F5BB5">
      <w:pPr>
        <w:pStyle w:val="a4"/>
        <w:numPr>
          <w:ilvl w:val="0"/>
          <w:numId w:val="7"/>
        </w:numPr>
        <w:tabs>
          <w:tab w:val="left" w:pos="851"/>
        </w:tabs>
        <w:spacing w:after="0" w:line="240" w:lineRule="auto"/>
        <w:ind w:left="0" w:firstLine="284"/>
        <w:jc w:val="both"/>
        <w:rPr>
          <w:rFonts w:ascii="Arial" w:hAnsi="Arial" w:cs="Arial"/>
          <w:sz w:val="24"/>
          <w:szCs w:val="24"/>
        </w:rPr>
      </w:pPr>
      <w:r w:rsidRPr="004F5BB5">
        <w:rPr>
          <w:rFonts w:ascii="Arial" w:hAnsi="Arial" w:cs="Arial"/>
          <w:sz w:val="24"/>
          <w:szCs w:val="24"/>
        </w:rPr>
        <w:t>Эндокринное:</w:t>
      </w:r>
    </w:p>
    <w:p w:rsidR="00F62F6F" w:rsidRPr="004F5BB5" w:rsidRDefault="00F62F6F" w:rsidP="004F5BB5">
      <w:pPr>
        <w:spacing w:after="0" w:line="240" w:lineRule="auto"/>
        <w:ind w:left="709"/>
        <w:jc w:val="both"/>
        <w:rPr>
          <w:rFonts w:ascii="Arial" w:hAnsi="Arial" w:cs="Arial"/>
          <w:sz w:val="24"/>
          <w:szCs w:val="24"/>
        </w:rPr>
      </w:pPr>
      <w:r w:rsidRPr="004F5BB5">
        <w:rPr>
          <w:rFonts w:ascii="Arial" w:hAnsi="Arial" w:cs="Arial"/>
          <w:sz w:val="24"/>
          <w:szCs w:val="24"/>
        </w:rPr>
        <w:t xml:space="preserve"> - гипофизарное</w:t>
      </w:r>
    </w:p>
    <w:p w:rsidR="00F62F6F" w:rsidRPr="004F5BB5" w:rsidRDefault="00F62F6F" w:rsidP="004F5BB5">
      <w:pPr>
        <w:spacing w:after="0" w:line="240" w:lineRule="auto"/>
        <w:ind w:left="709"/>
        <w:jc w:val="both"/>
        <w:rPr>
          <w:rFonts w:ascii="Arial" w:hAnsi="Arial" w:cs="Arial"/>
          <w:sz w:val="24"/>
          <w:szCs w:val="24"/>
        </w:rPr>
      </w:pPr>
      <w:r w:rsidRPr="004F5BB5">
        <w:rPr>
          <w:rFonts w:ascii="Arial" w:hAnsi="Arial" w:cs="Arial"/>
          <w:sz w:val="24"/>
          <w:szCs w:val="24"/>
        </w:rPr>
        <w:t xml:space="preserve"> - гипотиреоидное</w:t>
      </w:r>
    </w:p>
    <w:p w:rsidR="00417A7A" w:rsidRPr="004F5BB5" w:rsidRDefault="00F62F6F" w:rsidP="004F5BB5">
      <w:pPr>
        <w:spacing w:after="0" w:line="240" w:lineRule="auto"/>
        <w:ind w:left="709"/>
        <w:jc w:val="both"/>
        <w:rPr>
          <w:rFonts w:ascii="Arial" w:hAnsi="Arial" w:cs="Arial"/>
          <w:sz w:val="24"/>
          <w:szCs w:val="24"/>
        </w:rPr>
      </w:pPr>
      <w:r w:rsidRPr="004F5BB5">
        <w:rPr>
          <w:rFonts w:ascii="Arial" w:hAnsi="Arial" w:cs="Arial"/>
          <w:sz w:val="24"/>
          <w:szCs w:val="24"/>
        </w:rPr>
        <w:t xml:space="preserve"> - надпочечниковое</w:t>
      </w:r>
    </w:p>
    <w:p w:rsidR="00F62F6F" w:rsidRPr="004F5BB5" w:rsidRDefault="00F62F6F" w:rsidP="004F5BB5">
      <w:pPr>
        <w:spacing w:after="0" w:line="240" w:lineRule="auto"/>
        <w:jc w:val="both"/>
        <w:rPr>
          <w:rFonts w:ascii="Arial" w:hAnsi="Arial" w:cs="Arial"/>
          <w:i/>
          <w:sz w:val="24"/>
          <w:szCs w:val="24"/>
        </w:rPr>
      </w:pPr>
      <w:r w:rsidRPr="004F5BB5">
        <w:rPr>
          <w:rFonts w:ascii="Arial" w:hAnsi="Arial" w:cs="Arial"/>
          <w:i/>
          <w:sz w:val="24"/>
          <w:szCs w:val="24"/>
        </w:rPr>
        <w:t>Методы лечения</w:t>
      </w:r>
    </w:p>
    <w:p w:rsidR="00F62F6F" w:rsidRPr="004F5BB5" w:rsidRDefault="00F62F6F" w:rsidP="004F5BB5">
      <w:pPr>
        <w:pStyle w:val="a4"/>
        <w:numPr>
          <w:ilvl w:val="0"/>
          <w:numId w:val="8"/>
        </w:numPr>
        <w:tabs>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Немедикаментозные методы лечения ожирения</w:t>
      </w:r>
    </w:p>
    <w:p w:rsidR="00F62F6F" w:rsidRPr="004F5BB5" w:rsidRDefault="00F62F6F" w:rsidP="004F5BB5">
      <w:pPr>
        <w:pStyle w:val="a4"/>
        <w:numPr>
          <w:ilvl w:val="0"/>
          <w:numId w:val="8"/>
        </w:numPr>
        <w:tabs>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Медикаментозные методы лечения ожирения</w:t>
      </w:r>
    </w:p>
    <w:p w:rsidR="00F62F6F" w:rsidRPr="004F5BB5" w:rsidRDefault="00F62F6F" w:rsidP="004F5BB5">
      <w:pPr>
        <w:pStyle w:val="a4"/>
        <w:numPr>
          <w:ilvl w:val="0"/>
          <w:numId w:val="8"/>
        </w:numPr>
        <w:tabs>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Хирургические методы лечения ожирения</w:t>
      </w:r>
    </w:p>
    <w:p w:rsidR="00F62F6F" w:rsidRPr="004F5BB5" w:rsidRDefault="00F62F6F" w:rsidP="004F5BB5">
      <w:pPr>
        <w:pStyle w:val="a4"/>
        <w:numPr>
          <w:ilvl w:val="0"/>
          <w:numId w:val="8"/>
        </w:numPr>
        <w:tabs>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 xml:space="preserve">Немедикаментозные методы лечения ожирения </w:t>
      </w:r>
      <w:r w:rsidRPr="004F5BB5">
        <w:rPr>
          <w:rFonts w:ascii="Arial" w:hAnsi="Arial" w:cs="Arial"/>
          <w:sz w:val="24"/>
          <w:szCs w:val="24"/>
        </w:rPr>
        <w:br/>
        <w:t>▪ Рациональное гипокалорийное питание</w:t>
      </w:r>
    </w:p>
    <w:p w:rsidR="00F62F6F" w:rsidRPr="004F5BB5" w:rsidRDefault="00F62F6F" w:rsidP="004F5BB5">
      <w:pPr>
        <w:pStyle w:val="a4"/>
        <w:numPr>
          <w:ilvl w:val="0"/>
          <w:numId w:val="8"/>
        </w:numPr>
        <w:tabs>
          <w:tab w:val="left" w:pos="567"/>
        </w:tabs>
        <w:spacing w:after="0" w:line="240" w:lineRule="auto"/>
        <w:ind w:left="0" w:firstLine="284"/>
        <w:jc w:val="both"/>
        <w:rPr>
          <w:rFonts w:ascii="Arial" w:hAnsi="Arial" w:cs="Arial"/>
          <w:sz w:val="24"/>
          <w:szCs w:val="24"/>
        </w:rPr>
      </w:pPr>
      <w:r w:rsidRPr="004F5BB5">
        <w:rPr>
          <w:rFonts w:ascii="Arial" w:hAnsi="Arial" w:cs="Arial"/>
          <w:sz w:val="24"/>
          <w:szCs w:val="24"/>
        </w:rPr>
        <w:t>Повышение физической активности</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Медикаментозный метод лечения</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1. Первая группа препаратов – аноректики, подавляющие аппетит (для длительного лечения ожирения не применяются!):</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Побочные действия:</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повышенная нервная возбудимость, бессонница, эйфория, потливость</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диарея (понос), тошнота</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повышение артериального давления, частоты сердечных сокращений</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риск формирования лекарственной зависимости</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2. Вторая группа – препараты, уменьшающие всасывание питательных веществ в организм:</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действуют местно, в просвете желудочно-кишечного тракта</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подавляют фермент липазу, благодаря которому жиры пищи расщепляются и всасываются в кровь</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уменьшают всасывание жиров, что создает дефицит энергии и способствует снижению массы тела</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предотвращают всасывание около 30% съеденных жиров (триглицеридов) пищи</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помогают контролировать количество жиров пищи</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не влияют на центральную, сердечно-сосудистую системы</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не формируют привыкания и зависимости</w:t>
      </w: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xml:space="preserve">          - безопасны при длительном приеме.</w:t>
      </w:r>
    </w:p>
    <w:p w:rsidR="004F5BB5" w:rsidRDefault="004F5BB5" w:rsidP="004F5BB5">
      <w:pPr>
        <w:spacing w:after="0" w:line="240" w:lineRule="auto"/>
        <w:jc w:val="both"/>
        <w:rPr>
          <w:rFonts w:ascii="Arial" w:hAnsi="Arial" w:cs="Arial"/>
          <w:sz w:val="24"/>
          <w:szCs w:val="24"/>
        </w:rPr>
      </w:pPr>
    </w:p>
    <w:p w:rsidR="00B84DFC" w:rsidRPr="004F5BB5" w:rsidRDefault="00B84DFC" w:rsidP="004F5BB5">
      <w:pPr>
        <w:spacing w:after="0" w:line="240" w:lineRule="auto"/>
        <w:jc w:val="both"/>
        <w:rPr>
          <w:rFonts w:ascii="Arial" w:hAnsi="Arial" w:cs="Arial"/>
          <w:sz w:val="24"/>
          <w:szCs w:val="24"/>
        </w:rPr>
      </w:pPr>
      <w:r w:rsidRPr="004F5BB5">
        <w:rPr>
          <w:rFonts w:ascii="Arial" w:hAnsi="Arial" w:cs="Arial"/>
          <w:sz w:val="24"/>
          <w:szCs w:val="24"/>
        </w:rPr>
        <w:t> Хирургические методы лечения ожирения</w:t>
      </w:r>
    </w:p>
    <w:p w:rsidR="00B94B2B" w:rsidRPr="004F5BB5" w:rsidRDefault="00B94B2B" w:rsidP="004F5BB5">
      <w:pPr>
        <w:spacing w:after="0" w:line="240" w:lineRule="auto"/>
        <w:jc w:val="both"/>
        <w:rPr>
          <w:rFonts w:ascii="Arial" w:hAnsi="Arial" w:cs="Arial"/>
          <w:sz w:val="24"/>
          <w:szCs w:val="24"/>
        </w:rPr>
      </w:pPr>
      <w:r w:rsidRPr="004F5BB5">
        <w:rPr>
          <w:rFonts w:ascii="Arial" w:hAnsi="Arial" w:cs="Arial"/>
          <w:sz w:val="24"/>
          <w:szCs w:val="24"/>
        </w:rPr>
        <w:t xml:space="preserve">    липосакция- удаление излишков жировых тканей из-под кожного покрова; </w:t>
      </w:r>
    </w:p>
    <w:p w:rsidR="00B94B2B" w:rsidRPr="004F5BB5" w:rsidRDefault="00B94B2B" w:rsidP="004F5BB5">
      <w:pPr>
        <w:spacing w:after="0" w:line="240" w:lineRule="auto"/>
        <w:jc w:val="both"/>
        <w:rPr>
          <w:rFonts w:ascii="Arial" w:hAnsi="Arial" w:cs="Arial"/>
          <w:sz w:val="24"/>
          <w:szCs w:val="24"/>
        </w:rPr>
      </w:pPr>
      <w:r w:rsidRPr="004F5BB5">
        <w:rPr>
          <w:rFonts w:ascii="Arial" w:hAnsi="Arial" w:cs="Arial"/>
          <w:sz w:val="24"/>
          <w:szCs w:val="24"/>
        </w:rPr>
        <w:lastRenderedPageBreak/>
        <w:t xml:space="preserve">    обходные энтероанастомозы - операция, "выключающая" из пищеварения части тонкой кишки; </w:t>
      </w:r>
    </w:p>
    <w:p w:rsidR="00B94B2B" w:rsidRPr="004F5BB5" w:rsidRDefault="00B94B2B" w:rsidP="004F5BB5">
      <w:pPr>
        <w:spacing w:after="0" w:line="240" w:lineRule="auto"/>
        <w:jc w:val="both"/>
        <w:rPr>
          <w:rFonts w:ascii="Arial" w:hAnsi="Arial" w:cs="Arial"/>
          <w:sz w:val="24"/>
          <w:szCs w:val="24"/>
        </w:rPr>
      </w:pPr>
      <w:r w:rsidRPr="004F5BB5">
        <w:rPr>
          <w:rFonts w:ascii="Arial" w:hAnsi="Arial" w:cs="Arial"/>
          <w:sz w:val="24"/>
          <w:szCs w:val="24"/>
        </w:rPr>
        <w:t xml:space="preserve">    желудочные кольца (Gastric Band), которые накладываются на желудок, уменьшая его объем и соответственно ускоряя время насыщения; </w:t>
      </w:r>
    </w:p>
    <w:p w:rsidR="00B94B2B" w:rsidRPr="004F5BB5" w:rsidRDefault="00B94B2B" w:rsidP="004F5BB5">
      <w:pPr>
        <w:spacing w:after="0" w:line="240" w:lineRule="auto"/>
        <w:jc w:val="both"/>
        <w:rPr>
          <w:rFonts w:ascii="Arial" w:hAnsi="Arial" w:cs="Arial"/>
          <w:sz w:val="24"/>
          <w:szCs w:val="24"/>
        </w:rPr>
      </w:pPr>
      <w:r w:rsidRPr="004F5BB5">
        <w:rPr>
          <w:rFonts w:ascii="Arial" w:hAnsi="Arial" w:cs="Arial"/>
          <w:sz w:val="24"/>
          <w:szCs w:val="24"/>
        </w:rPr>
        <w:t xml:space="preserve">    абдоминопластика - устранение отвисшего и/или большого живота.</w:t>
      </w:r>
    </w:p>
    <w:p w:rsidR="00B31498" w:rsidRPr="004F5BB5" w:rsidRDefault="00B31498" w:rsidP="004F5BB5">
      <w:pPr>
        <w:spacing w:after="0" w:line="240" w:lineRule="auto"/>
        <w:jc w:val="both"/>
        <w:rPr>
          <w:rFonts w:ascii="Arial" w:hAnsi="Arial" w:cs="Arial"/>
          <w:sz w:val="24"/>
          <w:szCs w:val="24"/>
        </w:rPr>
      </w:pPr>
    </w:p>
    <w:p w:rsidR="00B31498" w:rsidRPr="00920592" w:rsidRDefault="00920592" w:rsidP="004F5BB5">
      <w:pPr>
        <w:spacing w:after="0" w:line="240" w:lineRule="auto"/>
        <w:jc w:val="both"/>
        <w:rPr>
          <w:rFonts w:ascii="Arial" w:hAnsi="Arial" w:cs="Arial"/>
          <w:b/>
          <w:sz w:val="24"/>
          <w:szCs w:val="24"/>
        </w:rPr>
      </w:pPr>
      <w:r w:rsidRPr="00920592">
        <w:rPr>
          <w:rFonts w:ascii="Arial" w:hAnsi="Arial" w:cs="Arial"/>
          <w:b/>
          <w:sz w:val="24"/>
          <w:szCs w:val="24"/>
        </w:rPr>
        <w:t>Литература:</w:t>
      </w:r>
    </w:p>
    <w:p w:rsidR="00920592" w:rsidRDefault="00920592" w:rsidP="004F5BB5">
      <w:pPr>
        <w:spacing w:after="0" w:line="240" w:lineRule="auto"/>
        <w:jc w:val="both"/>
        <w:rPr>
          <w:rFonts w:ascii="Arial" w:hAnsi="Arial" w:cs="Arial"/>
          <w:sz w:val="24"/>
          <w:szCs w:val="24"/>
        </w:rPr>
      </w:pP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Дедов И.И., Мельниченко Г.А., Фадеев В.В. «Эндокринология». Учебник. –М.: «Медицина», 2000. Стр. 632.</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Гарднер Д., Шобек Д. Базисная и клиническая эндокринология / под ред. Г. А. Мельниченко. — М.: 2015. — Стр. 169.</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 xml:space="preserve">Дедов И. И., Мельниченко Г. А. Эндокринология. Национальное руководство. Краткое издание. — 2-е изд., перераб. и доп. — М.: ГЭОТАР-Медиа, 2018. — Стр. 832. </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 xml:space="preserve">Проверенный поставщик медицинской информации с 1899 года. </w:t>
      </w:r>
      <w:hyperlink r:id="rId6" w:history="1">
        <w:r w:rsidRPr="00920592">
          <w:rPr>
            <w:rStyle w:val="a3"/>
            <w:rFonts w:ascii="Arial" w:hAnsi="Arial" w:cs="Arial"/>
            <w:sz w:val="24"/>
            <w:szCs w:val="24"/>
            <w:lang w:val="en-US"/>
          </w:rPr>
          <w:t>https://</w:t>
        </w:r>
      </w:hyperlink>
      <w:hyperlink r:id="rId7" w:history="1">
        <w:r w:rsidRPr="00920592">
          <w:rPr>
            <w:rStyle w:val="a3"/>
            <w:rFonts w:ascii="Arial" w:hAnsi="Arial" w:cs="Arial"/>
            <w:sz w:val="24"/>
            <w:szCs w:val="24"/>
            <w:lang w:val="en-US"/>
          </w:rPr>
          <w:t>www.msdmanuals.com</w:t>
        </w:r>
      </w:hyperlink>
      <w:hyperlink r:id="rId8" w:history="1">
        <w:r w:rsidRPr="00920592">
          <w:rPr>
            <w:rStyle w:val="a3"/>
            <w:rFonts w:ascii="Arial" w:hAnsi="Arial" w:cs="Arial"/>
            <w:sz w:val="24"/>
            <w:szCs w:val="24"/>
            <w:lang w:val="en-US"/>
          </w:rPr>
          <w:t>/</w:t>
        </w:r>
      </w:hyperlink>
      <w:hyperlink r:id="rId9" w:history="1">
        <w:r w:rsidRPr="00920592">
          <w:rPr>
            <w:rStyle w:val="a3"/>
            <w:rFonts w:ascii="Arial" w:hAnsi="Arial" w:cs="Arial"/>
            <w:sz w:val="24"/>
            <w:szCs w:val="24"/>
            <w:lang w:val="en-US"/>
          </w:rPr>
          <w:t>ru</w:t>
        </w:r>
      </w:hyperlink>
      <w:hyperlink r:id="rId10" w:history="1">
        <w:r w:rsidRPr="00920592">
          <w:rPr>
            <w:rStyle w:val="a3"/>
            <w:rFonts w:ascii="Arial" w:hAnsi="Arial" w:cs="Arial"/>
            <w:sz w:val="24"/>
            <w:szCs w:val="24"/>
            <w:lang w:val="en-US"/>
          </w:rPr>
          <w:t>/</w:t>
        </w:r>
      </w:hyperlink>
    </w:p>
    <w:p w:rsidR="00000000" w:rsidRPr="00920592" w:rsidRDefault="00920592" w:rsidP="00920592">
      <w:pPr>
        <w:numPr>
          <w:ilvl w:val="0"/>
          <w:numId w:val="9"/>
        </w:numPr>
        <w:spacing w:after="0" w:line="240" w:lineRule="auto"/>
        <w:jc w:val="both"/>
        <w:rPr>
          <w:rFonts w:ascii="Arial" w:hAnsi="Arial" w:cs="Arial"/>
          <w:sz w:val="24"/>
          <w:szCs w:val="24"/>
          <w:lang w:val="en-US"/>
        </w:rPr>
      </w:pPr>
      <w:r w:rsidRPr="00920592">
        <w:rPr>
          <w:rFonts w:ascii="Arial" w:hAnsi="Arial" w:cs="Arial"/>
          <w:sz w:val="24"/>
          <w:szCs w:val="24"/>
          <w:lang w:val="en-US"/>
        </w:rPr>
        <w:t xml:space="preserve">World Health Organization (WHO). ICD-10 classification of mental and behavioural disorders: </w:t>
      </w:r>
      <w:r w:rsidRPr="00920592">
        <w:rPr>
          <w:rFonts w:ascii="Arial" w:hAnsi="Arial" w:cs="Arial"/>
          <w:sz w:val="24"/>
          <w:szCs w:val="24"/>
          <w:lang w:val="en-US"/>
        </w:rPr>
        <w:t>diagnostic criteria for research 1993. — Geneva (Switzerland), 1993.</w:t>
      </w:r>
    </w:p>
    <w:p w:rsidR="00000000" w:rsidRPr="00920592" w:rsidRDefault="00920592" w:rsidP="00920592">
      <w:pPr>
        <w:numPr>
          <w:ilvl w:val="0"/>
          <w:numId w:val="9"/>
        </w:numPr>
        <w:spacing w:after="0" w:line="240" w:lineRule="auto"/>
        <w:jc w:val="both"/>
        <w:rPr>
          <w:rFonts w:ascii="Arial" w:hAnsi="Arial" w:cs="Arial"/>
          <w:sz w:val="24"/>
          <w:szCs w:val="24"/>
          <w:lang w:val="en-US"/>
        </w:rPr>
      </w:pPr>
      <w:r w:rsidRPr="00920592">
        <w:rPr>
          <w:rFonts w:ascii="Arial" w:hAnsi="Arial" w:cs="Arial"/>
          <w:sz w:val="24"/>
          <w:szCs w:val="24"/>
          <w:lang w:val="en-US"/>
        </w:rPr>
        <w:t>Calabria A. Growth hormone deficiency in children // MSD Manual. — 2018.</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Гарднер Д., Шобек Д. Базисная и клиническая эндокринология / под ред. Г. А. Мельниченко. — М., 2015. — С. 169.</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 xml:space="preserve">Российская ассоциация </w:t>
      </w:r>
      <w:r w:rsidRPr="00920592">
        <w:rPr>
          <w:rFonts w:ascii="Arial" w:hAnsi="Arial" w:cs="Arial"/>
          <w:sz w:val="24"/>
          <w:szCs w:val="24"/>
        </w:rPr>
        <w:t>эндокринологов. Федеральные клинические рекомендации по ведению детей с эндокринными заболеваниями. — М., 2014 — С. 338.</w:t>
      </w:r>
    </w:p>
    <w:p w:rsidR="00000000" w:rsidRPr="00920592" w:rsidRDefault="00920592" w:rsidP="00920592">
      <w:pPr>
        <w:numPr>
          <w:ilvl w:val="0"/>
          <w:numId w:val="9"/>
        </w:numPr>
        <w:spacing w:after="0" w:line="240" w:lineRule="auto"/>
        <w:jc w:val="both"/>
        <w:rPr>
          <w:rFonts w:ascii="Arial" w:hAnsi="Arial" w:cs="Arial"/>
          <w:sz w:val="24"/>
          <w:szCs w:val="24"/>
          <w:lang w:val="en-US"/>
        </w:rPr>
      </w:pPr>
      <w:r w:rsidRPr="00920592">
        <w:rPr>
          <w:rFonts w:ascii="Arial" w:hAnsi="Arial" w:cs="Arial"/>
          <w:sz w:val="24"/>
          <w:szCs w:val="24"/>
          <w:lang w:val="en-US"/>
        </w:rPr>
        <w:t>Kurtoglu S., Ozdemir A., Hatipoglu N. Neonatal hipopituitarism: appr</w:t>
      </w:r>
      <w:r w:rsidRPr="00920592">
        <w:rPr>
          <w:rFonts w:ascii="Arial" w:hAnsi="Arial" w:cs="Arial"/>
          <w:sz w:val="24"/>
          <w:szCs w:val="24"/>
          <w:lang w:val="en-US"/>
        </w:rPr>
        <w:t>oaches to diagnosis and treatment // J Clin Res Pediatr Endocrinol. — 2019; 11 (1): 4-12.</w:t>
      </w:r>
      <w:r w:rsidRPr="00920592">
        <w:rPr>
          <w:rFonts w:ascii="Arial" w:hAnsi="Arial" w:cs="Arial"/>
          <w:sz w:val="24"/>
          <w:szCs w:val="24"/>
        </w:rPr>
        <w:t>ссылка</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Дедов И. И., Мельниченк</w:t>
      </w:r>
      <w:r w:rsidRPr="00920592">
        <w:rPr>
          <w:rFonts w:ascii="Arial" w:hAnsi="Arial" w:cs="Arial"/>
          <w:sz w:val="24"/>
          <w:szCs w:val="24"/>
        </w:rPr>
        <w:t>о Г. А., Фадеев В. В. Эндокринология. — М., 2015. — С. 59.</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Дедов И. И., Петеркова В. А., Малиевский О. А. Детская эндокринология. — М., 2016. — С. 9.</w:t>
      </w:r>
    </w:p>
    <w:p w:rsidR="00000000" w:rsidRPr="00920592" w:rsidRDefault="00920592" w:rsidP="00920592">
      <w:pPr>
        <w:numPr>
          <w:ilvl w:val="0"/>
          <w:numId w:val="9"/>
        </w:numPr>
        <w:spacing w:after="0" w:line="240" w:lineRule="auto"/>
        <w:jc w:val="both"/>
        <w:rPr>
          <w:rFonts w:ascii="Arial" w:hAnsi="Arial" w:cs="Arial"/>
          <w:sz w:val="24"/>
          <w:szCs w:val="24"/>
        </w:rPr>
      </w:pPr>
      <w:r w:rsidRPr="00920592">
        <w:rPr>
          <w:rFonts w:ascii="Arial" w:hAnsi="Arial" w:cs="Arial"/>
          <w:sz w:val="24"/>
          <w:szCs w:val="24"/>
        </w:rPr>
        <w:t>Камачо П., Гариба Х. Доказательная эндокринология. — М., 2009. — С. 58.</w:t>
      </w:r>
    </w:p>
    <w:p w:rsidR="00920592" w:rsidRPr="004F5BB5" w:rsidRDefault="00920592" w:rsidP="004F5BB5">
      <w:pPr>
        <w:spacing w:after="0" w:line="240" w:lineRule="auto"/>
        <w:jc w:val="both"/>
        <w:rPr>
          <w:rFonts w:ascii="Arial" w:hAnsi="Arial" w:cs="Arial"/>
          <w:sz w:val="24"/>
          <w:szCs w:val="24"/>
        </w:rPr>
      </w:pPr>
    </w:p>
    <w:sectPr w:rsidR="00920592" w:rsidRPr="004F5B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j-ea">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613E"/>
    <w:multiLevelType w:val="hybridMultilevel"/>
    <w:tmpl w:val="A6C2CE34"/>
    <w:lvl w:ilvl="0" w:tplc="3DB0EC5E">
      <w:start w:val="1"/>
      <w:numFmt w:val="decimal"/>
      <w:lvlText w:val="%1."/>
      <w:lvlJc w:val="left"/>
      <w:pPr>
        <w:tabs>
          <w:tab w:val="num" w:pos="720"/>
        </w:tabs>
        <w:ind w:left="720" w:hanging="360"/>
      </w:pPr>
    </w:lvl>
    <w:lvl w:ilvl="1" w:tplc="98D493D2" w:tentative="1">
      <w:start w:val="1"/>
      <w:numFmt w:val="decimal"/>
      <w:lvlText w:val="%2."/>
      <w:lvlJc w:val="left"/>
      <w:pPr>
        <w:tabs>
          <w:tab w:val="num" w:pos="1440"/>
        </w:tabs>
        <w:ind w:left="1440" w:hanging="360"/>
      </w:pPr>
    </w:lvl>
    <w:lvl w:ilvl="2" w:tplc="823464CC" w:tentative="1">
      <w:start w:val="1"/>
      <w:numFmt w:val="decimal"/>
      <w:lvlText w:val="%3."/>
      <w:lvlJc w:val="left"/>
      <w:pPr>
        <w:tabs>
          <w:tab w:val="num" w:pos="2160"/>
        </w:tabs>
        <w:ind w:left="2160" w:hanging="360"/>
      </w:pPr>
    </w:lvl>
    <w:lvl w:ilvl="3" w:tplc="866EA6D2" w:tentative="1">
      <w:start w:val="1"/>
      <w:numFmt w:val="decimal"/>
      <w:lvlText w:val="%4."/>
      <w:lvlJc w:val="left"/>
      <w:pPr>
        <w:tabs>
          <w:tab w:val="num" w:pos="2880"/>
        </w:tabs>
        <w:ind w:left="2880" w:hanging="360"/>
      </w:pPr>
    </w:lvl>
    <w:lvl w:ilvl="4" w:tplc="7084F3EE" w:tentative="1">
      <w:start w:val="1"/>
      <w:numFmt w:val="decimal"/>
      <w:lvlText w:val="%5."/>
      <w:lvlJc w:val="left"/>
      <w:pPr>
        <w:tabs>
          <w:tab w:val="num" w:pos="3600"/>
        </w:tabs>
        <w:ind w:left="3600" w:hanging="360"/>
      </w:pPr>
    </w:lvl>
    <w:lvl w:ilvl="5" w:tplc="ABA0B602" w:tentative="1">
      <w:start w:val="1"/>
      <w:numFmt w:val="decimal"/>
      <w:lvlText w:val="%6."/>
      <w:lvlJc w:val="left"/>
      <w:pPr>
        <w:tabs>
          <w:tab w:val="num" w:pos="4320"/>
        </w:tabs>
        <w:ind w:left="4320" w:hanging="360"/>
      </w:pPr>
    </w:lvl>
    <w:lvl w:ilvl="6" w:tplc="235AB526" w:tentative="1">
      <w:start w:val="1"/>
      <w:numFmt w:val="decimal"/>
      <w:lvlText w:val="%7."/>
      <w:lvlJc w:val="left"/>
      <w:pPr>
        <w:tabs>
          <w:tab w:val="num" w:pos="5040"/>
        </w:tabs>
        <w:ind w:left="5040" w:hanging="360"/>
      </w:pPr>
    </w:lvl>
    <w:lvl w:ilvl="7" w:tplc="E944671C" w:tentative="1">
      <w:start w:val="1"/>
      <w:numFmt w:val="decimal"/>
      <w:lvlText w:val="%8."/>
      <w:lvlJc w:val="left"/>
      <w:pPr>
        <w:tabs>
          <w:tab w:val="num" w:pos="5760"/>
        </w:tabs>
        <w:ind w:left="5760" w:hanging="360"/>
      </w:pPr>
    </w:lvl>
    <w:lvl w:ilvl="8" w:tplc="07C8F158" w:tentative="1">
      <w:start w:val="1"/>
      <w:numFmt w:val="decimal"/>
      <w:lvlText w:val="%9."/>
      <w:lvlJc w:val="left"/>
      <w:pPr>
        <w:tabs>
          <w:tab w:val="num" w:pos="6480"/>
        </w:tabs>
        <w:ind w:left="6480" w:hanging="360"/>
      </w:pPr>
    </w:lvl>
  </w:abstractNum>
  <w:abstractNum w:abstractNumId="1" w15:restartNumberingAfterBreak="0">
    <w:nsid w:val="11412014"/>
    <w:multiLevelType w:val="hybridMultilevel"/>
    <w:tmpl w:val="9AEA9E78"/>
    <w:lvl w:ilvl="0" w:tplc="FDC404D2">
      <w:start w:val="1"/>
      <w:numFmt w:val="bullet"/>
      <w:lvlText w:val=""/>
      <w:lvlJc w:val="left"/>
      <w:pPr>
        <w:tabs>
          <w:tab w:val="num" w:pos="720"/>
        </w:tabs>
        <w:ind w:left="720" w:hanging="360"/>
      </w:pPr>
      <w:rPr>
        <w:rFonts w:ascii="Wingdings" w:hAnsi="Wingdings" w:hint="default"/>
      </w:rPr>
    </w:lvl>
    <w:lvl w:ilvl="1" w:tplc="4F1E9B5E" w:tentative="1">
      <w:start w:val="1"/>
      <w:numFmt w:val="bullet"/>
      <w:lvlText w:val=""/>
      <w:lvlJc w:val="left"/>
      <w:pPr>
        <w:tabs>
          <w:tab w:val="num" w:pos="1440"/>
        </w:tabs>
        <w:ind w:left="1440" w:hanging="360"/>
      </w:pPr>
      <w:rPr>
        <w:rFonts w:ascii="Wingdings" w:hAnsi="Wingdings" w:hint="default"/>
      </w:rPr>
    </w:lvl>
    <w:lvl w:ilvl="2" w:tplc="DF12428C" w:tentative="1">
      <w:start w:val="1"/>
      <w:numFmt w:val="bullet"/>
      <w:lvlText w:val=""/>
      <w:lvlJc w:val="left"/>
      <w:pPr>
        <w:tabs>
          <w:tab w:val="num" w:pos="2160"/>
        </w:tabs>
        <w:ind w:left="2160" w:hanging="360"/>
      </w:pPr>
      <w:rPr>
        <w:rFonts w:ascii="Wingdings" w:hAnsi="Wingdings" w:hint="default"/>
      </w:rPr>
    </w:lvl>
    <w:lvl w:ilvl="3" w:tplc="4AFC3578" w:tentative="1">
      <w:start w:val="1"/>
      <w:numFmt w:val="bullet"/>
      <w:lvlText w:val=""/>
      <w:lvlJc w:val="left"/>
      <w:pPr>
        <w:tabs>
          <w:tab w:val="num" w:pos="2880"/>
        </w:tabs>
        <w:ind w:left="2880" w:hanging="360"/>
      </w:pPr>
      <w:rPr>
        <w:rFonts w:ascii="Wingdings" w:hAnsi="Wingdings" w:hint="default"/>
      </w:rPr>
    </w:lvl>
    <w:lvl w:ilvl="4" w:tplc="981623D8" w:tentative="1">
      <w:start w:val="1"/>
      <w:numFmt w:val="bullet"/>
      <w:lvlText w:val=""/>
      <w:lvlJc w:val="left"/>
      <w:pPr>
        <w:tabs>
          <w:tab w:val="num" w:pos="3600"/>
        </w:tabs>
        <w:ind w:left="3600" w:hanging="360"/>
      </w:pPr>
      <w:rPr>
        <w:rFonts w:ascii="Wingdings" w:hAnsi="Wingdings" w:hint="default"/>
      </w:rPr>
    </w:lvl>
    <w:lvl w:ilvl="5" w:tplc="A184B332" w:tentative="1">
      <w:start w:val="1"/>
      <w:numFmt w:val="bullet"/>
      <w:lvlText w:val=""/>
      <w:lvlJc w:val="left"/>
      <w:pPr>
        <w:tabs>
          <w:tab w:val="num" w:pos="4320"/>
        </w:tabs>
        <w:ind w:left="4320" w:hanging="360"/>
      </w:pPr>
      <w:rPr>
        <w:rFonts w:ascii="Wingdings" w:hAnsi="Wingdings" w:hint="default"/>
      </w:rPr>
    </w:lvl>
    <w:lvl w:ilvl="6" w:tplc="0242183C" w:tentative="1">
      <w:start w:val="1"/>
      <w:numFmt w:val="bullet"/>
      <w:lvlText w:val=""/>
      <w:lvlJc w:val="left"/>
      <w:pPr>
        <w:tabs>
          <w:tab w:val="num" w:pos="5040"/>
        </w:tabs>
        <w:ind w:left="5040" w:hanging="360"/>
      </w:pPr>
      <w:rPr>
        <w:rFonts w:ascii="Wingdings" w:hAnsi="Wingdings" w:hint="default"/>
      </w:rPr>
    </w:lvl>
    <w:lvl w:ilvl="7" w:tplc="358E0B3A" w:tentative="1">
      <w:start w:val="1"/>
      <w:numFmt w:val="bullet"/>
      <w:lvlText w:val=""/>
      <w:lvlJc w:val="left"/>
      <w:pPr>
        <w:tabs>
          <w:tab w:val="num" w:pos="5760"/>
        </w:tabs>
        <w:ind w:left="5760" w:hanging="360"/>
      </w:pPr>
      <w:rPr>
        <w:rFonts w:ascii="Wingdings" w:hAnsi="Wingdings" w:hint="default"/>
      </w:rPr>
    </w:lvl>
    <w:lvl w:ilvl="8" w:tplc="330CD5C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DC1ABF"/>
    <w:multiLevelType w:val="hybridMultilevel"/>
    <w:tmpl w:val="6F78F130"/>
    <w:lvl w:ilvl="0" w:tplc="3EDCDDC0">
      <w:start w:val="1"/>
      <w:numFmt w:val="bullet"/>
      <w:lvlText w:val="•"/>
      <w:lvlJc w:val="left"/>
      <w:pPr>
        <w:tabs>
          <w:tab w:val="num" w:pos="720"/>
        </w:tabs>
        <w:ind w:left="720" w:hanging="360"/>
      </w:pPr>
      <w:rPr>
        <w:rFonts w:ascii="Arial" w:hAnsi="Arial" w:hint="default"/>
      </w:rPr>
    </w:lvl>
    <w:lvl w:ilvl="1" w:tplc="B0BA83E0" w:tentative="1">
      <w:start w:val="1"/>
      <w:numFmt w:val="bullet"/>
      <w:lvlText w:val="•"/>
      <w:lvlJc w:val="left"/>
      <w:pPr>
        <w:tabs>
          <w:tab w:val="num" w:pos="1440"/>
        </w:tabs>
        <w:ind w:left="1440" w:hanging="360"/>
      </w:pPr>
      <w:rPr>
        <w:rFonts w:ascii="Arial" w:hAnsi="Arial" w:hint="default"/>
      </w:rPr>
    </w:lvl>
    <w:lvl w:ilvl="2" w:tplc="A0264D80" w:tentative="1">
      <w:start w:val="1"/>
      <w:numFmt w:val="bullet"/>
      <w:lvlText w:val="•"/>
      <w:lvlJc w:val="left"/>
      <w:pPr>
        <w:tabs>
          <w:tab w:val="num" w:pos="2160"/>
        </w:tabs>
        <w:ind w:left="2160" w:hanging="360"/>
      </w:pPr>
      <w:rPr>
        <w:rFonts w:ascii="Arial" w:hAnsi="Arial" w:hint="default"/>
      </w:rPr>
    </w:lvl>
    <w:lvl w:ilvl="3" w:tplc="808E4384" w:tentative="1">
      <w:start w:val="1"/>
      <w:numFmt w:val="bullet"/>
      <w:lvlText w:val="•"/>
      <w:lvlJc w:val="left"/>
      <w:pPr>
        <w:tabs>
          <w:tab w:val="num" w:pos="2880"/>
        </w:tabs>
        <w:ind w:left="2880" w:hanging="360"/>
      </w:pPr>
      <w:rPr>
        <w:rFonts w:ascii="Arial" w:hAnsi="Arial" w:hint="default"/>
      </w:rPr>
    </w:lvl>
    <w:lvl w:ilvl="4" w:tplc="937EDFB2" w:tentative="1">
      <w:start w:val="1"/>
      <w:numFmt w:val="bullet"/>
      <w:lvlText w:val="•"/>
      <w:lvlJc w:val="left"/>
      <w:pPr>
        <w:tabs>
          <w:tab w:val="num" w:pos="3600"/>
        </w:tabs>
        <w:ind w:left="3600" w:hanging="360"/>
      </w:pPr>
      <w:rPr>
        <w:rFonts w:ascii="Arial" w:hAnsi="Arial" w:hint="default"/>
      </w:rPr>
    </w:lvl>
    <w:lvl w:ilvl="5" w:tplc="2B361632" w:tentative="1">
      <w:start w:val="1"/>
      <w:numFmt w:val="bullet"/>
      <w:lvlText w:val="•"/>
      <w:lvlJc w:val="left"/>
      <w:pPr>
        <w:tabs>
          <w:tab w:val="num" w:pos="4320"/>
        </w:tabs>
        <w:ind w:left="4320" w:hanging="360"/>
      </w:pPr>
      <w:rPr>
        <w:rFonts w:ascii="Arial" w:hAnsi="Arial" w:hint="default"/>
      </w:rPr>
    </w:lvl>
    <w:lvl w:ilvl="6" w:tplc="E69CA186" w:tentative="1">
      <w:start w:val="1"/>
      <w:numFmt w:val="bullet"/>
      <w:lvlText w:val="•"/>
      <w:lvlJc w:val="left"/>
      <w:pPr>
        <w:tabs>
          <w:tab w:val="num" w:pos="5040"/>
        </w:tabs>
        <w:ind w:left="5040" w:hanging="360"/>
      </w:pPr>
      <w:rPr>
        <w:rFonts w:ascii="Arial" w:hAnsi="Arial" w:hint="default"/>
      </w:rPr>
    </w:lvl>
    <w:lvl w:ilvl="7" w:tplc="024EE1E6" w:tentative="1">
      <w:start w:val="1"/>
      <w:numFmt w:val="bullet"/>
      <w:lvlText w:val="•"/>
      <w:lvlJc w:val="left"/>
      <w:pPr>
        <w:tabs>
          <w:tab w:val="num" w:pos="5760"/>
        </w:tabs>
        <w:ind w:left="5760" w:hanging="360"/>
      </w:pPr>
      <w:rPr>
        <w:rFonts w:ascii="Arial" w:hAnsi="Arial" w:hint="default"/>
      </w:rPr>
    </w:lvl>
    <w:lvl w:ilvl="8" w:tplc="DA9AE3F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841A66"/>
    <w:multiLevelType w:val="hybridMultilevel"/>
    <w:tmpl w:val="DAEC46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BF4B30"/>
    <w:multiLevelType w:val="hybridMultilevel"/>
    <w:tmpl w:val="56789756"/>
    <w:lvl w:ilvl="0" w:tplc="589E2AAA">
      <w:start w:val="1"/>
      <w:numFmt w:val="bullet"/>
      <w:lvlText w:val=""/>
      <w:lvlJc w:val="left"/>
      <w:pPr>
        <w:tabs>
          <w:tab w:val="num" w:pos="720"/>
        </w:tabs>
        <w:ind w:left="720" w:hanging="360"/>
      </w:pPr>
      <w:rPr>
        <w:rFonts w:ascii="Wingdings" w:hAnsi="Wingdings" w:hint="default"/>
      </w:rPr>
    </w:lvl>
    <w:lvl w:ilvl="1" w:tplc="FFD2E428" w:tentative="1">
      <w:start w:val="1"/>
      <w:numFmt w:val="bullet"/>
      <w:lvlText w:val=""/>
      <w:lvlJc w:val="left"/>
      <w:pPr>
        <w:tabs>
          <w:tab w:val="num" w:pos="1440"/>
        </w:tabs>
        <w:ind w:left="1440" w:hanging="360"/>
      </w:pPr>
      <w:rPr>
        <w:rFonts w:ascii="Wingdings" w:hAnsi="Wingdings" w:hint="default"/>
      </w:rPr>
    </w:lvl>
    <w:lvl w:ilvl="2" w:tplc="6546A62E" w:tentative="1">
      <w:start w:val="1"/>
      <w:numFmt w:val="bullet"/>
      <w:lvlText w:val=""/>
      <w:lvlJc w:val="left"/>
      <w:pPr>
        <w:tabs>
          <w:tab w:val="num" w:pos="2160"/>
        </w:tabs>
        <w:ind w:left="2160" w:hanging="360"/>
      </w:pPr>
      <w:rPr>
        <w:rFonts w:ascii="Wingdings" w:hAnsi="Wingdings" w:hint="default"/>
      </w:rPr>
    </w:lvl>
    <w:lvl w:ilvl="3" w:tplc="CB4CC0F0" w:tentative="1">
      <w:start w:val="1"/>
      <w:numFmt w:val="bullet"/>
      <w:lvlText w:val=""/>
      <w:lvlJc w:val="left"/>
      <w:pPr>
        <w:tabs>
          <w:tab w:val="num" w:pos="2880"/>
        </w:tabs>
        <w:ind w:left="2880" w:hanging="360"/>
      </w:pPr>
      <w:rPr>
        <w:rFonts w:ascii="Wingdings" w:hAnsi="Wingdings" w:hint="default"/>
      </w:rPr>
    </w:lvl>
    <w:lvl w:ilvl="4" w:tplc="60120444" w:tentative="1">
      <w:start w:val="1"/>
      <w:numFmt w:val="bullet"/>
      <w:lvlText w:val=""/>
      <w:lvlJc w:val="left"/>
      <w:pPr>
        <w:tabs>
          <w:tab w:val="num" w:pos="3600"/>
        </w:tabs>
        <w:ind w:left="3600" w:hanging="360"/>
      </w:pPr>
      <w:rPr>
        <w:rFonts w:ascii="Wingdings" w:hAnsi="Wingdings" w:hint="default"/>
      </w:rPr>
    </w:lvl>
    <w:lvl w:ilvl="5" w:tplc="19F8938C" w:tentative="1">
      <w:start w:val="1"/>
      <w:numFmt w:val="bullet"/>
      <w:lvlText w:val=""/>
      <w:lvlJc w:val="left"/>
      <w:pPr>
        <w:tabs>
          <w:tab w:val="num" w:pos="4320"/>
        </w:tabs>
        <w:ind w:left="4320" w:hanging="360"/>
      </w:pPr>
      <w:rPr>
        <w:rFonts w:ascii="Wingdings" w:hAnsi="Wingdings" w:hint="default"/>
      </w:rPr>
    </w:lvl>
    <w:lvl w:ilvl="6" w:tplc="DBB0934C" w:tentative="1">
      <w:start w:val="1"/>
      <w:numFmt w:val="bullet"/>
      <w:lvlText w:val=""/>
      <w:lvlJc w:val="left"/>
      <w:pPr>
        <w:tabs>
          <w:tab w:val="num" w:pos="5040"/>
        </w:tabs>
        <w:ind w:left="5040" w:hanging="360"/>
      </w:pPr>
      <w:rPr>
        <w:rFonts w:ascii="Wingdings" w:hAnsi="Wingdings" w:hint="default"/>
      </w:rPr>
    </w:lvl>
    <w:lvl w:ilvl="7" w:tplc="569AC80C" w:tentative="1">
      <w:start w:val="1"/>
      <w:numFmt w:val="bullet"/>
      <w:lvlText w:val=""/>
      <w:lvlJc w:val="left"/>
      <w:pPr>
        <w:tabs>
          <w:tab w:val="num" w:pos="5760"/>
        </w:tabs>
        <w:ind w:left="5760" w:hanging="360"/>
      </w:pPr>
      <w:rPr>
        <w:rFonts w:ascii="Wingdings" w:hAnsi="Wingdings" w:hint="default"/>
      </w:rPr>
    </w:lvl>
    <w:lvl w:ilvl="8" w:tplc="23B88BF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2E2943"/>
    <w:multiLevelType w:val="hybridMultilevel"/>
    <w:tmpl w:val="503A5610"/>
    <w:lvl w:ilvl="0" w:tplc="00A61A6C">
      <w:start w:val="1"/>
      <w:numFmt w:val="decimal"/>
      <w:lvlText w:val="%1."/>
      <w:lvlJc w:val="left"/>
      <w:pPr>
        <w:tabs>
          <w:tab w:val="num" w:pos="720"/>
        </w:tabs>
        <w:ind w:left="720" w:hanging="360"/>
      </w:pPr>
    </w:lvl>
    <w:lvl w:ilvl="1" w:tplc="1D5A7F02" w:tentative="1">
      <w:start w:val="1"/>
      <w:numFmt w:val="decimal"/>
      <w:lvlText w:val="%2."/>
      <w:lvlJc w:val="left"/>
      <w:pPr>
        <w:tabs>
          <w:tab w:val="num" w:pos="1440"/>
        </w:tabs>
        <w:ind w:left="1440" w:hanging="360"/>
      </w:pPr>
    </w:lvl>
    <w:lvl w:ilvl="2" w:tplc="1226B180" w:tentative="1">
      <w:start w:val="1"/>
      <w:numFmt w:val="decimal"/>
      <w:lvlText w:val="%3."/>
      <w:lvlJc w:val="left"/>
      <w:pPr>
        <w:tabs>
          <w:tab w:val="num" w:pos="2160"/>
        </w:tabs>
        <w:ind w:left="2160" w:hanging="360"/>
      </w:pPr>
    </w:lvl>
    <w:lvl w:ilvl="3" w:tplc="2A08CBC0" w:tentative="1">
      <w:start w:val="1"/>
      <w:numFmt w:val="decimal"/>
      <w:lvlText w:val="%4."/>
      <w:lvlJc w:val="left"/>
      <w:pPr>
        <w:tabs>
          <w:tab w:val="num" w:pos="2880"/>
        </w:tabs>
        <w:ind w:left="2880" w:hanging="360"/>
      </w:pPr>
    </w:lvl>
    <w:lvl w:ilvl="4" w:tplc="008C45F4" w:tentative="1">
      <w:start w:val="1"/>
      <w:numFmt w:val="decimal"/>
      <w:lvlText w:val="%5."/>
      <w:lvlJc w:val="left"/>
      <w:pPr>
        <w:tabs>
          <w:tab w:val="num" w:pos="3600"/>
        </w:tabs>
        <w:ind w:left="3600" w:hanging="360"/>
      </w:pPr>
    </w:lvl>
    <w:lvl w:ilvl="5" w:tplc="00E48C1A" w:tentative="1">
      <w:start w:val="1"/>
      <w:numFmt w:val="decimal"/>
      <w:lvlText w:val="%6."/>
      <w:lvlJc w:val="left"/>
      <w:pPr>
        <w:tabs>
          <w:tab w:val="num" w:pos="4320"/>
        </w:tabs>
        <w:ind w:left="4320" w:hanging="360"/>
      </w:pPr>
    </w:lvl>
    <w:lvl w:ilvl="6" w:tplc="27EAC2A0" w:tentative="1">
      <w:start w:val="1"/>
      <w:numFmt w:val="decimal"/>
      <w:lvlText w:val="%7."/>
      <w:lvlJc w:val="left"/>
      <w:pPr>
        <w:tabs>
          <w:tab w:val="num" w:pos="5040"/>
        </w:tabs>
        <w:ind w:left="5040" w:hanging="360"/>
      </w:pPr>
    </w:lvl>
    <w:lvl w:ilvl="7" w:tplc="2D5C831C" w:tentative="1">
      <w:start w:val="1"/>
      <w:numFmt w:val="decimal"/>
      <w:lvlText w:val="%8."/>
      <w:lvlJc w:val="left"/>
      <w:pPr>
        <w:tabs>
          <w:tab w:val="num" w:pos="5760"/>
        </w:tabs>
        <w:ind w:left="5760" w:hanging="360"/>
      </w:pPr>
    </w:lvl>
    <w:lvl w:ilvl="8" w:tplc="6E644BEE" w:tentative="1">
      <w:start w:val="1"/>
      <w:numFmt w:val="decimal"/>
      <w:lvlText w:val="%9."/>
      <w:lvlJc w:val="left"/>
      <w:pPr>
        <w:tabs>
          <w:tab w:val="num" w:pos="6480"/>
        </w:tabs>
        <w:ind w:left="6480" w:hanging="360"/>
      </w:pPr>
    </w:lvl>
  </w:abstractNum>
  <w:abstractNum w:abstractNumId="6" w15:restartNumberingAfterBreak="0">
    <w:nsid w:val="3E197BDD"/>
    <w:multiLevelType w:val="hybridMultilevel"/>
    <w:tmpl w:val="4F2E31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F4613A1"/>
    <w:multiLevelType w:val="hybridMultilevel"/>
    <w:tmpl w:val="7842F3EE"/>
    <w:lvl w:ilvl="0" w:tplc="884EB004">
      <w:start w:val="1"/>
      <w:numFmt w:val="bullet"/>
      <w:lvlText w:val="•"/>
      <w:lvlJc w:val="left"/>
      <w:pPr>
        <w:tabs>
          <w:tab w:val="num" w:pos="720"/>
        </w:tabs>
        <w:ind w:left="720" w:hanging="360"/>
      </w:pPr>
      <w:rPr>
        <w:rFonts w:ascii="Arial" w:hAnsi="Arial" w:hint="default"/>
      </w:rPr>
    </w:lvl>
    <w:lvl w:ilvl="1" w:tplc="22BAA566" w:tentative="1">
      <w:start w:val="1"/>
      <w:numFmt w:val="bullet"/>
      <w:lvlText w:val="•"/>
      <w:lvlJc w:val="left"/>
      <w:pPr>
        <w:tabs>
          <w:tab w:val="num" w:pos="1440"/>
        </w:tabs>
        <w:ind w:left="1440" w:hanging="360"/>
      </w:pPr>
      <w:rPr>
        <w:rFonts w:ascii="Arial" w:hAnsi="Arial" w:hint="default"/>
      </w:rPr>
    </w:lvl>
    <w:lvl w:ilvl="2" w:tplc="CFA2267E" w:tentative="1">
      <w:start w:val="1"/>
      <w:numFmt w:val="bullet"/>
      <w:lvlText w:val="•"/>
      <w:lvlJc w:val="left"/>
      <w:pPr>
        <w:tabs>
          <w:tab w:val="num" w:pos="2160"/>
        </w:tabs>
        <w:ind w:left="2160" w:hanging="360"/>
      </w:pPr>
      <w:rPr>
        <w:rFonts w:ascii="Arial" w:hAnsi="Arial" w:hint="default"/>
      </w:rPr>
    </w:lvl>
    <w:lvl w:ilvl="3" w:tplc="2D686FD0" w:tentative="1">
      <w:start w:val="1"/>
      <w:numFmt w:val="bullet"/>
      <w:lvlText w:val="•"/>
      <w:lvlJc w:val="left"/>
      <w:pPr>
        <w:tabs>
          <w:tab w:val="num" w:pos="2880"/>
        </w:tabs>
        <w:ind w:left="2880" w:hanging="360"/>
      </w:pPr>
      <w:rPr>
        <w:rFonts w:ascii="Arial" w:hAnsi="Arial" w:hint="default"/>
      </w:rPr>
    </w:lvl>
    <w:lvl w:ilvl="4" w:tplc="F508D4EC" w:tentative="1">
      <w:start w:val="1"/>
      <w:numFmt w:val="bullet"/>
      <w:lvlText w:val="•"/>
      <w:lvlJc w:val="left"/>
      <w:pPr>
        <w:tabs>
          <w:tab w:val="num" w:pos="3600"/>
        </w:tabs>
        <w:ind w:left="3600" w:hanging="360"/>
      </w:pPr>
      <w:rPr>
        <w:rFonts w:ascii="Arial" w:hAnsi="Arial" w:hint="default"/>
      </w:rPr>
    </w:lvl>
    <w:lvl w:ilvl="5" w:tplc="1324AFB4" w:tentative="1">
      <w:start w:val="1"/>
      <w:numFmt w:val="bullet"/>
      <w:lvlText w:val="•"/>
      <w:lvlJc w:val="left"/>
      <w:pPr>
        <w:tabs>
          <w:tab w:val="num" w:pos="4320"/>
        </w:tabs>
        <w:ind w:left="4320" w:hanging="360"/>
      </w:pPr>
      <w:rPr>
        <w:rFonts w:ascii="Arial" w:hAnsi="Arial" w:hint="default"/>
      </w:rPr>
    </w:lvl>
    <w:lvl w:ilvl="6" w:tplc="F88CA0F6" w:tentative="1">
      <w:start w:val="1"/>
      <w:numFmt w:val="bullet"/>
      <w:lvlText w:val="•"/>
      <w:lvlJc w:val="left"/>
      <w:pPr>
        <w:tabs>
          <w:tab w:val="num" w:pos="5040"/>
        </w:tabs>
        <w:ind w:left="5040" w:hanging="360"/>
      </w:pPr>
      <w:rPr>
        <w:rFonts w:ascii="Arial" w:hAnsi="Arial" w:hint="default"/>
      </w:rPr>
    </w:lvl>
    <w:lvl w:ilvl="7" w:tplc="6AD4AD8A" w:tentative="1">
      <w:start w:val="1"/>
      <w:numFmt w:val="bullet"/>
      <w:lvlText w:val="•"/>
      <w:lvlJc w:val="left"/>
      <w:pPr>
        <w:tabs>
          <w:tab w:val="num" w:pos="5760"/>
        </w:tabs>
        <w:ind w:left="5760" w:hanging="360"/>
      </w:pPr>
      <w:rPr>
        <w:rFonts w:ascii="Arial" w:hAnsi="Arial" w:hint="default"/>
      </w:rPr>
    </w:lvl>
    <w:lvl w:ilvl="8" w:tplc="133661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9811450"/>
    <w:multiLevelType w:val="hybridMultilevel"/>
    <w:tmpl w:val="D64A6226"/>
    <w:lvl w:ilvl="0" w:tplc="A05C9276">
      <w:start w:val="1"/>
      <w:numFmt w:val="bullet"/>
      <w:lvlText w:val="•"/>
      <w:lvlJc w:val="left"/>
      <w:pPr>
        <w:tabs>
          <w:tab w:val="num" w:pos="720"/>
        </w:tabs>
        <w:ind w:left="720" w:hanging="360"/>
      </w:pPr>
      <w:rPr>
        <w:rFonts w:ascii="Arial" w:hAnsi="Arial" w:hint="default"/>
      </w:rPr>
    </w:lvl>
    <w:lvl w:ilvl="1" w:tplc="432AFEC4" w:tentative="1">
      <w:start w:val="1"/>
      <w:numFmt w:val="bullet"/>
      <w:lvlText w:val="•"/>
      <w:lvlJc w:val="left"/>
      <w:pPr>
        <w:tabs>
          <w:tab w:val="num" w:pos="1440"/>
        </w:tabs>
        <w:ind w:left="1440" w:hanging="360"/>
      </w:pPr>
      <w:rPr>
        <w:rFonts w:ascii="Arial" w:hAnsi="Arial" w:hint="default"/>
      </w:rPr>
    </w:lvl>
    <w:lvl w:ilvl="2" w:tplc="4A56217C" w:tentative="1">
      <w:start w:val="1"/>
      <w:numFmt w:val="bullet"/>
      <w:lvlText w:val="•"/>
      <w:lvlJc w:val="left"/>
      <w:pPr>
        <w:tabs>
          <w:tab w:val="num" w:pos="2160"/>
        </w:tabs>
        <w:ind w:left="2160" w:hanging="360"/>
      </w:pPr>
      <w:rPr>
        <w:rFonts w:ascii="Arial" w:hAnsi="Arial" w:hint="default"/>
      </w:rPr>
    </w:lvl>
    <w:lvl w:ilvl="3" w:tplc="E7927CA4" w:tentative="1">
      <w:start w:val="1"/>
      <w:numFmt w:val="bullet"/>
      <w:lvlText w:val="•"/>
      <w:lvlJc w:val="left"/>
      <w:pPr>
        <w:tabs>
          <w:tab w:val="num" w:pos="2880"/>
        </w:tabs>
        <w:ind w:left="2880" w:hanging="360"/>
      </w:pPr>
      <w:rPr>
        <w:rFonts w:ascii="Arial" w:hAnsi="Arial" w:hint="default"/>
      </w:rPr>
    </w:lvl>
    <w:lvl w:ilvl="4" w:tplc="FE40A0CC" w:tentative="1">
      <w:start w:val="1"/>
      <w:numFmt w:val="bullet"/>
      <w:lvlText w:val="•"/>
      <w:lvlJc w:val="left"/>
      <w:pPr>
        <w:tabs>
          <w:tab w:val="num" w:pos="3600"/>
        </w:tabs>
        <w:ind w:left="3600" w:hanging="360"/>
      </w:pPr>
      <w:rPr>
        <w:rFonts w:ascii="Arial" w:hAnsi="Arial" w:hint="default"/>
      </w:rPr>
    </w:lvl>
    <w:lvl w:ilvl="5" w:tplc="61FA1838" w:tentative="1">
      <w:start w:val="1"/>
      <w:numFmt w:val="bullet"/>
      <w:lvlText w:val="•"/>
      <w:lvlJc w:val="left"/>
      <w:pPr>
        <w:tabs>
          <w:tab w:val="num" w:pos="4320"/>
        </w:tabs>
        <w:ind w:left="4320" w:hanging="360"/>
      </w:pPr>
      <w:rPr>
        <w:rFonts w:ascii="Arial" w:hAnsi="Arial" w:hint="default"/>
      </w:rPr>
    </w:lvl>
    <w:lvl w:ilvl="6" w:tplc="626E7C64" w:tentative="1">
      <w:start w:val="1"/>
      <w:numFmt w:val="bullet"/>
      <w:lvlText w:val="•"/>
      <w:lvlJc w:val="left"/>
      <w:pPr>
        <w:tabs>
          <w:tab w:val="num" w:pos="5040"/>
        </w:tabs>
        <w:ind w:left="5040" w:hanging="360"/>
      </w:pPr>
      <w:rPr>
        <w:rFonts w:ascii="Arial" w:hAnsi="Arial" w:hint="default"/>
      </w:rPr>
    </w:lvl>
    <w:lvl w:ilvl="7" w:tplc="82A472A2" w:tentative="1">
      <w:start w:val="1"/>
      <w:numFmt w:val="bullet"/>
      <w:lvlText w:val="•"/>
      <w:lvlJc w:val="left"/>
      <w:pPr>
        <w:tabs>
          <w:tab w:val="num" w:pos="5760"/>
        </w:tabs>
        <w:ind w:left="5760" w:hanging="360"/>
      </w:pPr>
      <w:rPr>
        <w:rFonts w:ascii="Arial" w:hAnsi="Arial" w:hint="default"/>
      </w:rPr>
    </w:lvl>
    <w:lvl w:ilvl="8" w:tplc="2FF89A4E"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1"/>
  </w:num>
  <w:num w:numId="3">
    <w:abstractNumId w:val="4"/>
  </w:num>
  <w:num w:numId="4">
    <w:abstractNumId w:val="2"/>
  </w:num>
  <w:num w:numId="5">
    <w:abstractNumId w:val="7"/>
  </w:num>
  <w:num w:numId="6">
    <w:abstractNumId w:val="5"/>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DCC"/>
    <w:rsid w:val="00032DE0"/>
    <w:rsid w:val="000B0DEA"/>
    <w:rsid w:val="000B2AD7"/>
    <w:rsid w:val="000C0CB7"/>
    <w:rsid w:val="0014235F"/>
    <w:rsid w:val="0019338D"/>
    <w:rsid w:val="001D3083"/>
    <w:rsid w:val="002C38A0"/>
    <w:rsid w:val="003F7924"/>
    <w:rsid w:val="00417A7A"/>
    <w:rsid w:val="00441786"/>
    <w:rsid w:val="00481A6F"/>
    <w:rsid w:val="004D45C5"/>
    <w:rsid w:val="004F5BB5"/>
    <w:rsid w:val="00564830"/>
    <w:rsid w:val="005746C1"/>
    <w:rsid w:val="00580477"/>
    <w:rsid w:val="00684A96"/>
    <w:rsid w:val="006F6CBE"/>
    <w:rsid w:val="00891637"/>
    <w:rsid w:val="008A196A"/>
    <w:rsid w:val="00920592"/>
    <w:rsid w:val="00924C1B"/>
    <w:rsid w:val="00A711D8"/>
    <w:rsid w:val="00A766D4"/>
    <w:rsid w:val="00AA12A5"/>
    <w:rsid w:val="00B14A95"/>
    <w:rsid w:val="00B31498"/>
    <w:rsid w:val="00B84DFC"/>
    <w:rsid w:val="00B94B2B"/>
    <w:rsid w:val="00C62EA3"/>
    <w:rsid w:val="00C84AB7"/>
    <w:rsid w:val="00D82DCC"/>
    <w:rsid w:val="00F62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CE22EF-B170-4679-8595-38F0A2089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32DE0"/>
    <w:rPr>
      <w:color w:val="0563C1" w:themeColor="hyperlink"/>
      <w:u w:val="single"/>
    </w:rPr>
  </w:style>
  <w:style w:type="paragraph" w:styleId="a4">
    <w:name w:val="List Paragraph"/>
    <w:basedOn w:val="a"/>
    <w:uiPriority w:val="34"/>
    <w:qFormat/>
    <w:rsid w:val="00F62F6F"/>
    <w:pPr>
      <w:ind w:left="720"/>
      <w:contextualSpacing/>
    </w:pPr>
  </w:style>
  <w:style w:type="paragraph" w:styleId="a5">
    <w:name w:val="Normal (Web)"/>
    <w:basedOn w:val="a"/>
    <w:uiPriority w:val="99"/>
    <w:semiHidden/>
    <w:unhideWhenUsed/>
    <w:rsid w:val="004F5BB5"/>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51370">
      <w:bodyDiv w:val="1"/>
      <w:marLeft w:val="0"/>
      <w:marRight w:val="0"/>
      <w:marTop w:val="0"/>
      <w:marBottom w:val="0"/>
      <w:divBdr>
        <w:top w:val="none" w:sz="0" w:space="0" w:color="auto"/>
        <w:left w:val="none" w:sz="0" w:space="0" w:color="auto"/>
        <w:bottom w:val="none" w:sz="0" w:space="0" w:color="auto"/>
        <w:right w:val="none" w:sz="0" w:space="0" w:color="auto"/>
      </w:divBdr>
    </w:div>
    <w:div w:id="589196610">
      <w:bodyDiv w:val="1"/>
      <w:marLeft w:val="0"/>
      <w:marRight w:val="0"/>
      <w:marTop w:val="0"/>
      <w:marBottom w:val="0"/>
      <w:divBdr>
        <w:top w:val="none" w:sz="0" w:space="0" w:color="auto"/>
        <w:left w:val="none" w:sz="0" w:space="0" w:color="auto"/>
        <w:bottom w:val="none" w:sz="0" w:space="0" w:color="auto"/>
        <w:right w:val="none" w:sz="0" w:space="0" w:color="auto"/>
      </w:divBdr>
      <w:divsChild>
        <w:div w:id="290788304">
          <w:marLeft w:val="547"/>
          <w:marRight w:val="0"/>
          <w:marTop w:val="154"/>
          <w:marBottom w:val="0"/>
          <w:divBdr>
            <w:top w:val="none" w:sz="0" w:space="0" w:color="auto"/>
            <w:left w:val="none" w:sz="0" w:space="0" w:color="auto"/>
            <w:bottom w:val="none" w:sz="0" w:space="0" w:color="auto"/>
            <w:right w:val="none" w:sz="0" w:space="0" w:color="auto"/>
          </w:divBdr>
        </w:div>
        <w:div w:id="178591045">
          <w:marLeft w:val="547"/>
          <w:marRight w:val="0"/>
          <w:marTop w:val="154"/>
          <w:marBottom w:val="0"/>
          <w:divBdr>
            <w:top w:val="none" w:sz="0" w:space="0" w:color="auto"/>
            <w:left w:val="none" w:sz="0" w:space="0" w:color="auto"/>
            <w:bottom w:val="none" w:sz="0" w:space="0" w:color="auto"/>
            <w:right w:val="none" w:sz="0" w:space="0" w:color="auto"/>
          </w:divBdr>
        </w:div>
        <w:div w:id="2023242101">
          <w:marLeft w:val="547"/>
          <w:marRight w:val="0"/>
          <w:marTop w:val="134"/>
          <w:marBottom w:val="0"/>
          <w:divBdr>
            <w:top w:val="none" w:sz="0" w:space="0" w:color="auto"/>
            <w:left w:val="none" w:sz="0" w:space="0" w:color="auto"/>
            <w:bottom w:val="none" w:sz="0" w:space="0" w:color="auto"/>
            <w:right w:val="none" w:sz="0" w:space="0" w:color="auto"/>
          </w:divBdr>
        </w:div>
        <w:div w:id="1847742387">
          <w:marLeft w:val="547"/>
          <w:marRight w:val="0"/>
          <w:marTop w:val="134"/>
          <w:marBottom w:val="0"/>
          <w:divBdr>
            <w:top w:val="none" w:sz="0" w:space="0" w:color="auto"/>
            <w:left w:val="none" w:sz="0" w:space="0" w:color="auto"/>
            <w:bottom w:val="none" w:sz="0" w:space="0" w:color="auto"/>
            <w:right w:val="none" w:sz="0" w:space="0" w:color="auto"/>
          </w:divBdr>
        </w:div>
      </w:divsChild>
    </w:div>
    <w:div w:id="1050156464">
      <w:bodyDiv w:val="1"/>
      <w:marLeft w:val="0"/>
      <w:marRight w:val="0"/>
      <w:marTop w:val="0"/>
      <w:marBottom w:val="0"/>
      <w:divBdr>
        <w:top w:val="none" w:sz="0" w:space="0" w:color="auto"/>
        <w:left w:val="none" w:sz="0" w:space="0" w:color="auto"/>
        <w:bottom w:val="none" w:sz="0" w:space="0" w:color="auto"/>
        <w:right w:val="none" w:sz="0" w:space="0" w:color="auto"/>
      </w:divBdr>
    </w:div>
    <w:div w:id="1466242672">
      <w:bodyDiv w:val="1"/>
      <w:marLeft w:val="0"/>
      <w:marRight w:val="0"/>
      <w:marTop w:val="0"/>
      <w:marBottom w:val="0"/>
      <w:divBdr>
        <w:top w:val="none" w:sz="0" w:space="0" w:color="auto"/>
        <w:left w:val="none" w:sz="0" w:space="0" w:color="auto"/>
        <w:bottom w:val="none" w:sz="0" w:space="0" w:color="auto"/>
        <w:right w:val="none" w:sz="0" w:space="0" w:color="auto"/>
      </w:divBdr>
      <w:divsChild>
        <w:div w:id="2035032113">
          <w:marLeft w:val="547"/>
          <w:marRight w:val="0"/>
          <w:marTop w:val="134"/>
          <w:marBottom w:val="0"/>
          <w:divBdr>
            <w:top w:val="none" w:sz="0" w:space="0" w:color="auto"/>
            <w:left w:val="none" w:sz="0" w:space="0" w:color="auto"/>
            <w:bottom w:val="none" w:sz="0" w:space="0" w:color="auto"/>
            <w:right w:val="none" w:sz="0" w:space="0" w:color="auto"/>
          </w:divBdr>
        </w:div>
        <w:div w:id="870335662">
          <w:marLeft w:val="547"/>
          <w:marRight w:val="0"/>
          <w:marTop w:val="134"/>
          <w:marBottom w:val="0"/>
          <w:divBdr>
            <w:top w:val="none" w:sz="0" w:space="0" w:color="auto"/>
            <w:left w:val="none" w:sz="0" w:space="0" w:color="auto"/>
            <w:bottom w:val="none" w:sz="0" w:space="0" w:color="auto"/>
            <w:right w:val="none" w:sz="0" w:space="0" w:color="auto"/>
          </w:divBdr>
        </w:div>
        <w:div w:id="58746162">
          <w:marLeft w:val="547"/>
          <w:marRight w:val="0"/>
          <w:marTop w:val="134"/>
          <w:marBottom w:val="0"/>
          <w:divBdr>
            <w:top w:val="none" w:sz="0" w:space="0" w:color="auto"/>
            <w:left w:val="none" w:sz="0" w:space="0" w:color="auto"/>
            <w:bottom w:val="none" w:sz="0" w:space="0" w:color="auto"/>
            <w:right w:val="none" w:sz="0" w:space="0" w:color="auto"/>
          </w:divBdr>
        </w:div>
        <w:div w:id="1790510407">
          <w:marLeft w:val="547"/>
          <w:marRight w:val="0"/>
          <w:marTop w:val="134"/>
          <w:marBottom w:val="0"/>
          <w:divBdr>
            <w:top w:val="none" w:sz="0" w:space="0" w:color="auto"/>
            <w:left w:val="none" w:sz="0" w:space="0" w:color="auto"/>
            <w:bottom w:val="none" w:sz="0" w:space="0" w:color="auto"/>
            <w:right w:val="none" w:sz="0" w:space="0" w:color="auto"/>
          </w:divBdr>
        </w:div>
        <w:div w:id="598878948">
          <w:marLeft w:val="547"/>
          <w:marRight w:val="0"/>
          <w:marTop w:val="134"/>
          <w:marBottom w:val="0"/>
          <w:divBdr>
            <w:top w:val="none" w:sz="0" w:space="0" w:color="auto"/>
            <w:left w:val="none" w:sz="0" w:space="0" w:color="auto"/>
            <w:bottom w:val="none" w:sz="0" w:space="0" w:color="auto"/>
            <w:right w:val="none" w:sz="0" w:space="0" w:color="auto"/>
          </w:divBdr>
        </w:div>
        <w:div w:id="1494906690">
          <w:marLeft w:val="547"/>
          <w:marRight w:val="0"/>
          <w:marTop w:val="134"/>
          <w:marBottom w:val="0"/>
          <w:divBdr>
            <w:top w:val="none" w:sz="0" w:space="0" w:color="auto"/>
            <w:left w:val="none" w:sz="0" w:space="0" w:color="auto"/>
            <w:bottom w:val="none" w:sz="0" w:space="0" w:color="auto"/>
            <w:right w:val="none" w:sz="0" w:space="0" w:color="auto"/>
          </w:divBdr>
        </w:div>
        <w:div w:id="961574347">
          <w:marLeft w:val="547"/>
          <w:marRight w:val="0"/>
          <w:marTop w:val="134"/>
          <w:marBottom w:val="0"/>
          <w:divBdr>
            <w:top w:val="none" w:sz="0" w:space="0" w:color="auto"/>
            <w:left w:val="none" w:sz="0" w:space="0" w:color="auto"/>
            <w:bottom w:val="none" w:sz="0" w:space="0" w:color="auto"/>
            <w:right w:val="none" w:sz="0" w:space="0" w:color="auto"/>
          </w:divBdr>
        </w:div>
        <w:div w:id="1103955820">
          <w:marLeft w:val="547"/>
          <w:marRight w:val="0"/>
          <w:marTop w:val="134"/>
          <w:marBottom w:val="0"/>
          <w:divBdr>
            <w:top w:val="none" w:sz="0" w:space="0" w:color="auto"/>
            <w:left w:val="none" w:sz="0" w:space="0" w:color="auto"/>
            <w:bottom w:val="none" w:sz="0" w:space="0" w:color="auto"/>
            <w:right w:val="none" w:sz="0" w:space="0" w:color="auto"/>
          </w:divBdr>
        </w:div>
      </w:divsChild>
    </w:div>
    <w:div w:id="1924948717">
      <w:bodyDiv w:val="1"/>
      <w:marLeft w:val="0"/>
      <w:marRight w:val="0"/>
      <w:marTop w:val="0"/>
      <w:marBottom w:val="0"/>
      <w:divBdr>
        <w:top w:val="none" w:sz="0" w:space="0" w:color="auto"/>
        <w:left w:val="none" w:sz="0" w:space="0" w:color="auto"/>
        <w:bottom w:val="none" w:sz="0" w:space="0" w:color="auto"/>
        <w:right w:val="none" w:sz="0" w:space="0" w:color="auto"/>
      </w:divBdr>
      <w:divsChild>
        <w:div w:id="410853811">
          <w:marLeft w:val="547"/>
          <w:marRight w:val="0"/>
          <w:marTop w:val="154"/>
          <w:marBottom w:val="0"/>
          <w:divBdr>
            <w:top w:val="none" w:sz="0" w:space="0" w:color="auto"/>
            <w:left w:val="none" w:sz="0" w:space="0" w:color="auto"/>
            <w:bottom w:val="none" w:sz="0" w:space="0" w:color="auto"/>
            <w:right w:val="none" w:sz="0" w:space="0" w:color="auto"/>
          </w:divBdr>
        </w:div>
        <w:div w:id="863791384">
          <w:marLeft w:val="547"/>
          <w:marRight w:val="0"/>
          <w:marTop w:val="154"/>
          <w:marBottom w:val="0"/>
          <w:divBdr>
            <w:top w:val="none" w:sz="0" w:space="0" w:color="auto"/>
            <w:left w:val="none" w:sz="0" w:space="0" w:color="auto"/>
            <w:bottom w:val="none" w:sz="0" w:space="0" w:color="auto"/>
            <w:right w:val="none" w:sz="0" w:space="0" w:color="auto"/>
          </w:divBdr>
        </w:div>
        <w:div w:id="249585468">
          <w:marLeft w:val="547"/>
          <w:marRight w:val="0"/>
          <w:marTop w:val="154"/>
          <w:marBottom w:val="0"/>
          <w:divBdr>
            <w:top w:val="none" w:sz="0" w:space="0" w:color="auto"/>
            <w:left w:val="none" w:sz="0" w:space="0" w:color="auto"/>
            <w:bottom w:val="none" w:sz="0" w:space="0" w:color="auto"/>
            <w:right w:val="none" w:sz="0" w:space="0" w:color="auto"/>
          </w:divBdr>
        </w:div>
        <w:div w:id="33253832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dmanuals.com/ru/" TargetMode="External"/><Relationship Id="rId3" Type="http://schemas.openxmlformats.org/officeDocument/2006/relationships/settings" Target="settings.xml"/><Relationship Id="rId7" Type="http://schemas.openxmlformats.org/officeDocument/2006/relationships/hyperlink" Target="https://www.msdmanuals.c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sdmanuals.com/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sdmanuals.com/ru/" TargetMode="External"/><Relationship Id="rId4" Type="http://schemas.openxmlformats.org/officeDocument/2006/relationships/webSettings" Target="webSettings.xml"/><Relationship Id="rId9" Type="http://schemas.openxmlformats.org/officeDocument/2006/relationships/hyperlink" Target="https://www.msdmanuals.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15</Pages>
  <Words>6648</Words>
  <Characters>37895</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DELL</cp:lastModifiedBy>
  <cp:revision>4</cp:revision>
  <dcterms:created xsi:type="dcterms:W3CDTF">2021-04-14T05:27:00Z</dcterms:created>
  <dcterms:modified xsi:type="dcterms:W3CDTF">2021-04-16T16:39:00Z</dcterms:modified>
</cp:coreProperties>
</file>