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F09" w:rsidRPr="00833F09" w:rsidRDefault="00833F09" w:rsidP="00833F09">
      <w:pPr>
        <w:spacing w:after="0" w:line="240" w:lineRule="auto"/>
        <w:rPr>
          <w:rFonts w:ascii="Arial" w:hAnsi="Arial" w:cs="Arial"/>
          <w:b/>
          <w:bCs/>
          <w:sz w:val="28"/>
          <w:szCs w:val="28"/>
          <w:lang w:bidi="ru-RU"/>
        </w:rPr>
      </w:pPr>
    </w:p>
    <w:p w:rsidR="00833F09" w:rsidRPr="00833F09" w:rsidRDefault="00833F09" w:rsidP="00833F09">
      <w:pPr>
        <w:spacing w:after="0" w:line="240" w:lineRule="auto"/>
        <w:jc w:val="both"/>
        <w:rPr>
          <w:rFonts w:ascii="Arial" w:hAnsi="Arial" w:cs="Arial"/>
          <w:b/>
          <w:sz w:val="28"/>
          <w:szCs w:val="28"/>
          <w:lang w:val="en-US"/>
        </w:rPr>
      </w:pPr>
      <w:r w:rsidRPr="00833F09">
        <w:rPr>
          <w:rFonts w:ascii="Arial" w:hAnsi="Arial" w:cs="Arial"/>
          <w:noProof/>
          <w:sz w:val="28"/>
          <w:szCs w:val="28"/>
          <w:lang w:eastAsia="ru-RU"/>
        </w:rPr>
        <mc:AlternateContent>
          <mc:Choice Requires="wps">
            <w:drawing>
              <wp:anchor distT="0" distB="0" distL="114300" distR="114300" simplePos="0" relativeHeight="251659264" behindDoc="0" locked="0" layoutInCell="1" allowOverlap="1" wp14:anchorId="2484E75B" wp14:editId="19AC48BB">
                <wp:simplePos x="0" y="0"/>
                <wp:positionH relativeFrom="column">
                  <wp:posOffset>3697605</wp:posOffset>
                </wp:positionH>
                <wp:positionV relativeFrom="paragraph">
                  <wp:posOffset>-34290</wp:posOffset>
                </wp:positionV>
                <wp:extent cx="2324100" cy="434975"/>
                <wp:effectExtent l="0" t="0" r="0" b="0"/>
                <wp:wrapNone/>
                <wp:docPr id="2" name="Заголовок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324100" cy="434975"/>
                        </a:xfrm>
                        <a:prstGeom prst="rect">
                          <a:avLst/>
                        </a:prstGeom>
                      </wps:spPr>
                      <wps:txbx>
                        <w:txbxContent>
                          <w:p w:rsidR="00833F09" w:rsidRPr="006B798B" w:rsidRDefault="00833F09" w:rsidP="00833F09">
                            <w:pPr>
                              <w:pStyle w:val="a7"/>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wps:txbx>
                      <wps:bodyPr vert="horz" wrap="square" lIns="91440" tIns="45720" rIns="91440" bIns="45720" numCol="1" rtlCol="0"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4E75B" id="Заголовок 3" o:spid="_x0000_s1026" style="position:absolute;left:0;text-align:left;margin-left:291.15pt;margin-top:-2.7pt;width:183pt;height: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" filled="f" stroked="f">
                <v:path arrowok="t"/>
                <o:lock v:ext="edit" grouping="t"/>
                <v:textbox>
                  <w:txbxContent>
                    <w:p w:rsidR="00833F09" w:rsidRPr="006B798B" w:rsidRDefault="00833F09" w:rsidP="00833F09">
                      <w:pPr>
                        <w:pStyle w:val="a7"/>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v:textbox>
              </v:rect>
            </w:pict>
          </mc:Fallback>
        </mc:AlternateContent>
      </w:r>
      <w:r w:rsidRPr="00833F09">
        <w:rPr>
          <w:rFonts w:ascii="Arial" w:hAnsi="Arial" w:cs="Arial"/>
          <w:noProof/>
          <w:sz w:val="28"/>
          <w:szCs w:val="28"/>
          <w:lang w:eastAsia="ru-RU"/>
        </w:rPr>
        <w:drawing>
          <wp:anchor distT="0" distB="0" distL="114300" distR="114300" simplePos="0" relativeHeight="251660288" behindDoc="0" locked="0" layoutInCell="1" allowOverlap="1" wp14:anchorId="016EEA08" wp14:editId="1714DBF2">
            <wp:simplePos x="0" y="0"/>
            <wp:positionH relativeFrom="column">
              <wp:posOffset>2853055</wp:posOffset>
            </wp:positionH>
            <wp:positionV relativeFrom="paragraph">
              <wp:posOffset>-194310</wp:posOffset>
            </wp:positionV>
            <wp:extent cx="798576" cy="665480"/>
            <wp:effectExtent l="0" t="0" r="1905" b="1270"/>
            <wp:wrapNone/>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8"/>
                    <a:stretch>
                      <a:fillRect/>
                    </a:stretch>
                  </pic:blipFill>
                  <pic:spPr>
                    <a:xfrm>
                      <a:off x="0" y="0"/>
                      <a:ext cx="798576" cy="665480"/>
                    </a:xfrm>
                    <a:prstGeom prst="rect">
                      <a:avLst/>
                    </a:prstGeom>
                  </pic:spPr>
                </pic:pic>
              </a:graphicData>
            </a:graphic>
            <wp14:sizeRelH relativeFrom="margin">
              <wp14:pctWidth>0</wp14:pctWidth>
            </wp14:sizeRelH>
            <wp14:sizeRelV relativeFrom="margin">
              <wp14:pctHeight>0</wp14:pctHeight>
            </wp14:sizeRelV>
          </wp:anchor>
        </w:drawing>
      </w:r>
    </w:p>
    <w:p w:rsidR="00833F09" w:rsidRPr="00833F09" w:rsidRDefault="00833F09" w:rsidP="00833F09">
      <w:pPr>
        <w:spacing w:after="0" w:line="240" w:lineRule="auto"/>
        <w:jc w:val="both"/>
        <w:rPr>
          <w:rFonts w:ascii="Arial" w:hAnsi="Arial" w:cs="Arial"/>
          <w:b/>
          <w:sz w:val="28"/>
          <w:szCs w:val="28"/>
          <w:lang w:val="en-US"/>
        </w:rPr>
      </w:pPr>
    </w:p>
    <w:p w:rsidR="00833F09" w:rsidRPr="00833F09" w:rsidRDefault="00833F09" w:rsidP="00833F09">
      <w:pPr>
        <w:spacing w:after="0" w:line="240" w:lineRule="auto"/>
        <w:rPr>
          <w:rFonts w:ascii="Arial" w:hAnsi="Arial" w:cs="Arial"/>
          <w:b/>
          <w:color w:val="00B050"/>
          <w:sz w:val="28"/>
          <w:szCs w:val="28"/>
          <w:lang w:val="en-US"/>
        </w:rPr>
      </w:pPr>
    </w:p>
    <w:p w:rsidR="00833F09" w:rsidRPr="00833F09" w:rsidRDefault="00833F09" w:rsidP="00833F09">
      <w:pPr>
        <w:spacing w:after="0" w:line="240" w:lineRule="auto"/>
        <w:jc w:val="center"/>
        <w:rPr>
          <w:rFonts w:ascii="Arial" w:hAnsi="Arial" w:cs="Arial"/>
          <w:b/>
          <w:color w:val="00B050"/>
          <w:sz w:val="28"/>
          <w:szCs w:val="28"/>
          <w:lang w:val="en-US"/>
        </w:rPr>
      </w:pPr>
    </w:p>
    <w:p w:rsidR="00833F09" w:rsidRPr="00833F09" w:rsidRDefault="00833F09" w:rsidP="00833F09">
      <w:pPr>
        <w:spacing w:after="0" w:line="240" w:lineRule="auto"/>
        <w:jc w:val="center"/>
        <w:rPr>
          <w:rFonts w:ascii="Arial" w:hAnsi="Arial" w:cs="Arial"/>
          <w:b/>
          <w:color w:val="00B050"/>
          <w:sz w:val="28"/>
          <w:szCs w:val="28"/>
          <w:lang w:val="en-US"/>
        </w:rPr>
      </w:pPr>
      <w:r w:rsidRPr="00833F09">
        <w:rPr>
          <w:rFonts w:ascii="Arial" w:hAnsi="Arial" w:cs="Arial"/>
          <w:b/>
          <w:color w:val="00B050"/>
          <w:sz w:val="28"/>
          <w:szCs w:val="28"/>
          <w:lang w:val="en-US"/>
        </w:rPr>
        <w:t>Lecture 7: Diseases of the female reproductive system.</w:t>
      </w:r>
      <w:r w:rsidRPr="00833F09">
        <w:rPr>
          <w:rFonts w:ascii="Arial" w:hAnsi="Arial" w:cs="Arial"/>
          <w:b/>
          <w:color w:val="00B050"/>
          <w:sz w:val="28"/>
          <w:szCs w:val="28"/>
          <w:lang w:val="en-US"/>
        </w:rPr>
        <w:br/>
      </w:r>
    </w:p>
    <w:p w:rsidR="00833F09" w:rsidRPr="00833F09" w:rsidRDefault="00833F09" w:rsidP="00833F09">
      <w:pPr>
        <w:spacing w:after="0" w:line="240" w:lineRule="auto"/>
        <w:jc w:val="center"/>
        <w:rPr>
          <w:rFonts w:ascii="Arial" w:hAnsi="Arial" w:cs="Arial"/>
          <w:b/>
          <w:bCs/>
          <w:color w:val="00B050"/>
          <w:sz w:val="28"/>
          <w:szCs w:val="28"/>
        </w:rPr>
      </w:pPr>
      <w:r w:rsidRPr="00833F09">
        <w:rPr>
          <w:rFonts w:ascii="Arial" w:hAnsi="Arial" w:cs="Arial"/>
          <w:b/>
          <w:bCs/>
          <w:color w:val="00B050"/>
          <w:sz w:val="28"/>
          <w:szCs w:val="28"/>
        </w:rPr>
        <w:t xml:space="preserve">Тема-7: </w:t>
      </w:r>
      <w:r w:rsidRPr="00833F09">
        <w:rPr>
          <w:rFonts w:ascii="Arial" w:hAnsi="Arial" w:cs="Arial"/>
          <w:b/>
          <w:bCs/>
          <w:color w:val="00B050"/>
          <w:sz w:val="28"/>
          <w:szCs w:val="28"/>
          <w:lang w:val="uz-Cyrl-UZ" w:bidi="ru-RU"/>
        </w:rPr>
        <w:t>Заболевания женской репродуктивной системы</w:t>
      </w:r>
    </w:p>
    <w:p w:rsidR="00833F09" w:rsidRPr="00833F09" w:rsidRDefault="00833F09" w:rsidP="00833F09">
      <w:pPr>
        <w:spacing w:after="0"/>
        <w:jc w:val="both"/>
        <w:rPr>
          <w:rFonts w:ascii="Arial" w:hAnsi="Arial" w:cs="Arial"/>
          <w:b/>
          <w:sz w:val="28"/>
          <w:szCs w:val="28"/>
        </w:rPr>
      </w:pPr>
    </w:p>
    <w:p w:rsidR="00833F09" w:rsidRPr="00833F09" w:rsidRDefault="00833F09" w:rsidP="00833F09">
      <w:pPr>
        <w:spacing w:after="0" w:line="240" w:lineRule="auto"/>
        <w:jc w:val="center"/>
        <w:rPr>
          <w:rFonts w:ascii="Arial" w:hAnsi="Arial" w:cs="Arial"/>
          <w:b/>
          <w:bCs/>
          <w:color w:val="00B050"/>
          <w:sz w:val="28"/>
          <w:szCs w:val="28"/>
        </w:rPr>
      </w:pPr>
      <w:r w:rsidRPr="00833F09">
        <w:rPr>
          <w:rFonts w:ascii="Arial" w:hAnsi="Arial" w:cs="Arial"/>
          <w:b/>
          <w:bCs/>
          <w:color w:val="00B050"/>
          <w:sz w:val="28"/>
          <w:szCs w:val="28"/>
        </w:rPr>
        <w:t>План лекции:</w:t>
      </w:r>
    </w:p>
    <w:p w:rsidR="00833F09" w:rsidRPr="00833F09" w:rsidRDefault="00833F09" w:rsidP="00833F09">
      <w:pPr>
        <w:spacing w:after="0"/>
        <w:jc w:val="both"/>
        <w:rPr>
          <w:rFonts w:ascii="Arial" w:hAnsi="Arial" w:cs="Arial"/>
          <w:b/>
          <w:sz w:val="28"/>
          <w:szCs w:val="28"/>
        </w:rPr>
      </w:pPr>
    </w:p>
    <w:p w:rsidR="00833F09" w:rsidRPr="00833F09" w:rsidRDefault="00833F09" w:rsidP="00833F09">
      <w:pPr>
        <w:pStyle w:val="a8"/>
        <w:numPr>
          <w:ilvl w:val="0"/>
          <w:numId w:val="1"/>
        </w:numPr>
        <w:spacing w:after="0"/>
        <w:jc w:val="both"/>
        <w:rPr>
          <w:rFonts w:ascii="Arial" w:hAnsi="Arial" w:cs="Arial"/>
          <w:sz w:val="28"/>
          <w:szCs w:val="28"/>
        </w:rPr>
      </w:pPr>
      <w:r w:rsidRPr="00833F09">
        <w:rPr>
          <w:rFonts w:ascii="Arial" w:hAnsi="Arial" w:cs="Arial"/>
          <w:sz w:val="28"/>
          <w:szCs w:val="28"/>
        </w:rPr>
        <w:t>Женская репродуктивная система</w:t>
      </w:r>
    </w:p>
    <w:p w:rsidR="00833F09" w:rsidRPr="00833F09" w:rsidRDefault="00833F09" w:rsidP="00833F09">
      <w:pPr>
        <w:pStyle w:val="a8"/>
        <w:numPr>
          <w:ilvl w:val="0"/>
          <w:numId w:val="1"/>
        </w:numPr>
        <w:spacing w:after="0"/>
        <w:jc w:val="both"/>
        <w:rPr>
          <w:rFonts w:ascii="Arial" w:hAnsi="Arial" w:cs="Arial"/>
          <w:sz w:val="28"/>
          <w:szCs w:val="28"/>
        </w:rPr>
      </w:pPr>
      <w:r w:rsidRPr="00833F09">
        <w:rPr>
          <w:rFonts w:ascii="Arial" w:hAnsi="Arial" w:cs="Arial"/>
          <w:sz w:val="28"/>
          <w:szCs w:val="28"/>
        </w:rPr>
        <w:t>Синдром аменореи</w:t>
      </w:r>
    </w:p>
    <w:p w:rsidR="00833F09" w:rsidRPr="00833F09" w:rsidRDefault="00833F09" w:rsidP="00833F09">
      <w:pPr>
        <w:pStyle w:val="a8"/>
        <w:numPr>
          <w:ilvl w:val="0"/>
          <w:numId w:val="1"/>
        </w:numPr>
        <w:spacing w:after="0"/>
        <w:jc w:val="both"/>
        <w:rPr>
          <w:rFonts w:ascii="Arial" w:hAnsi="Arial" w:cs="Arial"/>
          <w:sz w:val="28"/>
          <w:szCs w:val="28"/>
        </w:rPr>
      </w:pPr>
      <w:r w:rsidRPr="00833F09">
        <w:rPr>
          <w:rFonts w:ascii="Arial" w:hAnsi="Arial" w:cs="Arial"/>
          <w:sz w:val="28"/>
          <w:szCs w:val="28"/>
        </w:rPr>
        <w:t>Синдром гермафродитизма</w:t>
      </w:r>
    </w:p>
    <w:p w:rsidR="00833F09" w:rsidRPr="00833F09" w:rsidRDefault="00833F09" w:rsidP="00833F09">
      <w:pPr>
        <w:pStyle w:val="a8"/>
        <w:numPr>
          <w:ilvl w:val="0"/>
          <w:numId w:val="1"/>
        </w:numPr>
        <w:spacing w:after="0"/>
        <w:jc w:val="both"/>
        <w:rPr>
          <w:rFonts w:ascii="Arial" w:hAnsi="Arial" w:cs="Arial"/>
          <w:sz w:val="28"/>
          <w:szCs w:val="28"/>
        </w:rPr>
      </w:pPr>
      <w:r w:rsidRPr="00833F09">
        <w:rPr>
          <w:rFonts w:ascii="Arial" w:hAnsi="Arial" w:cs="Arial"/>
          <w:sz w:val="28"/>
          <w:szCs w:val="28"/>
        </w:rPr>
        <w:t>Синдром гиперандрогении у женщин</w:t>
      </w:r>
    </w:p>
    <w:p w:rsidR="00833F09" w:rsidRPr="00833F09" w:rsidRDefault="00833F09" w:rsidP="00833F09">
      <w:pPr>
        <w:pStyle w:val="a8"/>
        <w:numPr>
          <w:ilvl w:val="0"/>
          <w:numId w:val="1"/>
        </w:numPr>
        <w:spacing w:after="0"/>
        <w:jc w:val="both"/>
        <w:rPr>
          <w:rFonts w:ascii="Arial" w:hAnsi="Arial" w:cs="Arial"/>
          <w:sz w:val="28"/>
          <w:szCs w:val="28"/>
        </w:rPr>
      </w:pPr>
      <w:r w:rsidRPr="00833F09">
        <w:rPr>
          <w:rFonts w:ascii="Arial" w:hAnsi="Arial" w:cs="Arial"/>
          <w:sz w:val="28"/>
          <w:szCs w:val="28"/>
        </w:rPr>
        <w:t>Андрогенпродуцирующая опухоль яичника или надпочечника</w:t>
      </w:r>
    </w:p>
    <w:p w:rsidR="00833F09" w:rsidRPr="00833F09" w:rsidRDefault="00833F09" w:rsidP="00833F09">
      <w:pPr>
        <w:pStyle w:val="a8"/>
        <w:numPr>
          <w:ilvl w:val="0"/>
          <w:numId w:val="1"/>
        </w:numPr>
        <w:spacing w:after="0"/>
        <w:jc w:val="both"/>
        <w:rPr>
          <w:rFonts w:ascii="Arial" w:hAnsi="Arial" w:cs="Arial"/>
          <w:sz w:val="28"/>
          <w:szCs w:val="28"/>
        </w:rPr>
      </w:pPr>
      <w:r w:rsidRPr="00833F09">
        <w:rPr>
          <w:rFonts w:ascii="Arial" w:hAnsi="Arial" w:cs="Arial"/>
          <w:sz w:val="28"/>
          <w:szCs w:val="28"/>
        </w:rPr>
        <w:t>Климактерический синдром</w:t>
      </w:r>
    </w:p>
    <w:p w:rsidR="00833F09" w:rsidRPr="00833F09" w:rsidRDefault="00833F09" w:rsidP="00833F09">
      <w:pPr>
        <w:pStyle w:val="a8"/>
        <w:numPr>
          <w:ilvl w:val="0"/>
          <w:numId w:val="1"/>
        </w:numPr>
        <w:spacing w:after="0"/>
        <w:jc w:val="both"/>
        <w:rPr>
          <w:rFonts w:ascii="Arial" w:hAnsi="Arial" w:cs="Arial"/>
          <w:sz w:val="28"/>
          <w:szCs w:val="28"/>
        </w:rPr>
      </w:pPr>
      <w:r w:rsidRPr="00833F09">
        <w:rPr>
          <w:rFonts w:ascii="Arial" w:hAnsi="Arial" w:cs="Arial"/>
          <w:sz w:val="28"/>
          <w:szCs w:val="28"/>
        </w:rPr>
        <w:t xml:space="preserve">Синдром поликистозных яичников </w:t>
      </w:r>
    </w:p>
    <w:p w:rsidR="00833F09" w:rsidRDefault="00833F09" w:rsidP="00833F09">
      <w:pPr>
        <w:pStyle w:val="a8"/>
        <w:spacing w:after="0"/>
        <w:jc w:val="both"/>
        <w:rPr>
          <w:rFonts w:ascii="Arial" w:hAnsi="Arial" w:cs="Arial"/>
          <w:sz w:val="28"/>
          <w:szCs w:val="28"/>
        </w:rPr>
      </w:pPr>
    </w:p>
    <w:p w:rsidR="00833F09" w:rsidRPr="00833F09" w:rsidRDefault="00833F09" w:rsidP="00833F09">
      <w:pPr>
        <w:pStyle w:val="a8"/>
        <w:spacing w:after="0"/>
        <w:jc w:val="both"/>
        <w:rPr>
          <w:rFonts w:ascii="Arial" w:hAnsi="Arial" w:cs="Arial"/>
          <w:sz w:val="28"/>
          <w:szCs w:val="28"/>
        </w:rPr>
      </w:pPr>
      <w:r w:rsidRPr="00833F09">
        <w:rPr>
          <w:rFonts w:ascii="Arial" w:hAnsi="Arial" w:cs="Arial"/>
          <w:sz w:val="28"/>
          <w:szCs w:val="28"/>
        </w:rPr>
        <w:t>ЖЕНСКАЯ РЕПРОДУКТИВНАЯ СИСТЕМА</w:t>
      </w:r>
    </w:p>
    <w:p w:rsidR="00833F09" w:rsidRDefault="00833F09" w:rsidP="00833F09">
      <w:pPr>
        <w:pStyle w:val="a8"/>
        <w:spacing w:after="0"/>
        <w:ind w:left="0" w:firstLine="567"/>
        <w:jc w:val="both"/>
        <w:rPr>
          <w:rFonts w:ascii="Arial" w:hAnsi="Arial" w:cs="Arial"/>
          <w:sz w:val="28"/>
          <w:szCs w:val="28"/>
        </w:rPr>
      </w:pPr>
    </w:p>
    <w:p w:rsidR="00833F09" w:rsidRDefault="00833F09" w:rsidP="00833F09">
      <w:pPr>
        <w:pStyle w:val="a8"/>
        <w:spacing w:after="0"/>
        <w:ind w:left="0" w:firstLine="567"/>
        <w:jc w:val="both"/>
        <w:rPr>
          <w:rFonts w:ascii="Arial" w:hAnsi="Arial" w:cs="Arial"/>
          <w:sz w:val="28"/>
          <w:szCs w:val="28"/>
        </w:rPr>
      </w:pPr>
      <w:r w:rsidRPr="00833F09">
        <w:rPr>
          <w:rFonts w:ascii="Arial" w:hAnsi="Arial" w:cs="Arial"/>
          <w:sz w:val="28"/>
          <w:szCs w:val="28"/>
        </w:rPr>
        <w:t>Половые органы женщины делятся на наружные и внутренние, соединенные между собой влагалищем.</w:t>
      </w:r>
    </w:p>
    <w:p w:rsidR="00833F09" w:rsidRDefault="00833F09" w:rsidP="00833F09">
      <w:pPr>
        <w:pStyle w:val="a8"/>
        <w:spacing w:after="0"/>
        <w:rPr>
          <w:rFonts w:ascii="Arial" w:hAnsi="Arial" w:cs="Arial"/>
          <w:sz w:val="28"/>
          <w:szCs w:val="28"/>
        </w:rPr>
      </w:pPr>
      <w:r>
        <w:rPr>
          <w:rFonts w:ascii="Arial" w:hAnsi="Arial" w:cs="Arial"/>
          <w:noProof/>
          <w:sz w:val="28"/>
          <w:szCs w:val="28"/>
          <w:lang w:eastAsia="ru-RU"/>
        </w:rPr>
        <w:drawing>
          <wp:anchor distT="0" distB="0" distL="114300" distR="114300" simplePos="0" relativeHeight="251661312" behindDoc="1" locked="0" layoutInCell="1" allowOverlap="1">
            <wp:simplePos x="0" y="0"/>
            <wp:positionH relativeFrom="column">
              <wp:posOffset>17145</wp:posOffset>
            </wp:positionH>
            <wp:positionV relativeFrom="paragraph">
              <wp:posOffset>220345</wp:posOffset>
            </wp:positionV>
            <wp:extent cx="2834640" cy="253619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4640" cy="2536190"/>
                    </a:xfrm>
                    <a:prstGeom prst="rect">
                      <a:avLst/>
                    </a:prstGeom>
                    <a:noFill/>
                  </pic:spPr>
                </pic:pic>
              </a:graphicData>
            </a:graphic>
            <wp14:sizeRelH relativeFrom="margin">
              <wp14:pctWidth>0</wp14:pctWidth>
            </wp14:sizeRelH>
          </wp:anchor>
        </w:drawing>
      </w:r>
    </w:p>
    <w:p w:rsidR="00833F09" w:rsidRPr="00833F09" w:rsidRDefault="00833F09" w:rsidP="00833F09">
      <w:pPr>
        <w:pStyle w:val="a8"/>
        <w:spacing w:after="0"/>
        <w:rPr>
          <w:rFonts w:ascii="Arial" w:hAnsi="Arial" w:cs="Arial"/>
          <w:sz w:val="28"/>
          <w:szCs w:val="28"/>
        </w:rPr>
      </w:pPr>
      <w:r w:rsidRPr="00833F09">
        <w:rPr>
          <w:rFonts w:ascii="Arial" w:hAnsi="Arial" w:cs="Arial"/>
          <w:sz w:val="28"/>
          <w:szCs w:val="28"/>
        </w:rPr>
        <w:t>Наружные половые органы:</w:t>
      </w:r>
    </w:p>
    <w:p w:rsidR="00833F09" w:rsidRPr="00833F09" w:rsidRDefault="00833F09" w:rsidP="00833F09">
      <w:pPr>
        <w:pStyle w:val="a8"/>
        <w:spacing w:after="0"/>
        <w:rPr>
          <w:rFonts w:ascii="Arial" w:hAnsi="Arial" w:cs="Arial"/>
          <w:sz w:val="28"/>
          <w:szCs w:val="28"/>
        </w:rPr>
      </w:pPr>
      <w:r w:rsidRPr="00833F09">
        <w:rPr>
          <w:rFonts w:ascii="Arial" w:hAnsi="Arial" w:cs="Arial"/>
          <w:sz w:val="28"/>
          <w:szCs w:val="28"/>
        </w:rPr>
        <w:br/>
        <w:t xml:space="preserve">1-лобок, </w:t>
      </w:r>
      <w:r w:rsidRPr="00833F09">
        <w:rPr>
          <w:rFonts w:ascii="Arial" w:hAnsi="Arial" w:cs="Arial"/>
          <w:sz w:val="28"/>
          <w:szCs w:val="28"/>
        </w:rPr>
        <w:br/>
        <w:t xml:space="preserve">2-клитор, </w:t>
      </w:r>
      <w:r w:rsidRPr="00833F09">
        <w:rPr>
          <w:rFonts w:ascii="Arial" w:hAnsi="Arial" w:cs="Arial"/>
          <w:sz w:val="28"/>
          <w:szCs w:val="28"/>
        </w:rPr>
        <w:br/>
        <w:t xml:space="preserve">3-уретра (отверстие мочеиспускательного канала), </w:t>
      </w:r>
      <w:r w:rsidRPr="00833F09">
        <w:rPr>
          <w:rFonts w:ascii="Arial" w:hAnsi="Arial" w:cs="Arial"/>
          <w:sz w:val="28"/>
          <w:szCs w:val="28"/>
        </w:rPr>
        <w:br/>
        <w:t xml:space="preserve">4-малые половые губы, </w:t>
      </w:r>
      <w:r w:rsidRPr="00833F09">
        <w:rPr>
          <w:rFonts w:ascii="Arial" w:hAnsi="Arial" w:cs="Arial"/>
          <w:sz w:val="28"/>
          <w:szCs w:val="28"/>
        </w:rPr>
        <w:br/>
        <w:t xml:space="preserve">5-большие половые губы, </w:t>
      </w:r>
      <w:r w:rsidRPr="00833F09">
        <w:rPr>
          <w:rFonts w:ascii="Arial" w:hAnsi="Arial" w:cs="Arial"/>
          <w:sz w:val="28"/>
          <w:szCs w:val="28"/>
        </w:rPr>
        <w:br/>
        <w:t xml:space="preserve">6-вход во влагалище, </w:t>
      </w:r>
      <w:r w:rsidRPr="00833F09">
        <w:rPr>
          <w:rFonts w:ascii="Arial" w:hAnsi="Arial" w:cs="Arial"/>
          <w:sz w:val="28"/>
          <w:szCs w:val="28"/>
        </w:rPr>
        <w:br/>
        <w:t>7-анальное отверстие.</w:t>
      </w:r>
    </w:p>
    <w:p w:rsidR="00833F09" w:rsidRDefault="00833F09" w:rsidP="00833F09">
      <w:pPr>
        <w:pStyle w:val="a8"/>
        <w:spacing w:after="0"/>
        <w:jc w:val="both"/>
        <w:rPr>
          <w:rFonts w:ascii="Arial" w:hAnsi="Arial" w:cs="Arial"/>
          <w:sz w:val="28"/>
          <w:szCs w:val="28"/>
        </w:rPr>
      </w:pPr>
    </w:p>
    <w:p w:rsidR="00833F09" w:rsidRDefault="00833F09" w:rsidP="00833F09">
      <w:pPr>
        <w:pStyle w:val="a8"/>
        <w:spacing w:after="0"/>
        <w:jc w:val="both"/>
        <w:rPr>
          <w:rFonts w:ascii="Arial" w:hAnsi="Arial" w:cs="Arial"/>
          <w:sz w:val="28"/>
          <w:szCs w:val="28"/>
        </w:rPr>
      </w:pPr>
    </w:p>
    <w:p w:rsidR="00833F09" w:rsidRDefault="00833F09" w:rsidP="00833F09">
      <w:pPr>
        <w:pStyle w:val="a8"/>
        <w:spacing w:after="0"/>
        <w:jc w:val="both"/>
        <w:rPr>
          <w:rFonts w:ascii="Arial" w:hAnsi="Arial" w:cs="Arial"/>
          <w:sz w:val="28"/>
          <w:szCs w:val="28"/>
        </w:rPr>
      </w:pPr>
    </w:p>
    <w:p w:rsidR="003F77CC" w:rsidRPr="00833F09" w:rsidRDefault="003F77CC" w:rsidP="00833F09">
      <w:pPr>
        <w:pStyle w:val="a8"/>
        <w:spacing w:after="0"/>
        <w:jc w:val="both"/>
        <w:rPr>
          <w:rFonts w:ascii="Arial" w:hAnsi="Arial" w:cs="Arial"/>
          <w:sz w:val="28"/>
          <w:szCs w:val="28"/>
        </w:rPr>
      </w:pPr>
      <w:r w:rsidRPr="00833F09">
        <w:rPr>
          <w:rFonts w:ascii="Arial" w:hAnsi="Arial" w:cs="Arial"/>
          <w:sz w:val="28"/>
          <w:szCs w:val="28"/>
        </w:rPr>
        <w:t>СИНДРОМ АМЕНОРЕИ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Аменорея — клинический синдром, который характеризуется отсутствием менструаций более 6 мес. Аменорея — неспецифический клинический признак и может быть проявлением совершенно разных заболеваний.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lastRenderedPageBreak/>
        <w:t>Классификация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Первичная аменорея — полное отсутствие самостоятельных менструаций к 16-летнему возрасту.</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Вторичная аменорея — задержка менструации более чем на 6 мес при ранее имевшихся спонтанных или вызванных приемом препаратов (индуцированных) менструациях.</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Задержки менструаций менее 6 мес носят название олигоменореи (&lt;9 раз в год), скудные менструации — опсоменореи.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Физиологическую аменорею наблюдают у девочек в препубертате, у женщин — во время беременности и в постменопаузе. Патологическую сущность аменореи наиболее точно передает термин «гипогонадизм», но он слишком сложен для большинства врачей и пациенток. Аменорея не относится к неотложным состояниям, но длительный дефицит эстрогенов приводит к формированию ассоциированной патологии.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 зависимости от уровня гонадотропинов гипогонадизм (аменорею) подразделяют на гипергонадотропный (ФСГ &gt;30 ЕД/л), нормогонадотропный (ФСГ — 1,6-16 ЕД/л) и гипогонадотроп- ный (ФСГ &lt;1,6 ЕД/л).</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Коды МКБ-10</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Q50.0. Врожденное отсутствие яичника.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N91.1. Вторичная аменорея.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Этиология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Наиболее распространенная причина аменореи — преждевременная недостаточность яичников (синдром резистентных истощенных яичников, Savage-синдром).</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 xml:space="preserve"> Синдром Шерешевского-Тернера как одна из причин аменореи встречается у 1:2500 новорожденных девочек.</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Большинство заболеваний могут быть причиной как первичной, так и вторичной аменореи: при синдроме Шерешевского- Тернера у 95% пациентов наблюдают первичную аменорею, но 5% девочек имеют спонтанный пубертат и менструальный цикл. Для СПКЯ типична олигоменорея, и только у 0,3% пациенток манифестация заболевания начинается с первичной аменореи.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Наиболее распространенные причины первичной аменореи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Синдром Шерешевского-Тернера.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Дисгенезия гонад.</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Гипопитуитаризм врожденный.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Опухоли ЦНС.</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Пороки развития репродуктивной системы (синдром Рокитанского-Кюстнера).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Наиболее распространенные причины вторичной аменореи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lastRenderedPageBreak/>
        <w:t>•</w:t>
      </w:r>
      <w:r w:rsidRPr="00833F09">
        <w:rPr>
          <w:rFonts w:ascii="Arial" w:hAnsi="Arial" w:cs="Arial"/>
          <w:sz w:val="28"/>
          <w:szCs w:val="28"/>
        </w:rPr>
        <w:tab/>
        <w:t>СПНЯ.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Дефицит массы тела или морбидное ожирение.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Синдром поликистозных яичников.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Гипопитуитаризм приобретенный.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Неклассическая форма ВДКН.</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Декомпенсированные эндокринные заболевания.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Патогенез</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Патогенез первичной аменореи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Для развитияяичников необходимыдве половые Х-хромосомы, то есть женский кариотип — 46 ХХ. В ходе мейотического деления половых клеток возможно возникновение аномального набора половых хромосом. При слиянии таких половых клеток в оплодотворенную яйцеклетку попадает патологический набор хромосом. Хромосомные дефекты могут быть количественными: отсутствие одной хромосомы (моносомия 45 Х), удвоение или утроение количества хромосом (47 ХХХ или 47 XXY-полисомия). Возможно образование мозаичных наборов хромосом, когда клоны клеток имеют различный набор хромосом. В результате неправильного морфофункционального развития яичники не могут продуцировать половые стероиды. Дефицит эстрогенов по принципу обратной связи приводит к повышению синтеза гонадотропинов, поэтому эта аменорея гипергонадотропная. Кроме того, в Х-хромосоме находятся гены, детерминирующие не только половое, но и соматическое развитие. Возможны различные клинические формы дисгенезии гонад.</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Для аменореи любого генеза типичны отсутствие менструаций и бесплодие. Первичная аменорея не сопровождается вазомоторными проявлениями. При вторичной аменорее у 70-80% пациенток возникают вазомоторные нарушения, снижение настроения и либидо, диспареуния. При ряде заболеваний наблюдают специфические клинические симптомы: галакторею при гиперпролактинемии, низкорослость и характерную внешность при синдроме Шерешевского-Тернера, гирсутизм при андрогенпродуцирующих опухолях.</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Обследованию в целях уточнения причины первичной аменореи подлежат пациентки при наличии следующих признаков: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при отсутствии менструаций после достижения 16 лет у пациенток нормального роста и при нормальном развитии ВПП;</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отсутствии признаков полового созревания (молочных желез, полового оволосения) в возрасте 14 лет и старше;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отсутствии менархе в течение 3 лет и более от начала появления и развития ВПП;</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lastRenderedPageBreak/>
        <w:t>•</w:t>
      </w:r>
      <w:r w:rsidRPr="00833F09">
        <w:rPr>
          <w:rFonts w:ascii="Arial" w:hAnsi="Arial" w:cs="Arial"/>
          <w:sz w:val="28"/>
          <w:szCs w:val="28"/>
        </w:rPr>
        <w:tab/>
        <w:t>несоответствии показателей роста и массы тела хронологическому возрасту (или несоответствии биологического возраста календарному).</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диагностике заболевания, которое является причиной первичной аменореи, проводят кариотипирование (обязательное исследование в целях исключения синдромов Шерешевского- Тернера, Кальмана, тестикулярной феминизации, дисгенезии гонад) и в любом случае — гормональные тесты и УЗИ органов малого таза (табл. 16-1).</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Таблица 16-1. Результаты кариотипирования при некоторых генетических заболеваниях</w:t>
      </w: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15"/>
        <w:gridCol w:w="2552"/>
        <w:gridCol w:w="4110"/>
      </w:tblGrid>
      <w:tr w:rsidR="00647890" w:rsidRPr="00833F09" w:rsidTr="00647890">
        <w:trPr>
          <w:trHeight w:hRule="exact" w:val="597"/>
          <w:jc w:val="center"/>
        </w:trPr>
        <w:tc>
          <w:tcPr>
            <w:tcW w:w="2415" w:type="dxa"/>
            <w:shd w:val="clear" w:color="auto" w:fill="auto"/>
            <w:vAlign w:val="center"/>
          </w:tcPr>
          <w:p w:rsidR="00647890" w:rsidRPr="00833F09" w:rsidRDefault="00647890" w:rsidP="00833F09">
            <w:pPr>
              <w:widowControl w:val="0"/>
              <w:spacing w:after="0" w:line="254" w:lineRule="auto"/>
              <w:jc w:val="both"/>
              <w:rPr>
                <w:rFonts w:ascii="Arial" w:eastAsia="Times New Roman" w:hAnsi="Arial" w:cs="Arial"/>
                <w:color w:val="000000"/>
                <w:sz w:val="20"/>
                <w:szCs w:val="20"/>
                <w:lang w:eastAsia="ru-RU" w:bidi="ru-RU"/>
              </w:rPr>
            </w:pPr>
            <w:r w:rsidRPr="00833F09">
              <w:rPr>
                <w:rFonts w:ascii="Arial" w:eastAsia="Arial" w:hAnsi="Arial" w:cs="Arial"/>
                <w:b/>
                <w:bCs/>
                <w:color w:val="000000"/>
                <w:sz w:val="20"/>
                <w:szCs w:val="20"/>
                <w:lang w:eastAsia="ru-RU" w:bidi="ru-RU"/>
              </w:rPr>
              <w:t>Заболевание, синдром</w:t>
            </w:r>
          </w:p>
        </w:tc>
        <w:tc>
          <w:tcPr>
            <w:tcW w:w="2552" w:type="dxa"/>
            <w:shd w:val="clear" w:color="auto" w:fill="auto"/>
            <w:vAlign w:val="center"/>
          </w:tcPr>
          <w:p w:rsidR="00647890" w:rsidRPr="00833F09" w:rsidRDefault="00647890" w:rsidP="00833F09">
            <w:pPr>
              <w:widowControl w:val="0"/>
              <w:spacing w:after="0" w:line="240" w:lineRule="auto"/>
              <w:ind w:firstLine="260"/>
              <w:jc w:val="both"/>
              <w:rPr>
                <w:rFonts w:ascii="Arial" w:eastAsia="Times New Roman" w:hAnsi="Arial" w:cs="Arial"/>
                <w:color w:val="000000"/>
                <w:sz w:val="20"/>
                <w:szCs w:val="20"/>
                <w:lang w:eastAsia="ru-RU" w:bidi="ru-RU"/>
              </w:rPr>
            </w:pPr>
            <w:r w:rsidRPr="00833F09">
              <w:rPr>
                <w:rFonts w:ascii="Arial" w:eastAsia="Arial" w:hAnsi="Arial" w:cs="Arial"/>
                <w:b/>
                <w:bCs/>
                <w:color w:val="000000"/>
                <w:sz w:val="20"/>
                <w:szCs w:val="20"/>
                <w:lang w:eastAsia="ru-RU" w:bidi="ru-RU"/>
              </w:rPr>
              <w:t>Кариотип</w:t>
            </w:r>
          </w:p>
        </w:tc>
        <w:tc>
          <w:tcPr>
            <w:tcW w:w="4110" w:type="dxa"/>
            <w:shd w:val="clear" w:color="auto" w:fill="auto"/>
            <w:vAlign w:val="center"/>
          </w:tcPr>
          <w:p w:rsidR="00647890" w:rsidRPr="00833F09" w:rsidRDefault="00647890" w:rsidP="00833F09">
            <w:pPr>
              <w:widowControl w:val="0"/>
              <w:spacing w:after="0" w:line="240" w:lineRule="auto"/>
              <w:jc w:val="both"/>
              <w:rPr>
                <w:rFonts w:ascii="Arial" w:eastAsia="Times New Roman" w:hAnsi="Arial" w:cs="Arial"/>
                <w:color w:val="000000"/>
                <w:sz w:val="20"/>
                <w:szCs w:val="20"/>
                <w:lang w:eastAsia="ru-RU" w:bidi="ru-RU"/>
              </w:rPr>
            </w:pPr>
            <w:r w:rsidRPr="00833F09">
              <w:rPr>
                <w:rFonts w:ascii="Arial" w:eastAsia="Arial" w:hAnsi="Arial" w:cs="Arial"/>
                <w:b/>
                <w:bCs/>
                <w:color w:val="000000"/>
                <w:sz w:val="20"/>
                <w:szCs w:val="20"/>
                <w:lang w:eastAsia="ru-RU" w:bidi="ru-RU"/>
              </w:rPr>
              <w:t>Типичные особенности</w:t>
            </w:r>
          </w:p>
        </w:tc>
      </w:tr>
      <w:tr w:rsidR="00647890" w:rsidRPr="00833F09" w:rsidTr="00647890">
        <w:trPr>
          <w:trHeight w:hRule="exact" w:val="1272"/>
          <w:jc w:val="center"/>
        </w:trPr>
        <w:tc>
          <w:tcPr>
            <w:tcW w:w="2415" w:type="dxa"/>
            <w:shd w:val="clear" w:color="auto" w:fill="auto"/>
            <w:vAlign w:val="center"/>
          </w:tcPr>
          <w:p w:rsidR="00647890" w:rsidRPr="00833F09" w:rsidRDefault="00647890" w:rsidP="00833F09">
            <w:pPr>
              <w:widowControl w:val="0"/>
              <w:spacing w:after="0"/>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Синдром Шерешевского- Тернера</w:t>
            </w:r>
          </w:p>
        </w:tc>
        <w:tc>
          <w:tcPr>
            <w:tcW w:w="2552" w:type="dxa"/>
            <w:shd w:val="clear" w:color="auto" w:fill="auto"/>
            <w:vAlign w:val="center"/>
          </w:tcPr>
          <w:p w:rsidR="00647890" w:rsidRPr="00833F09" w:rsidRDefault="00647890" w:rsidP="00833F09">
            <w:pPr>
              <w:widowControl w:val="0"/>
              <w:spacing w:after="0" w:line="254" w:lineRule="auto"/>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45 ХО, или мозаицизм</w:t>
            </w:r>
          </w:p>
        </w:tc>
        <w:tc>
          <w:tcPr>
            <w:tcW w:w="4110" w:type="dxa"/>
            <w:shd w:val="clear" w:color="auto" w:fill="auto"/>
            <w:vAlign w:val="center"/>
          </w:tcPr>
          <w:p w:rsidR="00647890" w:rsidRPr="00833F09" w:rsidRDefault="00647890" w:rsidP="00833F09">
            <w:pPr>
              <w:widowControl w:val="0"/>
              <w:spacing w:after="0"/>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Низкорослость, короткая шея, другие стигмы дисэмбриогенеза. Лечение с 7-9 лет гормо</w:t>
            </w:r>
            <w:r w:rsidRPr="00833F09">
              <w:rPr>
                <w:rFonts w:ascii="Arial" w:eastAsia="Arial" w:hAnsi="Arial" w:cs="Arial"/>
                <w:color w:val="000000"/>
                <w:sz w:val="20"/>
                <w:szCs w:val="20"/>
                <w:lang w:eastAsia="ru-RU" w:bidi="ru-RU"/>
              </w:rPr>
              <w:softHyphen/>
              <w:t>ном роста, с 12 лет — индукция пубертата Е</w:t>
            </w:r>
            <w:r w:rsidRPr="00833F09">
              <w:rPr>
                <w:rFonts w:ascii="Arial" w:eastAsia="Arial" w:hAnsi="Arial" w:cs="Arial"/>
                <w:color w:val="000000"/>
                <w:sz w:val="20"/>
                <w:szCs w:val="20"/>
                <w:vertAlign w:val="subscript"/>
                <w:lang w:eastAsia="ru-RU" w:bidi="ru-RU"/>
              </w:rPr>
              <w:t>2</w:t>
            </w:r>
          </w:p>
        </w:tc>
      </w:tr>
      <w:tr w:rsidR="00647890" w:rsidRPr="00833F09" w:rsidTr="00647890">
        <w:trPr>
          <w:trHeight w:hRule="exact" w:val="717"/>
          <w:jc w:val="center"/>
        </w:trPr>
        <w:tc>
          <w:tcPr>
            <w:tcW w:w="2415" w:type="dxa"/>
            <w:shd w:val="clear" w:color="auto" w:fill="auto"/>
            <w:vAlign w:val="center"/>
          </w:tcPr>
          <w:p w:rsidR="00647890" w:rsidRPr="00833F09" w:rsidRDefault="00647890" w:rsidP="00833F09">
            <w:pPr>
              <w:widowControl w:val="0"/>
              <w:spacing w:after="0" w:line="240" w:lineRule="auto"/>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Синдром Кальмана</w:t>
            </w:r>
          </w:p>
        </w:tc>
        <w:tc>
          <w:tcPr>
            <w:tcW w:w="2552" w:type="dxa"/>
            <w:shd w:val="clear" w:color="auto" w:fill="auto"/>
            <w:vAlign w:val="center"/>
          </w:tcPr>
          <w:p w:rsidR="00647890" w:rsidRPr="00833F09" w:rsidRDefault="00647890" w:rsidP="00833F09">
            <w:pPr>
              <w:widowControl w:val="0"/>
              <w:spacing w:after="0" w:line="240" w:lineRule="auto"/>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46 ХХ, 46 ХУ</w:t>
            </w:r>
          </w:p>
        </w:tc>
        <w:tc>
          <w:tcPr>
            <w:tcW w:w="4110" w:type="dxa"/>
            <w:shd w:val="clear" w:color="auto" w:fill="auto"/>
            <w:vAlign w:val="center"/>
          </w:tcPr>
          <w:p w:rsidR="00647890" w:rsidRPr="00833F09" w:rsidRDefault="00647890" w:rsidP="00833F09">
            <w:pPr>
              <w:widowControl w:val="0"/>
              <w:spacing w:after="0"/>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Гипогонадотропный гипогонадизм вследствие дефицита гонадотропин-рилизинг-гормона и аносмия</w:t>
            </w:r>
          </w:p>
        </w:tc>
      </w:tr>
      <w:tr w:rsidR="00647890" w:rsidRPr="00833F09" w:rsidTr="00647890">
        <w:trPr>
          <w:trHeight w:hRule="exact" w:val="564"/>
          <w:jc w:val="center"/>
        </w:trPr>
        <w:tc>
          <w:tcPr>
            <w:tcW w:w="2415" w:type="dxa"/>
            <w:shd w:val="clear" w:color="auto" w:fill="auto"/>
            <w:vAlign w:val="center"/>
          </w:tcPr>
          <w:p w:rsidR="00647890" w:rsidRPr="00833F09" w:rsidRDefault="00647890" w:rsidP="00833F09">
            <w:pPr>
              <w:widowControl w:val="0"/>
              <w:spacing w:after="0" w:line="240" w:lineRule="auto"/>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Дисгенезия гонад</w:t>
            </w:r>
          </w:p>
        </w:tc>
        <w:tc>
          <w:tcPr>
            <w:tcW w:w="2552" w:type="dxa"/>
            <w:shd w:val="clear" w:color="auto" w:fill="auto"/>
            <w:vAlign w:val="center"/>
          </w:tcPr>
          <w:p w:rsidR="00647890" w:rsidRPr="00833F09" w:rsidRDefault="00647890" w:rsidP="00833F09">
            <w:pPr>
              <w:widowControl w:val="0"/>
              <w:spacing w:after="0" w:line="240" w:lineRule="auto"/>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46 ХХ, 46 ХУ</w:t>
            </w:r>
          </w:p>
        </w:tc>
        <w:tc>
          <w:tcPr>
            <w:tcW w:w="4110" w:type="dxa"/>
            <w:shd w:val="clear" w:color="auto" w:fill="auto"/>
            <w:vAlign w:val="center"/>
          </w:tcPr>
          <w:p w:rsidR="00647890" w:rsidRPr="00833F09" w:rsidRDefault="00647890" w:rsidP="00833F09">
            <w:pPr>
              <w:widowControl w:val="0"/>
              <w:spacing w:after="0" w:line="254" w:lineRule="auto"/>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Варианты довольно разнообразны (чистая агенезия гонад, истинный гермафродитизм)</w:t>
            </w:r>
          </w:p>
        </w:tc>
      </w:tr>
      <w:tr w:rsidR="00647890" w:rsidRPr="00833F09" w:rsidTr="00647890">
        <w:trPr>
          <w:trHeight w:hRule="exact" w:val="822"/>
          <w:jc w:val="center"/>
        </w:trPr>
        <w:tc>
          <w:tcPr>
            <w:tcW w:w="2415" w:type="dxa"/>
            <w:shd w:val="clear" w:color="auto" w:fill="auto"/>
            <w:vAlign w:val="center"/>
          </w:tcPr>
          <w:p w:rsidR="00647890" w:rsidRPr="00833F09" w:rsidRDefault="00647890" w:rsidP="00833F09">
            <w:pPr>
              <w:widowControl w:val="0"/>
              <w:spacing w:after="0"/>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Синдром тестику</w:t>
            </w:r>
            <w:r w:rsidRPr="00833F09">
              <w:rPr>
                <w:rFonts w:ascii="Arial" w:eastAsia="Arial" w:hAnsi="Arial" w:cs="Arial"/>
                <w:color w:val="000000"/>
                <w:sz w:val="20"/>
                <w:szCs w:val="20"/>
                <w:lang w:eastAsia="ru-RU" w:bidi="ru-RU"/>
              </w:rPr>
              <w:softHyphen/>
              <w:t>лярной феминиза</w:t>
            </w:r>
            <w:r w:rsidRPr="00833F09">
              <w:rPr>
                <w:rFonts w:ascii="Arial" w:eastAsia="Arial" w:hAnsi="Arial" w:cs="Arial"/>
                <w:color w:val="000000"/>
                <w:sz w:val="20"/>
                <w:szCs w:val="20"/>
                <w:lang w:eastAsia="ru-RU" w:bidi="ru-RU"/>
              </w:rPr>
              <w:softHyphen/>
              <w:t>ции (Морриса)</w:t>
            </w:r>
          </w:p>
        </w:tc>
        <w:tc>
          <w:tcPr>
            <w:tcW w:w="2552" w:type="dxa"/>
            <w:shd w:val="clear" w:color="auto" w:fill="auto"/>
            <w:vAlign w:val="center"/>
          </w:tcPr>
          <w:p w:rsidR="00647890" w:rsidRPr="00833F09" w:rsidRDefault="00647890" w:rsidP="00833F09">
            <w:pPr>
              <w:widowControl w:val="0"/>
              <w:spacing w:after="0" w:line="240" w:lineRule="auto"/>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46 ХУ</w:t>
            </w:r>
          </w:p>
        </w:tc>
        <w:tc>
          <w:tcPr>
            <w:tcW w:w="4110" w:type="dxa"/>
            <w:shd w:val="clear" w:color="auto" w:fill="auto"/>
            <w:vAlign w:val="center"/>
          </w:tcPr>
          <w:p w:rsidR="00647890" w:rsidRPr="00833F09" w:rsidRDefault="00647890" w:rsidP="00833F09">
            <w:pPr>
              <w:widowControl w:val="0"/>
              <w:spacing w:after="0" w:line="257" w:lineRule="auto"/>
              <w:jc w:val="both"/>
              <w:rPr>
                <w:rFonts w:ascii="Arial" w:eastAsia="Times New Roman" w:hAnsi="Arial" w:cs="Arial"/>
                <w:color w:val="000000"/>
                <w:sz w:val="20"/>
                <w:szCs w:val="20"/>
                <w:lang w:eastAsia="ru-RU" w:bidi="ru-RU"/>
              </w:rPr>
            </w:pPr>
            <w:r w:rsidRPr="00833F09">
              <w:rPr>
                <w:rFonts w:ascii="Arial" w:eastAsia="Arial" w:hAnsi="Arial" w:cs="Arial"/>
                <w:color w:val="000000"/>
                <w:sz w:val="20"/>
                <w:szCs w:val="20"/>
                <w:lang w:eastAsia="ru-RU" w:bidi="ru-RU"/>
              </w:rPr>
              <w:t>Нечувствительность к андрогенам перифе</w:t>
            </w:r>
            <w:r w:rsidRPr="00833F09">
              <w:rPr>
                <w:rFonts w:ascii="Arial" w:eastAsia="Arial" w:hAnsi="Arial" w:cs="Arial"/>
                <w:color w:val="000000"/>
                <w:sz w:val="20"/>
                <w:szCs w:val="20"/>
                <w:lang w:eastAsia="ru-RU" w:bidi="ru-RU"/>
              </w:rPr>
              <w:softHyphen/>
              <w:t>рических тканей вследствие мутации гена ре</w:t>
            </w:r>
            <w:r w:rsidRPr="00833F09">
              <w:rPr>
                <w:rFonts w:ascii="Arial" w:eastAsia="Arial" w:hAnsi="Arial" w:cs="Arial"/>
                <w:color w:val="000000"/>
                <w:sz w:val="20"/>
                <w:szCs w:val="20"/>
                <w:lang w:eastAsia="ru-RU" w:bidi="ru-RU"/>
              </w:rPr>
              <w:softHyphen/>
              <w:t>цептора к андрогенам. Формируются женский фенотип и влагалище, половое оволосение и матка отсутствуют, в малом тазу или в пахо</w:t>
            </w:r>
            <w:r w:rsidRPr="00833F09">
              <w:rPr>
                <w:rFonts w:ascii="Arial" w:eastAsia="Arial" w:hAnsi="Arial" w:cs="Arial"/>
                <w:color w:val="000000"/>
                <w:sz w:val="20"/>
                <w:szCs w:val="20"/>
                <w:lang w:eastAsia="ru-RU" w:bidi="ru-RU"/>
              </w:rPr>
              <w:softHyphen/>
              <w:t>вых каналах — тестикулы</w:t>
            </w:r>
          </w:p>
        </w:tc>
      </w:tr>
    </w:tbl>
    <w:p w:rsidR="00833F09" w:rsidRDefault="00833F09" w:rsidP="00833F09">
      <w:pPr>
        <w:spacing w:after="0"/>
        <w:jc w:val="both"/>
        <w:rPr>
          <w:rFonts w:ascii="Arial" w:hAnsi="Arial" w:cs="Arial"/>
          <w:sz w:val="28"/>
          <w:szCs w:val="28"/>
        </w:rPr>
      </w:pP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гормональном анализе необходима оценка функции ЩЖ (содержание ТТГ), уровня пролактина и гонадотропинов (ФСГ, ЛГ). Как нарушения функции ЩЖ, так и гиперпролактинемия (гиперпролактинемический гипогонадизм) могут быть причиной вторичной (крайне редко — первичной) аменореи. При гиперпролактинемии требуется визуализация структур гипофиза с помощью МРТ.</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низком содержании гонадотропинов (гипогонадотроп- ном гипогонадизме) проводят визуализацию гипофиза с помощью МРТ и пробу с аналогами гонадотропин-рилизинг-гормона (бусерелином, декапептил-дейли). Синдром Шихена — редкий случай некроза гипофиза вследствие массивного послеродового кровотечения с формированием пангипопитуитаризма. Гипергонадотропный гипогонадизм свидетельствует об истощении фол-ликулярного пула и практически всегда (за исключением СПНЯ) — о необратимом характере гипогонадизма.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СПНЯ возможно не только спонтанное восстановление овуляции, но и наступление беременности у 5-10% женщин, иногда много лет спустя после манифестации заболевания. Точку отсчета (cut-</w:t>
      </w:r>
      <w:r w:rsidRPr="00833F09">
        <w:rPr>
          <w:rFonts w:ascii="Arial" w:hAnsi="Arial" w:cs="Arial"/>
          <w:sz w:val="28"/>
          <w:szCs w:val="28"/>
        </w:rPr>
        <w:lastRenderedPageBreak/>
        <w:t>off), когда длительная гипергонадотропная аменорея становится необратимой, определить невозможно.</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СПНЯ необходимы генетические исследования: у 2,4-13% женщин моложе 30 лет выявляют аномалии кариотипа, премута-цию FRAXA (аномальное метилирование гена FMR1) имеют 6% женщин с преждевременным истощением яичников и нормальным кариотипом (46 XX) и 14% пациенток с семейной агрегацией преждевременной недостаточности яичников. Преждевременная недостаточность яичников может быть ассоциирована с аутоиммунными заболеваниями: приблизительно у 20% женщин развивается гипотиреоз и у 4% — первичная ХНН.</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Исключительно редкими причинами гипергонадотропной аменореи являются: дефицит Р450с17 (ферментная недостаточность частично блокирует стероидогенез в надпочечниках и яичниках, клинически проявляясь задержкой полового развития, гипертензией и гипокалиемией при высоком уровне прогестерона), злока-чественные опухоли (рак легких), мутации генов, кодирующих ФСГ и ЛГ (маркер — диссоциация между низким уровнем одного и высоким другого гонадотропина), исход аутоиммунного оофорита.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Ановуляция и нормогонадотропная аменорея могут быть следствием СПКЯ или любых декомпенсированных эндокринных за-болеваний, а также аномалий развития производных мюллеровых ходов: синдрома Рокитанского-Кюстнера (аплазии матки), атре-зии гимена, влагалища и цервикальногоканала. У всех пациенток— кариотип 46 ХХ. Яичники функционируют нормально, что подтверждается правильным и своевременным развитием женских ВПП. При наличии матки и функционирующем эндометрии в период менструаций выше уровня атрезии начинает скапливаться кровь, приводя к выраженному болевому синдрому и формированию гематокольпоса, гематометры и гематоперитонеума. Диа-гностику проводят с помощью визуализирующих методик (УЗИ, МРТ), гистероскопии и диагностической лапароскопии.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Довольно редкая причина вторичной аменореи — синдром Ашермана — образование синехий в полости матки после деструкции эндометрия (внутриматочных вмешательств, эндометрита). Эндокринных нарушений не выявляют. Визуализацию синехий проводят с помощью УЗИ. Вторичная аменорея может быть следствием гибели фолликулов после облучения или приема химиотерапевтических препаратов (эффект дозозависим). Нарушения пищевого поведения, приводящие к дефициту массы тела (нервной анорексии) или ожирению (булимии), высокие физические нагрузки (аменорея спортсменок) могут привести к аменорее.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lastRenderedPageBreak/>
        <w:t>Аменорея после отмены оральных контрацептивов наблюдалась ранее при использовании высокодозированных контрацептивных препаратов, в настоящее время клинического значения не имеет.</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Первичная аменорея с большей степенью вероятности обусловлена генетическими аномалиями и врожденными пороками развития, вторичная — результат приобретенных заболеваний.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Физикальное обследование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осмотре необходимо обращать внимание на соответствие полового развития возрасту, роста и массы тела (нарушения пищевого поведения).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Лабораторные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Кариотипирование проводят всем пациенткам с первичной аменореей. См. табл. 16-2 и 16-3.</w:t>
      </w:r>
    </w:p>
    <w:p w:rsidR="00FF149C" w:rsidRPr="00833F09" w:rsidRDefault="00FF149C" w:rsidP="00833F09">
      <w:pPr>
        <w:spacing w:after="0"/>
        <w:ind w:firstLine="567"/>
        <w:jc w:val="both"/>
        <w:rPr>
          <w:rFonts w:ascii="Arial" w:hAnsi="Arial" w:cs="Arial"/>
          <w:sz w:val="28"/>
          <w:szCs w:val="28"/>
        </w:rPr>
      </w:pPr>
      <w:r w:rsidRPr="00833F09">
        <w:rPr>
          <w:rFonts w:ascii="Arial" w:hAnsi="Arial" w:cs="Arial"/>
          <w:sz w:val="28"/>
          <w:szCs w:val="28"/>
        </w:rPr>
        <w:t>Таблица 16-2. Гонадотропины и половые стероиды при некоторых генетических заболе-ваниях, связанных с аномалиями половых хромосом</w:t>
      </w:r>
    </w:p>
    <w:tbl>
      <w:tblPr>
        <w:tblW w:w="95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210"/>
        <w:gridCol w:w="1881"/>
        <w:gridCol w:w="1388"/>
        <w:gridCol w:w="1888"/>
        <w:gridCol w:w="1152"/>
      </w:tblGrid>
      <w:tr w:rsidR="00647890" w:rsidRPr="00833F09" w:rsidTr="00833F09">
        <w:trPr>
          <w:trHeight w:hRule="exact" w:val="980"/>
        </w:trPr>
        <w:tc>
          <w:tcPr>
            <w:tcW w:w="3210"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b/>
                <w:bCs/>
                <w:sz w:val="28"/>
                <w:szCs w:val="28"/>
                <w:lang w:bidi="ru-RU"/>
              </w:rPr>
              <w:t>Заболевание, синдром</w:t>
            </w:r>
          </w:p>
        </w:tc>
        <w:tc>
          <w:tcPr>
            <w:tcW w:w="1881"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b/>
                <w:bCs/>
                <w:sz w:val="28"/>
                <w:szCs w:val="28"/>
                <w:lang w:bidi="ru-RU"/>
              </w:rPr>
              <w:t>Кариотип</w:t>
            </w:r>
          </w:p>
        </w:tc>
        <w:tc>
          <w:tcPr>
            <w:tcW w:w="1388"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b/>
                <w:bCs/>
                <w:sz w:val="28"/>
                <w:szCs w:val="28"/>
                <w:lang w:bidi="ru-RU"/>
              </w:rPr>
              <w:t>ФСГ</w:t>
            </w:r>
          </w:p>
        </w:tc>
        <w:tc>
          <w:tcPr>
            <w:tcW w:w="1888"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b/>
                <w:bCs/>
                <w:sz w:val="28"/>
                <w:szCs w:val="28"/>
                <w:lang w:bidi="ru-RU"/>
              </w:rPr>
              <w:t>Тест</w:t>
            </w:r>
          </w:p>
        </w:tc>
        <w:tc>
          <w:tcPr>
            <w:tcW w:w="1152"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b/>
                <w:bCs/>
                <w:sz w:val="28"/>
                <w:szCs w:val="28"/>
                <w:lang w:bidi="ru-RU"/>
              </w:rPr>
              <w:t>Е2</w:t>
            </w:r>
          </w:p>
        </w:tc>
      </w:tr>
      <w:tr w:rsidR="00647890" w:rsidRPr="00833F09" w:rsidTr="004E4698">
        <w:trPr>
          <w:trHeight w:hRule="exact" w:val="893"/>
        </w:trPr>
        <w:tc>
          <w:tcPr>
            <w:tcW w:w="3210"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Синдром Шерешевского- Тернера</w:t>
            </w:r>
          </w:p>
        </w:tc>
        <w:tc>
          <w:tcPr>
            <w:tcW w:w="1881"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45 ХО, или мозаицизм</w:t>
            </w:r>
          </w:p>
        </w:tc>
        <w:tc>
          <w:tcPr>
            <w:tcW w:w="1388" w:type="dxa"/>
            <w:shd w:val="clear" w:color="auto" w:fill="auto"/>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Повышен</w:t>
            </w:r>
          </w:p>
        </w:tc>
        <w:tc>
          <w:tcPr>
            <w:tcW w:w="1888" w:type="dxa"/>
            <w:shd w:val="clear" w:color="auto" w:fill="auto"/>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Нормален</w:t>
            </w:r>
          </w:p>
        </w:tc>
        <w:tc>
          <w:tcPr>
            <w:tcW w:w="1152" w:type="dxa"/>
            <w:shd w:val="clear" w:color="auto" w:fill="auto"/>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Низкий</w:t>
            </w:r>
          </w:p>
        </w:tc>
      </w:tr>
      <w:tr w:rsidR="00647890" w:rsidRPr="00833F09" w:rsidTr="004E4698">
        <w:trPr>
          <w:trHeight w:hRule="exact" w:val="514"/>
        </w:trPr>
        <w:tc>
          <w:tcPr>
            <w:tcW w:w="3210"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Синдром Кальмана</w:t>
            </w:r>
          </w:p>
        </w:tc>
        <w:tc>
          <w:tcPr>
            <w:tcW w:w="1881"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46 ХХ, 46 ХУ</w:t>
            </w:r>
          </w:p>
        </w:tc>
        <w:tc>
          <w:tcPr>
            <w:tcW w:w="1388"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Снижен</w:t>
            </w:r>
          </w:p>
        </w:tc>
        <w:tc>
          <w:tcPr>
            <w:tcW w:w="1888"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Нормален</w:t>
            </w:r>
          </w:p>
        </w:tc>
        <w:tc>
          <w:tcPr>
            <w:tcW w:w="1152"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Низкий</w:t>
            </w:r>
          </w:p>
        </w:tc>
      </w:tr>
      <w:tr w:rsidR="00647890" w:rsidRPr="00833F09" w:rsidTr="004E4698">
        <w:trPr>
          <w:trHeight w:hRule="exact" w:val="514"/>
        </w:trPr>
        <w:tc>
          <w:tcPr>
            <w:tcW w:w="3210"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Дисгенезия гонад</w:t>
            </w:r>
          </w:p>
        </w:tc>
        <w:tc>
          <w:tcPr>
            <w:tcW w:w="1881"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46 ХХ, 46 ХУ</w:t>
            </w:r>
          </w:p>
        </w:tc>
        <w:tc>
          <w:tcPr>
            <w:tcW w:w="1388"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Повышен</w:t>
            </w:r>
          </w:p>
        </w:tc>
        <w:tc>
          <w:tcPr>
            <w:tcW w:w="1888"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Нормален</w:t>
            </w:r>
          </w:p>
        </w:tc>
        <w:tc>
          <w:tcPr>
            <w:tcW w:w="1152"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Низкий</w:t>
            </w:r>
          </w:p>
        </w:tc>
      </w:tr>
      <w:tr w:rsidR="00647890" w:rsidRPr="00833F09" w:rsidTr="00833F09">
        <w:trPr>
          <w:trHeight w:hRule="exact" w:val="1333"/>
        </w:trPr>
        <w:tc>
          <w:tcPr>
            <w:tcW w:w="3210" w:type="dxa"/>
            <w:shd w:val="clear" w:color="auto" w:fill="auto"/>
            <w:vAlign w:val="bottom"/>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Синдром тестикулярной феминизации (Морриса)</w:t>
            </w:r>
          </w:p>
        </w:tc>
        <w:tc>
          <w:tcPr>
            <w:tcW w:w="1881" w:type="dxa"/>
            <w:shd w:val="clear" w:color="auto" w:fill="auto"/>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46 ХУ</w:t>
            </w:r>
          </w:p>
        </w:tc>
        <w:tc>
          <w:tcPr>
            <w:tcW w:w="1388" w:type="dxa"/>
            <w:shd w:val="clear" w:color="auto" w:fill="auto"/>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Нормален</w:t>
            </w:r>
          </w:p>
        </w:tc>
        <w:tc>
          <w:tcPr>
            <w:tcW w:w="1888" w:type="dxa"/>
            <w:shd w:val="clear" w:color="auto" w:fill="auto"/>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Резко повышен</w:t>
            </w:r>
          </w:p>
        </w:tc>
        <w:tc>
          <w:tcPr>
            <w:tcW w:w="1152" w:type="dxa"/>
            <w:shd w:val="clear" w:color="auto" w:fill="auto"/>
          </w:tcPr>
          <w:p w:rsidR="00647890" w:rsidRPr="00833F09" w:rsidRDefault="00647890" w:rsidP="00833F09">
            <w:pPr>
              <w:spacing w:after="0"/>
              <w:jc w:val="both"/>
              <w:rPr>
                <w:rFonts w:ascii="Arial" w:hAnsi="Arial" w:cs="Arial"/>
                <w:sz w:val="28"/>
                <w:szCs w:val="28"/>
                <w:lang w:bidi="ru-RU"/>
              </w:rPr>
            </w:pPr>
            <w:r w:rsidRPr="00833F09">
              <w:rPr>
                <w:rFonts w:ascii="Arial" w:hAnsi="Arial" w:cs="Arial"/>
                <w:sz w:val="28"/>
                <w:szCs w:val="28"/>
                <w:lang w:bidi="ru-RU"/>
              </w:rPr>
              <w:t>Низкий</w:t>
            </w:r>
          </w:p>
        </w:tc>
      </w:tr>
    </w:tbl>
    <w:p w:rsidR="00647890" w:rsidRPr="00833F09" w:rsidRDefault="00647890" w:rsidP="00833F09">
      <w:pPr>
        <w:spacing w:after="0"/>
        <w:jc w:val="both"/>
        <w:rPr>
          <w:rFonts w:ascii="Arial" w:hAnsi="Arial" w:cs="Arial"/>
          <w:sz w:val="28"/>
          <w:szCs w:val="28"/>
        </w:rPr>
      </w:pPr>
    </w:p>
    <w:p w:rsidR="003F77CC" w:rsidRPr="00833F09" w:rsidRDefault="003F77CC" w:rsidP="00833F09">
      <w:pPr>
        <w:spacing w:after="0"/>
        <w:jc w:val="both"/>
        <w:rPr>
          <w:rFonts w:ascii="Arial" w:hAnsi="Arial" w:cs="Arial"/>
          <w:sz w:val="28"/>
          <w:szCs w:val="28"/>
        </w:rPr>
      </w:pPr>
      <w:r w:rsidRPr="00833F09">
        <w:rPr>
          <w:rFonts w:ascii="Arial" w:hAnsi="Arial" w:cs="Arial"/>
          <w:sz w:val="28"/>
          <w:szCs w:val="28"/>
        </w:rPr>
        <w:t>Таблица 16-3. Гонадотропины и половые стероиды при некоторых заболеваниях</w:t>
      </w:r>
    </w:p>
    <w:tbl>
      <w:tblPr>
        <w:tblW w:w="975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984"/>
        <w:gridCol w:w="1528"/>
        <w:gridCol w:w="1432"/>
        <w:gridCol w:w="1398"/>
        <w:gridCol w:w="1414"/>
      </w:tblGrid>
      <w:tr w:rsidR="00FF149C" w:rsidRPr="00833F09" w:rsidTr="00FF149C">
        <w:trPr>
          <w:trHeight w:hRule="exact" w:val="459"/>
        </w:trPr>
        <w:tc>
          <w:tcPr>
            <w:tcW w:w="3984" w:type="dxa"/>
            <w:shd w:val="clear" w:color="auto" w:fill="auto"/>
            <w:vAlign w:val="bottom"/>
          </w:tcPr>
          <w:p w:rsidR="00FF149C" w:rsidRPr="00833F09" w:rsidRDefault="00FF149C" w:rsidP="00833F09">
            <w:pPr>
              <w:widowControl w:val="0"/>
              <w:spacing w:after="0" w:line="240" w:lineRule="auto"/>
              <w:ind w:firstLine="420"/>
              <w:jc w:val="both"/>
              <w:rPr>
                <w:rFonts w:ascii="Arial" w:eastAsia="Times New Roman" w:hAnsi="Arial" w:cs="Arial"/>
                <w:color w:val="000000"/>
                <w:sz w:val="24"/>
                <w:szCs w:val="24"/>
                <w:lang w:eastAsia="ru-RU" w:bidi="ru-RU"/>
              </w:rPr>
            </w:pPr>
            <w:r w:rsidRPr="00833F09">
              <w:rPr>
                <w:rFonts w:ascii="Arial" w:eastAsia="Arial" w:hAnsi="Arial" w:cs="Arial"/>
                <w:b/>
                <w:bCs/>
                <w:color w:val="000000"/>
                <w:sz w:val="24"/>
                <w:szCs w:val="24"/>
                <w:lang w:eastAsia="ru-RU" w:bidi="ru-RU"/>
              </w:rPr>
              <w:t>Заболевание, синдром</w:t>
            </w:r>
          </w:p>
        </w:tc>
        <w:tc>
          <w:tcPr>
            <w:tcW w:w="1528"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b/>
                <w:bCs/>
                <w:color w:val="000000"/>
                <w:sz w:val="24"/>
                <w:szCs w:val="24"/>
                <w:lang w:eastAsia="ru-RU" w:bidi="ru-RU"/>
              </w:rPr>
              <w:t>ФСГ</w:t>
            </w:r>
          </w:p>
        </w:tc>
        <w:tc>
          <w:tcPr>
            <w:tcW w:w="1432"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b/>
                <w:bCs/>
                <w:color w:val="000000"/>
                <w:sz w:val="24"/>
                <w:szCs w:val="24"/>
                <w:lang w:eastAsia="ru-RU" w:bidi="ru-RU"/>
              </w:rPr>
              <w:t>Пролактин</w:t>
            </w:r>
          </w:p>
        </w:tc>
        <w:tc>
          <w:tcPr>
            <w:tcW w:w="1398" w:type="dxa"/>
            <w:shd w:val="clear" w:color="auto" w:fill="auto"/>
            <w:vAlign w:val="bottom"/>
          </w:tcPr>
          <w:p w:rsidR="00FF149C" w:rsidRPr="00833F09" w:rsidRDefault="00FF149C" w:rsidP="00833F09">
            <w:pPr>
              <w:widowControl w:val="0"/>
              <w:spacing w:after="0" w:line="240" w:lineRule="auto"/>
              <w:ind w:firstLine="240"/>
              <w:jc w:val="both"/>
              <w:rPr>
                <w:rFonts w:ascii="Arial" w:eastAsia="Times New Roman" w:hAnsi="Arial" w:cs="Arial"/>
                <w:color w:val="000000"/>
                <w:sz w:val="24"/>
                <w:szCs w:val="24"/>
                <w:lang w:eastAsia="ru-RU" w:bidi="ru-RU"/>
              </w:rPr>
            </w:pPr>
            <w:r w:rsidRPr="00833F09">
              <w:rPr>
                <w:rFonts w:ascii="Arial" w:eastAsia="Arial" w:hAnsi="Arial" w:cs="Arial"/>
                <w:b/>
                <w:bCs/>
                <w:color w:val="000000"/>
                <w:sz w:val="24"/>
                <w:szCs w:val="24"/>
                <w:lang w:eastAsia="ru-RU" w:bidi="ru-RU"/>
              </w:rPr>
              <w:t>Тест</w:t>
            </w:r>
          </w:p>
        </w:tc>
        <w:tc>
          <w:tcPr>
            <w:tcW w:w="1414" w:type="dxa"/>
            <w:shd w:val="clear" w:color="auto" w:fill="auto"/>
            <w:vAlign w:val="bottom"/>
          </w:tcPr>
          <w:p w:rsidR="00FF149C" w:rsidRPr="00833F09" w:rsidRDefault="00FF149C" w:rsidP="00833F09">
            <w:pPr>
              <w:widowControl w:val="0"/>
              <w:spacing w:after="0" w:line="240" w:lineRule="auto"/>
              <w:ind w:right="340"/>
              <w:jc w:val="both"/>
              <w:rPr>
                <w:rFonts w:ascii="Arial" w:eastAsia="Times New Roman" w:hAnsi="Arial" w:cs="Arial"/>
                <w:color w:val="000000"/>
                <w:sz w:val="24"/>
                <w:szCs w:val="24"/>
                <w:lang w:eastAsia="ru-RU" w:bidi="ru-RU"/>
              </w:rPr>
            </w:pPr>
            <w:r w:rsidRPr="00833F09">
              <w:rPr>
                <w:rFonts w:ascii="Arial" w:eastAsia="Arial" w:hAnsi="Arial" w:cs="Arial"/>
                <w:b/>
                <w:bCs/>
                <w:color w:val="000000"/>
                <w:sz w:val="24"/>
                <w:szCs w:val="24"/>
                <w:lang w:eastAsia="ru-RU" w:bidi="ru-RU"/>
              </w:rPr>
              <w:t>Е2</w:t>
            </w:r>
          </w:p>
        </w:tc>
      </w:tr>
      <w:tr w:rsidR="00FF149C" w:rsidRPr="00833F09" w:rsidTr="00FF149C">
        <w:trPr>
          <w:trHeight w:hRule="exact" w:val="441"/>
        </w:trPr>
        <w:tc>
          <w:tcPr>
            <w:tcW w:w="3984"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СПНЯ</w:t>
            </w:r>
          </w:p>
        </w:tc>
        <w:tc>
          <w:tcPr>
            <w:tcW w:w="1528"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Повышен</w:t>
            </w:r>
          </w:p>
        </w:tc>
        <w:tc>
          <w:tcPr>
            <w:tcW w:w="1432"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Нормален</w:t>
            </w:r>
          </w:p>
        </w:tc>
        <w:tc>
          <w:tcPr>
            <w:tcW w:w="1398"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Нормален</w:t>
            </w:r>
          </w:p>
        </w:tc>
        <w:tc>
          <w:tcPr>
            <w:tcW w:w="1414"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Низкий</w:t>
            </w:r>
          </w:p>
        </w:tc>
      </w:tr>
      <w:tr w:rsidR="00FF149C" w:rsidRPr="00833F09" w:rsidTr="00FF149C">
        <w:trPr>
          <w:trHeight w:hRule="exact" w:val="757"/>
        </w:trPr>
        <w:tc>
          <w:tcPr>
            <w:tcW w:w="3984" w:type="dxa"/>
            <w:shd w:val="clear" w:color="auto" w:fill="auto"/>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Гиперпролактинемия</w:t>
            </w:r>
          </w:p>
        </w:tc>
        <w:tc>
          <w:tcPr>
            <w:tcW w:w="1528" w:type="dxa"/>
            <w:shd w:val="clear" w:color="auto" w:fill="auto"/>
            <w:vAlign w:val="bottom"/>
          </w:tcPr>
          <w:p w:rsidR="00FF149C" w:rsidRPr="00833F09" w:rsidRDefault="00FF149C" w:rsidP="00833F09">
            <w:pPr>
              <w:widowControl w:val="0"/>
              <w:spacing w:after="0" w:line="254"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Снижен или нормален</w:t>
            </w:r>
          </w:p>
        </w:tc>
        <w:tc>
          <w:tcPr>
            <w:tcW w:w="1432" w:type="dxa"/>
            <w:shd w:val="clear" w:color="auto" w:fill="auto"/>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Повышен</w:t>
            </w:r>
          </w:p>
        </w:tc>
        <w:tc>
          <w:tcPr>
            <w:tcW w:w="1398" w:type="dxa"/>
            <w:shd w:val="clear" w:color="auto" w:fill="auto"/>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Нормален</w:t>
            </w:r>
          </w:p>
        </w:tc>
        <w:tc>
          <w:tcPr>
            <w:tcW w:w="1414" w:type="dxa"/>
            <w:shd w:val="clear" w:color="auto" w:fill="auto"/>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Низкий</w:t>
            </w:r>
          </w:p>
        </w:tc>
      </w:tr>
      <w:tr w:rsidR="00FF149C" w:rsidRPr="00833F09" w:rsidTr="00FF149C">
        <w:trPr>
          <w:trHeight w:hRule="exact" w:val="451"/>
        </w:trPr>
        <w:tc>
          <w:tcPr>
            <w:tcW w:w="3984"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СПКЯ</w:t>
            </w:r>
          </w:p>
        </w:tc>
        <w:tc>
          <w:tcPr>
            <w:tcW w:w="1528"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Нормален</w:t>
            </w:r>
          </w:p>
        </w:tc>
        <w:tc>
          <w:tcPr>
            <w:tcW w:w="1432"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Нормален</w:t>
            </w:r>
          </w:p>
        </w:tc>
        <w:tc>
          <w:tcPr>
            <w:tcW w:w="1398"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Нормален</w:t>
            </w:r>
          </w:p>
        </w:tc>
        <w:tc>
          <w:tcPr>
            <w:tcW w:w="1414"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Нормален</w:t>
            </w:r>
          </w:p>
        </w:tc>
      </w:tr>
      <w:tr w:rsidR="00FF149C" w:rsidRPr="00833F09" w:rsidTr="00FF149C">
        <w:trPr>
          <w:trHeight w:hRule="exact" w:val="459"/>
        </w:trPr>
        <w:tc>
          <w:tcPr>
            <w:tcW w:w="3984"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Дефицит массы тела</w:t>
            </w:r>
          </w:p>
        </w:tc>
        <w:tc>
          <w:tcPr>
            <w:tcW w:w="1528"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Снижен</w:t>
            </w:r>
          </w:p>
        </w:tc>
        <w:tc>
          <w:tcPr>
            <w:tcW w:w="1432"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Нормален</w:t>
            </w:r>
          </w:p>
        </w:tc>
        <w:tc>
          <w:tcPr>
            <w:tcW w:w="1398"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Нормален</w:t>
            </w:r>
          </w:p>
        </w:tc>
        <w:tc>
          <w:tcPr>
            <w:tcW w:w="1414" w:type="dxa"/>
            <w:shd w:val="clear" w:color="auto" w:fill="auto"/>
            <w:vAlign w:val="bottom"/>
          </w:tcPr>
          <w:p w:rsidR="00FF149C" w:rsidRPr="00833F09" w:rsidRDefault="00FF149C" w:rsidP="00833F09">
            <w:pPr>
              <w:widowControl w:val="0"/>
              <w:spacing w:after="0" w:line="240" w:lineRule="auto"/>
              <w:jc w:val="both"/>
              <w:rPr>
                <w:rFonts w:ascii="Arial" w:eastAsia="Times New Roman" w:hAnsi="Arial" w:cs="Arial"/>
                <w:color w:val="000000"/>
                <w:sz w:val="24"/>
                <w:szCs w:val="24"/>
                <w:lang w:eastAsia="ru-RU" w:bidi="ru-RU"/>
              </w:rPr>
            </w:pPr>
            <w:r w:rsidRPr="00833F09">
              <w:rPr>
                <w:rFonts w:ascii="Arial" w:eastAsia="Arial" w:hAnsi="Arial" w:cs="Arial"/>
                <w:color w:val="000000"/>
                <w:sz w:val="24"/>
                <w:szCs w:val="24"/>
                <w:lang w:eastAsia="ru-RU" w:bidi="ru-RU"/>
              </w:rPr>
              <w:t>Низкий</w:t>
            </w:r>
          </w:p>
        </w:tc>
      </w:tr>
    </w:tbl>
    <w:p w:rsidR="00FF149C" w:rsidRPr="00833F09" w:rsidRDefault="00FF149C" w:rsidP="00833F09">
      <w:pPr>
        <w:spacing w:after="0"/>
        <w:jc w:val="both"/>
        <w:rPr>
          <w:rFonts w:ascii="Arial" w:hAnsi="Arial" w:cs="Arial"/>
          <w:sz w:val="28"/>
          <w:szCs w:val="28"/>
        </w:rPr>
      </w:pP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Инструментальные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УЗИ органов малого таза проводят всем пациенткам.</w:t>
      </w:r>
    </w:p>
    <w:p w:rsidR="00FF149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lastRenderedPageBreak/>
        <w:t>При гиперпролактинемии и аномалиях развития — МРТ, ги- стеросальпингография, с лечебно-диагностической целью —</w:t>
      </w:r>
      <w:r w:rsidR="00FF149C" w:rsidRPr="00833F09">
        <w:rPr>
          <w:rFonts w:ascii="Arial" w:hAnsi="Arial" w:cs="Arial"/>
          <w:sz w:val="28"/>
          <w:szCs w:val="28"/>
        </w:rPr>
        <w:t xml:space="preserve"> ги-стероскопия и лапароскопия.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Показания к консультации других специалистов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Пациенткам с синдромом Шерешевского-Тернера показаны консультации кардиолога, стоматолога, ортопеда в целях уточнения аномалий развития, с нарушениями пищевого поведения (нервной анорексией, булимией) — психиатра.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Принципы лечения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аномалиях развития мюллеровых производных проводят хирургическую коррекцию — пластику с формированием искусственного влагалища. Разделение синехий при синдроме Ашермана выполняют в процессе гистероскопии и раздельного диагностического выскабливания. Заместительной терапии не требуется, так как яичники сформированы и нормально функци-онируют. Эндокринная патология обусловливает необходимость адекватной компенсации. Синдром тестикулярной феминизации, дисгенезия гонад и мужской кариотип — показания к удалению гонад. В любом случае аменореи и при отсутствии адекватной функции яичников проводят заместительную терапию половыми стероидами до периода наступления естественной менопаузы.</w:t>
      </w:r>
    </w:p>
    <w:p w:rsidR="00833F09" w:rsidRDefault="00833F09" w:rsidP="00833F09">
      <w:pPr>
        <w:spacing w:after="0"/>
        <w:jc w:val="center"/>
        <w:rPr>
          <w:rFonts w:ascii="Arial" w:hAnsi="Arial" w:cs="Arial"/>
          <w:sz w:val="28"/>
          <w:szCs w:val="28"/>
        </w:rPr>
      </w:pPr>
    </w:p>
    <w:p w:rsidR="003F77CC" w:rsidRPr="00833F09" w:rsidRDefault="003F77CC" w:rsidP="00833F09">
      <w:pPr>
        <w:spacing w:after="0"/>
        <w:jc w:val="center"/>
        <w:rPr>
          <w:rFonts w:ascii="Arial" w:hAnsi="Arial" w:cs="Arial"/>
          <w:sz w:val="28"/>
          <w:szCs w:val="28"/>
        </w:rPr>
      </w:pPr>
      <w:r w:rsidRPr="00833F09">
        <w:rPr>
          <w:rFonts w:ascii="Arial" w:hAnsi="Arial" w:cs="Arial"/>
          <w:sz w:val="28"/>
          <w:szCs w:val="28"/>
        </w:rPr>
        <w:t>ТИПИЧНАЯ ФОРМА ДИСГЕНЕЗИИ ГОНАД</w:t>
      </w:r>
    </w:p>
    <w:p w:rsidR="003F77CC" w:rsidRPr="00833F09" w:rsidRDefault="003F77CC" w:rsidP="00833F09">
      <w:pPr>
        <w:spacing w:after="0"/>
        <w:jc w:val="center"/>
        <w:rPr>
          <w:rFonts w:ascii="Arial" w:hAnsi="Arial" w:cs="Arial"/>
          <w:sz w:val="28"/>
          <w:szCs w:val="28"/>
        </w:rPr>
      </w:pPr>
      <w:r w:rsidRPr="00833F09">
        <w:rPr>
          <w:rFonts w:ascii="Arial" w:hAnsi="Arial" w:cs="Arial"/>
          <w:sz w:val="28"/>
          <w:szCs w:val="28"/>
        </w:rPr>
        <w:t>(СИНДРОМ ШЕРЕШЕВСКОГО-ТЕРНЕРА)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Код МКБ-10</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Q96.0. Кариотип 45 X.</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Жалобы только на отсутствие менструации.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Стертая форма дисгенезии гонад</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Кариотип мозаичный — 45 Х/46 ХХ. Клиническая картина зависит от процентного соотношения нормального и абберантного клона клеток, но всегда сопровождается первичной аменореей. Чем выше процент клеток с кариотипом 45 Х, тем больше фено-тип больного напоминает классический вид пациента с синдромом Шерешевского-Тернера. При преобладании клеток с кариотипом 46 ХХ клиническая картина характеризуется спонтанным развитием ВПП при сохранении генитального инфантилизма.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Чистая форма дисгенезии гонад</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Кариотип 46 ХХ или 46 XY (синдром Свайера). Внешний вид пациентов: нормальный рост, соматические дисплазии отсутствуют, морфотип может быть евнухоидным или интерсексуальным с уме-</w:t>
      </w:r>
      <w:r w:rsidRPr="00833F09">
        <w:rPr>
          <w:rFonts w:ascii="Arial" w:hAnsi="Arial" w:cs="Arial"/>
          <w:sz w:val="28"/>
          <w:szCs w:val="28"/>
        </w:rPr>
        <w:lastRenderedPageBreak/>
        <w:t>ренно выраженным гирсутизмом (при синдроме Свайера), на фоне выраженного генитального инфантилизма ВПП недоразвиты.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Смешанная форма дисгенезии гонад</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Мозаичный кариотип с обязательным присутствием Y-хромосомы или ее участка. Наиболее часто встречается кариотип 45 X/46 XY.</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 характеризуется первичной аменореей, вариабельностью симптомов в зависимости от преобладания того или иного клона клеток. Морфотип, как правило, интерсексуальный с умеренно выраженным гирсутизмом, могут быть соматические дисплазии и внешнее сходство с синдромом Шерешевского-Тернера. Для наружных половых признаков характерны элементы вирилизации — гипертрофия клитора, оволосение по мужскому типу, что обусловлено наличием Y-хромосомы. ВПП недоразвиты, матка резко гипопластична. В постпубертатном возрасте часто развиваются опухоли гонад комбинированного строения с элементами стромы полового тяжа и половых клеток типа гонадобластомы, эмбриональной карциномы. В клинической картине прогрессируют признаки вирилизации, что обусловлено гормонально-активной андрогенсекретирующей опухолью.</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 основывается на описанной выше типичной для каждой формы дисгенезии гонад клинической картине.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Физикальное обследование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Определяют недоразвитие ВПП, генитальный инфантилизм. При синдроме Шерешевского-Тернера внешний вид: рост не более 150 см, диспластичное телосложение с короткой шеей, низкая линия роста волос, кожные складки от сосцевидных отростков до акромиальных, микрогнатия и высокое нёбо, низкое расположение ушных раковин, вальгусная деформация локтевых и коленных суставов. Половое оволосение скудное, молочные железы резко гипопластичны, то есть имеется выраженный генитальный инфантилизм. При гинекологическом исследовании — признаки атрофии слизистых вульвы и влагалища, матка уменьшена в размерах, яичники не определяются.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Для всех форм данной патологии имеются общие диагностические критерии: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первичная аменорея;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отсутствие или резкое недоразвитие ВПП, генитальный инфантилизм;</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 xml:space="preserve">УЗИ-признаки дисгенезии гонад (яичники в виде соединительнотканных тяжей длиной 1-1,5 см, шириной 0,3-0,5 см с </w:t>
      </w:r>
      <w:r w:rsidRPr="00833F09">
        <w:rPr>
          <w:rFonts w:ascii="Arial" w:hAnsi="Arial" w:cs="Arial"/>
          <w:sz w:val="28"/>
          <w:szCs w:val="28"/>
        </w:rPr>
        <w:lastRenderedPageBreak/>
        <w:t>отсутствием фолликулов, эндометрий линейный, уменьшенные размеры матки);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высокий уровень гонадотропинов, особенно ФСГ, соответствующий постменопаузальному возрасту, и низкий — эстрогенов;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кариотип с аномальным набором половых хромосом, отсутствие или значительное снижение полового хроматина;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отрицательная проба с гестагенами (что доказывает выраженный дефицит эстрогенов</w:t>
      </w:r>
      <w:r w:rsidR="00FF149C" w:rsidRPr="00833F09">
        <w:rPr>
          <w:rFonts w:ascii="Arial" w:hAnsi="Arial" w:cs="Arial"/>
          <w:sz w:val="28"/>
          <w:szCs w:val="28"/>
        </w:rPr>
        <w:t>), но положительная с эстро</w:t>
      </w:r>
      <w:r w:rsidRPr="00833F09">
        <w:rPr>
          <w:rFonts w:ascii="Arial" w:hAnsi="Arial" w:cs="Arial"/>
          <w:sz w:val="28"/>
          <w:szCs w:val="28"/>
        </w:rPr>
        <w:t>генами и гестагенами (что исключает маточную форму аменореи).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Дифференциальная 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Проводят с первичной аменореей с нарушением развития половых признаков гипоталамического генеза. Основной кри-терий — отсутствие клинических проявлений психоневрологических симптомов у пациенток с дисгенезией гонад.</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 дисгенезии гонад зависит от наличия в кариотипе Y-хромосомы. В связи с высоким риском малигнизации (при ее наличии) необходимо оперативное удаление гонад эндоскопическим доступом в возрасте до 20 лет. При отсутствии в кариотипе Y-хромосомы или после оперативного удаления гонад проводят ЗГТ, которая направлена: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на феминизацию фигуры, развитие полового оволосения, молочных желез, матки;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подавление уровня гонадотропинов;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развитие циклических изменений в эндометрии с менструальной реакцией;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профилактику эстрогендефицитных состояний (остеопороза, метаболических нарушений, сердечно-сосудистых забо-леваний);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социальную адаптацию;</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улучшение качества жизни.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ЗГТ проводят длительное время (до естественной менопаузы).</w:t>
      </w:r>
    </w:p>
    <w:p w:rsidR="00833F09" w:rsidRDefault="00833F09" w:rsidP="00833F09">
      <w:pPr>
        <w:spacing w:after="0"/>
        <w:ind w:firstLine="567"/>
        <w:jc w:val="center"/>
        <w:rPr>
          <w:rFonts w:ascii="Arial" w:hAnsi="Arial" w:cs="Arial"/>
          <w:sz w:val="28"/>
          <w:szCs w:val="28"/>
        </w:rPr>
      </w:pPr>
    </w:p>
    <w:p w:rsidR="003F77CC" w:rsidRPr="00833F09" w:rsidRDefault="003F77CC" w:rsidP="00833F09">
      <w:pPr>
        <w:spacing w:after="0"/>
        <w:ind w:firstLine="567"/>
        <w:jc w:val="center"/>
        <w:rPr>
          <w:rFonts w:ascii="Arial" w:hAnsi="Arial" w:cs="Arial"/>
          <w:sz w:val="28"/>
          <w:szCs w:val="28"/>
        </w:rPr>
      </w:pPr>
      <w:r w:rsidRPr="00833F09">
        <w:rPr>
          <w:rFonts w:ascii="Arial" w:hAnsi="Arial" w:cs="Arial"/>
          <w:sz w:val="28"/>
          <w:szCs w:val="28"/>
        </w:rPr>
        <w:t>ФУНКЦИОНАЛЬНЫЕ НАРУШЕНИЯ ГИПОТАЛАМО-ГИПОФИЗАРНОЙ СИСТЕМЫ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Данная форма аменореи сопровождается задержкой полового развития и может быть следствием недостаточного питания, хро-нических инфекций, интоксикаций, заболеваний почек, печени, анемии и другой эстрагенитальной патологии.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 xml:space="preserve">При этой форме первичной аменореи пубертатный период как бы сдвинут во времени на более поздние сроки. Развитие молочных желез, полового оволосения и менархе наступает в возрасте старше 16 лет. Такое отсроченное половое созревание характерно для народов, </w:t>
      </w:r>
      <w:r w:rsidRPr="00833F09">
        <w:rPr>
          <w:rFonts w:ascii="Arial" w:hAnsi="Arial" w:cs="Arial"/>
          <w:sz w:val="28"/>
          <w:szCs w:val="28"/>
        </w:rPr>
        <w:lastRenderedPageBreak/>
        <w:t>населяющих северные регионы, что связано, очевидно, с климатическими, алиментарными факторами и имеет наследственную природу.</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Наиболее информативно определение гонадотропинов (ЛГ и ФСГ) в крови, уровень которых соответствует пубертату. Костный возраст (или биологический) при этой форме задержки полового развития на 2-4 года отстает от календарного.</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УЗИ эндометрий линейный, матка уменьшена в размерах.</w:t>
      </w:r>
    </w:p>
    <w:p w:rsidR="003F77CC" w:rsidRPr="00833F09" w:rsidRDefault="00FF149C" w:rsidP="00833F09">
      <w:pPr>
        <w:spacing w:after="0"/>
        <w:ind w:firstLine="567"/>
        <w:jc w:val="both"/>
        <w:rPr>
          <w:rFonts w:ascii="Arial" w:hAnsi="Arial" w:cs="Arial"/>
          <w:sz w:val="28"/>
          <w:szCs w:val="28"/>
        </w:rPr>
      </w:pPr>
      <w:r w:rsidRPr="00833F09">
        <w:rPr>
          <w:rFonts w:ascii="Arial" w:hAnsi="Arial" w:cs="Arial"/>
          <w:sz w:val="28"/>
          <w:szCs w:val="28"/>
        </w:rPr>
        <w:t xml:space="preserve"> </w:t>
      </w:r>
      <w:r w:rsidR="003F77CC" w:rsidRPr="00833F09">
        <w:rPr>
          <w:rFonts w:ascii="Arial" w:hAnsi="Arial" w:cs="Arial"/>
          <w:sz w:val="28"/>
          <w:szCs w:val="28"/>
        </w:rPr>
        <w:t>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Конституциональная форма первичной аменореи лечения не требует. Следует исключить другие причины аменореи.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 функциональных нарушений гипоталамо-гипофи- зарной системы — ЗГТ препаратами половых стероидов. ЗГТ необходима для развития ВПП и менструальных выделений, которые положительно влияют на психику женщины. Кроме того, ЗГТ ликвидирует проявления дефицита эстрогенов в сердечнососудистой и костной системах.</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Восстановление репродуктивной функции возможно с применением вспомогательных репродуктивных технологий (ВРТ).</w:t>
      </w:r>
    </w:p>
    <w:p w:rsidR="00833F09" w:rsidRDefault="00833F09" w:rsidP="00833F09">
      <w:pPr>
        <w:spacing w:after="0"/>
        <w:jc w:val="both"/>
        <w:rPr>
          <w:rFonts w:ascii="Arial" w:hAnsi="Arial" w:cs="Arial"/>
          <w:sz w:val="28"/>
          <w:szCs w:val="28"/>
          <w:lang w:val="en-US"/>
        </w:rPr>
      </w:pPr>
    </w:p>
    <w:p w:rsidR="003F77CC" w:rsidRPr="00833F09" w:rsidRDefault="003F77CC" w:rsidP="00833F09">
      <w:pPr>
        <w:spacing w:after="0"/>
        <w:jc w:val="center"/>
        <w:rPr>
          <w:rFonts w:ascii="Arial" w:hAnsi="Arial" w:cs="Arial"/>
          <w:sz w:val="28"/>
          <w:szCs w:val="28"/>
        </w:rPr>
      </w:pPr>
      <w:r w:rsidRPr="00833F09">
        <w:rPr>
          <w:rFonts w:ascii="Arial" w:hAnsi="Arial" w:cs="Arial"/>
          <w:sz w:val="28"/>
          <w:szCs w:val="28"/>
        </w:rPr>
        <w:t>ОРГАНИЧЕСКИЕ НАРУШЕНИЯ ГИПОТАЛАМО-ГИПОФИЗАРНОЙ СИСТЕМЫ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Самая частая среди органических причин — краниофарингиома — опухоль, развивающаяся из ткани ножки гипофиза. Опухоль доброкачественная, часто подвергается кальцинозу, что облегчает ее диагностику на рентгенограмме черепа. Опухоль располагается супраселлярно.</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 редким формам относится синдром Кальмана — первичная аменорея в сочетании с аносмией, то есть неспособностью воспринимать запахи. Патология эта генетически обусловлена. Дефектный ген локализуется в Х-хромосоме и наследуется по аутосомно-рецессивному типу.</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 характеризуется сильными головными болями, неврологической симптоматикой, инфантилизмом наружных и внутренних половых органов, отсутствием ВПП и анос-мией, что облегчает диагностику.</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Лабораторные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 xml:space="preserve">Определяют низкий уровень гонадотропинов, поэтому все формы первичной аменореи называют гипогонадотропными в отличие от пороков развития гонад, для которых характерен ги- пергонадотропизм. </w:t>
      </w:r>
      <w:r w:rsidRPr="00833F09">
        <w:rPr>
          <w:rFonts w:ascii="Arial" w:hAnsi="Arial" w:cs="Arial"/>
          <w:sz w:val="28"/>
          <w:szCs w:val="28"/>
        </w:rPr>
        <w:lastRenderedPageBreak/>
        <w:t>Однако общим является резкое снижение содержание эстрогенов в крови.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Повышение концентраций гонадотропинов после введения агонистов Гн-РГ свидетельствует о сохраненных резервных возможностях гипофиза и подтверждает гипоталамический уровень поражения. Повышение уровня эстрадиола после введения гонадотропных препаратов — свидетельство сохраненной функциональной активности яичников. Проба с гестагенами всегда отрицательная, а с эстрогенами и гестагенами — положитель</w:t>
      </w:r>
      <w:r w:rsidR="00FF149C" w:rsidRPr="00833F09">
        <w:rPr>
          <w:rFonts w:ascii="Arial" w:hAnsi="Arial" w:cs="Arial"/>
          <w:sz w:val="28"/>
          <w:szCs w:val="28"/>
        </w:rPr>
        <w:t>ная.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Инструментальные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УЗИ размеры яичников уменьшены за счет множества мелких антральных фолликулов и отсутствия растущих фоллику-лов (мультифолликулярные яичники), эндометрий тонкий, размеры матки уменьшены.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Дифференциальная 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Проводят с дисгенезией гонад. Основной отличительный признак — отсутствие психоневрологических симптомов у пациенток с дисгенезией гонад. Важную роль отводят гормональным исследованиям, при которых у всех пациенток определяют низкие уровни эстрадиола, но концентрации гонадотропинов при дисгенезии гонад повышенные, а у пациенток с функциональными нарушениями гипоталамо-гипофизарной системы — сниженные.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 опухоли гипофиза оперативное, при других формах проводят ЗГТ и лечение функциональных нарушений ЦНС.</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ПОРОКИ РАЗВИТИЯ ПОЛОВЫХ ОРГАНОВ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Гинатрезия, атрезия части влагалища — отсутствие девственной плевы и нижней трети влагалища соответственно.</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Код МКБ-10</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Q52.3. Девственная плева, полностью закрывающая вход во влагалище соответственно.</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Этиология и патогенез</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Порок развития возникает в результате нарушения канализации нижнего отдела урогенитального синуса, из которого фор-мируется нижняя треть влагалища в период внутриутробного развития. У 40% пациенток имеются пороки мочевыделительной системы.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атрезии гимена или части влагалища пациентки жалуются на циклические боли в низу живота, что связано с нарушением оттока менструальной крови и формированием гематокольпоса и гематометры (скоплением крови в верхней части влагалища и матке).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lastRenderedPageBreak/>
        <w:t>Физикальное обследование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Нормальное развитие ВПП. При гинекологическом исследовании — атрезия гимена или слепо заканчивающееся влагалище.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Лабораторные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Уровни гормонов в крови соответствуют возрасту.</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 xml:space="preserve"> При УЗИ — яичники нормальных размеров, увеличенные размеры матки с расширенной полостью (гематометра).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 хирургическое и сводится к рассечению гимена или перегородки влагалища.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АПЛАЗИЯ МАТКИ (СИНДРОМ МАЙЕРА-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РОКИТАНСКОГО-КЮСТНЕРА)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Аплазия матки — отсутствие матки, часто сочетается с отсутствием влагалища. Точно установлено, что в яичниках происходят нормальный фолликулогенез, синтез стероидов, овуляция и образование желтых тел. Именно поэтому нарушения полового развития при этом синдроме нет.</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Коды МКБ-10</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Q51.0. Агенезия и аплазия матки.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Q52.0. Врожденное отсутствие влагалища.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Пациентку ничего не беспокоит, кроме отсутствия менструаций.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Физикальное обследование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Нормальное развитие ВПП, женский морфотип. При гинекологическом исследовании диагноз сложности не представляет в случае аплазии влагалища и матки. При аплазии только матки имеется нижняя треть слепо заканчивающегося влагалища, что подтверждают при вагиноскопии (у девственниц).</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Лабораторные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Уровни гонадотропинов и половых стероидов — в пределах возрастных норм и циклически меняются.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Проба с гестагенами, гестагенами и эстрогенами отрицательная.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Инструментальные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УЗИ окончательно подтверждает диагноз, при этом определяют нормальных размеров яичники и отсутствие матки.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 xml:space="preserve">Лечение хирургическое — кольпопоэз из тазовой брюшины вагинальным доступом параллельно с лапароскопией. После пласти-ческой операции возможна половая жизнь. Гормональная терапия не показана ввиду нормальной функции яичников. Необходим эхографический контроль за состоянием яичников, поскольку при </w:t>
      </w:r>
      <w:r w:rsidRPr="00833F09">
        <w:rPr>
          <w:rFonts w:ascii="Arial" w:hAnsi="Arial" w:cs="Arial"/>
          <w:sz w:val="28"/>
          <w:szCs w:val="28"/>
        </w:rPr>
        <w:lastRenderedPageBreak/>
        <w:t>отсутствии матки в них часто формируются функциональные кисты. Своевременная антиг</w:t>
      </w:r>
      <w:r w:rsidR="00FF149C" w:rsidRPr="00833F09">
        <w:rPr>
          <w:rFonts w:ascii="Arial" w:hAnsi="Arial" w:cs="Arial"/>
          <w:sz w:val="28"/>
          <w:szCs w:val="28"/>
        </w:rPr>
        <w:t>онадотропная терапия (ригевидо</w:t>
      </w:r>
      <w:r w:rsidRPr="00833F09">
        <w:rPr>
          <w:rFonts w:ascii="Arial" w:hAnsi="Arial" w:cs="Arial"/>
          <w:sz w:val="28"/>
          <w:szCs w:val="28"/>
        </w:rPr>
        <w:t>ном*, марвелоном* в пролонгированном режиме) способствует их регрессу. Генеративная функция может быть выполнена с помощью ВРТ с использованием суррогатного материнства.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ВТОРИЧНАЯ АМЕНОРЕЯ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Вторичная аменорея — это отсутствие менструации в течение 6 мес и более после периода нормального или нарушенного менструального цикла. При этой форме аменореи нарушения развития ВПП не наблюдается, поскольку пубертатный период протекает в соответствующих возрастных пределах.</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Вторичная аменорея — частый симптом СПКЯ, метаболического синдрома, нарушений функции надпочечников, ЩЖ.</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Код МКБ-10</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N91.1 Вторичная аменоея.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ПАТОЛОГИЯ МАТКИ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Атрезия цервикального канала — отсутствие менструаций в результате травматических внутриматочных манипуляций (абортов, выскабливаний, электроконизации шейки матки), при которых повреждается базальная мембрана эндоцервикса.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Патогенез</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 результате травмы разрушается слизистая оболочка цервикального канала до базальной мембраны, активируются факторы адгезии, что приводит к спаечному процессу.</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Характеризуется отсутствием менструаций после хирургических вмешательств, перечисленных выше. Важный симптом — циклические боли вследствие нарушения оттока менструальной крови.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Диагноз устанавливают на основании анамнеза (предшествующий аборт и т.д.), клинической картины и данных УЗИ, произве-денного при болях, когда выявляют расширение полости матки и скопление в ней жидкости (гематометру).</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Гормональные исследования неинформативны, поскольку функция яичников не нарушена. Пробы с гестагенами, эстрогенами и гестагенами отрицательные, что указывает на маточный уровень поражения репродуктивной системы.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Восстановление проходимости цервикального канала при зондировании можно проводить амбулаторно только при своевременной диагностике. При длительности аменореи более 6-12 мес показана гистерорезектоскопия.</w:t>
      </w:r>
    </w:p>
    <w:p w:rsidR="003F77CC" w:rsidRPr="00833F09" w:rsidRDefault="003F77CC" w:rsidP="00B33DAF">
      <w:pPr>
        <w:spacing w:after="0"/>
        <w:jc w:val="center"/>
        <w:rPr>
          <w:rFonts w:ascii="Arial" w:hAnsi="Arial" w:cs="Arial"/>
          <w:sz w:val="28"/>
          <w:szCs w:val="28"/>
        </w:rPr>
      </w:pPr>
      <w:r w:rsidRPr="00833F09">
        <w:rPr>
          <w:rFonts w:ascii="Arial" w:hAnsi="Arial" w:cs="Arial"/>
          <w:sz w:val="28"/>
          <w:szCs w:val="28"/>
        </w:rPr>
        <w:lastRenderedPageBreak/>
        <w:t>ВНУТРИМАТОЧНЫЕ СИНЕХИИ</w:t>
      </w:r>
    </w:p>
    <w:p w:rsidR="003F77CC" w:rsidRPr="00833F09" w:rsidRDefault="003F77CC" w:rsidP="00B33DAF">
      <w:pPr>
        <w:spacing w:after="0"/>
        <w:jc w:val="center"/>
        <w:rPr>
          <w:rFonts w:ascii="Arial" w:hAnsi="Arial" w:cs="Arial"/>
          <w:sz w:val="28"/>
          <w:szCs w:val="28"/>
        </w:rPr>
      </w:pPr>
      <w:r w:rsidRPr="00833F09">
        <w:rPr>
          <w:rFonts w:ascii="Arial" w:hAnsi="Arial" w:cs="Arial"/>
          <w:sz w:val="28"/>
          <w:szCs w:val="28"/>
        </w:rPr>
        <w:t>(СИНДРОМ АШЕРМАНА)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Внутриматочные синехии (синдром Ашермана) — следствие частых, грубых выскабливаний или эндометритов.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Код МКБ-10</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N85.6. Внутриматочные синехии.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Циклических болей пациентки не отмечают. Частая ошибка практикующих врачей — поиск эндокринных нарушений при аменорее после аборта. Нет ни одного нейроэндокринного синдрома, который был бы причиной аменореи после аборта или диагностического выскабливания!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 основана на данных анамнеза — отсутствии менструаций после различных хирургических вмешательств. Уровень половых и гонадотропных гормонов — в пределах нормы, поэтому эту форму аменореи называют нормогонадотропной.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Внутриматочные синехии можно заподозрить по данным трансвагинальной эхографии.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Важное диагностическое значение имеет отрицательная проба с гестагенами, эстрогенами и гестагенами. При гистероскопии и гистеросальпингографии выявляют типичную картину внутрима- точных синехий.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 хирургическое (рассечение спаек при гистерорезек- тоскопии). После операции рекомендуют гормональную терапию препаратами натуральных половых стероидов (фемостоном 1/10*) в течение 3-6 мес.</w:t>
      </w:r>
    </w:p>
    <w:p w:rsidR="00FF149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подозрении на инфекционный генез синдрома Ашермана (по данным анамнеза) производят выскабливание с последующим бактериологическим и микробиологическим исследованием. После хирургического рассечения внутриматочных синехий проводят антибактериальную и в течение 3 мес — гормональную терапию препаратами натуральных половых стероидов (фемосто- ном*, фемостоном 1/10*). Препараты КОК применять не следует, так как они препятствуют пролиферации эндометрия, способствуя развити</w:t>
      </w:r>
      <w:r w:rsidR="00FF149C" w:rsidRPr="00833F09">
        <w:rPr>
          <w:rFonts w:ascii="Arial" w:hAnsi="Arial" w:cs="Arial"/>
          <w:sz w:val="28"/>
          <w:szCs w:val="28"/>
        </w:rPr>
        <w:t>ю в нем атрофических процессов.</w:t>
      </w:r>
    </w:p>
    <w:p w:rsidR="00B33DAF" w:rsidRDefault="00B33DAF" w:rsidP="00B33DAF">
      <w:pPr>
        <w:spacing w:after="0"/>
        <w:ind w:firstLine="567"/>
        <w:jc w:val="center"/>
        <w:rPr>
          <w:rFonts w:ascii="Arial" w:hAnsi="Arial" w:cs="Arial"/>
          <w:sz w:val="28"/>
          <w:szCs w:val="28"/>
        </w:rPr>
      </w:pPr>
    </w:p>
    <w:p w:rsidR="003F77CC" w:rsidRPr="00833F09" w:rsidRDefault="003F77CC" w:rsidP="00B33DAF">
      <w:pPr>
        <w:spacing w:after="0"/>
        <w:ind w:firstLine="567"/>
        <w:jc w:val="center"/>
        <w:rPr>
          <w:rFonts w:ascii="Arial" w:hAnsi="Arial" w:cs="Arial"/>
          <w:sz w:val="28"/>
          <w:szCs w:val="28"/>
        </w:rPr>
      </w:pPr>
      <w:r w:rsidRPr="00833F09">
        <w:rPr>
          <w:rFonts w:ascii="Arial" w:hAnsi="Arial" w:cs="Arial"/>
          <w:sz w:val="28"/>
          <w:szCs w:val="28"/>
        </w:rPr>
        <w:t>АМЕНОРЕЯ НА ФОНЕ ПОТЕРИ МАССЫ ТЕЛА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Профилактика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 xml:space="preserve">Нормализация режима труда и отдыха, полноценное питание, особенно в период полового развития. Родители и учителя долж-ны </w:t>
      </w:r>
      <w:r w:rsidRPr="00833F09">
        <w:rPr>
          <w:rFonts w:ascii="Arial" w:hAnsi="Arial" w:cs="Arial"/>
          <w:sz w:val="28"/>
          <w:szCs w:val="28"/>
        </w:rPr>
        <w:lastRenderedPageBreak/>
        <w:t>быть информированы об основах физиологического развития подростков.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Этиология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Причина снижения синтеза и выделения гонадотропных гормонов — голодание. Очень часто эмоционально неустойчивые девушки 14-18 лет соблюдают косметическую низкокалорийную диету для достижения «идеальной» фигуры. Даже небольшая потеря массы тела (на 3-10%) может привести к началу заболевания.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Патогенез</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Патогенетические механизмы развития вторичной аменореи на фоне потери массы тела связаны с нарушением нейроэндо-кринного контроля синтеза и выделения Гн-РГ. В результате снижения продукции Гн-РГ уменьшается секреция гонадотропинов в гипофизе, поэтому эта форма вторичной аменореи относится к гипогонадотропным. Определенную роль играет уменьшение ко-личества жировой ткани, которая является местом внегонадного синтеза половых стероидов. Быстрая потеря 10-15% жировой ткани не только в период пубертата, но и в постпубертатном периоде приводит к резкому прекращению менструаций.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Вторичная аменорея — один из самых заметных признаков начала заболевания при соблюдении косметической диеты, что застав-ляет девушек обратиться именно к гинекологу, хотя это только признак общего заболевания, связанного с голоданием. Пациентки тщательно скрывают факт соблюдения косметической диеты и голодание. Именно поэтому часто назначают неправильное лечение, в основном направленное на нормализацию менструального цикла приемом КОК, усугубляющих снижение гонадотропной функции. Толчком к соблюдению косметической диеты часто служат стресс, нейроинфекции, нетактичное замечание окружающих относительно дефекта фигуры или незначительной полноты. При потере массы тела на 5-18% резко прекращаются менструации без периода олигоменореи. На фоне продолжающейся потери массы тела нарастают симптомы голодания — брадикардия, гипотония, гипогликемия, гипотермия, гастрит, запоры. В дальнейшем развивается кахексия с полной потерей аппетита и отвращением к еде. Эта симптоматика очень сходна с психическим заболеванием — нервной анорексией.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Критерии диагноза аменореи на фоне потери массы тела: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соблюдение косметической диеты (выясняется при активном опросе);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lastRenderedPageBreak/>
        <w:t>•</w:t>
      </w:r>
      <w:r w:rsidRPr="00833F09">
        <w:rPr>
          <w:rFonts w:ascii="Arial" w:hAnsi="Arial" w:cs="Arial"/>
          <w:sz w:val="28"/>
          <w:szCs w:val="28"/>
        </w:rPr>
        <w:tab/>
        <w:t>хронологическое совпадение потери массы тела и наступления вторичной аменореи.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Физикальное обследование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физикальном обследовании обращают внимание на резкое уменьшение количества подкожно-жировой ткани, снижение массы тела. Телосложение женского типа. ВПП развиты нормально. При гинекологическом исследовании — гипоплазия матки, атрофия слизистых вульвы и влагалища.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Лабораторные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Снижение в крови уровня ЛГ, ФСГ, эстрадиола. При последовательном проведении гормональных проб выявляют резервные возможности различных уровней репродуктивной системы. Ге- стагеновая проба может быть положительная или отрицательная, что связано с длительностью аменореи. Проба с эстрогенами и гестагенами всегда положительная. Кломифеновая проба также может быть отрицательная или положительная, аналогично ге- стагеновой пробе. Проба с ГнРГ доказывает гипоталамический генез патологии. Проба с гонадотропинами способствует нормальному росту и созреванию фолликулов, то есть адекватной реакции яичников на стимуляцию.</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Инструментальные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УЗИ яичники нормальных размеров, мультифолликуляр- ные, эндометрий менее 5 мм, размеры матки уменьшены.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 во многом определяется психоэмоциональным состоянием пациентки и длительностью вторичной аменореи. Необходимо убедить пациентку в том, что основная причина заболевания — потеря массы тела. Диета должна быть высоко-калорийной, с питанием 5-6 раз в день, легкоусвояемой, с добавлением соленых и острых продуктов, повышающих аппетит. Обязательно назначение витаминов группы В, Е или поливитаминов, циклической витаминотерапии. Восстановление менструального цикла возможно только после нормализации массы тела и психоэмоционального статуса и во многом зависит от длительности аменореи. В результате лечения через 6-8 мес нормализуется масса тела, улучшается общее состояние и показатели гормонов крови, у 80% пациенток восстанавливается менструальный цикл. При отсутствии эффекта рекомендуют гормонотерапию препаратами натуральных эстрогенов и гестагенов (фемостоном 1/10*) в течение 3-6 мес, что оказывает стимулирующий эффект на гипо-таламические структуры. После нормализации массы тела можно проводить стимуляцию овуляци</w:t>
      </w:r>
      <w:r w:rsidR="00FF149C" w:rsidRPr="00833F09">
        <w:rPr>
          <w:rFonts w:ascii="Arial" w:hAnsi="Arial" w:cs="Arial"/>
          <w:sz w:val="28"/>
          <w:szCs w:val="28"/>
        </w:rPr>
        <w:t xml:space="preserve">и </w:t>
      </w:r>
      <w:r w:rsidR="00FF149C" w:rsidRPr="00833F09">
        <w:rPr>
          <w:rFonts w:ascii="Arial" w:hAnsi="Arial" w:cs="Arial"/>
          <w:sz w:val="28"/>
          <w:szCs w:val="28"/>
        </w:rPr>
        <w:lastRenderedPageBreak/>
        <w:t>кломифеном с 5-го по 9-й день</w:t>
      </w:r>
      <w:r w:rsidRPr="00833F09">
        <w:rPr>
          <w:rFonts w:ascii="Arial" w:hAnsi="Arial" w:cs="Arial"/>
          <w:sz w:val="28"/>
          <w:szCs w:val="28"/>
        </w:rPr>
        <w:t>цикла по 100 мг в течение 4-6 циклов под ультразвуковым контролем мониторинга фолликулогенеза.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ПСИХОГЕННАЯ АМЕНОРЕЯ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Этиология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Вторичная аменорея в репродуктивном возрасте может быть следствием психоэмоциональных нарушений (например, аменорея военного времени).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Патогенез</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Патогенез тот же, что при аменорее на фоне потери массы тела.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 характеризуется внезапным прекращением менструаций без предварительного периода олигоменореи. Отсутствуют также вегетативно-сосудистые симптомы, характерные для климакса.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Диагноз устанавливают на основании анамнеза и клинической картины. При гормональных исследованиях отмечают снижение уровня гонадотропинов и половых стероидов до базальных значений. При УЗИ яичники мультифолликулярные, нормальных размеров, эндометрий линейный, размеры матки уменьшены.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нормализации ситуации — устранении стресса — восстанавливается нормальная функция гипоталамо-гипофизарно- яичниковой системы.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ГИПЕРПРОЛАКТИНЕМИЯ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Гиперпролактинемия — аменорея, связанная с избыточной секрецией пролактина, в результате чего снижается синтез гона-дотропинов в гипофизе; данный вид аменореи называется гипо- гонадотропным.</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Код МКБ-10</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E22.1. Гиперпролактинемия.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Этиология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Патологическая гиперпролактинемия развивается в результате анатомических или функциональных нарушений гипоталамо- гипофизарного комплекса.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Анатомические причины.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Опухоли гипофиза (краниофарингиома, глиома, гранулема), гормонально-активные опухоли (пролактиномы, смешанные пролактин-АКТГ-секретирующие аденомы гипофиза).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Повреждения ножки гипофиза в результате травмы или хирургического вмешательства, черепно-мозговые травмы, воздействие радиации.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lastRenderedPageBreak/>
        <w:t>Функциональные причины.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Стрессы.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Нейроинфекции (менингит, энцефалит).</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Различные эндокринные заболевания (гипотиреоз, болезнь Кушинга, синдром Нельсона, акромегалия).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Более редкие причины.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Почечная недостаточность.</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Эктопическая продукция пролактина при РЛ, гипернефроме.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Операции, травмы в области грудной клетки.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Ятрогенные причины (после приема ЛС):</w:t>
      </w:r>
    </w:p>
    <w:p w:rsidR="003F77CC" w:rsidRPr="00833F09" w:rsidRDefault="003F77CC" w:rsidP="00833F09">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препараты, влияющие на секрецию и обмен дофамина: фенотиазины, галоперидол, метоклопрамид, домперидон, пимозид, сульпирид;</w:t>
      </w:r>
    </w:p>
    <w:p w:rsidR="003F77CC" w:rsidRPr="00833F09" w:rsidRDefault="003F77CC" w:rsidP="00833F09">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препараты, истощающие запасы дофамина в ЦНС: резерпин, ингибиторы моноаминоксидазы, опиоиды;</w:t>
      </w:r>
    </w:p>
    <w:p w:rsidR="003F77CC" w:rsidRPr="00833F09" w:rsidRDefault="003F77CC" w:rsidP="00833F09">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стимуляторы серотонинергической системы: амфетамины, галлюциногены.</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Патогенез</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В гипоталамусе под влиянием пролактина уменьшается синтез и выделение Гн-РГ и, соответственно, ЛГ и ФСГ.</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В яичниках пролактин тормозит гонадотропинзависимый синтез стероидов, снижает чувствительность яичников к эк-зогенным гонадотропинам, секрецию прогестерона желтым телом.</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 характеризуется нарушением менструального цикла чаще по типу вторичной аменореи. Большинство пациенток нарушение менструального цикла связывают с тяжелыми стрессовыми ситуациями, травмами, оперативными вмеша-тельствами, длительным приемом нейролептиков.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Галакторею (лакторею) от единичных капель молозива до струйного выделения молока наблюдают не у всех женщин, она не коррелирует с уровнем пролактина.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Головные боли (чаще по типу мигрени), головокружения, транзиторное повышение АД отмечают примерно у половины женщин с гиперпролактинемией при активном опросе. Поскольку пациентки жалуются в основном на нарушение менструального цикла и бесплодие, врачам следует задавать наводящие вопросы в целях выявления сопутствующих характерных симптомов. К ним</w:t>
      </w:r>
      <w:r w:rsidR="001A5B69" w:rsidRPr="00833F09">
        <w:rPr>
          <w:rFonts w:ascii="Arial" w:hAnsi="Arial" w:cs="Arial"/>
          <w:sz w:val="28"/>
          <w:szCs w:val="28"/>
          <w:lang w:val="uz-Cyrl-UZ"/>
        </w:rPr>
        <w:t xml:space="preserve"> </w:t>
      </w:r>
      <w:r w:rsidRPr="00833F09">
        <w:rPr>
          <w:rFonts w:ascii="Arial" w:hAnsi="Arial" w:cs="Arial"/>
          <w:sz w:val="28"/>
          <w:szCs w:val="28"/>
        </w:rPr>
        <w:t>также относятся нейропсихические реакции в виде депрессии, раздражительности, эмоциональной лабильности.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lastRenderedPageBreak/>
        <w:t>Диагностика направлена в первую очередь на выявление опухоли гипофиза.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Анамнез</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изучении анамнеза необходимо выяснить время нарушения менструального цикла, что косвенно свидетельствует о длительности гиперпролактинемии. Для макроаденомы гипофиза характерны офтальмологические симптомы в виде сужения полей зрения.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Физикальное обследование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гипотиреозе как причине галактореи отмечают характерные для гипофункции ЩЖ сухость, пастозность кожи, выпадение волос, повышенную утомляемость, нарушение когнитивных и ментальных функций.</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При гинекологическом исследовании обращают внимание на гипоэстрогенное состояние вульвы и слизистой влагалища, низ-кое цервикальное число и гипопластичную матку, что четко коррелирует с длительностью заболевания.</w:t>
      </w:r>
    </w:p>
    <w:p w:rsidR="001A5B69" w:rsidRPr="00833F09" w:rsidRDefault="001A5B69" w:rsidP="00833F09">
      <w:pPr>
        <w:spacing w:after="0"/>
        <w:ind w:firstLine="567"/>
        <w:jc w:val="both"/>
        <w:rPr>
          <w:rFonts w:ascii="Arial" w:hAnsi="Arial" w:cs="Arial"/>
          <w:sz w:val="28"/>
          <w:szCs w:val="28"/>
        </w:rPr>
      </w:pP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Лабораторные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Гормональные исследования наиболее информативны в диагностике гиперпролактинемии. При функциональной гиперпролактинемии уровень пролактина не превышает 3000 мМЕ/л. При уровне пролактина 3500-8000 мМЕ/л вероятность микроаденомы гипофиза составляет 70-85%. Концентрация гонадотропинов в крови (ЛГ и ФСГ) снижается соответственно нарастанию уровня пролактина. Те же закономерности характерны для эстрадиола и тестостерона, то есть чем выше уровень пролактина, тем ниже концентрация эстрадиола и тестостерона. При повышенной концентрации в крови пролактина необходимо исследование тирео-идных гормонов для исключения гипотиреоза.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Инструментальные исследования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Исследование глазного дна и полей зрения. Изменение сосудов глазного дна или битемпоральное сужение полей зрения может указывать на макроаденому гипофиза.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Трансвагинальная эхография помогает в дифференциальной диагностике с СПКЯ. Для гиперпролактинемии характерны мультифолликулярные яичники, которые характеризуются нормальными размерами и объемом с множеством фолликулов диа-метром 4-8 мм, диффузно расположенных в строме.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Рентгенография, КТ и МРТ области гипофиза.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Дифференциальная диагностика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lastRenderedPageBreak/>
        <w:t>В первую очередь необходимо исключить гипотиреоз (см. «Синдром гипотиреоза»).У женщин с гирсутизмом и гиперпролактинемией исключают СПКЯ.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Терапию проводят с учетом различных форм гиперпролактинемии. В первую очередь необходимо исключить первичный ги-потиреоз.</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Медикаментозное 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 лечении используют агонисты дофамина. Наиболее популярен бромокриптин, который назначают в дозе 1,25 мг, постепенно повышая ее до 7,5-10 мг/сут под контролем пролактина в крови и до восстановления овуляторных менструальных циклов, затем дозу можно уменьшить до 2,5 мг/сут в течение 6-8 мес. Овуляция наступает, как правило, на 4-8-й неделе лечения, фертильность восстанавливается в 75-90% наблюдений. Каберголин назначают по 2,5 мг/нед под контролем уровня пролактина в крови.</w:t>
      </w:r>
    </w:p>
    <w:p w:rsidR="001A5B69" w:rsidRPr="00833F09" w:rsidRDefault="001A5B69" w:rsidP="00833F09">
      <w:pPr>
        <w:spacing w:after="0"/>
        <w:ind w:firstLine="567"/>
        <w:jc w:val="both"/>
        <w:rPr>
          <w:rFonts w:ascii="Arial" w:hAnsi="Arial" w:cs="Arial"/>
          <w:sz w:val="28"/>
          <w:szCs w:val="28"/>
        </w:rPr>
      </w:pP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Хирургическое и лучевое лечение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См. «Хирургическое лечение аденом гипофиза».</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Дальнейшее ведение</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Необходимо диспансерное наблюдение, особенно при пролактиномах гипофиза. С этой целью рекомендуют раз в год проводить МРТ, осмотр офтальмологом, два раза в год определять содержание пролактина в крови.</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СИНДРОМ РЕЗИСТЕНТНЫХ ЯИЧНИКОВ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Синдром резистентных яичников (СРЯ) возникает у женщин в возрасте до 35 лет, характеризуется вторичной аменореей, макро- и микроскопически неизмененными яичниками и повышенным уровнем гонадотропинов.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Код МКБ-10</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N91.2. Аменорея неуточненная.</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Этиология и патогенез</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Возможно, развитие синдрома резистентных яичников связано с генетически обусловленными дефектами рецепторного аппарата фолликулов. Есть данные, указывающие на аутоиммунную природу патологии — присутствие АТ, блокирующих рецепторы к ФСГ в яичниках, что подтверждается частым сочетанием с раз-личными аутоиммунными заболеваниями. Большая роль отводится внутрияичниковым факторам, регулирующим связывание ФСГ с рецепторами фолликулов.</w:t>
      </w:r>
    </w:p>
    <w:p w:rsidR="003F77CC" w:rsidRPr="00833F09" w:rsidRDefault="003F77CC" w:rsidP="00833F09">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Клиническая картина характеризуется вторичной аменореей в возрасте до 35 лет. В анамнезе пациенток с СРЯ отмечают на</w:t>
      </w:r>
      <w:r w:rsidR="00833F09" w:rsidRPr="00833F09">
        <w:rPr>
          <w:rFonts w:ascii="Arial" w:hAnsi="Arial" w:cs="Arial"/>
          <w:sz w:val="28"/>
          <w:szCs w:val="28"/>
        </w:rPr>
        <w:t xml:space="preserve"> </w:t>
      </w:r>
      <w:r w:rsidRPr="00833F09">
        <w:rPr>
          <w:rFonts w:ascii="Arial" w:hAnsi="Arial" w:cs="Arial"/>
          <w:sz w:val="28"/>
          <w:szCs w:val="28"/>
        </w:rPr>
        <w:lastRenderedPageBreak/>
        <w:t>следственную отягощенность по нарушениям менструальной и генеративной функций, большую частоту инфекционных и ауто-иммунных заболеваний. Начало заболевания связывают с тяжелыми вирусными инфекциями, стрессовыми ситуациями. Помимо отсутствия менструации у больных других жалоб нет. Возраст менархе своевременный, менструации постепенно приобретают характер олигоменореи, и до 35 лет развивается аменорея, беременности бывают редко. Важный информативный признак — отсутствие приливов и других вегетососудистых нарушений, характерных для синдрома истощения яичников и преждевременной менопаузы. Телосложение женского типа, ИМТ — 20-24, ВПП развиты правильно. При гинекологическом исследовании обращают внимание на гипоэстрогенные проявления: гиперемию и истончение слизистых оболочек вульвы, влагалища.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Лабораторные исследования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Решающую роль в диагностике играют высокий уровень ЛГ и ФСГ и низкий — эстрадиола; уровень пролактина в пределах нормы. Гестагеновая проба отрицательная, проба с эстрогенами и гестагенами всегда положительная, проба с кломифеном от-рицательная. При гипергонадотропных формах аменореи кло- мифеновая проба нецелесообразна, поскольку она направлена на повышение синтеза и выделения гонадотропинов, которые и так повышены. Реакция гонадотропной функции гипофиза на введение эстрогенов адекватная: происходит снижение уровня ФСГ, что указывает на сохранность механизмов обратных связей и яичниковый генез заболевания.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Инструментальные исследования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При УЗИ определяют нормальных размеров яичники с множеством фолликулов диаметром до 5-6 мм; матка нормальных размеров, эндометрий тонкий.</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Дифференциальная диагностика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Проводят с синдромом истощения яичников, для которого характерно повышение уровня гонадотропинов (ЛГ, ФСГ), но по данным УЗИ в яичниках не визуализируются фолликулы, а симптоматика характеризуется климактерическими вегетососудистыми нарушениями.</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Лечение</w:t>
      </w:r>
    </w:p>
    <w:p w:rsidR="001A5B69"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xml:space="preserve">Лечение синдрома резистентных яичников предусматривает применение препаратов ЗГТ (фемостона 1/5*). Терапия направлена на профилактику эстрогендефицитных состояний и нормализацию менструального цикла, а также подавление уровня гонадотропинов. Восстановление генеративной функции возможно с помощью ВРТ </w:t>
      </w:r>
      <w:r w:rsidRPr="00833F09">
        <w:rPr>
          <w:rFonts w:ascii="Arial" w:hAnsi="Arial" w:cs="Arial"/>
          <w:sz w:val="28"/>
          <w:szCs w:val="28"/>
        </w:rPr>
        <w:lastRenderedPageBreak/>
        <w:t>путем эстракорпорального оплодотворения (ЭКО) с донацией яйцеклетки.</w:t>
      </w:r>
    </w:p>
    <w:p w:rsidR="00B33DAF" w:rsidRDefault="00B33DAF" w:rsidP="00B33DAF">
      <w:pPr>
        <w:spacing w:after="0"/>
        <w:ind w:firstLine="567"/>
        <w:jc w:val="both"/>
        <w:rPr>
          <w:rFonts w:ascii="Arial" w:hAnsi="Arial" w:cs="Arial"/>
          <w:sz w:val="28"/>
          <w:szCs w:val="28"/>
        </w:rPr>
      </w:pPr>
    </w:p>
    <w:p w:rsidR="003F77CC" w:rsidRPr="00833F09" w:rsidRDefault="003F77CC" w:rsidP="00B33DAF">
      <w:pPr>
        <w:spacing w:after="0"/>
        <w:jc w:val="center"/>
        <w:rPr>
          <w:rFonts w:ascii="Arial" w:hAnsi="Arial" w:cs="Arial"/>
          <w:sz w:val="28"/>
          <w:szCs w:val="28"/>
        </w:rPr>
      </w:pPr>
      <w:r w:rsidRPr="00833F09">
        <w:rPr>
          <w:rFonts w:ascii="Arial" w:hAnsi="Arial" w:cs="Arial"/>
          <w:sz w:val="28"/>
          <w:szCs w:val="28"/>
        </w:rPr>
        <w:t>СИНДРОМ ИСТОЩЕНИЯ ЯИЧНИКОВ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Синдром истощения яичников, или преждевременная недостаточность яичников, — симптомокомплекс, характеризующийся вторичной аменореей, симптомами дефицита эстрогенов (приливы, потливость и др.) и повышением уровня гонадотропинов (ФСГ и ЛГ) у женщин в возрасте до 40 лет, имевших в прошлом нормальные менструальную и генеративную функции.</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Код МКБ-10</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E28.3. Первичная яичниковая недостаточность.</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Этиология и патогенез</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Одна из причин — хромосомные аномалии, в частности, наличие трех Х-хромосом. Установлено, что различные неблагоприятные факторы как в антенатальном, так и в постнатальном периоде (радиация, химические вещества, тератогенные ЛС, вирусы гриппа, краснухи, паротита) могут привести к повреждению гонад и замещению их соединительной тканью и апоптозу гормональноактивных клеток фолликулов. Вероятно, на фоне неполноценного генома любые экзогенные воздействия (инфекционные заболевания, интоксикации, стрессы) могут способствовать развитию синдрома истощения яичников. В результате резкого прекращения гормональной функции яичников по механизмам отрицательной обратной связи повышается продукция гонадолиберина и, соответственно, гонадотропинов, поэтому данный вид аменореи относится к гипергонадотропным.</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Синдром истощения яичников может развиться после субтотальной резекции яичников по поводу цистаденомы, особенно эндометриоидных кист яичников. Иногда при операциях по поводу трубной беременности, консервативной миомэктомии и других проводят неоправданную резекцию яичников в связи с их так называемой кистозной дегенерацией. При этом снижается фолликулярный резерв яичников и впоследствии развивается их истощение. Об этом следует помнить практическим врачам и производить резекцию яичников строго по показаниям с максимальным сохранением коры яичников, содержащей запас примордиальных фолликулов.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xml:space="preserve">Характеризуется типичными для постменопаузы вегетососудистыми проявлениями — приливами, потливостью, слабостью, головными болями и так далее с нарушением трудоспособности. Возраст менархе своевременный, менструальная и </w:t>
      </w:r>
      <w:r w:rsidRPr="00833F09">
        <w:rPr>
          <w:rFonts w:ascii="Arial" w:hAnsi="Arial" w:cs="Arial"/>
          <w:sz w:val="28"/>
          <w:szCs w:val="28"/>
        </w:rPr>
        <w:lastRenderedPageBreak/>
        <w:t>генеративная функции не нарушены длительное время. Заболевание начинается с аменореи, редко ей предшествует период олигоменореи. Для таких женщин ожирение нехарактерно. На фоне аменореи прогрессируют атрофические процессы в молочных железах и половых органах.</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Диагностика основывается на данных анамнеза и клинической картины.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Лабораторные исследования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Решающая роль принадлежит значительному повышению уровня гонадотропинов, особенно ФСГ, и резкому снижению уровня эстрадиола. Пробы с гестагенами и кломифеном — отрицательные, эстрогенами и гестагенами — положительные.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Инструментальные исследования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При трансвагинальной эхографии яичники уменьшены в размерах, фолликулы отсутствуют, матка уменьшена, эндометрий линейный.</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Дифференциальная диагностика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Проводят с синдромом резистентных яичников и преждевременной менопаузой — возрастным, физиологическим, генетически детерминированным процессом. Климакс, как известно, проходит с постепенным угасанием функции репродуктивной системы. Завершение менструаций не свидетельствует о прекращении гормональной функции яичников, которая продолжается в постменопаузе достаточно длительное время. При синдроме истощения яичников гестагеновая проба отрицательная, тогда как при преждевременной менопаузе может быть положительной. При синдроме истощения яичников резко, без периода олигоменореи прекращается не только менструальная, но и гормональная функция яичников по типу кастрации; фолликулярный аппарат яичников отсутствует, поэтому стимуляция овуляции неэффективна. Эти данные важны для практикующих врачей, поскольку пациентки с синдромом истощения яичников часто обращаются именно по поводу вторичного бесплодия.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Лечение направлено на профилактику и терапию эстрогендефи- цитных состояний: вегетососудистых нарушений, урогенитальных расстройств, остеопороза и сердечно-сосудистых заболеваний. С этой целью проводят ЗГТ препаратами натуральных эстрогенов до естественной менопаузы. Восстановление генеративной функции возможно путем ЭКО с донацией яйцеклетки.</w:t>
      </w:r>
    </w:p>
    <w:p w:rsidR="003F77CC" w:rsidRPr="00833F09" w:rsidRDefault="003F77CC" w:rsidP="00B33DAF">
      <w:pPr>
        <w:spacing w:after="0"/>
        <w:jc w:val="center"/>
        <w:rPr>
          <w:rFonts w:ascii="Arial" w:hAnsi="Arial" w:cs="Arial"/>
          <w:sz w:val="28"/>
          <w:szCs w:val="28"/>
        </w:rPr>
      </w:pPr>
      <w:r w:rsidRPr="00833F09">
        <w:rPr>
          <w:rFonts w:ascii="Arial" w:hAnsi="Arial" w:cs="Arial"/>
          <w:sz w:val="28"/>
          <w:szCs w:val="28"/>
        </w:rPr>
        <w:t>СИНДРОМ ГИПЕРТОРМОЖЕНИЯ</w:t>
      </w:r>
      <w:r w:rsidR="00B33DAF">
        <w:rPr>
          <w:rFonts w:ascii="Arial" w:hAnsi="Arial" w:cs="Arial"/>
          <w:sz w:val="28"/>
          <w:szCs w:val="28"/>
          <w:lang w:val="en-US"/>
        </w:rPr>
        <w:t xml:space="preserve"> </w:t>
      </w:r>
      <w:r w:rsidRPr="00833F09">
        <w:rPr>
          <w:rFonts w:ascii="Arial" w:hAnsi="Arial" w:cs="Arial"/>
          <w:sz w:val="28"/>
          <w:szCs w:val="28"/>
        </w:rPr>
        <w:t>ЯИЧНИКОВ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lastRenderedPageBreak/>
        <w:t>Эта форма вторичной аменореи характеризуется отсутствием менструаций после длительного приема препаратов, тормозящих гонадотропную функцию гипофиза. Синдром гиперторможения яичников — ятрогенная патология.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Код МКБ-10</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E89.4. Нарушение функции яичников, возникшее после медицинских процедур.</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Этиология и патогенез</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Торможение гонадотропной секреции после длительного ее подавления эстроген-гестагенными препаратами КОК приводит к развитию вторичной аменореи. Полагают, что синдром гиперторможения яичников после приема КОК развивается при генетически обусловленной недостаточной секреции гипоталамического рилизинг-гормона, а также при приеме препаратов II поколения: КОК последнего поколения не обладают подобными эффектами. Торможение гормональной функции яичников применяют с терапевтической целью при лечении распространенного наружного эндометриоза, перед оперативным удалением миомы матки (ММ) больших размеров, при рецидивирующих гиперпластических процессах эндометрия. Гиперторможение в подобных случаях достигается подавлением функции гипоталамических структур и, как следствие, гипофиза и яичников. Подавление гонадотропной функции гипофиза может быть следствием химиотерапии, лучевого воздействия по поводу опухолей экстрагенитальной системы.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Характеризуется отсутствием менструаций без каких-либо вегетососудистых проявлений, характерных для синдрома истощения яичников и преждевременной менопаузы.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Диагноз устанавливают на основании данных анамнеза, клиники и определения гонадотропинов. Уровень гонадотропных гормонов и эстрадиола в крови снижен (в пределах базальных концентраций).</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Анамнез</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В анамнезе частота перенесенных ОРВИ выше, чем в популяции, возраст менархе своевременный или поздний, возможны нарушения менструального цикла по типу гипоменструального синдрома.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Физикальное обследование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При гинекологическом исследовании — уменьшение размеров матки, выраженная гипоэстрогения (сухость слизистых вульвы, влагалища) не отмечается.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Инструментальные исследования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lastRenderedPageBreak/>
        <w:t>При УЗИ — уменьшение размеров матки, эндометрий не более 3-5 мм, размеры яичников соответствуют норме, фолликулярный аппарат выражен по типу мультифолликулярных яичников.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Синдром гиперторможения яичников после приема КОК, как правило, лечения не требует. Менструации восстанавливаются через 3-4 мес самостоятельно. Эффективно применение кломифена после менструальной реакции в ответ на пробу с гестагенами. Кломифен назначают в дозе 100 мг с 5-го по 9-й день цикла под контролем ультразвукового мониторинга фолликулогенеза.</w:t>
      </w:r>
    </w:p>
    <w:p w:rsidR="00B33DAF" w:rsidRDefault="00B33DAF" w:rsidP="00833F09">
      <w:pPr>
        <w:spacing w:after="0"/>
        <w:jc w:val="both"/>
        <w:rPr>
          <w:rFonts w:ascii="Arial" w:hAnsi="Arial" w:cs="Arial"/>
          <w:sz w:val="28"/>
          <w:szCs w:val="28"/>
        </w:rPr>
      </w:pPr>
    </w:p>
    <w:p w:rsidR="003F77CC" w:rsidRPr="00833F09" w:rsidRDefault="003F77CC" w:rsidP="00B33DAF">
      <w:pPr>
        <w:spacing w:after="0"/>
        <w:jc w:val="center"/>
        <w:rPr>
          <w:rFonts w:ascii="Arial" w:hAnsi="Arial" w:cs="Arial"/>
          <w:sz w:val="28"/>
          <w:szCs w:val="28"/>
        </w:rPr>
      </w:pPr>
      <w:r w:rsidRPr="00833F09">
        <w:rPr>
          <w:rFonts w:ascii="Arial" w:hAnsi="Arial" w:cs="Arial"/>
          <w:sz w:val="28"/>
          <w:szCs w:val="28"/>
        </w:rPr>
        <w:t>СИНДРОМ ГЕРМАФРОДИТИЗМА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Нарушения половой дифференцировки — группа заболеваний с высокой клинической вариабельностью и генетической гетеро-генностью. Под термином «псевдогермафродитизм», или «ложный гермафродитизм», подразумевают несоответствие строения наружных половых органов гендерной принадлежности гонад. Определения «мужской» и «женский» обозначают соответствующую принадлежность половых желез, что одновременно отражает и генетический пол. Патология, при которой индивидуум имеет элементы овариальной и тестикулярной ткани, носит название истинного гермафродитизма.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Установление формы нарушений половой дифференцировки важно для прогноза и выбора метода лечения, включая соответ-ствующую хирургическую коррекцию. При рождении ребенка с интерсексуальными гениталиями для установления гражданского пола обязательны кариотипирование и УЗИ органов малого таза с определением половой принадлежности половых желез.</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Код МКБ-10</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Q56. Неопределенность пола и псевдогермафродитизм.</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Классификация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Нарушения генитальной дифференцировки.</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Женский псевдогермафродитизм (частичная вирилизация, кариотип 46 XX).</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Классическая форма врожденной дисфункции коры надпочечника.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Экзогенная внутриутробная вирилизация плода (ан- дрогенсекретирующие опухоли матери, прием препаратов с андрогенной активностью).</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Мужской псевдогермафродитизм (неадекватная вирилизация, кариотип 46 XY).</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Синдром тестикулярной феминизации (полная и неполная формы).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lastRenderedPageBreak/>
        <w:t>-</w:t>
      </w:r>
      <w:r w:rsidRPr="00833F09">
        <w:rPr>
          <w:rFonts w:ascii="Arial" w:hAnsi="Arial" w:cs="Arial"/>
          <w:sz w:val="28"/>
          <w:szCs w:val="28"/>
        </w:rPr>
        <w:tab/>
        <w:t>Дефицит 5а-редуктазы.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Дефекты биосинтеза тестостерона.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Нарушения дифференцировки гонад.</w:t>
      </w:r>
    </w:p>
    <w:p w:rsidR="003F77CC" w:rsidRPr="00833F09" w:rsidRDefault="003F77CC" w:rsidP="00B33DAF">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Истинный гермафродитизм (синдром двуполых гонад).</w:t>
      </w:r>
    </w:p>
    <w:p w:rsidR="003F77CC" w:rsidRPr="00833F09" w:rsidRDefault="003F77CC" w:rsidP="00B33DAF">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Синдром Тернера.</w:t>
      </w:r>
    </w:p>
    <w:p w:rsidR="003F77CC" w:rsidRPr="00833F09" w:rsidRDefault="003F77CC" w:rsidP="00B33DAF">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Дисгенезия тестикул (смешанная и билатеральная формы).</w:t>
      </w:r>
    </w:p>
    <w:p w:rsidR="003F77CC" w:rsidRPr="00833F09" w:rsidRDefault="003F77CC" w:rsidP="00B33DAF">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Чистая агенезия гонад (кариотип 46 XY или 46 XX).</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Ложный женский гермафродитизм</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Наследование по аутосомно-рецессивному типу. Заболевание чаще связано с недостаточностью 21-гидроксилазы, реже 11- гидроксилазы. Для всех вариантов характерны женский кариотип 46 XX, гонады женского пола (правильно сформированные яичники). Наружные половые органы бисексуальны. Клинический фенотип определяют по выраженности экспрессии мутантного гена. Полная потеря активности 21-гидроксилазы (помимо синдрома вирилизации) приводит к выраженным электролитным нарушениям, вызванным дефицитом альдостерона (сольтеряющая форма). Степень вирилизации гениталий варьирует от незначительной гипертрофии клитора до формирования наружных поло-вых органов, близких к мужским, или приводит к формированию узкого входа во влагалище. Недостаточность 11-гидроксилазы, сопровождаемая гипернатриемией и гиперволемией, приводит к развитию симптоматической АГ.</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Ложный мужской гермафродитизм</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Описан как синдром андрогенной нечувствительности — AIS (Androgen Insensitivity Syndrome), это наиболее часто встречаемое проявление ложного мужского гермафродитизма. Данная патология имеет X-сцепленный характер наследования. При синдроме тестикулярной феминизации (вследствие мутации гена андрогенного рецептора) возникает резистентность тканей-мишеней с генетическим и гонадным мужским полом к андрогенам при достаточной чувствительности к эстрогенам. Для больных с синдромом тестикулярной феминизации характерны: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кариотип 46 XY при женском фенотипе;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аплазия влагалища;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отсутствие или недостаточное развитие характерного оволосения;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спонтанное развитие молочных желез;</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первичная аменорея;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отсутствие матки и других производных мюллерова протока.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lastRenderedPageBreak/>
        <w:t>У пациентов с синдромом тестикулярной феминизации правильно сформированные яички могут быть расположены экстра-абдоминально: в паховых каналах, больших половых губах или даже в брюшной полости. Традиционно синдром тестикулярной феминизации подразделяют на полную и неполную формы (в зависимости от степени чувствительности к андрогенам). Вариант фенотипа, при котором наружные гениталии близки к нормальным мужским, носит название синдрома Райфенстайна.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 редким причинам мужского гермафродитизма относят наследуемые по аутосомно-рецессивному типу, врожденные нарушения биосинтеза тестостерона, обусловленные дефектом одной из нескольких ферментных систем, участвующих в синтезе тестостерона в надпочечниках и гонадах. Мужской псевдогермафродитизм может быть обусловлен не только недостаточностью биосинтеза тестостерона, но и нарушением механизма его действия, включая образование комплекса «стероид-рецептор», транслокацию комплекса в ядро или восстановление в 5а-положении. К ним относят недостаточность 5а-редуктазы и дефект рецептора к ЛГ.</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Нарушения дифференцировки гонад</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Синдром Тернера обусловлен полной или частичной моносомией по X-хромосоме, представленной во всех или в части клеток организма. Возможны мозаичные варианты — 45 ХО/46 XX, 45 ХО/46 XY. Изредка обнаруживают структурные аномалии X-хромосомы: изохромосому по длинным плечам, делецию короткого или длинного плеча. Аномалии X-хромосомы приводят к нарушению экспрессии генов, контролирующих дифференцировку и функцию яичников. В результате возникает двусторонний гонадный дисгенез — гонады представлены стреками. Кроме того, страдают гены аутосом, контролирующие рост и дифференцировку соматических клеток. Это приводит к низкорослости и развитию множества других соматических аномалий: высокого нёба, деформации ушных раковин, короткой шеи, низкой скорости роста волос, крыловидных складок шеи, пороков сердца, пороков развития почек — подковообразной почки и др.</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xml:space="preserve">Синдром чистой агенезии (дисгенезии) гонад. Этот синдром обусловлен точечными мутациями генов X-хромосомы (при кариотипе 46 XX) или мутацией гена SRY Y-хромосомы (при кариотипе 46 XY — синдром Свайера). Симптомы дизэмбриогенеза, свойственные синдрому Тернера, отсутствуют (чистая агенезия). Характерны нормальный рост, недоразвитые ВПП и выраженный половой инфантилизм, первичная аменорея. Наружные половые органы сформированы по женскому типу. У больных с чистой агенезией гонад </w:t>
      </w:r>
      <w:r w:rsidRPr="00833F09">
        <w:rPr>
          <w:rFonts w:ascii="Arial" w:hAnsi="Arial" w:cs="Arial"/>
          <w:sz w:val="28"/>
          <w:szCs w:val="28"/>
        </w:rPr>
        <w:lastRenderedPageBreak/>
        <w:t>и кариотипом 46 XY иногда происходит вирилизация наружных половых органов.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Дисгенезия тестикул.</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Смешанная дисгенезия (асимметричный гонадный дис- генез), гонады сформированы асимметрично. Внутренние половые органы представлены с одной стороны стреком, с другой — яичком, функция которого, как правило, сохранена. Кавернозные тела сформированы достаточно. При смешанной форме производные мюллерова протока сформированы лучше на стороне стрека, благодаря чему в пубертате возможно удовлетворительное формирование мужских ВПП. У пациентов находят хромосомные аномалии в виде мозаицизма 45 ХО/46 XY.</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Билатеральная форма (дисгенетичный ложный мужской псевдогермафродитизм) — характерен двусторонний тестикулярный дисгенез с недостаточной функцией клеток Лейдига и Сертоли. При кариотипе 46 XY присутствуют структурные аномалии Y-хромосомы. Наружные гениталии бисексуальны, внутренние половые органы — женские. Для билатеральной формы характерен гипогонадизм (вследствие неспособности яичек вырабатывать тестостерон).</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Истинный гермафродитизм (синдром двуполых гонад) — редкая патология, при которой у индивидуума присутствуют элементы овариальной и тестикулярной тканей. Возможная причина — транслокация гена SRY с Y- на X-хромосому. Яичко и яич-ник могут быть сформированы по отдельности или же в гонаде (ovotestis) присутствуют и овариальная, и тестикулярная ткани. Кариотип чаще нормальный женский, реже — мужской, характерен мозаицизм. Клинические проявления истинного гермафродитизма разнообразны и обусловлены активностью овариальной или тестикулярной ткани. Наружные половые органы имеют бисексуальное строение.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Этиология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В основе нарушения нормального хода эмбриогенеза у пациентов с синдромом гермафродитизма могут лежать как наследственные, так и экзогенные причины.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Половые хромосомы: количественные и качественные хромосомные нарушения (точечные генные мутации, делеции, транслокации).</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Аутосомы: мутации генов.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Экзогенные факторы в критические периоды эмбриогенеза (8 нед беременности): интоксикации, облучение, интрана- тальные факторы (андрогенпродуцирующие опухоли, прием матерью препаратов с андрогенной активностью и др.).</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Патогенез</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lastRenderedPageBreak/>
        <w:t>Формирование пола происходит в несколько этапов: детерминация генетического пола; дифференцировка гонад с определением гонадного пола и потенциального направления репродуктивной функции; формирование гормонального пола с преобладанием тех или иных половых гормонов; формирование соматического и гражданского пола, определяющего половое воспитание. Существует множество моделей, где рассмотрены взаимодействия генов в ходе половой дифференцировки. Согласно одному из вариантов, ген SRY подавляет экспрессию единственной копии гена DAX1 у плода с кариотипом 46 XY, при этом происходит формирование плода по мужскому типу. При отсутствии гена SRY процесс гонадной диффе-ренцировки контролирует ген DAX1 (представлен двойной копией у плода с кариотипом 46 XX), что приводит к формированию яичника (рис. 16-1, см. цв. вклейку).</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Таким образом, генетическую детерминацию пола и потенциальные пути развития гонад определяют гены, но развитие внутренних и наружных половых органов по мужскому типу — факторы, секретируемые гонадами плода.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Анамнез</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Помимо обычных вопросов, касающихся семейного анамнеза, у пациенток с первичной аменореей, бесплодием и скудным ово-лосением (или его отсутствием) необходимо выяснить, имеют ли ближайшие родственники по материнской линии подобные нарушения. Это, а также указание на проведение операций по поводу одно- или двусторонней паховой грыжи в детском возрасте может свидетельствовать о синдроме тестикулярной феминизации. При сборе анамнеза следует обратить внимание на характер и темпы роста в детском и подростковом возрасте. Опережение линейного роста в первые годы жизни и его замедление или прекращение к 9-10 годам (из-за раннего закрытия хрящевых зон роста в костях) может свидетельствовать в пользу дисфункции коры надпочечников вследствие гиперандрогенемии. Это заболевание может быть выявлено и при раннем появлении полового оволосения.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Физикальное обследование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xml:space="preserve">Оценка телосложения, особенно при значительных отклонениях от основных размеров, позволяет ретроспективно оценить особенности периода полового созревания. Так, евнухоидное телосложение чаще формируется при различных формах гипогонадизма, в основе которых могут находиться и нарушения половой дифференцировки (агенезия или дисгенезия гонад, истинный гермафродитизм). Если половой инфантилизм сочетается с нару-шением роста и стигмами </w:t>
      </w:r>
      <w:r w:rsidRPr="00833F09">
        <w:rPr>
          <w:rFonts w:ascii="Arial" w:hAnsi="Arial" w:cs="Arial"/>
          <w:sz w:val="28"/>
          <w:szCs w:val="28"/>
        </w:rPr>
        <w:lastRenderedPageBreak/>
        <w:t>дизэмбриогенеза, то при соответствующих изменениях генотипа диагноз синдрома Тернера не вызывает сомнений. Пальпаторное определение гонад в больших половых губах или по ходу паховых каналов позволяет заподозрить наличие ложного мужского гермафродитизма. На это может указывать и отсутствие матки при вагинальном или ректальном исследовании.</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Лабораторные исследования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Определение хромосомных (с помощью кариотипирования) и генных нарушений для более точного дифференциального диагноза позволяет упростить диагностику варианта гермафродитизма. Это касается определения мутаций генов: CYP (21, 17, 11) — для дифференциальной диагностики врожденных нарушений надпочечникового стероидогенеза (ВДКН); AR — для подтверждения синдрома тестикулярной феминизации; SRD5A2 — для подтверждения дефицита 5а-редуктазы.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Высокое содержание гонадотропинов (ЛГ, ФСГ) характерно для нарушений гонадной дифференцировки — гипергонадотропного гипогонадизма (чистой агенезии гонад, синдрома Тернера, билатеральной дисгенезии яичек). При гормональном обследовании пациентов с синдромом нечувствительности к андрогенам находят высокие показатели тестостерона, так как гормональная функция правильно сформированных тестикул не страдает. Уровень эстрадиола может быть повышен за счет периферической конверсии тестостерона. Соотношение ЛГ/ФСГ повышено за счет отсутствия влияния тестостерона на гонадотропную функцию. В тех ситуациях, когда эндокринная функция гонад по тем или иным причинам неясна, возможно применение пробы с ХГЧ или агонистами люлиберина. Эта проба может быть использована для определения потенциального направления половой адаптации у пациентов со смешанной дисгенезией тестикул. Значительно сложнее решается вопрос при гормональном обследовании пациентов с дефектами биосинтеза тестостерона и гормонов надпочечников. Их диагностика основана на определении уровня тестостерона, глюко- и минералокортикоидов, а также их предшественников. Для диагностики этих форм применяют стимуляционную пробу синтетическими аналогами АКТГ (синактеномом-депо*). Это исследование также информативно при гормональной диагностике ВДКН, особенно его неклассической (постпубертатной) формы.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Инструментальные исследования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xml:space="preserve">Проводят УЗИ и КТ малого таза, но максимальную информацию о состоянии внутренних половых органов дает их визуаль-ный осмотр с </w:t>
      </w:r>
      <w:r w:rsidRPr="00833F09">
        <w:rPr>
          <w:rFonts w:ascii="Arial" w:hAnsi="Arial" w:cs="Arial"/>
          <w:sz w:val="28"/>
          <w:szCs w:val="28"/>
        </w:rPr>
        <w:lastRenderedPageBreak/>
        <w:t>последующей биопсией и удалением по показаниям (лапароскопически).</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Алгоритм дифференциальной диагностики гермафродитизма представлен на рис. 16-2.</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Лечение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Хирургическая коррекция пола предусматривает формирование наружных гениталий в зависимости от выбранного пола (с помощью феминизирующей или маскулинизирующей реконструкции), а также решение вопроса о судьбе гонад.</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В настоящий момент, учитывая высокий риск развития опухолей, не вызывает сомнений необходимость двусторонней го- надэктомии всем пациентам, адаптируемым в женском поле с кариотипом 46 XY или компонентом Y-хромосомы в случае мозаичных вариантов (истинного гермафродитизма, дисгенезии го-над, синдрома тестикулярной феминизации).</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Гормональная терапия пациентов с женским гражданским полом состоит в коррекции явлений гипогонадизма, а также в предотвращении проявлений посткастрационного синдрома у больных, перенесших гонадэктомию.</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Монотерапия эстрадиолом: эстрофем*, прогинова*.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Комбинированные пероральные контрацептивы: фемоден*, мерсилон*, новинет*, логест*, диане-35*, жанин*.</w:t>
      </w:r>
    </w:p>
    <w:p w:rsidR="001A5B69" w:rsidRPr="00833F09" w:rsidRDefault="001A5B69" w:rsidP="00833F09">
      <w:pPr>
        <w:spacing w:after="0"/>
        <w:jc w:val="both"/>
        <w:rPr>
          <w:rFonts w:ascii="Arial" w:hAnsi="Arial" w:cs="Arial"/>
          <w:sz w:val="28"/>
          <w:szCs w:val="28"/>
        </w:rPr>
      </w:pPr>
      <w:r w:rsidRPr="00833F09">
        <w:rPr>
          <w:rFonts w:ascii="Arial" w:eastAsia="Arial Unicode MS" w:hAnsi="Arial" w:cs="Arial"/>
          <w:noProof/>
          <w:color w:val="000000"/>
          <w:sz w:val="24"/>
          <w:szCs w:val="24"/>
          <w:lang w:eastAsia="ru-RU"/>
        </w:rPr>
        <w:lastRenderedPageBreak/>
        <w:drawing>
          <wp:inline distT="0" distB="0" distL="0" distR="0" wp14:anchorId="3395EAB6" wp14:editId="195A0E67">
            <wp:extent cx="5295331" cy="4476466"/>
            <wp:effectExtent l="0" t="0" r="635" b="635"/>
            <wp:docPr id="1" name="Picut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10"/>
                    <a:stretch/>
                  </pic:blipFill>
                  <pic:spPr>
                    <a:xfrm>
                      <a:off x="0" y="0"/>
                      <a:ext cx="5302161" cy="4482239"/>
                    </a:xfrm>
                    <a:prstGeom prst="rect">
                      <a:avLst/>
                    </a:prstGeom>
                  </pic:spPr>
                </pic:pic>
              </a:graphicData>
            </a:graphic>
          </wp:inline>
        </w:drawing>
      </w:r>
    </w:p>
    <w:p w:rsidR="003F77CC" w:rsidRPr="00833F09" w:rsidRDefault="003F77CC" w:rsidP="00833F09">
      <w:pPr>
        <w:spacing w:after="0"/>
        <w:jc w:val="both"/>
        <w:rPr>
          <w:rFonts w:ascii="Arial" w:hAnsi="Arial" w:cs="Arial"/>
          <w:sz w:val="28"/>
          <w:szCs w:val="28"/>
        </w:rPr>
      </w:pP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Рис. 16-2. Дифференциальная диагностика различных форм гермафродитизма.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Препараты ЗГТ для коррекции постменопаузальных расстройств: двухфазные — фемостон*, циклопрогинова*; мо- нофазные — клиогест*, климодиен*.</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Когда половые расстройства — следствие врожденных нарушений надпочечникового стероидогенеза (пациенты с ВДКН), то для замещения дефицита глюко- и минералокортикоидов применяют их синтетические аналоги. Для лечения низкорослости у пациентов с синдромом Тернера назначают гормон роста (генотропин*, нордитропин*) из расчета 0,33 мг/кг в неделю. Для гормональной терапии больных с мужским гражданским полом используют пролонгированные препараты тестостерона — сустанон-250*, омнадрен 250* (100-150, до 200 мг).</w:t>
      </w:r>
    </w:p>
    <w:p w:rsidR="00B33DAF" w:rsidRDefault="00B33DAF" w:rsidP="00833F09">
      <w:pPr>
        <w:spacing w:after="0"/>
        <w:jc w:val="both"/>
        <w:rPr>
          <w:rFonts w:ascii="Arial" w:hAnsi="Arial" w:cs="Arial"/>
          <w:sz w:val="28"/>
          <w:szCs w:val="28"/>
        </w:rPr>
      </w:pPr>
    </w:p>
    <w:p w:rsidR="003F77CC" w:rsidRPr="00833F09" w:rsidRDefault="003F77CC" w:rsidP="00B33DAF">
      <w:pPr>
        <w:spacing w:after="0"/>
        <w:jc w:val="center"/>
        <w:rPr>
          <w:rFonts w:ascii="Arial" w:hAnsi="Arial" w:cs="Arial"/>
          <w:sz w:val="28"/>
          <w:szCs w:val="28"/>
        </w:rPr>
      </w:pPr>
      <w:r w:rsidRPr="00833F09">
        <w:rPr>
          <w:rFonts w:ascii="Arial" w:hAnsi="Arial" w:cs="Arial"/>
          <w:sz w:val="28"/>
          <w:szCs w:val="28"/>
        </w:rPr>
        <w:t>СИНДРОМ ГИПЕРАНДРОГЕНИИ У ЖЕНЩИН</w:t>
      </w:r>
    </w:p>
    <w:p w:rsidR="003F77CC" w:rsidRPr="00833F09" w:rsidRDefault="003F77CC" w:rsidP="00833F09">
      <w:pPr>
        <w:spacing w:after="0"/>
        <w:jc w:val="both"/>
        <w:rPr>
          <w:rFonts w:ascii="Arial" w:hAnsi="Arial" w:cs="Arial"/>
          <w:sz w:val="28"/>
          <w:szCs w:val="28"/>
        </w:rPr>
      </w:pPr>
      <w:r w:rsidRPr="00833F09">
        <w:rPr>
          <w:rFonts w:ascii="Arial" w:hAnsi="Arial" w:cs="Arial"/>
          <w:sz w:val="28"/>
          <w:szCs w:val="28"/>
        </w:rPr>
        <w:t>Гиперандрогения — клинический синдром, объединяющий наиболее типичные клинические проявления избытка андрогенов (гирсутизм, акне и алопецию) в периферической крови и/или повышения их активности.</w:t>
      </w:r>
    </w:p>
    <w:p w:rsidR="001A5B69" w:rsidRPr="00833F09" w:rsidRDefault="003F77CC" w:rsidP="00833F09">
      <w:pPr>
        <w:spacing w:after="0"/>
        <w:jc w:val="both"/>
        <w:rPr>
          <w:rFonts w:ascii="Arial" w:hAnsi="Arial" w:cs="Arial"/>
          <w:sz w:val="28"/>
          <w:szCs w:val="28"/>
        </w:rPr>
      </w:pPr>
      <w:r w:rsidRPr="00833F09">
        <w:rPr>
          <w:rFonts w:ascii="Arial" w:hAnsi="Arial" w:cs="Arial"/>
          <w:sz w:val="28"/>
          <w:szCs w:val="28"/>
        </w:rPr>
        <w:lastRenderedPageBreak/>
        <w:t xml:space="preserve"> </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Клиническая картина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Клиническая картина гиперандрогении может варьировать от мягкой дефеминизации (легкого гирсутизма без биохимических маркеров гиперандрогении) до выраженной визилизации (вирильного синдрома). Симптомы гиперандрогении включают как типичное поражение волосяных фолликулов или сальных желез, так и репродуктивные нарушения (аменорею и бесплодие). Пери-ферическими эффектами избытка андрогенов являются симптомы андрогензависимой дермопатии.</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Акне — заболевание волосяных фолликулов и сальных желез вследствие закупоривания выводных протоков. В период физио-логической пубертатной гиперандрогении юношеские акне типичны для 50% подростков. Сохранение акне у женщин старше 20 лет может указывать на гиперандрогению. Одним из патогенетических звеньев возникновения акне является гиперандроге- ния. Однако никакой ассоциации между степенью тяжести акне и уровнем тестостерона в периферической крови не выявлено. Наличие акне у 30-45% женщин старше 20 лет вызвано СПКЯ. За-болевание может сопровождаться себореей — гиперпродукцией секрета сальных желез под влиянием андрогенов избирательно на волосистой части головы, в области лица, на груди и спине (в межлопаточном пространстве и области плеч). Себорея — один из предрасполагающих факторов развития акне.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В физиологических условиях андрогены стимулируют не только функцию сальных желез, но и волосяных фолликулов, поскольку в дериватах кожи присутствуют рецепторы к андрогенам. Волосяной фолликул — структура, обладающая цикличным ритмом, жизненный период которой состоит из последовательной смены стадий роста и покоя. Реакция волосяных фолликулов на андрогены зависит от их локализации: в лобной и теменной области длительный избыток андрогенов приводит к спазму сосудов, окружающих фолликулы, и затем к их гибели и формированию андрогенной алопеции. Повышенной чувствительностью к андрогенам обладают волосы исключительно лобной и теменной областей, в других участках тела избыток андрогенов вызывает развитие гирсутизма.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xml:space="preserve">Гирсутизм — избыточный рост терминальных волос у женщин в андрогензависимых зонах — следствие длительной стимуляции избытком андрогенов волосяных фолликулов и превращения пушковых волос в терминальные (стержневые, жесткие и пигментированные). Тяжесть гирсутизма не всегда соответствует степени биохимической гиперандрогении. Данное несоответствие между уровнем андрогенов и </w:t>
      </w:r>
      <w:r w:rsidRPr="00833F09">
        <w:rPr>
          <w:rFonts w:ascii="Arial" w:hAnsi="Arial" w:cs="Arial"/>
          <w:sz w:val="28"/>
          <w:szCs w:val="28"/>
        </w:rPr>
        <w:lastRenderedPageBreak/>
        <w:t>степенью избыточного роста волос отражает разную индивидуальную чувствительность волосяных фолликулов к тестостерону.</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Андрогензависимая алопеция — прогрессирующая инволюция терминальных волос до</w:t>
      </w:r>
      <w:r w:rsidR="001A5B69" w:rsidRPr="00833F09">
        <w:rPr>
          <w:rFonts w:ascii="Arial" w:hAnsi="Arial" w:cs="Arial"/>
          <w:sz w:val="28"/>
          <w:szCs w:val="28"/>
        </w:rPr>
        <w:t xml:space="preserve"> коротких тонких пушкового типа</w:t>
      </w:r>
      <w:r w:rsidR="001A5B69" w:rsidRPr="00833F09">
        <w:rPr>
          <w:rFonts w:ascii="Arial" w:hAnsi="Arial" w:cs="Arial"/>
          <w:sz w:val="28"/>
          <w:szCs w:val="28"/>
          <w:lang w:val="uz-Cyrl-UZ"/>
        </w:rPr>
        <w:t xml:space="preserve"> </w:t>
      </w:r>
      <w:r w:rsidRPr="00833F09">
        <w:rPr>
          <w:rFonts w:ascii="Arial" w:hAnsi="Arial" w:cs="Arial"/>
          <w:sz w:val="28"/>
          <w:szCs w:val="28"/>
        </w:rPr>
        <w:t>с последующим их выпадением в стадии телогена. Наиболее интенсивное облысение отмечают на лобной, центрально-теменной и височной поверхности головы. Алопеция (облысение) свидетельствует о длительной и высокой гиперпродукции андрогенов и наиболее характерна для вирилизирующей опухоли (андрогенпродуцирующей). В случае опухолевого источника ги- перандрогении присоединяются другие симптомы дефеминизации (вирильный синдром). Андрогенная алопеция — надежный маркер тяжелой гиперандрогении и основание для поиска стромального текоматоза или андрогенпродуцирующей опухоли яичников или надпочечников. Для андрогенной алопеции характерно выпадение волос в лобно-теменных зонах, в отличие от диффуз-ного облысения при аутоиммунной агрессии или такового очагового (в результате интоксикации или инфекции). Эндокринные заболевания (АПС, первичная ХНН) сопровождаются диффузной или очаговой потерей волос.</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Вирилизация (в отличие от гирсутизма) — явный признак значительного избытка андрогенов. В литературе можно встретить синоним — вирильный синдром. Вирилизация включает формирование мужских черт и быструю дефеминизацию. Вирилизацию отмечают менее чем у 1% женщин с гирсутизмом. Наиболее частая причина вирилизации — стромальный текоматоз яичников или андрогенсекретирующая опухоль яичника (адренобластома); гораздо реже причиной вирилизации могут быть опухоли надпочечников, продуцирующие андрогены. Опухолевая природа гипе- рандрогении связана с высоким уровнем секреции тестостерона. При прогрессии вирилизации олигоменорея быстро сменяется вторичной аменореей. Вирильный синдром проявляется любой комбинацией ярких клинических признаков: гирсутизмом (гир- сутное число превышает 18 баллов по шкале Ферримана-Галвея), андрогенной алопецией с симметричным выпадением волос в лобной и теменной областях, барифонией (снижением тембра голоса), маскулинизацией фигуры (увеличением объема мышечной ткани и перераспределением жировой с характерным уменьшением в ягодичной области, уменьшением размера молочных желез), увеличением клитора (в норме &lt;1 см). Длина клитора, превышающая 1 см (клиторомегалия), свидетельствует о длительности тяжелой гиперандрогении более года (&gt;1,5 нг/мл при норме &lt;1 нг/ мл или 5,2 нмоль/л при норме &lt;3,5 нмоль/л).</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lastRenderedPageBreak/>
        <w:t>Понятия «вирильный синдром» и «вирилизирующая опухоль» неидентичны и определяют различные состояния: причиной избытка андрогенов и дефеминизации в 90% случаев служит именно СПКЯ и только 10% случаев вирильного синдрома вызваны гормонально-активным образованием. В практической деятельности в первую очередь необходимо дифференцировать тяжелую функциональную яичниковую гиперпродукцию андрогенов (ги- пертекоз, стромальный текоматоз, синдром HAIR-AN — синдром гиперандрогении, инсулиноре</w:t>
      </w:r>
      <w:r w:rsidR="001A5B69" w:rsidRPr="00833F09">
        <w:rPr>
          <w:rFonts w:ascii="Arial" w:hAnsi="Arial" w:cs="Arial"/>
          <w:sz w:val="28"/>
          <w:szCs w:val="28"/>
        </w:rPr>
        <w:t>зистентности и черного акантоза</w:t>
      </w:r>
      <w:r w:rsidR="001A5B69" w:rsidRPr="00833F09">
        <w:rPr>
          <w:rFonts w:ascii="Arial" w:hAnsi="Arial" w:cs="Arial"/>
          <w:sz w:val="28"/>
          <w:szCs w:val="28"/>
          <w:lang w:val="uz-Cyrl-UZ"/>
        </w:rPr>
        <w:t xml:space="preserve">) </w:t>
      </w:r>
      <w:r w:rsidRPr="00833F09">
        <w:rPr>
          <w:rFonts w:ascii="Arial" w:hAnsi="Arial" w:cs="Arial"/>
          <w:sz w:val="28"/>
          <w:szCs w:val="28"/>
        </w:rPr>
        <w:t>и образования, продуцирующие андрогены (опухоли яичников и аденомы надпочечников). Почти 10% злокачественных образований (аденом) надпочечников сопровождаются вирильным синдромом, тогда как менее 1% довольно распространенных опухолей яичников обладают способностью к гиперпродукции половых гормонов.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Симптомы вирилизации:</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андрогенная алопеция;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барифония;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гипоплазия молочных желез;</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клиторомегалия;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увеличение мышечной массы;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дефеминизация фигуры;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олиго- и аменорея;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акне;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гирсутизм;</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повышение либидо.</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При СПКЯ типична манифестация заболевания в период пубертата или в раннем репродуктивном возрасте; симптомы ви-рилизирующей опухоли развиваются в любом возрасте, чаще в позднем репродуктивном или в постменопаузе (см. «Синдром по-ликистозных яичников»). Расспрашивая пациентку, необходимо исключить ятрогенные (экзогенные) причины гиперандрогении и убедиться в отсутствии приема таких ЛС, как анаболические стероиды, мужские половые гормоны, циклоспорины, а также да- назол, интерферон.</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Этиология и патогенез</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Гиперандрогения может быть проявлением различных заболеваний, мягкая гиперандрогения чаще всего сопровождается СПКЯ. Причины гиперандрогении:</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увеличение продукции различных фракций андрогенов;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w:t>
      </w:r>
      <w:r w:rsidRPr="00833F09">
        <w:rPr>
          <w:rFonts w:ascii="Arial" w:hAnsi="Arial" w:cs="Arial"/>
          <w:sz w:val="28"/>
          <w:szCs w:val="28"/>
        </w:rPr>
        <w:tab/>
        <w:t>повышение конверсии в периферических тканях менее активных фракций андрогенов в более активные;</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lastRenderedPageBreak/>
        <w:t>•</w:t>
      </w:r>
      <w:r w:rsidRPr="00833F09">
        <w:rPr>
          <w:rFonts w:ascii="Arial" w:hAnsi="Arial" w:cs="Arial"/>
          <w:sz w:val="28"/>
          <w:szCs w:val="28"/>
        </w:rPr>
        <w:tab/>
        <w:t>увеличение биологически доступной формы тестостерона при снижении продукции транспортного белка, связывающего тестостерон (секс-стероидсвязывающего глобулина).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Диагностика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Определение уровня гормонов имеет большое значение в том случае, если на первый план выступает синдром гиперсекреции тех или иных гормонов. Симптомы вирилизации обусловливают необходимость уточнить источник избыточной продукции андрогенов с помощью визуализирующих методов.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Один из ведущих методов диагностики — увеличение содержания андрогенов в периферической крови, в первую очередь фракции наиболее мощного андрогена — тестостерона (конверсия тестостерона в дигидротестостерон происходит преимущественно</w:t>
      </w:r>
      <w:r w:rsidR="001A5B69" w:rsidRPr="00833F09">
        <w:rPr>
          <w:rFonts w:ascii="Arial" w:hAnsi="Arial" w:cs="Arial"/>
          <w:sz w:val="28"/>
          <w:szCs w:val="28"/>
          <w:lang w:val="uz-Cyrl-UZ"/>
        </w:rPr>
        <w:t xml:space="preserve"> </w:t>
      </w:r>
      <w:r w:rsidRPr="00833F09">
        <w:rPr>
          <w:rFonts w:ascii="Arial" w:hAnsi="Arial" w:cs="Arial"/>
          <w:sz w:val="28"/>
          <w:szCs w:val="28"/>
        </w:rPr>
        <w:t>внутриклеточно, поэтому в периферической крови женщин его концентрация минимальна и определение его неинформативно). Наиболее информативным методом определения тестостерона является тандемная масс-спектрометрия, пока еще малодоступная в клинической практике. Оценка фракций свободного, биологически активного тестостерона могла бы быть более эффективна, чем определение его общей фракции методом иммуноферментно- го анализа (ИФА).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Поскольку продукция ГСПГ, образующего неактивное соединение с тестостероном, зависит от множества сложно учитываемых факторов, то даже определение нормального уровня общего тестостерона не позволяет судить о его биологической активности. Один из наиболее доступных и информативных способов определения биологически активного тестостерона — расчет его биодоступной фракции с учетом содержания ГСПГ.</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Нормальные значения для общего и свободного тестостерона зависят от используемых в лаборатории диагностических наборов. Определение содержания половых гормонов целесообразно проводить в раннюю фолликулярную фазу на 5-7-й день менструального цикла. Для исключения гиперандрогении можно ограни-читься определением содержания общего тестостерона, ДГЭА, ГСПГ, ФСГ, ЛГ и 17-гидроксипрогестерона. Неклассическая форма ВДКН, обусловленная дефицитом цитохрома Р450с21, подразумевает высокий уровень 17-гидроксипрогестерона.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Лабораторная диагностика СПКЯ подразумевает подтверждение высокого уровня тестостерона яичникового происхождения и исключение иных причин гиперандрогении. Однако при СПКЯ нередко умеренно повышены фракции адреналовых андрогенов. Для уточнения источника гиперандрогении проводят фармаколо-гические тесты.</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lastRenderedPageBreak/>
        <w:t>Среди заболеваний, при которых наблюдают гиперандро- гению, именно синдром СПКЯ, неклассическая форма ВДКН и андрогенпродуцирующие опухоли представляют наибольшие трудности для диагностики и сопровождаются наибольшим количеством неоправданных ошибок.</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Врожденная дисфункция коры надпочечников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Врожденная дисфункция коры надпочечников — группа распространенных врожденных нарушений стероидогенеза, обусловленных дефицитом одного из пяти ферментов системы (StAR, Р450с17, 3e-HSD, Р450с21 или Р450с11), участвующей в синтезе кортизола и минералокортикоидов. Дефект любого из пяти ферментов стероидогенеза заключается в частичной или полной потере активности, обусловленной многочисленными мутациями гена, кодирующего данный фермент. ВДКН — заболевание, наследуемое по аутосомно-рецессивному типу. Патогенетический смысл термина «врожденная дисфункция коры надпочечников» заключается в избирательном угнетении выработки одних глю-кокортикоидов при одновременном увеличении других.</w:t>
      </w:r>
      <w:r w:rsidR="001A5B69" w:rsidRPr="00833F09">
        <w:rPr>
          <w:rFonts w:ascii="Arial" w:hAnsi="Arial" w:cs="Arial"/>
          <w:sz w:val="28"/>
          <w:szCs w:val="28"/>
          <w:lang w:val="uz-Cyrl-UZ"/>
        </w:rPr>
        <w:t xml:space="preserve"> </w:t>
      </w:r>
      <w:r w:rsidRPr="00833F09">
        <w:rPr>
          <w:rFonts w:ascii="Arial" w:hAnsi="Arial" w:cs="Arial"/>
          <w:sz w:val="28"/>
          <w:szCs w:val="28"/>
        </w:rPr>
        <w:t>Для обозначения ВДКН в зарубежной литературе используют термин «congenital adrenal hyperplasia» («врожденная гиперпла-зия надпочечников»). В отечественной литературе встречаются два термина — «врожденная дисфункция коры надпочечников» и «адреногенитальный синдром».</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Образование ДГЭА в качестве одного из конечных продуктов синтеза в коре надпочечников с последующей конверсией его в тестостерон позволяет классифицировать ВДКН по наличию или отсутствию гиперпродукции андрогенов.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ВДКН с гиперпродукцией андрогенов (95%).</w:t>
      </w:r>
    </w:p>
    <w:p w:rsidR="003F77CC" w:rsidRPr="00833F09" w:rsidRDefault="003F77CC" w:rsidP="00B33DAF">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Цитохром Р450с21 — 21-гидроксилаза.</w:t>
      </w:r>
    </w:p>
    <w:p w:rsidR="003F77CC" w:rsidRPr="00833F09" w:rsidRDefault="003F77CC" w:rsidP="00B33DAF">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Цитохром Р450с11 — 11в-гидроксилаза.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ВДКН со сниженной продукцией андрогенов (5%).</w:t>
      </w:r>
    </w:p>
    <w:p w:rsidR="003F77CC" w:rsidRPr="00833F09" w:rsidRDefault="003F77CC" w:rsidP="00B33DAF">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StAR-белок.</w:t>
      </w:r>
    </w:p>
    <w:p w:rsidR="003F77CC" w:rsidRPr="00833F09" w:rsidRDefault="003F77CC" w:rsidP="00B33DAF">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Цитохром Р450с17а — 17а-гидроксилаза.</w:t>
      </w:r>
    </w:p>
    <w:p w:rsidR="003F77CC" w:rsidRPr="00833F09" w:rsidRDefault="003F77CC" w:rsidP="00B33DAF">
      <w:pPr>
        <w:spacing w:after="0"/>
        <w:ind w:firstLine="567"/>
        <w:jc w:val="both"/>
        <w:rPr>
          <w:rFonts w:ascii="Arial" w:hAnsi="Arial" w:cs="Arial"/>
          <w:sz w:val="28"/>
          <w:szCs w:val="28"/>
        </w:rPr>
      </w:pPr>
      <w:r w:rsidRPr="00833F09">
        <w:rPr>
          <w:rFonts w:ascii="Segoe UI Symbol" w:hAnsi="Segoe UI Symbol" w:cs="Segoe UI Symbol"/>
          <w:sz w:val="28"/>
          <w:szCs w:val="28"/>
        </w:rPr>
        <w:t>❖</w:t>
      </w:r>
      <w:r w:rsidRPr="00833F09">
        <w:rPr>
          <w:rFonts w:ascii="Arial" w:hAnsi="Arial" w:cs="Arial"/>
          <w:sz w:val="28"/>
          <w:szCs w:val="28"/>
        </w:rPr>
        <w:tab/>
        <w:t>Зв-HSD.</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Стандартное определение базального уровня 17- гидроксипрогестерона и его нормальное значение позволяют уверенно исключить ВДКН, однако недостаточно информативны для исключения мягкой ферментативной недостаточности при неклассической форме ВДКН: незначительное повышение уровня адреналовых андрогенов, в том числе данного маркера (не редкость при синдроме поликистоза яичников). В синтезе андрогенов как в надпочечнике, так и в яичнике ключевую роль играет цитохром Р450с17а (17а-гидроксилаза и 17,20-</w:t>
      </w:r>
      <w:r w:rsidRPr="00833F09">
        <w:rPr>
          <w:rFonts w:ascii="Arial" w:hAnsi="Arial" w:cs="Arial"/>
          <w:sz w:val="28"/>
          <w:szCs w:val="28"/>
        </w:rPr>
        <w:lastRenderedPageBreak/>
        <w:t>лиаза), активность которого повышается при гиперинсулинемии почти у 50% больных поликистозом яичников.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При двукратном определении базального содержания 17-гидроксипрогестерона в пределах «серой» зоны (от 6 до 15 нмоль/л) проводят тест с 1-24 АКТГ (тетракозактидом) — наиболее информативный метод диагностики и золотой стандарт дифференциальной диагностики при любой степени недостаточности цитохрома Р450с21 и других дефектов стероидогенеза. После определения базального уровня 17-гидроксипрогестерона вводят 0,125 мг 1-24 АКТГ и через 1 ч определяют стимулиро-ванный уровень 17-гидроксипрогестерона.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Вариант данного теста — проба с 1-24 АКТГ (1 мг тетракозак- тида) с определением уровня 17-гидроксипрогестерона, кортизола, ДГЭА и тестостерона исходно и через 24 ч. Многократное повышение уровня 17-гидроксипрогестерона с одновременным несинхронным ответом и слабым повышением уровня тестостерона и ДГЭА свидетельствует в пользу ВДКН.</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Тест экскреции 17-кетостероидов с мочой малоинформативен и не может быть критерием диагностики гиперандрогении любого происхождения.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Методы молекулярной генетики имеют широкое клиническое применение: выявление известных мутаций гена CYP21 позволяет уточнить причину ВДКН.</w:t>
      </w:r>
      <w:r w:rsidR="001A5B69" w:rsidRPr="00833F09">
        <w:rPr>
          <w:rFonts w:ascii="Arial" w:hAnsi="Arial" w:cs="Arial"/>
          <w:sz w:val="28"/>
          <w:szCs w:val="28"/>
          <w:lang w:val="uz-Cyrl-UZ"/>
        </w:rPr>
        <w:t xml:space="preserve"> </w:t>
      </w:r>
      <w:r w:rsidRPr="00833F09">
        <w:rPr>
          <w:rFonts w:ascii="Arial" w:hAnsi="Arial" w:cs="Arial"/>
          <w:sz w:val="28"/>
          <w:szCs w:val="28"/>
        </w:rPr>
        <w:t>Андрогенпродуцирующая опухоль яичника или надпочечника</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Термин «андрогенпродуцирующие» (вирилизирующие) объединяет все гистологические типы опухолей, обладающие способностью к автономной продукции андрогенов и обусловливающие развитие вирильного синдрома (дефеминизации, маскулинизации) у женщин.</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xml:space="preserve">Большинство андрогенпродуцирующих опухолей происходят из ткани яичников. Опухолевая ткань яичников может продуцировать большое количество тестостерона или его предшественника — андростендиона. Около 5% андростендиона подвергается конверсии до тестостерона в периферических тканях, и при достаточном количестве субстрата избыток предшествен-ника тестостерона может вызвать развитие вирильного синдрома. Морфологически различают следующие опухоли стромы полового тяжа: [текаклеточные и гранулезоклеточные опухоли, сертоликлеточные опухоли (андробластомы), гинандробласто- мы, липидоклеточные и опухоли ворот яичника], герминативно-клеточные (дисгерминомы), эпителиальные опухоли (опухоль Бреннера) и гонадобластомы. За исключением редких низкодифференцированных андробластом и </w:t>
      </w:r>
      <w:r w:rsidRPr="00833F09">
        <w:rPr>
          <w:rFonts w:ascii="Arial" w:hAnsi="Arial" w:cs="Arial"/>
          <w:sz w:val="28"/>
          <w:szCs w:val="28"/>
        </w:rPr>
        <w:lastRenderedPageBreak/>
        <w:t>злокачественного варианта опухоли Бреннера, которые отличаются неблагоприятным прогнозом, опухоли яичников доброкачественны. При опухолях стромы полового тяжа и гонадобластомах часто существует смешанная продукция андрогенов и эстрогенов. Андробластомы чаще возникают в 20-40-летнем возрасте. Хилусно-клеточные опухоли характерны для постменопаузы. Гранулезоклеточные опухоли продуцируются преимущественно эстрогенами и редко обладают способностью к смешанной продукции эстрогенов и ан-дрогенов. При гиперпродукции андрогенов быстро развивающаяся маскулинизация заставляет пациентов активно обращаться за медицинской помощью.</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Новообразования надпочечников (аденомы), обладающие способностью продуцировать андрогены, крайне редки. Надпочечники и яичники имеют общее эмбриональное происхождение, поэтому часть опухолей надпочечников (аденомы) напоминает структуру тканей яичника. Опухоли исходят из коры надпочечников и продуцируют в основном ДГЭА, ДГЭА-С и меньшее количе-ство тестостерона и андростендиона. Аденомы, продуцирующие тестостерон, описаны в единичных случаях. Морфологическая картина, как правило, представлена производными хилусных клеток, структура которых аналогична таковой клеток Лейдига, поэтому продукция тестостерона в этих клетках может стимули-роваться экзогенным введением аналогов Гн-РГ, ЛГ или ХГЧ. Так, у пациенток с андрогенпродуцирующими аденомами надпочечников продукция тестостерона может снижаться при подавлении ЛГ и повышаться при введении Гн-РГ или ХГЧ. Для уточнения источника гиперандрогении проводят тест с дексаметазоном (4 мг). При снижении уровня тестосте</w:t>
      </w:r>
      <w:r w:rsidR="001A5B69" w:rsidRPr="00833F09">
        <w:rPr>
          <w:rFonts w:ascii="Arial" w:hAnsi="Arial" w:cs="Arial"/>
          <w:sz w:val="28"/>
          <w:szCs w:val="28"/>
        </w:rPr>
        <w:t>рона на 40 и ДГЭА-С на 60% тест</w:t>
      </w:r>
      <w:r w:rsidR="001A5B69" w:rsidRPr="00833F09">
        <w:rPr>
          <w:rFonts w:ascii="Arial" w:hAnsi="Arial" w:cs="Arial"/>
          <w:sz w:val="28"/>
          <w:szCs w:val="28"/>
          <w:lang w:val="uz-Cyrl-UZ"/>
        </w:rPr>
        <w:t xml:space="preserve"> </w:t>
      </w:r>
      <w:r w:rsidRPr="00833F09">
        <w:rPr>
          <w:rFonts w:ascii="Arial" w:hAnsi="Arial" w:cs="Arial"/>
          <w:sz w:val="28"/>
          <w:szCs w:val="28"/>
        </w:rPr>
        <w:t>расценивают как положительный (свидетельствует об адреналовой гиперпродукции андрогенов).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Гиперандрогения, обусловленная опухолью как надпочечника, так и яичника, проявляется быстрым началом и бурным прогрес-сированием вирилизации и в клиническом плане диагностических трудностей не представляет. Основная трудность заключается в топической диагностике источника гиперандрогении и локализации опухоли яичника (нередко &lt;1 см), ткань которой чаще всего представляет солидную структуру, поэтому ее визуализация затруднительна. Выраженность симптомов зависит от уровня секреции андрогенов опухолью и не зависит от морфологического строения или размеров.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xml:space="preserve">Увеличение тестостерона в 3 раза и более позволяет начать топическую диагностику гормонально-активного образования (даже при тяжелых формах поликистоза яичников уровень андрогенов, как </w:t>
      </w:r>
      <w:r w:rsidRPr="00833F09">
        <w:rPr>
          <w:rFonts w:ascii="Arial" w:hAnsi="Arial" w:cs="Arial"/>
          <w:sz w:val="28"/>
          <w:szCs w:val="28"/>
        </w:rPr>
        <w:lastRenderedPageBreak/>
        <w:t>правило, не превышает 6-8 нмоль/л). На втором этапе дифференциальной диагностики проводят поиск источника гиперандрогении: повышение уровня тестостерона в 5 раз и более, более 12 нмоль/л при нормальном уровне ДГЭА-С и 17-гидроксипрогестерона характерно для опухолей яичников, а обратное соотношение — для аденом надпочечников. Крайне высокое содержание андростендиона более характерно для образований яичников. Для опухолевой гиперандрогении характерно также снижение уровня гонадотропных гормонов (ЛГ и ФСГ).</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Инструментальные исследования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Для топической диагностики применяют УЗИ или МРТ органов малого таза и КТ надпочечников. Случайная находка ин- сиденталомы — не показание к лечению пациентки, но может быть поводом к лабораторным исследованиям и уточнению активности образования (синдрома Кушинга, феохромоцитомы). Для топической диагностики после предварительного подавле-ния дексаметазоном проводят сцинтиграфию надпочечников с радиоактивной меткой (131I 6—в—йодометил-19-норхолестерол — NP-59). КТ в исследовании органов малого таза ввиду малых размеров этих опухолей и отсутствия капсулы малоинформативно. Для визуализации яичников предпочтительно УЗИ с использованием трансвагинального датчика. Опухоли размером менее 10 мм визуализировать сложно.</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При отрицательных результатах исследования дополнительно проводят селективную катетеризацию яичниковых и надпочеч-никовых вен с определением содержания гормонов в крови, непосредственно оттекающей от органов.</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Ятрогенная гиперандрогения</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xml:space="preserve">Проводя дифференциальную диагностику эндогенной гипе- рандрогении, необходимо сразу исключить прием экзогенных ан-дрогенов и анаболических стероидов, а также глюкокортикоидов и антигонадотропных препаратов, к которым относится даназол </w:t>
      </w:r>
    </w:p>
    <w:p w:rsidR="003F77CC" w:rsidRPr="00833F09" w:rsidRDefault="003F77CC" w:rsidP="00B33DAF">
      <w:pPr>
        <w:spacing w:after="0"/>
        <w:ind w:firstLine="567"/>
        <w:jc w:val="both"/>
        <w:rPr>
          <w:rFonts w:ascii="Arial" w:hAnsi="Arial" w:cs="Arial"/>
          <w:sz w:val="28"/>
          <w:szCs w:val="28"/>
        </w:rPr>
      </w:pPr>
      <w:r w:rsidRPr="00833F09">
        <w:rPr>
          <w:rFonts w:ascii="Arial" w:hAnsi="Arial" w:cs="Arial"/>
          <w:sz w:val="28"/>
          <w:szCs w:val="28"/>
        </w:rPr>
        <w:t xml:space="preserve">Некоторые гестагены (производные 19-норстероидов, например, норэтистерон) обладают заметным андрогенным потенциалом. Стимуляцию роста волос вплоть до явного гипертрихоза могут провоцировать циклоспорины, интерфероны и седативные препараты. Эти препараты не влияют на метаболизм андрогенов. Использование партнерами женщин гелей, содержащих андрогены (зарегистрированные в России препараты для лечения гипогонадизма у мужчин), может быть причиной экзогенной гиперандро- гении у женщин (контакт с участками кожи партнера, на которые был нанесен препарат, приводит к диффузии андрогенов и увеличению содержания </w:t>
      </w:r>
      <w:r w:rsidRPr="00833F09">
        <w:rPr>
          <w:rFonts w:ascii="Arial" w:hAnsi="Arial" w:cs="Arial"/>
          <w:sz w:val="28"/>
          <w:szCs w:val="28"/>
        </w:rPr>
        <w:lastRenderedPageBreak/>
        <w:t>тестостерона в периферической крови почти в 2 раза по сравнению с базальным уровнем).</w:t>
      </w:r>
    </w:p>
    <w:p w:rsidR="00EB4203" w:rsidRDefault="00EB4203" w:rsidP="00833F09">
      <w:pPr>
        <w:spacing w:after="0"/>
        <w:jc w:val="both"/>
        <w:rPr>
          <w:rFonts w:ascii="Arial" w:hAnsi="Arial" w:cs="Arial"/>
          <w:sz w:val="28"/>
          <w:szCs w:val="28"/>
        </w:rPr>
      </w:pPr>
    </w:p>
    <w:p w:rsidR="00B26413" w:rsidRDefault="00B26413" w:rsidP="00833F09">
      <w:pPr>
        <w:spacing w:after="0"/>
        <w:jc w:val="both"/>
        <w:rPr>
          <w:rFonts w:ascii="Arial" w:hAnsi="Arial" w:cs="Arial"/>
          <w:sz w:val="28"/>
          <w:szCs w:val="28"/>
        </w:rPr>
      </w:pPr>
    </w:p>
    <w:p w:rsidR="00B26413" w:rsidRPr="00273E1F" w:rsidRDefault="00B26413" w:rsidP="00B26413">
      <w:pPr>
        <w:spacing w:after="0" w:line="240" w:lineRule="auto"/>
        <w:jc w:val="both"/>
        <w:rPr>
          <w:rFonts w:ascii="Arial" w:hAnsi="Arial" w:cs="Arial"/>
          <w:b/>
          <w:sz w:val="28"/>
          <w:szCs w:val="24"/>
        </w:rPr>
      </w:pPr>
      <w:r w:rsidRPr="00273E1F">
        <w:rPr>
          <w:rFonts w:ascii="Arial" w:hAnsi="Arial" w:cs="Arial"/>
          <w:b/>
          <w:sz w:val="28"/>
          <w:szCs w:val="24"/>
        </w:rPr>
        <w:t>Литература:</w:t>
      </w:r>
    </w:p>
    <w:p w:rsidR="00B26413" w:rsidRPr="00273E1F" w:rsidRDefault="00B26413" w:rsidP="00B26413">
      <w:pPr>
        <w:spacing w:after="0" w:line="240" w:lineRule="auto"/>
        <w:jc w:val="both"/>
        <w:rPr>
          <w:rFonts w:ascii="Arial" w:hAnsi="Arial" w:cs="Arial"/>
          <w:sz w:val="28"/>
          <w:szCs w:val="24"/>
        </w:rPr>
      </w:pPr>
      <w:bookmarkStart w:id="0" w:name="_GoBack"/>
      <w:bookmarkEnd w:id="0"/>
    </w:p>
    <w:p w:rsidR="00B26413" w:rsidRPr="00273E1F" w:rsidRDefault="00B26413" w:rsidP="00B26413">
      <w:pPr>
        <w:numPr>
          <w:ilvl w:val="0"/>
          <w:numId w:val="2"/>
        </w:numPr>
        <w:spacing w:after="0" w:line="240" w:lineRule="auto"/>
        <w:jc w:val="both"/>
        <w:rPr>
          <w:rFonts w:ascii="Arial" w:hAnsi="Arial" w:cs="Arial"/>
          <w:sz w:val="28"/>
          <w:szCs w:val="24"/>
        </w:rPr>
      </w:pPr>
      <w:r w:rsidRPr="00273E1F">
        <w:rPr>
          <w:rFonts w:ascii="Arial" w:hAnsi="Arial" w:cs="Arial"/>
          <w:sz w:val="28"/>
          <w:szCs w:val="24"/>
        </w:rPr>
        <w:t>Дедов И.И., Мельниченко Г.А., Фадеев В.В. «Эндокринология». Учебник. –М.: «Медицина», 2000. Стр. 632.</w:t>
      </w:r>
    </w:p>
    <w:p w:rsidR="00B26413" w:rsidRPr="00273E1F" w:rsidRDefault="00B26413" w:rsidP="00B26413">
      <w:pPr>
        <w:numPr>
          <w:ilvl w:val="0"/>
          <w:numId w:val="2"/>
        </w:numPr>
        <w:spacing w:after="0" w:line="240" w:lineRule="auto"/>
        <w:jc w:val="both"/>
        <w:rPr>
          <w:rFonts w:ascii="Arial" w:hAnsi="Arial" w:cs="Arial"/>
          <w:sz w:val="28"/>
          <w:szCs w:val="24"/>
        </w:rPr>
      </w:pPr>
      <w:r w:rsidRPr="00273E1F">
        <w:rPr>
          <w:rFonts w:ascii="Arial" w:hAnsi="Arial" w:cs="Arial"/>
          <w:sz w:val="28"/>
          <w:szCs w:val="24"/>
        </w:rPr>
        <w:t>Гарднер Д., Шобек Д. Базисная и клиническая эндокринология / под ред. Г. А. Мельниченко. — М.: 2015. — Стр. 169.</w:t>
      </w:r>
    </w:p>
    <w:p w:rsidR="00B26413" w:rsidRPr="00273E1F" w:rsidRDefault="00B26413" w:rsidP="00B26413">
      <w:pPr>
        <w:numPr>
          <w:ilvl w:val="0"/>
          <w:numId w:val="2"/>
        </w:numPr>
        <w:spacing w:after="0" w:line="240" w:lineRule="auto"/>
        <w:jc w:val="both"/>
        <w:rPr>
          <w:rFonts w:ascii="Arial" w:hAnsi="Arial" w:cs="Arial"/>
          <w:sz w:val="28"/>
          <w:szCs w:val="24"/>
        </w:rPr>
      </w:pPr>
      <w:r w:rsidRPr="00273E1F">
        <w:rPr>
          <w:rFonts w:ascii="Arial" w:hAnsi="Arial" w:cs="Arial"/>
          <w:sz w:val="28"/>
          <w:szCs w:val="24"/>
        </w:rPr>
        <w:t xml:space="preserve">Дедов И. И., Мельниченко Г. А. Эндокринология. Национальное руководство. Краткое издание. — 2-е изд., перераб. и доп. — М.: ГЭОТАР-Медиа, 2018. — Стр. 832. </w:t>
      </w:r>
    </w:p>
    <w:p w:rsidR="00B26413" w:rsidRPr="00273E1F" w:rsidRDefault="00B26413" w:rsidP="00B26413">
      <w:pPr>
        <w:numPr>
          <w:ilvl w:val="0"/>
          <w:numId w:val="2"/>
        </w:numPr>
        <w:spacing w:after="0" w:line="240" w:lineRule="auto"/>
        <w:jc w:val="both"/>
        <w:rPr>
          <w:rFonts w:ascii="Arial" w:hAnsi="Arial" w:cs="Arial"/>
          <w:sz w:val="28"/>
          <w:szCs w:val="24"/>
        </w:rPr>
      </w:pPr>
      <w:r w:rsidRPr="00273E1F">
        <w:rPr>
          <w:rFonts w:ascii="Arial" w:hAnsi="Arial" w:cs="Arial"/>
          <w:sz w:val="28"/>
          <w:szCs w:val="24"/>
        </w:rPr>
        <w:t xml:space="preserve">Проверенный поставщик медицинской информации с 1899 года. </w:t>
      </w:r>
      <w:hyperlink r:id="rId11" w:history="1">
        <w:r w:rsidRPr="00273E1F">
          <w:rPr>
            <w:rStyle w:val="a9"/>
            <w:rFonts w:ascii="Arial" w:hAnsi="Arial" w:cs="Arial"/>
            <w:sz w:val="28"/>
            <w:szCs w:val="24"/>
            <w:lang w:val="en-US"/>
          </w:rPr>
          <w:t>https://</w:t>
        </w:r>
      </w:hyperlink>
      <w:hyperlink r:id="rId12" w:history="1">
        <w:r w:rsidRPr="00273E1F">
          <w:rPr>
            <w:rStyle w:val="a9"/>
            <w:rFonts w:ascii="Arial" w:hAnsi="Arial" w:cs="Arial"/>
            <w:sz w:val="28"/>
            <w:szCs w:val="24"/>
            <w:lang w:val="en-US"/>
          </w:rPr>
          <w:t>www.msdmanuals.com</w:t>
        </w:r>
      </w:hyperlink>
      <w:hyperlink r:id="rId13" w:history="1">
        <w:r w:rsidRPr="00273E1F">
          <w:rPr>
            <w:rStyle w:val="a9"/>
            <w:rFonts w:ascii="Arial" w:hAnsi="Arial" w:cs="Arial"/>
            <w:sz w:val="28"/>
            <w:szCs w:val="24"/>
            <w:lang w:val="en-US"/>
          </w:rPr>
          <w:t>/</w:t>
        </w:r>
      </w:hyperlink>
      <w:hyperlink r:id="rId14" w:history="1">
        <w:r w:rsidRPr="00273E1F">
          <w:rPr>
            <w:rStyle w:val="a9"/>
            <w:rFonts w:ascii="Arial" w:hAnsi="Arial" w:cs="Arial"/>
            <w:sz w:val="28"/>
            <w:szCs w:val="24"/>
            <w:lang w:val="en-US"/>
          </w:rPr>
          <w:t>ru</w:t>
        </w:r>
      </w:hyperlink>
      <w:hyperlink r:id="rId15" w:history="1">
        <w:r w:rsidRPr="00273E1F">
          <w:rPr>
            <w:rStyle w:val="a9"/>
            <w:rFonts w:ascii="Arial" w:hAnsi="Arial" w:cs="Arial"/>
            <w:sz w:val="28"/>
            <w:szCs w:val="24"/>
            <w:lang w:val="en-US"/>
          </w:rPr>
          <w:t>/</w:t>
        </w:r>
      </w:hyperlink>
    </w:p>
    <w:p w:rsidR="00B26413" w:rsidRPr="00273E1F" w:rsidRDefault="00B26413" w:rsidP="00B26413">
      <w:pPr>
        <w:numPr>
          <w:ilvl w:val="0"/>
          <w:numId w:val="2"/>
        </w:numPr>
        <w:spacing w:after="0" w:line="240" w:lineRule="auto"/>
        <w:jc w:val="both"/>
        <w:rPr>
          <w:rFonts w:ascii="Arial" w:hAnsi="Arial" w:cs="Arial"/>
          <w:sz w:val="28"/>
          <w:szCs w:val="24"/>
          <w:lang w:val="en-US"/>
        </w:rPr>
      </w:pPr>
      <w:r w:rsidRPr="00273E1F">
        <w:rPr>
          <w:rFonts w:ascii="Arial" w:hAnsi="Arial" w:cs="Arial"/>
          <w:sz w:val="28"/>
          <w:szCs w:val="24"/>
          <w:lang w:val="en-US"/>
        </w:rPr>
        <w:t>World Health Organization (WHO). ICD-10 classification of mental and behavioural disorders: diagnostic criteria for research 1993. — Geneva (Switzerland), 1993.</w:t>
      </w:r>
    </w:p>
    <w:p w:rsidR="00B26413" w:rsidRPr="00273E1F" w:rsidRDefault="00B26413" w:rsidP="00B26413">
      <w:pPr>
        <w:numPr>
          <w:ilvl w:val="0"/>
          <w:numId w:val="2"/>
        </w:numPr>
        <w:spacing w:after="0" w:line="240" w:lineRule="auto"/>
        <w:jc w:val="both"/>
        <w:rPr>
          <w:rFonts w:ascii="Arial" w:hAnsi="Arial" w:cs="Arial"/>
          <w:sz w:val="28"/>
          <w:szCs w:val="24"/>
          <w:lang w:val="en-US"/>
        </w:rPr>
      </w:pPr>
      <w:r w:rsidRPr="00273E1F">
        <w:rPr>
          <w:rFonts w:ascii="Arial" w:hAnsi="Arial" w:cs="Arial"/>
          <w:sz w:val="28"/>
          <w:szCs w:val="24"/>
          <w:lang w:val="en-US"/>
        </w:rPr>
        <w:t>Calabria A. Growth hormone deficiency in children // MSD Manual. — 2018.</w:t>
      </w:r>
    </w:p>
    <w:p w:rsidR="00B26413" w:rsidRPr="00273E1F" w:rsidRDefault="00B26413" w:rsidP="00B26413">
      <w:pPr>
        <w:numPr>
          <w:ilvl w:val="0"/>
          <w:numId w:val="2"/>
        </w:numPr>
        <w:spacing w:after="0" w:line="240" w:lineRule="auto"/>
        <w:jc w:val="both"/>
        <w:rPr>
          <w:rFonts w:ascii="Arial" w:hAnsi="Arial" w:cs="Arial"/>
          <w:sz w:val="28"/>
          <w:szCs w:val="24"/>
        </w:rPr>
      </w:pPr>
      <w:r w:rsidRPr="00273E1F">
        <w:rPr>
          <w:rFonts w:ascii="Arial" w:hAnsi="Arial" w:cs="Arial"/>
          <w:i/>
          <w:iCs/>
          <w:sz w:val="28"/>
          <w:szCs w:val="24"/>
          <w:lang w:bidi="ru-RU"/>
        </w:rPr>
        <w:t>Дедов И. И., Шестакова М. В., Максимова М. А.</w:t>
      </w:r>
      <w:r w:rsidRPr="00273E1F">
        <w:rPr>
          <w:rFonts w:ascii="Arial" w:hAnsi="Arial" w:cs="Arial"/>
          <w:sz w:val="28"/>
          <w:szCs w:val="24"/>
          <w:lang w:bidi="ru-RU"/>
        </w:rPr>
        <w:t xml:space="preserve"> Федеральная целевая программа «Сахарный диабет». Методические рекомендации. М., 2002.</w:t>
      </w:r>
    </w:p>
    <w:p w:rsidR="00B26413" w:rsidRPr="00273E1F" w:rsidRDefault="00B26413" w:rsidP="00B26413">
      <w:pPr>
        <w:numPr>
          <w:ilvl w:val="0"/>
          <w:numId w:val="2"/>
        </w:numPr>
        <w:spacing w:after="0" w:line="240" w:lineRule="auto"/>
        <w:jc w:val="both"/>
        <w:rPr>
          <w:rFonts w:ascii="Arial" w:hAnsi="Arial" w:cs="Arial"/>
          <w:sz w:val="28"/>
          <w:szCs w:val="24"/>
        </w:rPr>
      </w:pPr>
      <w:r w:rsidRPr="00273E1F">
        <w:rPr>
          <w:rFonts w:ascii="Arial" w:hAnsi="Arial" w:cs="Arial"/>
          <w:sz w:val="28"/>
          <w:szCs w:val="24"/>
        </w:rPr>
        <w:t>Российская ассоциация эндокринологов. Федеральные клинические рекомендации по ведению детей с эндокринными заболеваниями. — М., 2014 — С. 338.</w:t>
      </w:r>
    </w:p>
    <w:p w:rsidR="00B26413" w:rsidRPr="00273E1F" w:rsidRDefault="00B26413" w:rsidP="00B26413">
      <w:pPr>
        <w:numPr>
          <w:ilvl w:val="0"/>
          <w:numId w:val="2"/>
        </w:numPr>
        <w:spacing w:after="0" w:line="240" w:lineRule="auto"/>
        <w:jc w:val="both"/>
        <w:rPr>
          <w:rFonts w:ascii="Arial" w:hAnsi="Arial" w:cs="Arial"/>
          <w:sz w:val="28"/>
          <w:szCs w:val="24"/>
          <w:lang w:val="en-US"/>
        </w:rPr>
      </w:pPr>
      <w:r w:rsidRPr="00273E1F">
        <w:rPr>
          <w:rFonts w:ascii="Arial" w:hAnsi="Arial" w:cs="Arial"/>
          <w:sz w:val="28"/>
          <w:szCs w:val="24"/>
          <w:lang w:val="en-US"/>
        </w:rPr>
        <w:t>Kurtoglu S., Ozdemir A., Hatipoglu N. Neonatal hipopituitarism: approaches to diagnosis and treatment // J Clin Res Pediatr Endocrinol. — 2019; 11 (1): 4-12.</w:t>
      </w:r>
      <w:r w:rsidRPr="00273E1F">
        <w:rPr>
          <w:rFonts w:ascii="Arial" w:hAnsi="Arial" w:cs="Arial"/>
          <w:sz w:val="28"/>
          <w:szCs w:val="24"/>
        </w:rPr>
        <w:t>ссылка</w:t>
      </w:r>
    </w:p>
    <w:p w:rsidR="00B26413" w:rsidRPr="00273E1F" w:rsidRDefault="00B26413" w:rsidP="00B26413">
      <w:pPr>
        <w:numPr>
          <w:ilvl w:val="0"/>
          <w:numId w:val="2"/>
        </w:numPr>
        <w:spacing w:after="0" w:line="240" w:lineRule="auto"/>
        <w:jc w:val="both"/>
        <w:rPr>
          <w:rFonts w:ascii="Arial" w:hAnsi="Arial" w:cs="Arial"/>
          <w:sz w:val="28"/>
          <w:szCs w:val="24"/>
        </w:rPr>
      </w:pPr>
      <w:r w:rsidRPr="00273E1F">
        <w:rPr>
          <w:rFonts w:ascii="Arial" w:hAnsi="Arial" w:cs="Arial"/>
          <w:sz w:val="28"/>
          <w:szCs w:val="24"/>
        </w:rPr>
        <w:t>Дедов И. И., Мельниченко Г. А., Фадеев В. В. Эндокринология. — М., 2015. — С. 59.</w:t>
      </w:r>
    </w:p>
    <w:p w:rsidR="00B26413" w:rsidRPr="00273E1F" w:rsidRDefault="00B26413" w:rsidP="00B26413">
      <w:pPr>
        <w:numPr>
          <w:ilvl w:val="0"/>
          <w:numId w:val="2"/>
        </w:numPr>
        <w:spacing w:after="0" w:line="240" w:lineRule="auto"/>
        <w:jc w:val="both"/>
        <w:rPr>
          <w:rFonts w:ascii="Arial" w:hAnsi="Arial" w:cs="Arial"/>
          <w:sz w:val="28"/>
          <w:szCs w:val="24"/>
        </w:rPr>
      </w:pPr>
      <w:r w:rsidRPr="00273E1F">
        <w:rPr>
          <w:rFonts w:ascii="Arial" w:hAnsi="Arial" w:cs="Arial"/>
          <w:sz w:val="28"/>
          <w:szCs w:val="24"/>
        </w:rPr>
        <w:t>Дедов И. И., Петеркова В. А., Малиевский О. А. Детская эндокринология. — М., 2016. — С. 9.</w:t>
      </w:r>
    </w:p>
    <w:p w:rsidR="00B26413" w:rsidRPr="00273E1F" w:rsidRDefault="00B26413" w:rsidP="00B26413">
      <w:pPr>
        <w:numPr>
          <w:ilvl w:val="0"/>
          <w:numId w:val="2"/>
        </w:numPr>
        <w:spacing w:after="0" w:line="240" w:lineRule="auto"/>
        <w:jc w:val="both"/>
        <w:rPr>
          <w:rFonts w:ascii="Arial" w:hAnsi="Arial" w:cs="Arial"/>
          <w:sz w:val="28"/>
          <w:szCs w:val="24"/>
        </w:rPr>
      </w:pPr>
      <w:r w:rsidRPr="00273E1F">
        <w:rPr>
          <w:rFonts w:ascii="Arial" w:hAnsi="Arial" w:cs="Arial"/>
          <w:sz w:val="28"/>
          <w:szCs w:val="24"/>
          <w:lang w:val="en-US" w:bidi="en-US"/>
        </w:rPr>
        <w:t xml:space="preserve">Centers for Disease Control and Prevention. National diabetes fact sheet. U. S. Department of Health and Human Services, Centers for Disease Control and Prevention. </w:t>
      </w:r>
      <w:r w:rsidRPr="00273E1F">
        <w:rPr>
          <w:rFonts w:ascii="Arial" w:hAnsi="Arial" w:cs="Arial"/>
          <w:sz w:val="28"/>
          <w:szCs w:val="24"/>
        </w:rPr>
        <w:t>Atlanta, GA, 2004.</w:t>
      </w:r>
    </w:p>
    <w:p w:rsidR="00B26413" w:rsidRPr="004F5BB5" w:rsidRDefault="00B26413" w:rsidP="00B26413">
      <w:pPr>
        <w:spacing w:after="0" w:line="240" w:lineRule="auto"/>
        <w:jc w:val="both"/>
        <w:rPr>
          <w:rFonts w:ascii="Arial" w:hAnsi="Arial" w:cs="Arial"/>
          <w:sz w:val="24"/>
          <w:szCs w:val="24"/>
        </w:rPr>
      </w:pPr>
    </w:p>
    <w:p w:rsidR="00B26413" w:rsidRPr="00833F09" w:rsidRDefault="00B26413" w:rsidP="00833F09">
      <w:pPr>
        <w:spacing w:after="0"/>
        <w:jc w:val="both"/>
        <w:rPr>
          <w:rFonts w:ascii="Arial" w:hAnsi="Arial" w:cs="Arial"/>
          <w:sz w:val="28"/>
          <w:szCs w:val="28"/>
        </w:rPr>
      </w:pPr>
    </w:p>
    <w:sectPr w:rsidR="00B26413" w:rsidRPr="00833F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8FC" w:rsidRDefault="006E68FC" w:rsidP="004E4698">
      <w:pPr>
        <w:spacing w:after="0" w:line="240" w:lineRule="auto"/>
      </w:pPr>
      <w:r>
        <w:separator/>
      </w:r>
    </w:p>
  </w:endnote>
  <w:endnote w:type="continuationSeparator" w:id="0">
    <w:p w:rsidR="006E68FC" w:rsidRDefault="006E68FC" w:rsidP="004E4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mj-e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8FC" w:rsidRDefault="006E68FC" w:rsidP="004E4698">
      <w:pPr>
        <w:spacing w:after="0" w:line="240" w:lineRule="auto"/>
      </w:pPr>
      <w:r>
        <w:separator/>
      </w:r>
    </w:p>
  </w:footnote>
  <w:footnote w:type="continuationSeparator" w:id="0">
    <w:p w:rsidR="006E68FC" w:rsidRDefault="006E68FC" w:rsidP="004E46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3613E"/>
    <w:multiLevelType w:val="hybridMultilevel"/>
    <w:tmpl w:val="A6C2CE34"/>
    <w:lvl w:ilvl="0" w:tplc="3DB0EC5E">
      <w:start w:val="1"/>
      <w:numFmt w:val="decimal"/>
      <w:lvlText w:val="%1."/>
      <w:lvlJc w:val="left"/>
      <w:pPr>
        <w:tabs>
          <w:tab w:val="num" w:pos="720"/>
        </w:tabs>
        <w:ind w:left="720" w:hanging="360"/>
      </w:pPr>
    </w:lvl>
    <w:lvl w:ilvl="1" w:tplc="98D493D2" w:tentative="1">
      <w:start w:val="1"/>
      <w:numFmt w:val="decimal"/>
      <w:lvlText w:val="%2."/>
      <w:lvlJc w:val="left"/>
      <w:pPr>
        <w:tabs>
          <w:tab w:val="num" w:pos="1440"/>
        </w:tabs>
        <w:ind w:left="1440" w:hanging="360"/>
      </w:pPr>
    </w:lvl>
    <w:lvl w:ilvl="2" w:tplc="823464CC" w:tentative="1">
      <w:start w:val="1"/>
      <w:numFmt w:val="decimal"/>
      <w:lvlText w:val="%3."/>
      <w:lvlJc w:val="left"/>
      <w:pPr>
        <w:tabs>
          <w:tab w:val="num" w:pos="2160"/>
        </w:tabs>
        <w:ind w:left="2160" w:hanging="360"/>
      </w:pPr>
    </w:lvl>
    <w:lvl w:ilvl="3" w:tplc="866EA6D2" w:tentative="1">
      <w:start w:val="1"/>
      <w:numFmt w:val="decimal"/>
      <w:lvlText w:val="%4."/>
      <w:lvlJc w:val="left"/>
      <w:pPr>
        <w:tabs>
          <w:tab w:val="num" w:pos="2880"/>
        </w:tabs>
        <w:ind w:left="2880" w:hanging="360"/>
      </w:pPr>
    </w:lvl>
    <w:lvl w:ilvl="4" w:tplc="7084F3EE" w:tentative="1">
      <w:start w:val="1"/>
      <w:numFmt w:val="decimal"/>
      <w:lvlText w:val="%5."/>
      <w:lvlJc w:val="left"/>
      <w:pPr>
        <w:tabs>
          <w:tab w:val="num" w:pos="3600"/>
        </w:tabs>
        <w:ind w:left="3600" w:hanging="360"/>
      </w:pPr>
    </w:lvl>
    <w:lvl w:ilvl="5" w:tplc="ABA0B602" w:tentative="1">
      <w:start w:val="1"/>
      <w:numFmt w:val="decimal"/>
      <w:lvlText w:val="%6."/>
      <w:lvlJc w:val="left"/>
      <w:pPr>
        <w:tabs>
          <w:tab w:val="num" w:pos="4320"/>
        </w:tabs>
        <w:ind w:left="4320" w:hanging="360"/>
      </w:pPr>
    </w:lvl>
    <w:lvl w:ilvl="6" w:tplc="235AB526" w:tentative="1">
      <w:start w:val="1"/>
      <w:numFmt w:val="decimal"/>
      <w:lvlText w:val="%7."/>
      <w:lvlJc w:val="left"/>
      <w:pPr>
        <w:tabs>
          <w:tab w:val="num" w:pos="5040"/>
        </w:tabs>
        <w:ind w:left="5040" w:hanging="360"/>
      </w:pPr>
    </w:lvl>
    <w:lvl w:ilvl="7" w:tplc="E944671C" w:tentative="1">
      <w:start w:val="1"/>
      <w:numFmt w:val="decimal"/>
      <w:lvlText w:val="%8."/>
      <w:lvlJc w:val="left"/>
      <w:pPr>
        <w:tabs>
          <w:tab w:val="num" w:pos="5760"/>
        </w:tabs>
        <w:ind w:left="5760" w:hanging="360"/>
      </w:pPr>
    </w:lvl>
    <w:lvl w:ilvl="8" w:tplc="07C8F158" w:tentative="1">
      <w:start w:val="1"/>
      <w:numFmt w:val="decimal"/>
      <w:lvlText w:val="%9."/>
      <w:lvlJc w:val="left"/>
      <w:pPr>
        <w:tabs>
          <w:tab w:val="num" w:pos="6480"/>
        </w:tabs>
        <w:ind w:left="6480" w:hanging="360"/>
      </w:pPr>
    </w:lvl>
  </w:abstractNum>
  <w:abstractNum w:abstractNumId="1" w15:restartNumberingAfterBreak="0">
    <w:nsid w:val="77387E26"/>
    <w:multiLevelType w:val="hybridMultilevel"/>
    <w:tmpl w:val="945858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7CC"/>
    <w:rsid w:val="001A5B69"/>
    <w:rsid w:val="00273E1F"/>
    <w:rsid w:val="003F77CC"/>
    <w:rsid w:val="004E4698"/>
    <w:rsid w:val="005A0576"/>
    <w:rsid w:val="00647890"/>
    <w:rsid w:val="00650762"/>
    <w:rsid w:val="006E68FC"/>
    <w:rsid w:val="00833F09"/>
    <w:rsid w:val="00B26413"/>
    <w:rsid w:val="00B33DAF"/>
    <w:rsid w:val="00EB4203"/>
    <w:rsid w:val="00FF14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13F27E-BCCD-43D2-BA67-B8D937667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469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E4698"/>
  </w:style>
  <w:style w:type="paragraph" w:styleId="a5">
    <w:name w:val="footer"/>
    <w:basedOn w:val="a"/>
    <w:link w:val="a6"/>
    <w:uiPriority w:val="99"/>
    <w:unhideWhenUsed/>
    <w:rsid w:val="004E469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E4698"/>
  </w:style>
  <w:style w:type="paragraph" w:styleId="a7">
    <w:name w:val="Normal (Web)"/>
    <w:basedOn w:val="a"/>
    <w:uiPriority w:val="99"/>
    <w:semiHidden/>
    <w:unhideWhenUsed/>
    <w:rsid w:val="00833F09"/>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8">
    <w:name w:val="List Paragraph"/>
    <w:basedOn w:val="a"/>
    <w:uiPriority w:val="34"/>
    <w:qFormat/>
    <w:rsid w:val="00833F09"/>
    <w:pPr>
      <w:ind w:left="720"/>
      <w:contextualSpacing/>
    </w:pPr>
  </w:style>
  <w:style w:type="character" w:styleId="a9">
    <w:name w:val="Hyperlink"/>
    <w:basedOn w:val="a0"/>
    <w:uiPriority w:val="99"/>
    <w:unhideWhenUsed/>
    <w:rsid w:val="00B264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682194">
      <w:bodyDiv w:val="1"/>
      <w:marLeft w:val="0"/>
      <w:marRight w:val="0"/>
      <w:marTop w:val="0"/>
      <w:marBottom w:val="0"/>
      <w:divBdr>
        <w:top w:val="none" w:sz="0" w:space="0" w:color="auto"/>
        <w:left w:val="none" w:sz="0" w:space="0" w:color="auto"/>
        <w:bottom w:val="none" w:sz="0" w:space="0" w:color="auto"/>
        <w:right w:val="none" w:sz="0" w:space="0" w:color="auto"/>
      </w:divBdr>
    </w:div>
    <w:div w:id="187684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sdmanuals.c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sdmanuals.c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sdmanuals.com/ru/" TargetMode="External"/><Relationship Id="rId5" Type="http://schemas.openxmlformats.org/officeDocument/2006/relationships/webSettings" Target="webSettings.xml"/><Relationship Id="rId15" Type="http://schemas.openxmlformats.org/officeDocument/2006/relationships/hyperlink" Target="https://www.msdmanuals.com/ru/"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sdmanuals.c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99159-1F31-45D4-8087-FE6150A93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41</Pages>
  <Words>12279</Words>
  <Characters>69991</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rg-adguard</Company>
  <LinksUpToDate>false</LinksUpToDate>
  <CharactersWithSpaces>82106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Rayyona</dc:creator>
  <cp:keywords/>
  <dc:description/>
  <cp:lastModifiedBy>DELL</cp:lastModifiedBy>
  <cp:revision>4</cp:revision>
  <dcterms:created xsi:type="dcterms:W3CDTF">2021-05-21T06:10:00Z</dcterms:created>
  <dcterms:modified xsi:type="dcterms:W3CDTF">2021-05-26T17:30:00Z</dcterms:modified>
</cp:coreProperties>
</file>