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15C" w:rsidRPr="00B0315C" w:rsidRDefault="00B0315C" w:rsidP="00B0315C">
      <w:pPr>
        <w:spacing w:after="0" w:line="240" w:lineRule="auto"/>
        <w:rPr>
          <w:rFonts w:ascii="Arial" w:hAnsi="Arial" w:cs="Arial"/>
          <w:b/>
          <w:bCs/>
          <w:sz w:val="28"/>
          <w:szCs w:val="28"/>
          <w:lang w:bidi="ru-RU"/>
        </w:rPr>
      </w:pPr>
      <w:bookmarkStart w:id="0" w:name="bookmark181"/>
    </w:p>
    <w:p w:rsidR="00B0315C" w:rsidRPr="00B0315C" w:rsidRDefault="00B0315C" w:rsidP="00B0315C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val="en-US"/>
        </w:rPr>
      </w:pP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A889A48" wp14:editId="05936EE3">
                <wp:simplePos x="0" y="0"/>
                <wp:positionH relativeFrom="column">
                  <wp:posOffset>3697605</wp:posOffset>
                </wp:positionH>
                <wp:positionV relativeFrom="paragraph">
                  <wp:posOffset>-34290</wp:posOffset>
                </wp:positionV>
                <wp:extent cx="2324100" cy="434975"/>
                <wp:effectExtent l="0" t="0" r="0" b="0"/>
                <wp:wrapNone/>
                <wp:docPr id="2" name="Заголовок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2324100" cy="434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0315C" w:rsidRPr="006B798B" w:rsidRDefault="00B0315C" w:rsidP="00B0315C">
                            <w:pPr>
                              <w:pStyle w:val="a3"/>
                              <w:spacing w:after="240" w:line="216" w:lineRule="auto"/>
                              <w:jc w:val="center"/>
                              <w:rPr>
                                <w:sz w:val="2"/>
                              </w:rPr>
                            </w:pPr>
                            <w:r w:rsidRPr="006B798B">
                              <w:rPr>
                                <w:rFonts w:ascii="Arial" w:eastAsia="+mj-ea" w:hAnsi="Arial" w:cs="Arial"/>
                                <w:b/>
                                <w:bCs/>
                                <w:kern w:val="24"/>
                                <w:sz w:val="18"/>
                                <w:szCs w:val="56"/>
                              </w:rPr>
                              <w:t>Андижанский государственный медицинский институт</w:t>
                            </w:r>
                          </w:p>
                        </w:txbxContent>
                      </wps:txbx>
                      <wps:bodyPr vert="horz" wrap="square" lIns="91440" tIns="45720" rIns="91440" bIns="45720" numCol="1" rtlCol="0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889A48" id="Заголовок 3" o:spid="_x0000_s1026" style="position:absolute;left:0;text-align:left;margin-left:291.15pt;margin-top:-2.7pt;width:183pt;height:34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" filled="f" stroked="f">
                <v:path arrowok="t"/>
                <o:lock v:ext="edit" grouping="t"/>
                <v:textbox>
                  <w:txbxContent>
                    <w:p w:rsidR="00B0315C" w:rsidRPr="006B798B" w:rsidRDefault="00B0315C" w:rsidP="00B0315C">
                      <w:pPr>
                        <w:pStyle w:val="a3"/>
                        <w:spacing w:after="240" w:line="216" w:lineRule="auto"/>
                        <w:jc w:val="center"/>
                        <w:rPr>
                          <w:sz w:val="2"/>
                        </w:rPr>
                      </w:pPr>
                      <w:r w:rsidRPr="006B798B">
                        <w:rPr>
                          <w:rFonts w:ascii="Arial" w:eastAsia="+mj-ea" w:hAnsi="Arial" w:cs="Arial"/>
                          <w:b/>
                          <w:bCs/>
                          <w:kern w:val="24"/>
                          <w:sz w:val="18"/>
                          <w:szCs w:val="56"/>
                        </w:rPr>
                        <w:t>Андижанский государственный медицинский институт</w:t>
                      </w:r>
                    </w:p>
                  </w:txbxContent>
                </v:textbox>
              </v:rect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0" locked="0" layoutInCell="1" allowOverlap="1" wp14:anchorId="0411ACD2" wp14:editId="351FAA2A">
            <wp:simplePos x="0" y="0"/>
            <wp:positionH relativeFrom="column">
              <wp:posOffset>2853055</wp:posOffset>
            </wp:positionH>
            <wp:positionV relativeFrom="paragraph">
              <wp:posOffset>-194310</wp:posOffset>
            </wp:positionV>
            <wp:extent cx="798576" cy="665480"/>
            <wp:effectExtent l="0" t="0" r="1905" b="1270"/>
            <wp:wrapNone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98576" cy="665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0315C" w:rsidRPr="00B0315C" w:rsidRDefault="00B0315C" w:rsidP="00B0315C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val="en-US"/>
        </w:rPr>
      </w:pPr>
    </w:p>
    <w:p w:rsidR="00B0315C" w:rsidRPr="00B0315C" w:rsidRDefault="00B0315C" w:rsidP="00B0315C">
      <w:pPr>
        <w:spacing w:after="0" w:line="240" w:lineRule="auto"/>
        <w:rPr>
          <w:rFonts w:ascii="Arial" w:hAnsi="Arial" w:cs="Arial"/>
          <w:b/>
          <w:color w:val="00B050"/>
          <w:sz w:val="28"/>
          <w:szCs w:val="28"/>
          <w:lang w:val="en-US"/>
        </w:rPr>
      </w:pPr>
    </w:p>
    <w:p w:rsidR="00B0315C" w:rsidRPr="00B0315C" w:rsidRDefault="00B0315C" w:rsidP="00B0315C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  <w:lang w:val="en-US"/>
        </w:rPr>
      </w:pPr>
    </w:p>
    <w:p w:rsidR="00B0315C" w:rsidRPr="00B0315C" w:rsidRDefault="00B0315C" w:rsidP="00B0315C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  <w:lang w:val="en-US"/>
        </w:rPr>
      </w:pPr>
      <w:r w:rsidRPr="00B0315C">
        <w:rPr>
          <w:rFonts w:ascii="Arial" w:hAnsi="Arial" w:cs="Arial"/>
          <w:b/>
          <w:color w:val="00B050"/>
          <w:sz w:val="28"/>
          <w:szCs w:val="28"/>
          <w:lang w:val="en-US"/>
        </w:rPr>
        <w:t xml:space="preserve">Lecture 10: </w:t>
      </w:r>
      <w:r w:rsidR="00FE3A43" w:rsidRPr="00FE3A43">
        <w:rPr>
          <w:rFonts w:ascii="Arial" w:hAnsi="Arial" w:cs="Arial"/>
          <w:b/>
          <w:color w:val="00B050"/>
          <w:sz w:val="28"/>
          <w:szCs w:val="28"/>
          <w:lang w:val="en-US"/>
        </w:rPr>
        <w:t>Pathology of phosphorus-calcium metabolism of the parathy</w:t>
      </w:r>
      <w:r w:rsidR="00FE3A43">
        <w:rPr>
          <w:rFonts w:ascii="Arial" w:hAnsi="Arial" w:cs="Arial"/>
          <w:b/>
          <w:color w:val="00B050"/>
          <w:sz w:val="28"/>
          <w:szCs w:val="28"/>
          <w:lang w:val="en-US"/>
        </w:rPr>
        <w:t>roid glands and bone metabolism</w:t>
      </w:r>
      <w:r w:rsidRPr="00B0315C">
        <w:rPr>
          <w:rFonts w:ascii="Arial" w:hAnsi="Arial" w:cs="Arial"/>
          <w:b/>
          <w:color w:val="00B050"/>
          <w:sz w:val="28"/>
          <w:szCs w:val="28"/>
          <w:lang w:val="en-US"/>
        </w:rPr>
        <w:t>.</w:t>
      </w:r>
      <w:r w:rsidRPr="00B0315C">
        <w:rPr>
          <w:rFonts w:ascii="Arial" w:hAnsi="Arial" w:cs="Arial"/>
          <w:b/>
          <w:color w:val="00B050"/>
          <w:sz w:val="28"/>
          <w:szCs w:val="28"/>
          <w:lang w:val="en-US"/>
        </w:rPr>
        <w:br/>
      </w:r>
    </w:p>
    <w:p w:rsidR="00B0315C" w:rsidRPr="00B0315C" w:rsidRDefault="00B0315C" w:rsidP="00B0315C">
      <w:pPr>
        <w:spacing w:after="0" w:line="240" w:lineRule="auto"/>
        <w:jc w:val="center"/>
        <w:rPr>
          <w:rFonts w:ascii="Arial" w:hAnsi="Arial" w:cs="Arial"/>
          <w:b/>
          <w:bCs/>
          <w:color w:val="00B050"/>
          <w:sz w:val="28"/>
          <w:szCs w:val="28"/>
        </w:rPr>
      </w:pPr>
      <w:r w:rsidRPr="00B0315C">
        <w:rPr>
          <w:rFonts w:ascii="Arial" w:hAnsi="Arial" w:cs="Arial"/>
          <w:b/>
          <w:bCs/>
          <w:color w:val="00B050"/>
          <w:sz w:val="28"/>
          <w:szCs w:val="28"/>
        </w:rPr>
        <w:t xml:space="preserve">Тема-10: </w:t>
      </w:r>
      <w:r w:rsidR="00FE3A43" w:rsidRPr="00FE3A43">
        <w:rPr>
          <w:rFonts w:ascii="Arial" w:hAnsi="Arial" w:cs="Arial"/>
          <w:b/>
          <w:bCs/>
          <w:color w:val="00B050"/>
          <w:sz w:val="28"/>
          <w:szCs w:val="28"/>
          <w:lang w:val="uz-Cyrl-UZ" w:bidi="ru-RU"/>
        </w:rPr>
        <w:t>Патология фосфорно-кальциевого обмена паращит</w:t>
      </w:r>
      <w:r w:rsidR="00FE3A43">
        <w:rPr>
          <w:rFonts w:ascii="Arial" w:hAnsi="Arial" w:cs="Arial"/>
          <w:b/>
          <w:bCs/>
          <w:color w:val="00B050"/>
          <w:sz w:val="28"/>
          <w:szCs w:val="28"/>
          <w:lang w:val="uz-Cyrl-UZ" w:bidi="ru-RU"/>
        </w:rPr>
        <w:t>овидных желез и костного обмена</w:t>
      </w:r>
      <w:bookmarkStart w:id="1" w:name="_GoBack"/>
      <w:bookmarkEnd w:id="1"/>
      <w:r w:rsidRPr="00B0315C">
        <w:rPr>
          <w:rFonts w:ascii="Arial" w:hAnsi="Arial" w:cs="Arial"/>
          <w:b/>
          <w:bCs/>
          <w:color w:val="00B050"/>
          <w:sz w:val="28"/>
          <w:szCs w:val="28"/>
          <w:lang w:val="uz-Cyrl-UZ" w:bidi="ru-RU"/>
        </w:rPr>
        <w:t>.</w:t>
      </w:r>
    </w:p>
    <w:p w:rsidR="00B0315C" w:rsidRPr="00B0315C" w:rsidRDefault="00B0315C" w:rsidP="00B0315C">
      <w:pPr>
        <w:spacing w:after="0" w:line="240" w:lineRule="auto"/>
        <w:jc w:val="center"/>
        <w:rPr>
          <w:rFonts w:ascii="Arial" w:hAnsi="Arial" w:cs="Arial"/>
          <w:b/>
          <w:bCs/>
          <w:color w:val="00B050"/>
          <w:sz w:val="28"/>
          <w:szCs w:val="28"/>
        </w:rPr>
      </w:pPr>
    </w:p>
    <w:p w:rsidR="00B0315C" w:rsidRPr="00B0315C" w:rsidRDefault="00B0315C" w:rsidP="00B0315C">
      <w:pPr>
        <w:spacing w:after="0" w:line="240" w:lineRule="auto"/>
        <w:jc w:val="center"/>
        <w:rPr>
          <w:rFonts w:ascii="Arial" w:hAnsi="Arial" w:cs="Arial"/>
          <w:b/>
          <w:bCs/>
          <w:color w:val="00B050"/>
          <w:sz w:val="28"/>
          <w:szCs w:val="28"/>
        </w:rPr>
      </w:pPr>
      <w:r w:rsidRPr="00B0315C">
        <w:rPr>
          <w:rFonts w:ascii="Arial" w:hAnsi="Arial" w:cs="Arial"/>
          <w:b/>
          <w:bCs/>
          <w:color w:val="00B050"/>
          <w:sz w:val="28"/>
          <w:szCs w:val="28"/>
        </w:rPr>
        <w:t>План лекции:</w:t>
      </w:r>
    </w:p>
    <w:p w:rsidR="00B0315C" w:rsidRPr="00B0315C" w:rsidRDefault="00B0315C" w:rsidP="00B0315C">
      <w:pPr>
        <w:spacing w:after="0" w:line="240" w:lineRule="auto"/>
        <w:jc w:val="center"/>
        <w:rPr>
          <w:rFonts w:ascii="Arial" w:hAnsi="Arial" w:cs="Arial"/>
          <w:b/>
          <w:bCs/>
          <w:color w:val="00B050"/>
          <w:sz w:val="28"/>
          <w:szCs w:val="28"/>
        </w:rPr>
      </w:pPr>
    </w:p>
    <w:p w:rsidR="00B0315C" w:rsidRPr="00B0315C" w:rsidRDefault="00B0315C" w:rsidP="00B0315C">
      <w:pPr>
        <w:pStyle w:val="a4"/>
        <w:numPr>
          <w:ilvl w:val="0"/>
          <w:numId w:val="15"/>
        </w:numPr>
        <w:jc w:val="both"/>
        <w:rPr>
          <w:rFonts w:ascii="Arial" w:hAnsi="Arial" w:cs="Arial"/>
          <w:color w:val="1287C3"/>
          <w:sz w:val="28"/>
          <w:szCs w:val="28"/>
        </w:rPr>
      </w:pPr>
      <w:r w:rsidRPr="00B0315C">
        <w:rPr>
          <w:rFonts w:ascii="Arial" w:eastAsia="+mn-ea" w:hAnsi="Arial" w:cs="Arial"/>
          <w:color w:val="000000"/>
          <w:kern w:val="24"/>
          <w:sz w:val="28"/>
          <w:szCs w:val="28"/>
        </w:rPr>
        <w:t>Анатомия и физиология паращитовидных желез. Фосфорно-кальциевый обмен</w:t>
      </w:r>
    </w:p>
    <w:p w:rsidR="00B0315C" w:rsidRPr="00B0315C" w:rsidRDefault="00B0315C" w:rsidP="00B0315C">
      <w:pPr>
        <w:pStyle w:val="a4"/>
        <w:numPr>
          <w:ilvl w:val="0"/>
          <w:numId w:val="15"/>
        </w:numPr>
        <w:jc w:val="both"/>
        <w:rPr>
          <w:rFonts w:ascii="Arial" w:hAnsi="Arial" w:cs="Arial"/>
          <w:color w:val="1287C3"/>
          <w:sz w:val="28"/>
          <w:szCs w:val="28"/>
        </w:rPr>
      </w:pPr>
      <w:r w:rsidRPr="00B0315C">
        <w:rPr>
          <w:rFonts w:ascii="Arial" w:eastAsia="+mn-ea" w:hAnsi="Arial" w:cs="Arial"/>
          <w:color w:val="000000"/>
          <w:kern w:val="24"/>
          <w:sz w:val="28"/>
          <w:szCs w:val="28"/>
        </w:rPr>
        <w:t>Биосинтез и секреция гормонов, регулирующих фосфорно-кальциевый обмен</w:t>
      </w:r>
    </w:p>
    <w:p w:rsidR="00B0315C" w:rsidRPr="00B0315C" w:rsidRDefault="00B0315C" w:rsidP="00B0315C">
      <w:pPr>
        <w:pStyle w:val="a4"/>
        <w:numPr>
          <w:ilvl w:val="0"/>
          <w:numId w:val="15"/>
        </w:numPr>
        <w:jc w:val="both"/>
        <w:rPr>
          <w:rFonts w:ascii="Arial" w:hAnsi="Arial" w:cs="Arial"/>
          <w:color w:val="1287C3"/>
          <w:sz w:val="28"/>
          <w:szCs w:val="28"/>
        </w:rPr>
      </w:pPr>
      <w:r w:rsidRPr="00B0315C">
        <w:rPr>
          <w:rFonts w:ascii="Arial" w:eastAsia="+mn-ea" w:hAnsi="Arial" w:cs="Arial"/>
          <w:color w:val="000000"/>
          <w:kern w:val="24"/>
          <w:sz w:val="28"/>
          <w:szCs w:val="28"/>
        </w:rPr>
        <w:t>Методы обследования больных с заболеваниями паращитовидных желез и нарушениями фосфорно-кальциевого обмена и остеопенией</w:t>
      </w:r>
    </w:p>
    <w:p w:rsidR="00B0315C" w:rsidRPr="00B0315C" w:rsidRDefault="00B0315C" w:rsidP="00B0315C">
      <w:pPr>
        <w:pStyle w:val="a4"/>
        <w:numPr>
          <w:ilvl w:val="0"/>
          <w:numId w:val="15"/>
        </w:numPr>
        <w:rPr>
          <w:rFonts w:ascii="Arial" w:eastAsia="+mn-ea" w:hAnsi="Arial" w:cs="Arial"/>
          <w:color w:val="000000"/>
          <w:kern w:val="24"/>
          <w:sz w:val="28"/>
          <w:szCs w:val="28"/>
        </w:rPr>
      </w:pPr>
      <w:r w:rsidRPr="00B0315C">
        <w:rPr>
          <w:rFonts w:ascii="Arial" w:eastAsia="+mn-ea" w:hAnsi="Arial" w:cs="Arial"/>
          <w:color w:val="000000"/>
          <w:kern w:val="24"/>
          <w:sz w:val="28"/>
          <w:szCs w:val="28"/>
        </w:rPr>
        <w:t>Заболевания, связанные с нарушением функции паращитовидных желез</w:t>
      </w:r>
    </w:p>
    <w:p w:rsidR="00B0315C" w:rsidRPr="00B0315C" w:rsidRDefault="00B0315C" w:rsidP="00B0315C">
      <w:pPr>
        <w:spacing w:after="0" w:line="240" w:lineRule="auto"/>
        <w:ind w:left="360"/>
        <w:jc w:val="center"/>
        <w:rPr>
          <w:rFonts w:ascii="Arial" w:hAnsi="Arial" w:cs="Arial"/>
          <w:b/>
          <w:bCs/>
          <w:color w:val="00B050"/>
          <w:sz w:val="28"/>
          <w:szCs w:val="28"/>
        </w:rPr>
      </w:pP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>1. Анатомия и физиология паращитовидных желез. Фосфорно-кальциевый обмен</w:t>
      </w:r>
      <w:bookmarkEnd w:id="0"/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 xml:space="preserve">Анатомия и физиология. </w:t>
      </w:r>
      <w:r w:rsidRPr="00B0315C">
        <w:rPr>
          <w:rFonts w:ascii="Arial" w:hAnsi="Arial" w:cs="Arial"/>
          <w:sz w:val="28"/>
          <w:szCs w:val="28"/>
          <w:lang w:bidi="ru-RU"/>
        </w:rPr>
        <w:t>Паращитовидные (околощитовидные) железы рас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полагаются на задней поверхности щитовидной железы вне ее капсулы около верхнего и нижнего полюсов, имеют округлую форму, диаметр до 5 мм, массу до 0,5 г. Обычно у человека 2 пары паращитовидных желез (верхние и нижние). Число и локализация паращитовидных желез могут су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щественно варьировать, доходя иногда до 12 пар. Дополнительные паращи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товидные железы встречаются в ткани щитовидной и вилочковой желез, в переднем и заднем средостении, в перикарде, позади пищевода, в области бифуркации общей сонной артерии. Кровоснабжение паращитовидных желез осуществляется в основном ветвями щитовидной артерии, из-за чего и возможны повреждения этих желез при операциях на щитовидной железе (рис. 11.1).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Паренхима желез состоит из паратироцитов, среди которых выделяют главные, окрашивающиеся основными красителями, и оксифильные клет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ки. Главные паратироциты — гормонально-активные клетки, которые под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разделяются на светлые клетки, преобладающие у детей, плохо прокраши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вающиеся большинством красителей (слабо базофильны) и темные клетки, преобладающие у взрослых (окрашиваются основными красителями: кис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лым и </w:t>
      </w: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железным гематоксилином). Оксифильные паратироциты («покоя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щиеся*- клетки) появляются в возрасте 10 лет, они гормонально-неактивны.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Основным гормоном паращитовидных желез является паратгормон — полипептид с одной аминокислотной цепью, состоящей из 84 аминокис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лотных остатков, с молекулярной массой около 9500. Паратгормон прини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мает участие в поддержании гомеостаза кальция, при снижении уровня ко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торого секреция гормона стимулируется, а при повышении — тормозится. Аналогичное действие на секрецию паратгормона оказывает магний, но в достаточно высоких фармакологических концентрациях. При снижении уровня общего кальция в крови до 1,8—2 ммоль/л скорость секреции па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ратгормона увеличивается в 5 раз. Секреция паратгормона возрастает под влиянием агонистов </w:t>
      </w:r>
      <w:r w:rsidRPr="00B0315C">
        <w:rPr>
          <w:rFonts w:ascii="Arial" w:hAnsi="Arial" w:cs="Arial"/>
          <w:sz w:val="28"/>
          <w:szCs w:val="28"/>
          <w:lang w:bidi="en-US"/>
        </w:rPr>
        <w:t>p</w:t>
      </w:r>
      <w:r w:rsidRPr="00B0315C">
        <w:rPr>
          <w:rFonts w:ascii="Arial" w:hAnsi="Arial" w:cs="Arial"/>
          <w:sz w:val="28"/>
          <w:szCs w:val="28"/>
          <w:lang w:bidi="ru-RU"/>
        </w:rPr>
        <w:t>-адренергических и ГТ-гистаминных рецепторов.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При повышенной потребности в кальции усиливается функция пара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щитовидных желез. Зарегистрирована также пульсирующая секреция гор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мона, наиболее интенсивная в ночные часы.</w:t>
      </w:r>
    </w:p>
    <w:p w:rsidR="0031747F" w:rsidRPr="00B0315C" w:rsidRDefault="00912B85" w:rsidP="0031747F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 xml:space="preserve">Фосфорно-кальциевый обмен. Повышение </w:t>
      </w:r>
      <w:r w:rsidRPr="00B0315C">
        <w:rPr>
          <w:rFonts w:ascii="Arial" w:hAnsi="Arial" w:cs="Arial"/>
          <w:sz w:val="28"/>
          <w:szCs w:val="28"/>
          <w:lang w:bidi="ru-RU"/>
        </w:rPr>
        <w:t>концентрации ионизирован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ного кальция под действием паратгормона обусловлено в основном двумя эффектами. Во-первых, воздействуя непосредственно на остеокласты, паратгормон способствует высвобождению солей кальция из костной ткани, при этом в плазме возрастает уровень как кальция, так и фосфора. Под влиянием паратгормона увеличиваются число и активность остеоклас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тов в результате непосредственного воздействия его на рецепторы остео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бластов, продуцирующих местные ткан</w:t>
      </w:r>
      <w:r w:rsidR="0031747F">
        <w:rPr>
          <w:rFonts w:ascii="Arial" w:hAnsi="Arial" w:cs="Arial"/>
          <w:sz w:val="28"/>
          <w:szCs w:val="28"/>
          <w:lang w:bidi="ru-RU"/>
        </w:rPr>
        <w:t>евые факторы, активирующие клет</w:t>
      </w:r>
      <w:r w:rsidR="0031747F" w:rsidRPr="00B0315C">
        <w:rPr>
          <w:rFonts w:ascii="Arial" w:hAnsi="Arial" w:cs="Arial"/>
          <w:sz w:val="28"/>
          <w:szCs w:val="28"/>
          <w:lang w:bidi="ru-RU"/>
        </w:rPr>
        <w:t>ки — предшественники остеокластов. Эффекты кратковременного и дли</w:t>
      </w:r>
      <w:r w:rsidR="0031747F" w:rsidRPr="00B0315C">
        <w:rPr>
          <w:rFonts w:ascii="Arial" w:hAnsi="Arial" w:cs="Arial"/>
          <w:sz w:val="28"/>
          <w:szCs w:val="28"/>
          <w:lang w:bidi="ru-RU"/>
        </w:rPr>
        <w:softHyphen/>
        <w:t>тельного воздействия паратгормона на кость различны: короткое преры</w:t>
      </w:r>
      <w:r w:rsidR="0031747F" w:rsidRPr="00B0315C">
        <w:rPr>
          <w:rFonts w:ascii="Arial" w:hAnsi="Arial" w:cs="Arial"/>
          <w:sz w:val="28"/>
          <w:szCs w:val="28"/>
          <w:lang w:bidi="ru-RU"/>
        </w:rPr>
        <w:softHyphen/>
        <w:t>вистое действие ведет к костеобразованию, длительное непрерывное — к деструкции. При избытке паратгормона возникает отрицательный костный баланс (уменьшение плотности костной ткани), что сопровождается избы</w:t>
      </w:r>
      <w:r w:rsidR="0031747F" w:rsidRPr="00B0315C">
        <w:rPr>
          <w:rFonts w:ascii="Arial" w:hAnsi="Arial" w:cs="Arial"/>
          <w:sz w:val="28"/>
          <w:szCs w:val="28"/>
          <w:lang w:bidi="ru-RU"/>
        </w:rPr>
        <w:softHyphen/>
        <w:t>точным выделением оксипролина.</w:t>
      </w:r>
    </w:p>
    <w:p w:rsidR="0031747F" w:rsidRPr="00B0315C" w:rsidRDefault="0031747F" w:rsidP="0031747F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Во-вторых, воздействуя на почечные канальцы, паратгормон понижает реабсорбцию фосфатов, вызывая фосфатурию. Кроме того, косвенно влия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ние паратгормона на фосфорно-кальциевый обмен связано с его активиру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ющим влиянием на </w:t>
      </w:r>
      <w:r w:rsidRPr="00B0315C">
        <w:rPr>
          <w:rFonts w:ascii="Arial" w:hAnsi="Arial" w:cs="Arial"/>
          <w:sz w:val="28"/>
          <w:szCs w:val="28"/>
          <w:lang w:bidi="en-US"/>
        </w:rPr>
        <w:t>la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-гидроксилазу почечных канальцев, в результате чего 25-оксихолекальциферол превращается в активный 1,25-диоксихолекаль- циферол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fl,25-(OH)2-Dj, </w:t>
      </w:r>
      <w:r w:rsidRPr="00B0315C">
        <w:rPr>
          <w:rFonts w:ascii="Arial" w:hAnsi="Arial" w:cs="Arial"/>
          <w:sz w:val="28"/>
          <w:szCs w:val="28"/>
          <w:lang w:bidi="ru-RU"/>
        </w:rPr>
        <w:t>кальцитриол].</w:t>
      </w:r>
    </w:p>
    <w:p w:rsidR="0031747F" w:rsidRPr="00B0315C" w:rsidRDefault="0031747F" w:rsidP="0031747F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en-US"/>
        </w:rPr>
        <w:t>1,25-(OH)</w:t>
      </w:r>
      <w:r w:rsidRPr="00B0315C">
        <w:rPr>
          <w:rFonts w:ascii="Arial" w:hAnsi="Arial" w:cs="Arial"/>
          <w:sz w:val="28"/>
          <w:szCs w:val="28"/>
          <w:vertAlign w:val="subscript"/>
          <w:lang w:bidi="en-US"/>
        </w:rPr>
        <w:t>2</w:t>
      </w:r>
      <w:r w:rsidRPr="00B0315C">
        <w:rPr>
          <w:rFonts w:ascii="Arial" w:hAnsi="Arial" w:cs="Arial"/>
          <w:sz w:val="28"/>
          <w:szCs w:val="28"/>
          <w:lang w:bidi="en-US"/>
        </w:rPr>
        <w:t>-D</w:t>
      </w:r>
      <w:r w:rsidRPr="00B0315C">
        <w:rPr>
          <w:rFonts w:ascii="Arial" w:hAnsi="Arial" w:cs="Arial"/>
          <w:sz w:val="28"/>
          <w:szCs w:val="28"/>
          <w:vertAlign w:val="subscript"/>
          <w:lang w:bidi="en-US"/>
        </w:rPr>
        <w:t>3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 </w:t>
      </w:r>
      <w:r w:rsidRPr="00B0315C">
        <w:rPr>
          <w:rFonts w:ascii="Arial" w:hAnsi="Arial" w:cs="Arial"/>
          <w:sz w:val="28"/>
          <w:szCs w:val="28"/>
          <w:lang w:bidi="ru-RU"/>
        </w:rPr>
        <w:t>действует на резервуары кальция как синергист парат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гормона. Его действие в первую очередь направлено на повышение всасы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вания кальция в кишечнике и усиление реабсорбции в почечных клубоч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ках. Дефицит </w:t>
      </w:r>
      <w:r w:rsidRPr="00B0315C">
        <w:rPr>
          <w:rFonts w:ascii="Arial" w:hAnsi="Arial" w:cs="Arial"/>
          <w:sz w:val="28"/>
          <w:szCs w:val="28"/>
          <w:lang w:bidi="en-US"/>
        </w:rPr>
        <w:t>1,25-(OH)</w:t>
      </w:r>
      <w:r w:rsidRPr="00B0315C">
        <w:rPr>
          <w:rFonts w:ascii="Arial" w:hAnsi="Arial" w:cs="Arial"/>
          <w:sz w:val="28"/>
          <w:szCs w:val="28"/>
          <w:vertAlign w:val="subscript"/>
          <w:lang w:bidi="en-US"/>
        </w:rPr>
        <w:t>2</w:t>
      </w:r>
      <w:r w:rsidRPr="00B0315C">
        <w:rPr>
          <w:rFonts w:ascii="Arial" w:hAnsi="Arial" w:cs="Arial"/>
          <w:sz w:val="28"/>
          <w:szCs w:val="28"/>
          <w:lang w:bidi="en-US"/>
        </w:rPr>
        <w:t>-D</w:t>
      </w:r>
      <w:r w:rsidRPr="00B0315C">
        <w:rPr>
          <w:rFonts w:ascii="Arial" w:hAnsi="Arial" w:cs="Arial"/>
          <w:sz w:val="28"/>
          <w:szCs w:val="28"/>
          <w:vertAlign w:val="subscript"/>
          <w:lang w:bidi="en-US"/>
        </w:rPr>
        <w:t>3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 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и нарушения его </w:t>
      </w: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метаболизма или рецепции являются важными звеньями в патогенезе большинства форм остеопороза.</w:t>
      </w:r>
    </w:p>
    <w:p w:rsidR="00912B85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</w:p>
    <w:p w:rsidR="0031747F" w:rsidRPr="00B0315C" w:rsidRDefault="0031747F" w:rsidP="0031747F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447040" distL="1368425" distR="0" simplePos="0" relativeHeight="251702272" behindDoc="0" locked="0" layoutInCell="1" allowOverlap="1" wp14:anchorId="5F9216B5" wp14:editId="027E0A2E">
            <wp:simplePos x="0" y="0"/>
            <wp:positionH relativeFrom="page">
              <wp:posOffset>2902585</wp:posOffset>
            </wp:positionH>
            <wp:positionV relativeFrom="paragraph">
              <wp:posOffset>0</wp:posOffset>
            </wp:positionV>
            <wp:extent cx="2853055" cy="3139440"/>
            <wp:effectExtent l="0" t="0" r="0" b="0"/>
            <wp:wrapTopAndBottom/>
            <wp:docPr id="1085" name="Shape 10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" name="Picture box 108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2853055" cy="3139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704320" behindDoc="0" locked="0" layoutInCell="1" allowOverlap="1" wp14:anchorId="385933D2" wp14:editId="5125C01B">
                <wp:simplePos x="0" y="0"/>
                <wp:positionH relativeFrom="page">
                  <wp:posOffset>2067560</wp:posOffset>
                </wp:positionH>
                <wp:positionV relativeFrom="paragraph">
                  <wp:posOffset>76200</wp:posOffset>
                </wp:positionV>
                <wp:extent cx="816610" cy="463550"/>
                <wp:effectExtent l="0" t="0" r="0" b="0"/>
                <wp:wrapNone/>
                <wp:docPr id="1087" name="Shape 10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6610" cy="4635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1747F" w:rsidRDefault="0031747F" w:rsidP="0031747F">
                            <w:pPr>
                              <w:spacing w:after="140" w:line="216" w:lineRule="auto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t>Нижний констриктор глотки</w:t>
                            </w:r>
                          </w:p>
                          <w:p w:rsidR="0031747F" w:rsidRDefault="0031747F" w:rsidP="0031747F">
                            <w:pPr>
                              <w:spacing w:line="216" w:lineRule="auto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t>Щитоподъязычная связка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85933D2" id="_x0000_t202" coordsize="21600,21600" o:spt="202" path="m,l,21600r21600,l21600,xe">
                <v:stroke joinstyle="miter"/>
                <v:path gradientshapeok="t" o:connecttype="rect"/>
              </v:shapetype>
              <v:shape id="Shape 1087" o:spid="_x0000_s1027" type="#_x0000_t202" style="position:absolute;left:0;text-align:left;margin-left:162.8pt;margin-top:6pt;width:64.3pt;height:36.5pt;z-index:25170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" filled="f" stroked="f">
                <v:textbox inset="0,0,0,0">
                  <w:txbxContent>
                    <w:p w:rsidR="0031747F" w:rsidRDefault="0031747F" w:rsidP="0031747F">
                      <w:pPr>
                        <w:spacing w:after="140" w:line="216" w:lineRule="auto"/>
                        <w:jc w:val="righ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  <w:t>Нижний констриктор глотки</w:t>
                      </w:r>
                    </w:p>
                    <w:p w:rsidR="0031747F" w:rsidRDefault="0031747F" w:rsidP="0031747F">
                      <w:pPr>
                        <w:spacing w:line="216" w:lineRule="auto"/>
                        <w:jc w:val="righ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  <w:t>Щитоподъязычная связка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705344" behindDoc="0" locked="0" layoutInCell="1" allowOverlap="1" wp14:anchorId="30479ADC" wp14:editId="460CB599">
                <wp:simplePos x="0" y="0"/>
                <wp:positionH relativeFrom="page">
                  <wp:posOffset>2430145</wp:posOffset>
                </wp:positionH>
                <wp:positionV relativeFrom="paragraph">
                  <wp:posOffset>701040</wp:posOffset>
                </wp:positionV>
                <wp:extent cx="460375" cy="109855"/>
                <wp:effectExtent l="0" t="0" r="0" b="0"/>
                <wp:wrapNone/>
                <wp:docPr id="1089" name="Shape 10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375" cy="1098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1747F" w:rsidRDefault="0031747F" w:rsidP="0031747F">
                            <w:pPr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t>Шов глотки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0479ADC" id="Shape 1089" o:spid="_x0000_s1028" type="#_x0000_t202" style="position:absolute;left:0;text-align:left;margin-left:191.35pt;margin-top:55.2pt;width:36.25pt;height:8.65pt;z-index:251705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" filled="f" stroked="f">
                <v:textbox inset="0,0,0,0">
                  <w:txbxContent>
                    <w:p w:rsidR="0031747F" w:rsidRDefault="0031747F" w:rsidP="0031747F">
                      <w:pPr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  <w:t>Шов глотки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706368" behindDoc="0" locked="0" layoutInCell="1" allowOverlap="1" wp14:anchorId="709F99F4" wp14:editId="35E20AA5">
                <wp:simplePos x="0" y="0"/>
                <wp:positionH relativeFrom="page">
                  <wp:posOffset>2042795</wp:posOffset>
                </wp:positionH>
                <wp:positionV relativeFrom="paragraph">
                  <wp:posOffset>1865630</wp:posOffset>
                </wp:positionV>
                <wp:extent cx="875030" cy="198120"/>
                <wp:effectExtent l="0" t="0" r="0" b="0"/>
                <wp:wrapNone/>
                <wp:docPr id="1091" name="Shape 10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030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1747F" w:rsidRDefault="0031747F" w:rsidP="0031747F">
                            <w:pPr>
                              <w:spacing w:line="223" w:lineRule="auto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t>Левая доля щитовид</w:t>
                            </w:r>
                            <w:r>
                              <w:rPr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softHyphen/>
                              <w:t>ной железы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09F99F4" id="Shape 1091" o:spid="_x0000_s1029" type="#_x0000_t202" style="position:absolute;left:0;text-align:left;margin-left:160.85pt;margin-top:146.9pt;width:68.9pt;height:15.6pt;z-index:251706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" filled="f" stroked="f">
                <v:textbox inset="0,0,0,0">
                  <w:txbxContent>
                    <w:p w:rsidR="0031747F" w:rsidRDefault="0031747F" w:rsidP="0031747F">
                      <w:pPr>
                        <w:spacing w:line="223" w:lineRule="auto"/>
                        <w:jc w:val="righ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  <w:t>Левая доля щитовид</w:t>
                      </w:r>
                      <w:r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  <w:softHyphen/>
                        <w:t>ной железы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707392" behindDoc="0" locked="0" layoutInCell="1" allowOverlap="1" wp14:anchorId="3BBF3016" wp14:editId="30A49528">
                <wp:simplePos x="0" y="0"/>
                <wp:positionH relativeFrom="page">
                  <wp:posOffset>2533650</wp:posOffset>
                </wp:positionH>
                <wp:positionV relativeFrom="paragraph">
                  <wp:posOffset>2682240</wp:posOffset>
                </wp:positionV>
                <wp:extent cx="387350" cy="113030"/>
                <wp:effectExtent l="0" t="0" r="0" b="0"/>
                <wp:wrapNone/>
                <wp:docPr id="1093" name="Shape 10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0" cy="113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1747F" w:rsidRDefault="0031747F" w:rsidP="0031747F">
                            <w:pPr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t>Пищевод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BBF3016" id="Shape 1093" o:spid="_x0000_s1030" type="#_x0000_t202" style="position:absolute;left:0;text-align:left;margin-left:199.5pt;margin-top:211.2pt;width:30.5pt;height:8.9pt;z-index:251707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" filled="f" stroked="f">
                <v:textbox inset="0,0,0,0">
                  <w:txbxContent>
                    <w:p w:rsidR="0031747F" w:rsidRDefault="0031747F" w:rsidP="0031747F">
                      <w:pPr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  <w:t>Пищевод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708416" behindDoc="0" locked="0" layoutInCell="1" allowOverlap="1" wp14:anchorId="34FAFF37" wp14:editId="1C1DB919">
                <wp:simplePos x="0" y="0"/>
                <wp:positionH relativeFrom="page">
                  <wp:posOffset>4868545</wp:posOffset>
                </wp:positionH>
                <wp:positionV relativeFrom="paragraph">
                  <wp:posOffset>1042670</wp:posOffset>
                </wp:positionV>
                <wp:extent cx="844550" cy="194945"/>
                <wp:effectExtent l="0" t="0" r="0" b="0"/>
                <wp:wrapNone/>
                <wp:docPr id="1095" name="Shape 10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455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1747F" w:rsidRDefault="0031747F" w:rsidP="0031747F">
                            <w:pPr>
                              <w:spacing w:line="209" w:lineRule="auto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t>Средний констриктор глотки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4FAFF37" id="Shape 1095" o:spid="_x0000_s1031" type="#_x0000_t202" style="position:absolute;left:0;text-align:left;margin-left:383.35pt;margin-top:82.1pt;width:66.5pt;height:15.35pt;z-index:251708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" filled="f" stroked="f">
                <v:textbox inset="0,0,0,0">
                  <w:txbxContent>
                    <w:p w:rsidR="0031747F" w:rsidRDefault="0031747F" w:rsidP="0031747F">
                      <w:pPr>
                        <w:spacing w:line="209" w:lineRule="auto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  <w:t>Средний констриктор глотки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709440" behindDoc="0" locked="0" layoutInCell="1" allowOverlap="1" wp14:anchorId="3B52BEF0" wp14:editId="7073C245">
                <wp:simplePos x="0" y="0"/>
                <wp:positionH relativeFrom="page">
                  <wp:posOffset>4834890</wp:posOffset>
                </wp:positionH>
                <wp:positionV relativeFrom="paragraph">
                  <wp:posOffset>2319655</wp:posOffset>
                </wp:positionV>
                <wp:extent cx="892810" cy="179705"/>
                <wp:effectExtent l="0" t="0" r="0" b="0"/>
                <wp:wrapNone/>
                <wp:docPr id="1097" name="Shape 10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810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1747F" w:rsidRDefault="0031747F" w:rsidP="0031747F">
                            <w:pPr>
                              <w:spacing w:line="202" w:lineRule="auto"/>
                              <w:ind w:firstLine="48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t>паращитовид</w:t>
                            </w:r>
                            <w:r>
                              <w:rPr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softHyphen/>
                              <w:t>ная железа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B52BEF0" id="Shape 1097" o:spid="_x0000_s1032" type="#_x0000_t202" style="position:absolute;left:0;text-align:left;margin-left:380.7pt;margin-top:182.65pt;width:70.3pt;height:14.15pt;z-index:25170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" filled="f" stroked="f">
                <v:textbox inset="0,0,0,0">
                  <w:txbxContent>
                    <w:p w:rsidR="0031747F" w:rsidRDefault="0031747F" w:rsidP="0031747F">
                      <w:pPr>
                        <w:spacing w:line="202" w:lineRule="auto"/>
                        <w:ind w:firstLine="480"/>
                        <w:jc w:val="both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  <w:t>паращитовид</w:t>
                      </w:r>
                      <w:r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  <w:softHyphen/>
                        <w:t>ная железа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710464" behindDoc="0" locked="0" layoutInCell="1" allowOverlap="1" wp14:anchorId="23F0BD0A" wp14:editId="6590F8BB">
                <wp:simplePos x="0" y="0"/>
                <wp:positionH relativeFrom="page">
                  <wp:posOffset>4829175</wp:posOffset>
                </wp:positionH>
                <wp:positionV relativeFrom="paragraph">
                  <wp:posOffset>2673350</wp:posOffset>
                </wp:positionV>
                <wp:extent cx="572770" cy="125095"/>
                <wp:effectExtent l="0" t="0" r="0" b="0"/>
                <wp:wrapNone/>
                <wp:docPr id="1099" name="Shape 10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770" cy="125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1747F" w:rsidRDefault="0031747F" w:rsidP="0031747F">
                            <w:pPr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t>Хрящи трахеи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3F0BD0A" id="Shape 1099" o:spid="_x0000_s1033" type="#_x0000_t202" style="position:absolute;left:0;text-align:left;margin-left:380.25pt;margin-top:210.5pt;width:45.1pt;height:9.85pt;z-index:25171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" filled="f" stroked="f">
                <v:textbox inset="0,0,0,0">
                  <w:txbxContent>
                    <w:p w:rsidR="0031747F" w:rsidRDefault="0031747F" w:rsidP="0031747F">
                      <w:pPr>
                        <w:jc w:val="righ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  <w:t>Хрящи трахеи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711488" behindDoc="0" locked="0" layoutInCell="1" allowOverlap="1" wp14:anchorId="05A2FE72" wp14:editId="59080D17">
                <wp:simplePos x="0" y="0"/>
                <wp:positionH relativeFrom="page">
                  <wp:posOffset>1534160</wp:posOffset>
                </wp:positionH>
                <wp:positionV relativeFrom="paragraph">
                  <wp:posOffset>3227705</wp:posOffset>
                </wp:positionV>
                <wp:extent cx="2761615" cy="155575"/>
                <wp:effectExtent l="0" t="0" r="0" b="0"/>
                <wp:wrapNone/>
                <wp:docPr id="1101" name="Shape 1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1615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1747F" w:rsidRDefault="0031747F" w:rsidP="0031747F">
                            <w:r>
                              <w:rPr>
                                <w:b/>
                                <w:bCs/>
                              </w:rPr>
                              <w:t xml:space="preserve">Рис. 11.1. </w:t>
                            </w:r>
                            <w:r>
                              <w:t>Паращитовидные железы. Вид сзади.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5A2FE72" id="Shape 1101" o:spid="_x0000_s1034" type="#_x0000_t202" style="position:absolute;left:0;text-align:left;margin-left:120.8pt;margin-top:254.15pt;width:217.45pt;height:12.25pt;z-index:251711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" filled="f" stroked="f">
                <v:textbox inset="0,0,0,0">
                  <w:txbxContent>
                    <w:p w:rsidR="0031747F" w:rsidRDefault="0031747F" w:rsidP="0031747F">
                      <w:r>
                        <w:rPr>
                          <w:b/>
                          <w:bCs/>
                        </w:rPr>
                        <w:t xml:space="preserve">Рис. 11.1. </w:t>
                      </w:r>
                      <w:r>
                        <w:t>Паращитовидные железы. Вид сзади.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1917065" distB="1477645" distL="0" distR="0" simplePos="0" relativeHeight="251703296" behindDoc="0" locked="0" layoutInCell="1" allowOverlap="1" wp14:anchorId="24EB159B" wp14:editId="69A8A483">
                <wp:simplePos x="0" y="0"/>
                <wp:positionH relativeFrom="page">
                  <wp:posOffset>4834890</wp:posOffset>
                </wp:positionH>
                <wp:positionV relativeFrom="paragraph">
                  <wp:posOffset>1917065</wp:posOffset>
                </wp:positionV>
                <wp:extent cx="814070" cy="191770"/>
                <wp:effectExtent l="0" t="0" r="0" b="0"/>
                <wp:wrapTopAndBottom/>
                <wp:docPr id="1103" name="Shape 1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4070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1747F" w:rsidRDefault="0031747F" w:rsidP="0031747F">
                            <w:pPr>
                              <w:spacing w:line="223" w:lineRule="auto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sz w:val="13"/>
                                <w:szCs w:val="13"/>
                              </w:rPr>
                              <w:t>доля</w:t>
                            </w:r>
                            <w:r>
                              <w:rPr>
                                <w:sz w:val="13"/>
                                <w:szCs w:val="13"/>
                              </w:rPr>
                              <w:br/>
                              <w:t>щитовидной железы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4EB159B" id="Shape 1103" o:spid="_x0000_s1035" type="#_x0000_t202" style="position:absolute;left:0;text-align:left;margin-left:380.7pt;margin-top:150.95pt;width:64.1pt;height:15.1pt;z-index:251703296;visibility:visible;mso-wrap-style:square;mso-wrap-distance-left:0;mso-wrap-distance-top:150.95pt;mso-wrap-distance-right:0;mso-wrap-distance-bottom:116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" filled="f" stroked="f">
                <v:textbox inset="0,0,0,0">
                  <w:txbxContent>
                    <w:p w:rsidR="0031747F" w:rsidRDefault="0031747F" w:rsidP="0031747F">
                      <w:pPr>
                        <w:spacing w:line="223" w:lineRule="auto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sz w:val="13"/>
                          <w:szCs w:val="13"/>
                        </w:rPr>
                        <w:t>доля</w:t>
                      </w:r>
                      <w:r>
                        <w:rPr>
                          <w:sz w:val="13"/>
                          <w:szCs w:val="13"/>
                        </w:rPr>
                        <w:br/>
                        <w:t>щитовидной железы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1747F" w:rsidRDefault="0031747F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В регуляции обмена кальция важную роль играет также кальцитонин — гормон, вырабатываемый в основном С-клетками щитовидной железы. Кальцитонин является пептидом, состоящим из 32 аминокислот. Подавляя активность остеокластов, кальцитонин тормозит резорбцию костного мат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рикса и тем самым вызывает высвобождение кальция и фосфатов. Уровни секреции кальцитонина и паратгормона связаны обратной зависимостью. Основным стимулятором секреции кальцитонина является повышение концентрации ионизированного кальция в крови, ингибитором — сниже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ние уровня кальция. Интересно, что удаление щитовидной железы (с пара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фолликулярными клетками) у человека и животных не приводит к гипер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кальциемии, а введение кальцитонина здоровым лицам не приводит к до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стоверному снижению уровня кальция в крови. Для кальцитонина сущест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вует выраженная межвидовая вариабельность; самый активный из природ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ных кальцитонинов был обнаружен у лосося.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В норме человек потребляет около 25 ммоль (1 г) кальция в сутки. От 25 до 50 % кальция всасывается при участии 1,25-диоксихолекальциферола. Физиологические колебания уровня кальция и фосфора поддерживаются в довольно узких границах: нижний нормативный уровень кальция равен 2, а верхний — 2,8 ммоль/л. В плазме крови кальций содержится в двух основ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ных </w:t>
      </w:r>
      <w:r w:rsidRPr="00B0315C">
        <w:rPr>
          <w:rFonts w:ascii="Arial" w:hAnsi="Arial" w:cs="Arial"/>
          <w:sz w:val="28"/>
          <w:szCs w:val="28"/>
          <w:lang w:bidi="ru-RU"/>
        </w:rPr>
        <w:lastRenderedPageBreak/>
        <w:t>формах. Фракция кальция, связанная с альбумином, составляет не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сколько меньше половины общего количества кальция, определяемого ру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тинными методами. Биологически активной является фракция свободного (ионизированного) кальция. По мере повышения pH высвобождение сво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бодного ионизированного кальция из его солей уменьшается. Повышение pH плазмы также способствует связыванию кальция с белками, поэтому при алкалозе отношение свободного ионизированного кальция к общему содержанию кальция понижается и, несмотря на то что общий уровень кальция остается в пределах нормы, может развиться тетания. При дли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тельном ацидозе повышается растворимость солей костной ткани, что при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водит к увеличению потери кальция с мочой.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Гипокальциемия немедленно стимулирует синтез паратгормона, кото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рый усиливает резорбцию кальция из костной ткани в кровь, экскрецию фосфора с мочой, что позволяет поддерживать нормальное соотношение кальция и фосфора. Снижению уровня кальция в крови способствуют глю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кокортикоиды, гормон роста, глюкагон, андрогены и эстрогены, поэтому так разнообразен перечень заболеваний, которые сопровождаются наруше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ниями обмена кальция.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Основная масса (99 %) имеющегося в организме кальция находится в костях. Костная ткань представляет собой постоянно обновляющуюся ди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намическую систему, где в течение всей жизни происходят процессы ремо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делирования: разрушение старой кости — костная резорбция и образование новой кости — костеобразование или костное формирование. В каждый момент времени костное ремоделирование происходит в каждой отдельной единице костной структуры.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Костная ткань состоит из клеточных элементов, межклеточного веще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ства — костного матрикса и минеральных компонентов. Костный матрикс образован коллагеновыми фибриллами, ориентированными в одном на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правлении. Кристаллы гидроксиапатита находятся на коллагеновых волок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нах и в окружающем пространстве. В состав костной ткани входят следую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щие клетки: остеобласты — крупные клетки с базофильной цитоплазмой, обладающие способностью к белковому синтезу (костеобразующие клет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ки); остеокласты — гигантские многоядерные клетки, рассасывающие костную ткань за счет лизосомных ферментов; остеоциты — метаболически неактивные костные клетки находятся в глубоко вмонтированных в кость малых остеоцитных лакунах, они происходят из части остеобластов, заму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рованных в собственном костном матриксе.</w:t>
      </w:r>
    </w:p>
    <w:p w:rsidR="0031747F" w:rsidRPr="0031747F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Процесс ремоделирования кости делится на 5 фаз. В здоровом взрос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лом организме в </w:t>
      </w:r>
      <w:r w:rsidRPr="00B0315C">
        <w:rPr>
          <w:rFonts w:ascii="Arial" w:hAnsi="Arial" w:cs="Arial"/>
          <w:i/>
          <w:iCs/>
          <w:sz w:val="28"/>
          <w:szCs w:val="28"/>
          <w:lang w:bidi="ru-RU"/>
        </w:rPr>
        <w:t>фазе покоя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находится до 80 % трабекулярной и 95 % корти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кальной костной ткани. </w:t>
      </w:r>
      <w:r w:rsidRPr="00B0315C">
        <w:rPr>
          <w:rFonts w:ascii="Arial" w:hAnsi="Arial" w:cs="Arial"/>
          <w:i/>
          <w:iCs/>
          <w:sz w:val="28"/>
          <w:szCs w:val="28"/>
          <w:lang w:bidi="ru-RU"/>
        </w:rPr>
        <w:t>Фаза активации,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возникающая в каждом участке кости с интервалом 2—3 года, включает в себя </w:t>
      </w: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пролиферацию и активацию предшественников остеокластов в гемопоэтической ткани, поступление и прикрепление мультиядерных остеокластов к поверхности резорбируемого</w:t>
      </w:r>
      <w:r w:rsidR="0031747F" w:rsidRPr="0031747F">
        <w:rPr>
          <w:rFonts w:ascii="Arial" w:hAnsi="Arial" w:cs="Arial"/>
          <w:sz w:val="28"/>
          <w:szCs w:val="28"/>
          <w:lang w:bidi="ru-RU"/>
        </w:rPr>
        <w:t xml:space="preserve"> участка. Далее следует фаза резорбции, которая продолжается около 1—3 нед. Этот процесс заключается в расплавлении неорганического костного матрикса кости с последующей деградацией органического, что обеспечи¬вается поступлением в участки резорбции ионов водорода и лизосомных ферментов остеокластов. Переходная фаза длится 1—2 нед, при этом в ре¬зорбированной полости появляются остеобласты. Новообразование кости (образование остеоида) начинается с откладывания остеобластами костно¬го матрикса со скоростью 2—3 мкм в день, который через 5—10 дней мине¬рализуется. Процесс костеобразования длится около 3 мес, а полный цикл обновления кости в каждом участке занимает 4—8 мес. Общее обновление кости составляет приблизительно 4—10 % ежегодно (рис. 11.2).</w:t>
      </w:r>
    </w:p>
    <w:p w:rsidR="0031747F" w:rsidRDefault="0031747F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</w:p>
    <w:p w:rsidR="0031747F" w:rsidRPr="00B0315C" w:rsidRDefault="0031747F" w:rsidP="0031747F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I. Фаза покоя</w:t>
      </w:r>
    </w:p>
    <w:p w:rsidR="0031747F" w:rsidRPr="00B0315C" w:rsidRDefault="0031747F" w:rsidP="0031747F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5937BCF7" wp14:editId="4A592F90">
            <wp:extent cx="3066415" cy="1438910"/>
            <wp:effectExtent l="0" t="0" r="0" b="0"/>
            <wp:docPr id="1105" name="Picutre 11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" name="Picture 110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3066415" cy="143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47F" w:rsidRPr="00B0315C" w:rsidRDefault="0031747F" w:rsidP="0031747F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31747F" w:rsidRPr="00B0315C" w:rsidRDefault="0031747F" w:rsidP="0031747F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31747F" w:rsidRPr="00B0315C" w:rsidRDefault="0031747F" w:rsidP="0031747F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5A828D5D" wp14:editId="5D7611C2">
            <wp:extent cx="3060065" cy="1847215"/>
            <wp:effectExtent l="0" t="0" r="0" b="0"/>
            <wp:docPr id="1106" name="Picutre 11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" name="Picture 110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3060065" cy="184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47F" w:rsidRPr="00B0315C" w:rsidRDefault="0031747F" w:rsidP="0031747F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31747F" w:rsidRPr="00B0315C" w:rsidRDefault="0031747F" w:rsidP="0031747F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31747F" w:rsidRPr="00B0315C" w:rsidRDefault="0031747F" w:rsidP="0031747F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15942BAD" wp14:editId="705C4A69">
            <wp:extent cx="3328670" cy="895985"/>
            <wp:effectExtent l="0" t="0" r="0" b="0"/>
            <wp:docPr id="1107" name="Picutre 11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" name="Picture 110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3328670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47F" w:rsidRPr="00B0315C" w:rsidRDefault="0031747F" w:rsidP="0031747F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 xml:space="preserve">Рис. 11.2. 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Цикл костного ремоделирования в нормальной кости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[Allolio </w:t>
      </w:r>
      <w:r w:rsidRPr="00B0315C">
        <w:rPr>
          <w:rFonts w:ascii="Arial" w:hAnsi="Arial" w:cs="Arial"/>
          <w:sz w:val="28"/>
          <w:szCs w:val="28"/>
          <w:lang w:bidi="ru-RU"/>
        </w:rPr>
        <w:t>В., 1996|.</w:t>
      </w:r>
    </w:p>
    <w:p w:rsidR="00B0315C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В среднем пик костной массы формируется к 20 годам, затем наступает период относительного равновесия (плато), а с 35—40 лет начинается воз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растная физиологическая потеря массы кости со скоростью 0,3—0,5 % в</w:t>
      </w:r>
      <w:r w:rsidR="00B0315C" w:rsidRPr="00B0315C">
        <w:rPr>
          <w:rFonts w:ascii="Arial" w:hAnsi="Arial" w:cs="Arial"/>
          <w:sz w:val="28"/>
          <w:szCs w:val="28"/>
          <w:lang w:bidi="ru-RU"/>
        </w:rPr>
        <w:t xml:space="preserve"> год. После наступления менопаузы у женщин костные потери ускоряются до 2—5 % в год, продолжаясь в таком темпе до 60—70 лет. Женщины в тече</w:t>
      </w:r>
      <w:r w:rsidR="00B0315C" w:rsidRPr="00B0315C">
        <w:rPr>
          <w:rFonts w:ascii="Arial" w:hAnsi="Arial" w:cs="Arial"/>
          <w:sz w:val="28"/>
          <w:szCs w:val="28"/>
          <w:lang w:bidi="ru-RU"/>
        </w:rPr>
        <w:softHyphen/>
        <w:t>ние всей жизни в среднем теряют до 35 % кортикальной и около 50 % тра</w:t>
      </w:r>
      <w:r w:rsidR="00B0315C" w:rsidRPr="00B0315C">
        <w:rPr>
          <w:rFonts w:ascii="Arial" w:hAnsi="Arial" w:cs="Arial"/>
          <w:sz w:val="28"/>
          <w:szCs w:val="28"/>
          <w:lang w:bidi="ru-RU"/>
        </w:rPr>
        <w:softHyphen/>
        <w:t>бекулярной костной массы. У мужчин костные потери составляют 15—20 % кортикальной кости и 20—30 % трабекулярной (рис. 11.3).</w:t>
      </w:r>
    </w:p>
    <w:p w:rsidR="00B0315C" w:rsidRDefault="00B0315C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00F7AFAB" wp14:editId="391ADFA1">
            <wp:extent cx="4175760" cy="1962785"/>
            <wp:effectExtent l="0" t="0" r="0" b="0"/>
            <wp:docPr id="1108" name="Picutre 11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" name="Picture 110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4175760" cy="196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Возраст, годы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5701F948" wp14:editId="01C523A4">
            <wp:extent cx="3791585" cy="1938655"/>
            <wp:effectExtent l="0" t="0" r="0" b="0"/>
            <wp:docPr id="1109" name="Picutre 11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" name="Picture 110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3791585" cy="193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б</w:t>
      </w:r>
      <w:r w:rsidRPr="00B0315C">
        <w:rPr>
          <w:rFonts w:ascii="Arial" w:hAnsi="Arial" w:cs="Arial"/>
          <w:sz w:val="28"/>
          <w:szCs w:val="28"/>
          <w:lang w:bidi="ru-RU"/>
        </w:rPr>
        <w:tab/>
        <w:t>Возраст, годы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 xml:space="preserve">Рис. 11.3. </w:t>
      </w:r>
      <w:r w:rsidRPr="00B0315C">
        <w:rPr>
          <w:rFonts w:ascii="Arial" w:hAnsi="Arial" w:cs="Arial"/>
          <w:sz w:val="28"/>
          <w:szCs w:val="28"/>
          <w:lang w:bidi="ru-RU"/>
        </w:rPr>
        <w:t>Изменения минеральной плотности костной ткани с возрастом у жен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щин (а) и у мужчин (б) [Боневольская Л.И., 1998].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912B85" w:rsidRPr="00B0315C" w:rsidRDefault="00912B85" w:rsidP="00B0315C">
      <w:pPr>
        <w:pStyle w:val="a4"/>
        <w:numPr>
          <w:ilvl w:val="0"/>
          <w:numId w:val="16"/>
        </w:numPr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2" w:name="bookmark183"/>
      <w:r w:rsidRPr="00B0315C">
        <w:rPr>
          <w:rFonts w:ascii="Arial" w:hAnsi="Arial" w:cs="Arial"/>
          <w:b/>
          <w:bCs/>
          <w:sz w:val="28"/>
          <w:szCs w:val="28"/>
          <w:lang w:bidi="ru-RU"/>
        </w:rPr>
        <w:t>Биосинтез и секреция гормонов, регулирующих фосфорно-кальциевый обмен</w:t>
      </w:r>
      <w:bookmarkEnd w:id="2"/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  <w:sectPr w:rsidR="00912B85" w:rsidRPr="00B0315C" w:rsidSect="00B0315C">
          <w:headerReference w:type="even" r:id="rId14"/>
          <w:headerReference w:type="default" r:id="rId15"/>
          <w:footerReference w:type="even" r:id="rId16"/>
          <w:footerReference w:type="default" r:id="rId17"/>
          <w:footnotePr>
            <w:numFmt w:val="upperRoman"/>
          </w:footnotePr>
          <w:pgSz w:w="11900" w:h="16840" w:code="9"/>
          <w:pgMar w:top="1134" w:right="1134" w:bottom="1134" w:left="1701" w:header="0" w:footer="3" w:gutter="0"/>
          <w:cols w:space="720"/>
          <w:noEndnote/>
          <w:docGrid w:linePitch="360"/>
        </w:sectPr>
      </w:pPr>
      <w:r w:rsidRPr="00B0315C">
        <w:rPr>
          <w:rFonts w:ascii="Arial" w:hAnsi="Arial" w:cs="Arial"/>
          <w:sz w:val="28"/>
          <w:szCs w:val="28"/>
          <w:lang w:bidi="ru-RU"/>
        </w:rPr>
        <w:t>Паратгормон образуется в околощитовидных железах из предшественни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ка — препропаратгормона, состоящего из 115 аминокислотных остатков. В дальнейшем путем отщепления 25 аминокислотных остатков образуется пропаратгормон, который в свою очередь отличается от паратгормона на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личием </w:t>
      </w:r>
      <w:r w:rsidRPr="00B0315C">
        <w:rPr>
          <w:rFonts w:ascii="Arial" w:hAnsi="Arial" w:cs="Arial"/>
          <w:sz w:val="28"/>
          <w:szCs w:val="28"/>
          <w:lang w:bidi="en-US"/>
        </w:rPr>
        <w:t>N</w:t>
      </w:r>
      <w:r w:rsidRPr="00B0315C">
        <w:rPr>
          <w:rFonts w:ascii="Arial" w:hAnsi="Arial" w:cs="Arial"/>
          <w:sz w:val="28"/>
          <w:szCs w:val="28"/>
          <w:lang w:bidi="ru-RU"/>
        </w:rPr>
        <w:t>-концевого гексапептида. Биологическая активность человечес-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lastRenderedPageBreak/>
        <w:t>Солнечный свет (УФ)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  <w:sectPr w:rsidR="00912B85" w:rsidRPr="00B0315C" w:rsidSect="00B0315C">
          <w:footnotePr>
            <w:numFmt w:val="upperRoman"/>
          </w:footnotePr>
          <w:pgSz w:w="11900" w:h="16840" w:code="9"/>
          <w:pgMar w:top="1134" w:right="1134" w:bottom="1134" w:left="1701" w:header="0" w:footer="3" w:gutter="0"/>
          <w:cols w:space="720"/>
          <w:noEndnote/>
          <w:docGrid w:linePitch="360"/>
        </w:sectPr>
      </w:pP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182245" distB="3429000" distL="0" distR="0" simplePos="0" relativeHeight="251662336" behindDoc="0" locked="0" layoutInCell="1" allowOverlap="1" wp14:anchorId="02F4EDF3" wp14:editId="09592C92">
                <wp:simplePos x="0" y="0"/>
                <wp:positionH relativeFrom="page">
                  <wp:posOffset>1033780</wp:posOffset>
                </wp:positionH>
                <wp:positionV relativeFrom="paragraph">
                  <wp:posOffset>182245</wp:posOffset>
                </wp:positionV>
                <wp:extent cx="1039495" cy="128270"/>
                <wp:effectExtent l="0" t="0" r="0" b="0"/>
                <wp:wrapTopAndBottom/>
                <wp:docPr id="1114" name="Shape 1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9495" cy="1282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Default="00B0315C" w:rsidP="00912B85">
                            <w:pPr>
                              <w:spacing w:line="240" w:lineRule="auto"/>
                            </w:pPr>
                            <w:r>
                              <w:t>7-Дегидрохолестерол-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2F4EDF3" id="Shape 1114" o:spid="_x0000_s1036" type="#_x0000_t202" style="position:absolute;left:0;text-align:left;margin-left:81.4pt;margin-top:14.35pt;width:81.85pt;height:10.1pt;z-index:251662336;visibility:visible;mso-wrap-style:none;mso-wrap-distance-left:0;mso-wrap-distance-top:14.35pt;mso-wrap-distance-right:0;mso-wrap-distance-bottom:270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" filled="f" stroked="f">
                <v:textbox inset="0,0,0,0">
                  <w:txbxContent>
                    <w:p w:rsidR="00B0315C" w:rsidRDefault="00B0315C" w:rsidP="00912B85">
                      <w:pPr>
                        <w:spacing w:line="240" w:lineRule="auto"/>
                      </w:pPr>
                      <w:r>
                        <w:t>7-Дегидрохолестерол-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163830" distB="3429635" distL="0" distR="0" simplePos="0" relativeHeight="251663360" behindDoc="0" locked="0" layoutInCell="1" allowOverlap="1" wp14:anchorId="3D0F845F" wp14:editId="17561097">
                <wp:simplePos x="0" y="0"/>
                <wp:positionH relativeFrom="page">
                  <wp:posOffset>2737485</wp:posOffset>
                </wp:positionH>
                <wp:positionV relativeFrom="paragraph">
                  <wp:posOffset>163830</wp:posOffset>
                </wp:positionV>
                <wp:extent cx="719455" cy="146050"/>
                <wp:effectExtent l="0" t="0" r="0" b="0"/>
                <wp:wrapTopAndBottom/>
                <wp:docPr id="1116" name="Shape 1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455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Default="00B0315C" w:rsidP="00912B85">
                            <w:pPr>
                              <w:spacing w:line="240" w:lineRule="auto"/>
                            </w:pPr>
                            <w:r>
                              <w:t xml:space="preserve">Превитамин </w:t>
                            </w:r>
                            <w:r>
                              <w:rPr>
                                <w:lang w:val="en-US" w:bidi="en-US"/>
                              </w:rPr>
                              <w:t>Dy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D0F845F" id="Shape 1116" o:spid="_x0000_s1037" type="#_x0000_t202" style="position:absolute;left:0;text-align:left;margin-left:215.55pt;margin-top:12.9pt;width:56.65pt;height:11.5pt;z-index:251663360;visibility:visible;mso-wrap-style:none;mso-wrap-distance-left:0;mso-wrap-distance-top:12.9pt;mso-wrap-distance-right:0;mso-wrap-distance-bottom:270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" filled="f" stroked="f">
                <v:textbox inset="0,0,0,0">
                  <w:txbxContent>
                    <w:p w:rsidR="00B0315C" w:rsidRDefault="00B0315C" w:rsidP="00912B85">
                      <w:pPr>
                        <w:spacing w:line="240" w:lineRule="auto"/>
                      </w:pPr>
                      <w:r>
                        <w:t xml:space="preserve">Превитамин </w:t>
                      </w:r>
                      <w:r>
                        <w:rPr>
                          <w:lang w:val="en-US" w:bidi="en-US"/>
                        </w:rPr>
                        <w:t>Dy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353060" distB="3267710" distL="0" distR="0" simplePos="0" relativeHeight="251664384" behindDoc="0" locked="0" layoutInCell="1" allowOverlap="1" wp14:anchorId="5BC73D95" wp14:editId="059256F9">
                <wp:simplePos x="0" y="0"/>
                <wp:positionH relativeFrom="page">
                  <wp:posOffset>2244090</wp:posOffset>
                </wp:positionH>
                <wp:positionV relativeFrom="paragraph">
                  <wp:posOffset>353060</wp:posOffset>
                </wp:positionV>
                <wp:extent cx="250190" cy="118745"/>
                <wp:effectExtent l="0" t="0" r="0" b="0"/>
                <wp:wrapTopAndBottom/>
                <wp:docPr id="1118" name="Shape 1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190" cy="1187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Default="00B0315C" w:rsidP="00912B85">
                            <w:pPr>
                              <w:spacing w:line="240" w:lineRule="auto"/>
                            </w:pPr>
                            <w:r>
                              <w:t>Кожа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BC73D95" id="Shape 1118" o:spid="_x0000_s1038" type="#_x0000_t202" style="position:absolute;left:0;text-align:left;margin-left:176.7pt;margin-top:27.8pt;width:19.7pt;height:9.35pt;z-index:251664384;visibility:visible;mso-wrap-style:none;mso-wrap-distance-left:0;mso-wrap-distance-top:27.8pt;mso-wrap-distance-right:0;mso-wrap-distance-bottom:257.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" filled="f" stroked="f">
                <v:textbox inset="0,0,0,0">
                  <w:txbxContent>
                    <w:p w:rsidR="00B0315C" w:rsidRDefault="00B0315C" w:rsidP="00912B85">
                      <w:pPr>
                        <w:spacing w:line="240" w:lineRule="auto"/>
                      </w:pPr>
                      <w:r>
                        <w:t>Кожа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618490" distB="2990215" distL="0" distR="0" simplePos="0" relativeHeight="251665408" behindDoc="0" locked="0" layoutInCell="1" allowOverlap="1" wp14:anchorId="5A1F39C4" wp14:editId="7AF7ED97">
                <wp:simplePos x="0" y="0"/>
                <wp:positionH relativeFrom="page">
                  <wp:posOffset>2573020</wp:posOffset>
                </wp:positionH>
                <wp:positionV relativeFrom="paragraph">
                  <wp:posOffset>618490</wp:posOffset>
                </wp:positionV>
                <wp:extent cx="895985" cy="130810"/>
                <wp:effectExtent l="0" t="0" r="0" b="0"/>
                <wp:wrapTopAndBottom/>
                <wp:docPr id="1120" name="Shape 1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985" cy="130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Default="00B0315C" w:rsidP="00912B85">
                            <w:pPr>
                              <w:spacing w:line="240" w:lineRule="auto"/>
                            </w:pPr>
                            <w:r>
                              <w:t>Другие метаболиты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A1F39C4" id="Shape 1120" o:spid="_x0000_s1039" type="#_x0000_t202" style="position:absolute;left:0;text-align:left;margin-left:202.6pt;margin-top:48.7pt;width:70.55pt;height:10.3pt;z-index:251665408;visibility:visible;mso-wrap-style:none;mso-wrap-distance-left:0;mso-wrap-distance-top:48.7pt;mso-wrap-distance-right:0;mso-wrap-distance-bottom:235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" filled="f" stroked="f">
                <v:textbox inset="0,0,0,0">
                  <w:txbxContent>
                    <w:p w:rsidR="00B0315C" w:rsidRDefault="00B0315C" w:rsidP="00912B85">
                      <w:pPr>
                        <w:spacing w:line="240" w:lineRule="auto"/>
                      </w:pPr>
                      <w:r>
                        <w:t>Другие метаболиты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w:drawing>
          <wp:anchor distT="2407285" distB="393700" distL="0" distR="0" simplePos="0" relativeHeight="251666432" behindDoc="0" locked="0" layoutInCell="1" allowOverlap="1" wp14:anchorId="1462AE72" wp14:editId="28CB172B">
            <wp:simplePos x="0" y="0"/>
            <wp:positionH relativeFrom="page">
              <wp:posOffset>1311275</wp:posOffset>
            </wp:positionH>
            <wp:positionV relativeFrom="paragraph">
              <wp:posOffset>2407285</wp:posOffset>
            </wp:positionV>
            <wp:extent cx="1475105" cy="938530"/>
            <wp:effectExtent l="0" t="0" r="0" b="0"/>
            <wp:wrapTopAndBottom/>
            <wp:docPr id="1122" name="Shape 11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" name="Picture box 1123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off x="0" y="0"/>
                      <a:ext cx="1475105" cy="938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0315C">
        <w:rPr>
          <w:rFonts w:ascii="Arial" w:hAnsi="Arial" w:cs="Arial"/>
          <w:noProof/>
          <w:sz w:val="28"/>
          <w:szCs w:val="28"/>
          <w:lang w:eastAsia="ru-RU"/>
        </w:rPr>
        <w:drawing>
          <wp:anchor distT="740410" distB="588010" distL="1972310" distR="12065" simplePos="0" relativeHeight="251667456" behindDoc="0" locked="0" layoutInCell="1" allowOverlap="1" wp14:anchorId="1244989A" wp14:editId="6C9F0676">
            <wp:simplePos x="0" y="0"/>
            <wp:positionH relativeFrom="page">
              <wp:posOffset>3024505</wp:posOffset>
            </wp:positionH>
            <wp:positionV relativeFrom="paragraph">
              <wp:posOffset>740410</wp:posOffset>
            </wp:positionV>
            <wp:extent cx="2767330" cy="2414270"/>
            <wp:effectExtent l="0" t="0" r="0" b="0"/>
            <wp:wrapTopAndBottom/>
            <wp:docPr id="1124" name="Shape 11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" name="Picture box 1125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off x="0" y="0"/>
                      <a:ext cx="2767330" cy="2414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87936" behindDoc="0" locked="0" layoutInCell="1" allowOverlap="1" wp14:anchorId="2BC7D7C0" wp14:editId="2CACB665">
                <wp:simplePos x="0" y="0"/>
                <wp:positionH relativeFrom="page">
                  <wp:posOffset>4201160</wp:posOffset>
                </wp:positionH>
                <wp:positionV relativeFrom="paragraph">
                  <wp:posOffset>63500</wp:posOffset>
                </wp:positionV>
                <wp:extent cx="551815" cy="274320"/>
                <wp:effectExtent l="0" t="0" r="0" b="0"/>
                <wp:wrapNone/>
                <wp:docPr id="1126" name="Shape 1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815" cy="2743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Default="00B0315C" w:rsidP="00912B85">
                            <w:pPr>
                              <w:spacing w:line="300" w:lineRule="auto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 xml:space="preserve">Витамин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  <w:lang w:val="en-US" w:bidi="en-US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  <w:vertAlign w:val="subscript"/>
                                <w:lang w:val="en-US" w:bidi="en-US"/>
                              </w:rPr>
                              <w:t xml:space="preserve">3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  <w:lang w:val="en-US" w:bidi="en-US"/>
                              </w:rPr>
                              <w:t>(25-OH-D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  <w:vertAlign w:val="subscript"/>
                                <w:lang w:val="en-US" w:bidi="en-US"/>
                              </w:rPr>
                              <w:t>3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  <w:lang w:val="en-US" w:bidi="en-US"/>
                              </w:rPr>
                              <w:t>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BC7D7C0" id="Shape 1126" o:spid="_x0000_s1040" type="#_x0000_t202" style="position:absolute;left:0;text-align:left;margin-left:330.8pt;margin-top:5pt;width:43.45pt;height:21.6pt;z-index:25168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" filled="f" stroked="f">
                <v:textbox inset="0,0,0,0">
                  <w:txbxContent>
                    <w:p w:rsidR="00B0315C" w:rsidRDefault="00B0315C" w:rsidP="00912B85">
                      <w:pPr>
                        <w:spacing w:line="300" w:lineRule="auto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 xml:space="preserve">Витамин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  <w:lang w:val="en-US" w:bidi="en-US"/>
                        </w:rPr>
                        <w:t>D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  <w:vertAlign w:val="subscript"/>
                          <w:lang w:val="en-US" w:bidi="en-US"/>
                        </w:rPr>
                        <w:t xml:space="preserve">3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  <w:lang w:val="en-US" w:bidi="en-US"/>
                        </w:rPr>
                        <w:t>(25-OH-D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  <w:vertAlign w:val="subscript"/>
                          <w:lang w:val="en-US" w:bidi="en-US"/>
                        </w:rPr>
                        <w:t>3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  <w:lang w:val="en-US" w:bidi="en-US"/>
                        </w:rPr>
                        <w:t>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88960" behindDoc="0" locked="0" layoutInCell="1" allowOverlap="1" wp14:anchorId="78DE0BC4" wp14:editId="79765E8D">
                <wp:simplePos x="0" y="0"/>
                <wp:positionH relativeFrom="page">
                  <wp:posOffset>3582035</wp:posOffset>
                </wp:positionH>
                <wp:positionV relativeFrom="paragraph">
                  <wp:posOffset>344170</wp:posOffset>
                </wp:positionV>
                <wp:extent cx="347345" cy="118745"/>
                <wp:effectExtent l="0" t="0" r="0" b="0"/>
                <wp:wrapNone/>
                <wp:docPr id="1128" name="Shape 1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345" cy="1187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Default="00B0315C" w:rsidP="00912B8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Печень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8DE0BC4" id="Shape 1128" o:spid="_x0000_s1041" type="#_x0000_t202" style="position:absolute;left:0;text-align:left;margin-left:282.05pt;margin-top:27.1pt;width:27.35pt;height:9.35pt;z-index:25168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" filled="f" stroked="f">
                <v:textbox inset="0,0,0,0">
                  <w:txbxContent>
                    <w:p w:rsidR="00B0315C" w:rsidRDefault="00B0315C" w:rsidP="00912B85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Печень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89984" behindDoc="0" locked="0" layoutInCell="1" allowOverlap="1" wp14:anchorId="4D164D45" wp14:editId="6B9F2841">
                <wp:simplePos x="0" y="0"/>
                <wp:positionH relativeFrom="page">
                  <wp:posOffset>4514850</wp:posOffset>
                </wp:positionH>
                <wp:positionV relativeFrom="paragraph">
                  <wp:posOffset>359410</wp:posOffset>
                </wp:positionV>
                <wp:extent cx="783590" cy="121920"/>
                <wp:effectExtent l="0" t="0" r="0" b="0"/>
                <wp:wrapNone/>
                <wp:docPr id="1130" name="Shape 1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3590" cy="1219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Default="00B0315C" w:rsidP="00912B8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25-гидроксилаза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D164D45" id="Shape 1130" o:spid="_x0000_s1042" type="#_x0000_t202" style="position:absolute;left:0;text-align:left;margin-left:355.5pt;margin-top:28.3pt;width:61.7pt;height:9.6pt;z-index:25168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" filled="f" stroked="f">
                <v:textbox inset="0,0,0,0">
                  <w:txbxContent>
                    <w:p w:rsidR="00B0315C" w:rsidRDefault="00B0315C" w:rsidP="00912B85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25-гидроксилаза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91008" behindDoc="0" locked="0" layoutInCell="1" allowOverlap="1" wp14:anchorId="53D83DCC" wp14:editId="29C7A270">
                <wp:simplePos x="0" y="0"/>
                <wp:positionH relativeFrom="page">
                  <wp:posOffset>3993515</wp:posOffset>
                </wp:positionH>
                <wp:positionV relativeFrom="paragraph">
                  <wp:posOffset>609600</wp:posOffset>
                </wp:positionV>
                <wp:extent cx="1395730" cy="130810"/>
                <wp:effectExtent l="0" t="0" r="0" b="0"/>
                <wp:wrapNone/>
                <wp:docPr id="1132" name="Shape 1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5730" cy="130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Default="00B0315C" w:rsidP="00912B8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25-Г идроксихолекальциферол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3D83DCC" id="Shape 1132" o:spid="_x0000_s1043" type="#_x0000_t202" style="position:absolute;left:0;text-align:left;margin-left:314.45pt;margin-top:48pt;width:109.9pt;height:10.3pt;z-index:25169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" filled="f" stroked="f">
                <v:textbox inset="0,0,0,0">
                  <w:txbxContent>
                    <w:p w:rsidR="00B0315C" w:rsidRDefault="00B0315C" w:rsidP="00912B85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25-Г идроксихолекальциферол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92032" behindDoc="0" locked="0" layoutInCell="1" allowOverlap="1" wp14:anchorId="6AAF68AB" wp14:editId="664F5AFC">
                <wp:simplePos x="0" y="0"/>
                <wp:positionH relativeFrom="page">
                  <wp:posOffset>4432935</wp:posOffset>
                </wp:positionH>
                <wp:positionV relativeFrom="paragraph">
                  <wp:posOffset>3230880</wp:posOffset>
                </wp:positionV>
                <wp:extent cx="1371600" cy="250190"/>
                <wp:effectExtent l="0" t="0" r="0" b="0"/>
                <wp:wrapNone/>
                <wp:docPr id="1134" name="Shape 1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50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Default="00B0315C" w:rsidP="00912B8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  <w:lang w:val="en-US" w:bidi="en-US"/>
                              </w:rPr>
                              <w:t>,25-(OH)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  <w:vertAlign w:val="subscript"/>
                                <w:lang w:val="en-US" w:bidi="en-US"/>
                              </w:rPr>
                              <w:t>2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  <w:lang w:val="en-US" w:bidi="en-US"/>
                              </w:rPr>
                              <w:t>-D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  <w:vertAlign w:val="subscript"/>
                                <w:lang w:val="en-US" w:bidi="en-US"/>
                              </w:rPr>
                              <w:t>3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  <w:lang w:val="en-US" w:bidi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(кальцитриол)</w:t>
                            </w:r>
                          </w:p>
                          <w:p w:rsidR="00B0315C" w:rsidRDefault="00B0315C" w:rsidP="00912B8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1,25-Диоксихолекалы|иферол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AAF68AB" id="Shape 1134" o:spid="_x0000_s1044" type="#_x0000_t202" style="position:absolute;left:0;text-align:left;margin-left:349.05pt;margin-top:254.4pt;width:108pt;height:19.7pt;z-index:25169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" filled="f" stroked="f">
                <v:textbox inset="0,0,0,0">
                  <w:txbxContent>
                    <w:p w:rsidR="00B0315C" w:rsidRDefault="00B0315C" w:rsidP="00912B85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  <w:lang w:val="en-US" w:bidi="en-US"/>
                        </w:rPr>
                        <w:t>,25-(OH)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  <w:vertAlign w:val="subscript"/>
                          <w:lang w:val="en-US" w:bidi="en-US"/>
                        </w:rPr>
                        <w:t>2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  <w:lang w:val="en-US" w:bidi="en-US"/>
                        </w:rPr>
                        <w:t>-D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  <w:vertAlign w:val="subscript"/>
                          <w:lang w:val="en-US" w:bidi="en-US"/>
                        </w:rPr>
                        <w:t>3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  <w:lang w:val="en-US" w:bidi="en-US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(кальцитриол)</w:t>
                      </w:r>
                    </w:p>
                    <w:p w:rsidR="00B0315C" w:rsidRDefault="00B0315C" w:rsidP="00912B85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1,25-Диоксихолекалы|иферол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93056" behindDoc="0" locked="0" layoutInCell="1" allowOverlap="1" wp14:anchorId="0D6260D9" wp14:editId="122A1C82">
                <wp:simplePos x="0" y="0"/>
                <wp:positionH relativeFrom="page">
                  <wp:posOffset>3168015</wp:posOffset>
                </wp:positionH>
                <wp:positionV relativeFrom="paragraph">
                  <wp:posOffset>3239770</wp:posOffset>
                </wp:positionV>
                <wp:extent cx="545465" cy="140335"/>
                <wp:effectExtent l="0" t="0" r="0" b="0"/>
                <wp:wrapNone/>
                <wp:docPr id="1136" name="Shape 1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465" cy="1403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Default="00B0315C" w:rsidP="00912B8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 xml:space="preserve">Витамин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  <w:lang w:val="en-US" w:bidi="en-US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  <w:vertAlign w:val="subscript"/>
                                <w:lang w:val="en-US" w:bidi="en-US"/>
                              </w:rPr>
                              <w:t>3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D6260D9" id="Shape 1136" o:spid="_x0000_s1045" type="#_x0000_t202" style="position:absolute;left:0;text-align:left;margin-left:249.45pt;margin-top:255.1pt;width:42.95pt;height:11.05pt;z-index:25169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" filled="f" stroked="f">
                <v:textbox inset="0,0,0,0">
                  <w:txbxContent>
                    <w:p w:rsidR="00B0315C" w:rsidRDefault="00B0315C" w:rsidP="00912B85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 xml:space="preserve">Витамин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  <w:lang w:val="en-US" w:bidi="en-US"/>
                        </w:rPr>
                        <w:t>D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  <w:vertAlign w:val="subscript"/>
                          <w:lang w:val="en-US" w:bidi="en-US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94080" behindDoc="0" locked="0" layoutInCell="1" allowOverlap="1" wp14:anchorId="74945920" wp14:editId="7A2C1FC6">
                <wp:simplePos x="0" y="0"/>
                <wp:positionH relativeFrom="page">
                  <wp:posOffset>1052195</wp:posOffset>
                </wp:positionH>
                <wp:positionV relativeFrom="paragraph">
                  <wp:posOffset>3581400</wp:posOffset>
                </wp:positionV>
                <wp:extent cx="4636135" cy="158750"/>
                <wp:effectExtent l="0" t="0" r="0" b="0"/>
                <wp:wrapNone/>
                <wp:docPr id="1138" name="Shape 1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6135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Default="00B0315C" w:rsidP="00912B85">
                            <w:r>
                              <w:rPr>
                                <w:b/>
                                <w:bCs/>
                              </w:rPr>
                              <w:t xml:space="preserve">Рис. 11.4. </w:t>
                            </w:r>
                            <w:r>
                              <w:t xml:space="preserve">Образование и гидроксилирование витамина </w:t>
                            </w:r>
                            <w:r>
                              <w:rPr>
                                <w:lang w:val="en-US" w:bidi="en-US"/>
                              </w:rPr>
                              <w:t>D</w:t>
                            </w:r>
                            <w:r w:rsidRPr="00912B85">
                              <w:rPr>
                                <w:lang w:bidi="en-US"/>
                              </w:rPr>
                              <w:t>3 [</w:t>
                            </w:r>
                            <w:r>
                              <w:rPr>
                                <w:lang w:val="en-US" w:bidi="en-US"/>
                              </w:rPr>
                              <w:t>Ganong</w:t>
                            </w:r>
                            <w:r w:rsidRPr="00912B85">
                              <w:rPr>
                                <w:lang w:bidi="en-US"/>
                              </w:rPr>
                              <w:t xml:space="preserve"> </w:t>
                            </w:r>
                            <w:r>
                              <w:rPr>
                                <w:lang w:val="en-US" w:bidi="en-US"/>
                              </w:rPr>
                              <w:t>W</w:t>
                            </w:r>
                            <w:r w:rsidRPr="00912B85">
                              <w:rPr>
                                <w:lang w:bidi="en-US"/>
                              </w:rPr>
                              <w:t>.</w:t>
                            </w:r>
                            <w:r>
                              <w:rPr>
                                <w:lang w:val="en-US" w:bidi="en-US"/>
                              </w:rPr>
                              <w:t>F</w:t>
                            </w:r>
                            <w:r w:rsidRPr="00912B85">
                              <w:rPr>
                                <w:lang w:bidi="en-US"/>
                              </w:rPr>
                              <w:t xml:space="preserve">., </w:t>
                            </w:r>
                            <w:r>
                              <w:t>1987].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4945920" id="Shape 1138" o:spid="_x0000_s1046" type="#_x0000_t202" style="position:absolute;left:0;text-align:left;margin-left:82.85pt;margin-top:282pt;width:365.05pt;height:12.5pt;z-index:25169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" filled="f" stroked="f">
                <v:textbox inset="0,0,0,0">
                  <w:txbxContent>
                    <w:p w:rsidR="00B0315C" w:rsidRDefault="00B0315C" w:rsidP="00912B85">
                      <w:r>
                        <w:rPr>
                          <w:b/>
                          <w:bCs/>
                        </w:rPr>
                        <w:t xml:space="preserve">Рис. 11.4. </w:t>
                      </w:r>
                      <w:r>
                        <w:t xml:space="preserve">Образование и гидроксилирование витамина </w:t>
                      </w:r>
                      <w:r>
                        <w:rPr>
                          <w:lang w:val="en-US" w:bidi="en-US"/>
                        </w:rPr>
                        <w:t>D</w:t>
                      </w:r>
                      <w:r w:rsidRPr="00912B85">
                        <w:rPr>
                          <w:lang w:bidi="en-US"/>
                        </w:rPr>
                        <w:t>3 [</w:t>
                      </w:r>
                      <w:r>
                        <w:rPr>
                          <w:lang w:val="en-US" w:bidi="en-US"/>
                        </w:rPr>
                        <w:t>Ganong</w:t>
                      </w:r>
                      <w:r w:rsidRPr="00912B85">
                        <w:rPr>
                          <w:lang w:bidi="en-US"/>
                        </w:rPr>
                        <w:t xml:space="preserve"> </w:t>
                      </w:r>
                      <w:r>
                        <w:rPr>
                          <w:lang w:val="en-US" w:bidi="en-US"/>
                        </w:rPr>
                        <w:t>W</w:t>
                      </w:r>
                      <w:r w:rsidRPr="00912B85">
                        <w:rPr>
                          <w:lang w:bidi="en-US"/>
                        </w:rPr>
                        <w:t>.</w:t>
                      </w:r>
                      <w:r>
                        <w:rPr>
                          <w:lang w:val="en-US" w:bidi="en-US"/>
                        </w:rPr>
                        <w:t>F</w:t>
                      </w:r>
                      <w:r w:rsidRPr="00912B85">
                        <w:rPr>
                          <w:lang w:bidi="en-US"/>
                        </w:rPr>
                        <w:t xml:space="preserve">., </w:t>
                      </w:r>
                      <w:r>
                        <w:t>1987].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  <w:sectPr w:rsidR="00912B85" w:rsidRPr="00B0315C" w:rsidSect="00B0315C">
          <w:footnotePr>
            <w:numFmt w:val="upperRoman"/>
          </w:footnotePr>
          <w:type w:val="continuous"/>
          <w:pgSz w:w="11900" w:h="16840" w:code="9"/>
          <w:pgMar w:top="1134" w:right="1134" w:bottom="1134" w:left="1701" w:header="0" w:footer="3" w:gutter="0"/>
          <w:cols w:space="720"/>
          <w:noEndnote/>
          <w:docGrid w:linePitch="360"/>
        </w:sectPr>
      </w:pP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кого паратгормона связана с фрагментами 1—29, 1—34 и 53—84 его амино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кислотной цепи. В крови гормон циркулирует в трех основных формах: ин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тактный паратгормон с молекулярной массой 9500, биологически активный карбоксильный фрагмент с молекулярной массой 7000—7500, биологичес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ки активный фрагмент с молекулярной массой 4000. Образование фрагмен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тов происходит в печени и почках.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Действие паратгормона основано на его влиянии на аденилатциклазу клеток-мишеней при специфическом взаимодействии с мембранными ре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цепторами и повышении внутриклеточного уровня цАМФ, что приводит к сдвигам в транслокации ионов кальция и фосфора. Поскольку паратгормон активирует аденилатциклазу, то повышенная по сравнению с нормативны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ми показателями экскреция цАМФ после введения паратгормона служит маркером чувствительности к паратгормону.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Холекальциферол (витамин </w:t>
      </w:r>
      <w:r w:rsidRPr="00B0315C">
        <w:rPr>
          <w:rFonts w:ascii="Arial" w:hAnsi="Arial" w:cs="Arial"/>
          <w:sz w:val="28"/>
          <w:szCs w:val="28"/>
          <w:lang w:bidi="en-US"/>
        </w:rPr>
        <w:t>D</w:t>
      </w:r>
      <w:r w:rsidRPr="00B0315C">
        <w:rPr>
          <w:rFonts w:ascii="Arial" w:hAnsi="Arial" w:cs="Arial"/>
          <w:sz w:val="28"/>
          <w:szCs w:val="28"/>
          <w:vertAlign w:val="subscript"/>
          <w:lang w:bidi="en-US"/>
        </w:rPr>
        <w:t>3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) </w:t>
      </w:r>
      <w:r w:rsidRPr="00B0315C">
        <w:rPr>
          <w:rFonts w:ascii="Arial" w:hAnsi="Arial" w:cs="Arial"/>
          <w:sz w:val="28"/>
          <w:szCs w:val="28"/>
          <w:lang w:bidi="ru-RU"/>
        </w:rPr>
        <w:t>образуется в коже (мальпигиев слой эпидермиса) из 7-дегидрохолестерола под действием ультрафиолетовых лучей (рис. 11.4). У здоровых взрослых людей значительно больше витами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на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D 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поступает из кожи, чем из продуктов питания (жиры, печень рыб, желток яиц). Далее холекальциферол связывается с </w:t>
      </w:r>
      <w:r w:rsidRPr="00B0315C">
        <w:rPr>
          <w:rFonts w:ascii="Arial" w:hAnsi="Arial" w:cs="Arial"/>
          <w:sz w:val="28"/>
          <w:szCs w:val="28"/>
          <w:lang w:bidi="en-US"/>
        </w:rPr>
        <w:t>D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-связывающим белком и поступает в печень. В печени холекальциферол под действием 25-гидроксилазы превращается в 25-оксихолекальциферол </w:t>
      </w:r>
      <w:r w:rsidRPr="00B0315C">
        <w:rPr>
          <w:rFonts w:ascii="Arial" w:hAnsi="Arial" w:cs="Arial"/>
          <w:sz w:val="28"/>
          <w:szCs w:val="28"/>
          <w:lang w:bidi="en-US"/>
        </w:rPr>
        <w:t>(25-OH-D</w:t>
      </w:r>
      <w:r w:rsidRPr="00B0315C">
        <w:rPr>
          <w:rFonts w:ascii="Arial" w:hAnsi="Arial" w:cs="Arial"/>
          <w:sz w:val="28"/>
          <w:szCs w:val="28"/>
          <w:vertAlign w:val="subscript"/>
          <w:lang w:bidi="en-US"/>
        </w:rPr>
        <w:t>3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) 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— основную форму, в которой этот витамин циркулирует в кровотоке в связи с тем же </w:t>
      </w:r>
      <w:r w:rsidRPr="00B0315C">
        <w:rPr>
          <w:rFonts w:ascii="Arial" w:hAnsi="Arial" w:cs="Arial"/>
          <w:sz w:val="28"/>
          <w:szCs w:val="28"/>
          <w:lang w:bidi="en-US"/>
        </w:rPr>
        <w:t>D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-связывающим белком. В митохондриях проксимальных извитых почечных канальцев под действием </w:t>
      </w:r>
      <w:r w:rsidRPr="00B0315C">
        <w:rPr>
          <w:rFonts w:ascii="Arial" w:hAnsi="Arial" w:cs="Arial"/>
          <w:sz w:val="28"/>
          <w:szCs w:val="28"/>
          <w:lang w:bidi="en-US"/>
        </w:rPr>
        <w:t>la</w:t>
      </w:r>
      <w:r w:rsidRPr="00B0315C">
        <w:rPr>
          <w:rFonts w:ascii="Arial" w:hAnsi="Arial" w:cs="Arial"/>
          <w:sz w:val="28"/>
          <w:szCs w:val="28"/>
          <w:lang w:bidi="ru-RU"/>
        </w:rPr>
        <w:t>-гидроксилазы 25-оксихолекальци- ферол гидроксилируется в Соположении, превращаясь в биологически ак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тивный 1,25-диоксихолекальциферол [1,25-(ОН)</w:t>
      </w:r>
      <w:r w:rsidRPr="00B0315C">
        <w:rPr>
          <w:rFonts w:ascii="Arial" w:hAnsi="Arial" w:cs="Arial"/>
          <w:sz w:val="28"/>
          <w:szCs w:val="28"/>
          <w:vertAlign w:val="subscript"/>
          <w:lang w:bidi="ru-RU"/>
        </w:rPr>
        <w:t>2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-Вз]. Повышение уровня кальцитриола в плазме тормозит активность 1 </w:t>
      </w:r>
      <w:r w:rsidRPr="00B0315C">
        <w:rPr>
          <w:rFonts w:ascii="Arial" w:hAnsi="Arial" w:cs="Arial"/>
          <w:i/>
          <w:iCs/>
          <w:sz w:val="28"/>
          <w:szCs w:val="28"/>
          <w:lang w:bidi="ru-RU"/>
        </w:rPr>
        <w:t>а-</w:t>
      </w:r>
      <w:r w:rsidRPr="00B0315C">
        <w:rPr>
          <w:rFonts w:ascii="Arial" w:hAnsi="Arial" w:cs="Arial"/>
          <w:sz w:val="28"/>
          <w:szCs w:val="28"/>
          <w:lang w:bidi="ru-RU"/>
        </w:rPr>
        <w:t>гидроксилазы и повышает активность 24-гидроксилазы, что приводит к преимущественному образова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нию из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25-OH-Dj </w:t>
      </w:r>
      <w:r w:rsidRPr="00B0315C">
        <w:rPr>
          <w:rFonts w:ascii="Arial" w:hAnsi="Arial" w:cs="Arial"/>
          <w:sz w:val="28"/>
          <w:szCs w:val="28"/>
          <w:lang w:bidi="ru-RU"/>
        </w:rPr>
        <w:t>не 1,25-(ОН)</w:t>
      </w:r>
      <w:r w:rsidRPr="00B0315C">
        <w:rPr>
          <w:rFonts w:ascii="Arial" w:hAnsi="Arial" w:cs="Arial"/>
          <w:sz w:val="28"/>
          <w:szCs w:val="28"/>
          <w:vertAlign w:val="subscript"/>
          <w:lang w:bidi="ru-RU"/>
        </w:rPr>
        <w:t>2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-Оз, а побочного продукта </w:t>
      </w:r>
      <w:r w:rsidRPr="00B0315C">
        <w:rPr>
          <w:rFonts w:ascii="Arial" w:hAnsi="Arial" w:cs="Arial"/>
          <w:sz w:val="28"/>
          <w:szCs w:val="28"/>
          <w:lang w:bidi="en-US"/>
        </w:rPr>
        <w:t>24,25-(OH)</w:t>
      </w:r>
      <w:r w:rsidRPr="00B0315C">
        <w:rPr>
          <w:rFonts w:ascii="Arial" w:hAnsi="Arial" w:cs="Arial"/>
          <w:sz w:val="28"/>
          <w:szCs w:val="28"/>
          <w:vertAlign w:val="subscript"/>
          <w:lang w:bidi="en-US"/>
        </w:rPr>
        <w:t>2</w:t>
      </w:r>
      <w:r w:rsidRPr="00B0315C">
        <w:rPr>
          <w:rFonts w:ascii="Arial" w:hAnsi="Arial" w:cs="Arial"/>
          <w:sz w:val="28"/>
          <w:szCs w:val="28"/>
          <w:lang w:bidi="en-US"/>
        </w:rPr>
        <w:t>-D</w:t>
      </w:r>
      <w:r w:rsidRPr="00B0315C">
        <w:rPr>
          <w:rFonts w:ascii="Arial" w:hAnsi="Arial" w:cs="Arial"/>
          <w:sz w:val="28"/>
          <w:szCs w:val="28"/>
          <w:vertAlign w:val="subscript"/>
          <w:lang w:bidi="en-US"/>
        </w:rPr>
        <w:t>2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, </w:t>
      </w:r>
      <w:r w:rsidRPr="00B0315C">
        <w:rPr>
          <w:rFonts w:ascii="Arial" w:hAnsi="Arial" w:cs="Arial"/>
          <w:sz w:val="28"/>
          <w:szCs w:val="28"/>
          <w:lang w:bidi="ru-RU"/>
        </w:rPr>
        <w:t>который не обладает биологической активностью. Мощными стимулятора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ми 1а-гидроксил азы являются эстрогены, андрогены и прогестерон.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Действие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l,25(OH)j.D', </w:t>
      </w:r>
      <w:r w:rsidRPr="00B0315C">
        <w:rPr>
          <w:rFonts w:ascii="Arial" w:hAnsi="Arial" w:cs="Arial"/>
          <w:sz w:val="28"/>
          <w:szCs w:val="28"/>
          <w:lang w:bidi="ru-RU"/>
        </w:rPr>
        <w:t>на клеточном уровне аналогично таковому для других стероидных гормонов. Рецептор кальцитриола, который был выде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лен из эпителия кишечника, имеет молекулярную массу 90 000—100 000. Воздействуя на ядерный рецептор энтероцитов, кальцитриол стимулирует синтез кальцийсвязывающего белка, который в свою очередь обеспечивает активный транспорт иона кальция из просвета кишечника во внеклеточную жидкость,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Как неоднократно указывалось, ключевым регулятором функциональ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ной активности эндокринных желез и тканей, обеспечивающих поддержа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ние фосфорно-кальциевого обмена, </w:t>
      </w:r>
      <w:r w:rsidRPr="00B0315C">
        <w:rPr>
          <w:rFonts w:ascii="Arial" w:hAnsi="Arial" w:cs="Arial"/>
          <w:sz w:val="28"/>
          <w:szCs w:val="28"/>
          <w:lang w:bidi="ru-RU"/>
        </w:rPr>
        <w:lastRenderedPageBreak/>
        <w:t>является сам ион кальция. Ген, регули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рующий образование рецептора к кальцию, локализован на хромосоме 3 в регионе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3ql3,3—q21; </w:t>
      </w:r>
      <w:r w:rsidRPr="00B0315C">
        <w:rPr>
          <w:rFonts w:ascii="Arial" w:hAnsi="Arial" w:cs="Arial"/>
          <w:sz w:val="28"/>
          <w:szCs w:val="28"/>
          <w:lang w:bidi="ru-RU"/>
        </w:rPr>
        <w:t>кроме того, в регуляции фосфорно-кальциевого обме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на участвуют гены хромосомы 19 (19р и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19ql3). </w:t>
      </w:r>
      <w:r w:rsidRPr="00B0315C">
        <w:rPr>
          <w:rFonts w:ascii="Arial" w:hAnsi="Arial" w:cs="Arial"/>
          <w:sz w:val="28"/>
          <w:szCs w:val="28"/>
          <w:lang w:bidi="ru-RU"/>
        </w:rPr>
        <w:t>Обнаружение кальцийчув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ствительных рецепторов на поверхности клеток паращитовидных желез и почек позволило лучше понять воздействие на них кальция. Рецептор отно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сится к семейству </w:t>
      </w:r>
      <w:r w:rsidRPr="00B0315C">
        <w:rPr>
          <w:rFonts w:ascii="Arial" w:hAnsi="Arial" w:cs="Arial"/>
          <w:sz w:val="28"/>
          <w:szCs w:val="28"/>
          <w:lang w:bidi="en-US"/>
        </w:rPr>
        <w:t>G</w:t>
      </w:r>
      <w:r w:rsidRPr="00B0315C">
        <w:rPr>
          <w:rFonts w:ascii="Arial" w:hAnsi="Arial" w:cs="Arial"/>
          <w:sz w:val="28"/>
          <w:szCs w:val="28"/>
          <w:lang w:bidi="ru-RU"/>
        </w:rPr>
        <w:t>-протеинсодержащих, активирует протеинлипазу и ин^«&gt; гибирует аденилатциклазу. В паращитовидной железе он является ключе-’"' вым медиатором ингибирования секреции паратгормона при повышении концентрации кальция, а также влияет на экспрессию гена паратгормона и пролиферацию гормонально-активной ткани. В почках рецептор ингибиру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ет канальцевую реабсорбцию кальция и магния и, возможно, отвечает за нарушение концентрационной способности почек при гиперкальциемии. Нарушения в структуре генов, кодирующих образование коллагена или ре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цептора витамина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D, </w:t>
      </w:r>
      <w:r w:rsidRPr="00B0315C">
        <w:rPr>
          <w:rFonts w:ascii="Arial" w:hAnsi="Arial" w:cs="Arial"/>
          <w:sz w:val="28"/>
          <w:szCs w:val="28"/>
          <w:lang w:bidi="ru-RU"/>
        </w:rPr>
        <w:t>объясняют семейную предрасположенность к остео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порозу.</w:t>
      </w:r>
    </w:p>
    <w:p w:rsidR="00912B85" w:rsidRPr="00B0315C" w:rsidRDefault="00912B85" w:rsidP="00B0315C">
      <w:pPr>
        <w:pStyle w:val="a4"/>
        <w:numPr>
          <w:ilvl w:val="0"/>
          <w:numId w:val="16"/>
        </w:numPr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>Методы обследования больных с заболеваниями паращитовидных желез и нарушениями фосфорно-кальциевого обмена и остеопенией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 xml:space="preserve">Физические методы. </w:t>
      </w:r>
      <w:r w:rsidRPr="00B0315C">
        <w:rPr>
          <w:rFonts w:ascii="Arial" w:hAnsi="Arial" w:cs="Arial"/>
          <w:sz w:val="28"/>
          <w:szCs w:val="28"/>
          <w:lang w:bidi="ru-RU"/>
        </w:rPr>
        <w:t>Физикальное обследование больных с нарушениями фосфорно-кальциевого обмена требует особой тщательности. При общем осмотре необходимо обращать внимание на изменение роста и массы тела, состояние и цвет кожных покровов, деформацию скелета, изменение по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ходки. Можно отметить типичные для псевдогипопаратиреоза низкий рост, круглое лицо или же характерные для хондродистрофии пропорции скеле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та, обратить внимание на типичную для остеомаляции или гиперпарати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реоза «утиную походку», но при умеренной выраженности нарушений единственным симптомом, выявляемым при осмотре, может оказаться уко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рочение пястных костей или фаланг пальцев, типичное для стертых форм псевдогиперпаратиреоза. Множественные переломы должны наводить на мысль о костной форме гиперпаратиреоза (болезни Реклингхаузена). Поко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лачивание по кости в области кист дает специфический «арбузный» звук.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При осмотре шеи пальпируются область щитовидной железы, шейные лимфатические узлы. В редких случаях паратирома (опухоль паращитовид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ной железы) может оказаться доступной пальпации. Кожные покровы больных с гиперпаратиреозом нередко имеют «землистый» цвет, при псев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догипопаратиреозе выявляют кальцинаты в подкожной клетчатке.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Во время тетанического приступа рука больного принимает своеоб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разную форму («рука акушера»). Тоническая судорога кисти может быть вызвана сдавлением плеча (в области нервно-сосудистого пучка) на 3 мин манжеткой при измерении артериального давления </w:t>
      </w:r>
      <w:r w:rsidRPr="00B0315C">
        <w:rPr>
          <w:rFonts w:ascii="Arial" w:hAnsi="Arial" w:cs="Arial"/>
          <w:sz w:val="28"/>
          <w:szCs w:val="28"/>
          <w:lang w:bidi="ru-RU"/>
        </w:rPr>
        <w:lastRenderedPageBreak/>
        <w:t>(симптом Труссо). При скрытой тетании и гипомагниемии выявляются судорожные подер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гивания угла рта, крыльев носа и угла глаза при постукивании у места выхода лицевого нерва (симптом Хвостека), поколачивание у наружного края глазницы вызывает сокращение круговой мышцы глаза (симптом Вайса).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 xml:space="preserve">Лабораторные методы. </w:t>
      </w:r>
      <w:r w:rsidRPr="00B0315C">
        <w:rPr>
          <w:rFonts w:ascii="Arial" w:hAnsi="Arial" w:cs="Arial"/>
          <w:sz w:val="28"/>
          <w:szCs w:val="28"/>
          <w:lang w:bidi="ru-RU"/>
        </w:rPr>
        <w:t>Определение общего и ионизированного каль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ция в крови, а также фосфора в крови и экскреции кальция и фосфора с мочой натощак по отношению к экскреции креатинина являются базисны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ми исследованиями для оценки фосфорно-кальциевого обмена. О гипер- кальциурии свидетельствует увеличение суточной экскреции кальция (более 250 мг у женщин и 300 мг у мужчин при суточном потреблении около 1000 мг кальция). Информативно также определение содержания кальция и фосфора в утренней порции мочи, поскольку в этом случае на исследование не влияет экзогенное поступление кальция с пищей.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Уровень общего кальция менее 2,1 ммоль/л (норма 2,1—2,6 ммоль/л) обнаруживается почти у 50 % больных в палатах интенсивной терапии, при этом уровень ионизированного кальция снижен менее чем у 10 % из них. Под псевдогипокальциемией понимают снижение содержания обще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го кальция в плазме при гипопротеинемии. Как указывалось, при ацидозе фракция ионизированного кальция увеличивается, а при алкалозе — уменьшается. Для расчета уровня корригированного кальция при уров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не сывороточного альбумина менее 4 г/дл используют следующую фор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мулу: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Са</w:t>
      </w:r>
      <w:r w:rsidRPr="00B0315C">
        <w:rPr>
          <w:rFonts w:ascii="Arial" w:hAnsi="Arial" w:cs="Arial"/>
          <w:sz w:val="28"/>
          <w:szCs w:val="28"/>
          <w:vertAlign w:val="subscript"/>
          <w:lang w:bidi="ru-RU"/>
        </w:rPr>
        <w:t>корр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(мг/дл) = Са</w:t>
      </w:r>
      <w:r w:rsidRPr="00B0315C">
        <w:rPr>
          <w:rFonts w:ascii="Arial" w:hAnsi="Arial" w:cs="Arial"/>
          <w:sz w:val="28"/>
          <w:szCs w:val="28"/>
          <w:vertAlign w:val="subscript"/>
          <w:lang w:bidi="ru-RU"/>
        </w:rPr>
        <w:t>об111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(мг/дл) — альбумин (г/дл) + 4,0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Са</w:t>
      </w:r>
      <w:r w:rsidRPr="00B0315C">
        <w:rPr>
          <w:rFonts w:ascii="Arial" w:hAnsi="Arial" w:cs="Arial"/>
          <w:sz w:val="28"/>
          <w:szCs w:val="28"/>
          <w:vertAlign w:val="subscript"/>
          <w:lang w:bidi="ru-RU"/>
        </w:rPr>
        <w:t>корр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(ммоль/л) = Са</w:t>
      </w:r>
      <w:r w:rsidRPr="00B0315C">
        <w:rPr>
          <w:rFonts w:ascii="Arial" w:hAnsi="Arial" w:cs="Arial"/>
          <w:sz w:val="28"/>
          <w:szCs w:val="28"/>
          <w:vertAlign w:val="subscript"/>
          <w:lang w:bidi="ru-RU"/>
        </w:rPr>
        <w:t>обш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(ммоль/л) — 0,25 • альбумин (г/л) + 1,0</w:t>
      </w:r>
    </w:p>
    <w:p w:rsidR="00912B85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Исследуют уровень костной фракции щелочной фосфатазы, актив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ность которой прямо коррелирует с уровнем паратгормона, 25-ОН-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D3 </w:t>
      </w:r>
      <w:r w:rsidRPr="00B0315C">
        <w:rPr>
          <w:rFonts w:ascii="Arial" w:hAnsi="Arial" w:cs="Arial"/>
          <w:sz w:val="28"/>
          <w:szCs w:val="28"/>
          <w:lang w:bidi="ru-RU"/>
        </w:rPr>
        <w:t>и 1,25-(ОН)</w:t>
      </w:r>
      <w:r w:rsidRPr="00B0315C">
        <w:rPr>
          <w:rFonts w:ascii="Arial" w:hAnsi="Arial" w:cs="Arial"/>
          <w:sz w:val="28"/>
          <w:szCs w:val="28"/>
          <w:vertAlign w:val="subscript"/>
          <w:lang w:bidi="ru-RU"/>
        </w:rPr>
        <w:t>2</w:t>
      </w:r>
      <w:r w:rsidRPr="00B0315C">
        <w:rPr>
          <w:rFonts w:ascii="Arial" w:hAnsi="Arial" w:cs="Arial"/>
          <w:sz w:val="28"/>
          <w:szCs w:val="28"/>
          <w:lang w:bidi="ru-RU"/>
        </w:rPr>
        <w:t>-Оз. Весьма информативно исследование других маркеров косте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образования и костной резорбции.</w:t>
      </w:r>
    </w:p>
    <w:p w:rsidR="00B0315C" w:rsidRDefault="00B0315C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tbl>
      <w:tblPr>
        <w:tblpPr w:leftFromText="180" w:rightFromText="180" w:vertAnchor="text" w:horzAnchor="margin" w:tblpXSpec="center" w:tblpY="-30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53"/>
        <w:gridCol w:w="4048"/>
      </w:tblGrid>
      <w:tr w:rsidR="00B0315C" w:rsidRPr="00B0315C" w:rsidTr="00B0315C">
        <w:trPr>
          <w:trHeight w:hRule="exact" w:val="735"/>
        </w:trPr>
        <w:tc>
          <w:tcPr>
            <w:tcW w:w="8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315C" w:rsidRPr="00B0315C" w:rsidRDefault="00B0315C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t>Маркеры костеобразования и костной резорбции</w:t>
            </w:r>
          </w:p>
        </w:tc>
      </w:tr>
      <w:tr w:rsidR="00B0315C" w:rsidRPr="00B0315C" w:rsidTr="00B0315C">
        <w:trPr>
          <w:trHeight w:hRule="exact" w:val="515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0315C" w:rsidRPr="00B0315C" w:rsidRDefault="00B0315C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i/>
                <w:iCs/>
                <w:sz w:val="28"/>
                <w:szCs w:val="28"/>
                <w:lang w:bidi="ru-RU"/>
              </w:rPr>
              <w:t>Маркеры костеобразования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315C" w:rsidRPr="00B0315C" w:rsidRDefault="00B0315C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i/>
                <w:iCs/>
                <w:sz w:val="28"/>
                <w:szCs w:val="28"/>
                <w:lang w:bidi="ru-RU"/>
              </w:rPr>
              <w:t>Маркеры костной резорбции</w:t>
            </w:r>
          </w:p>
        </w:tc>
      </w:tr>
      <w:tr w:rsidR="00B0315C" w:rsidRPr="00B0315C" w:rsidTr="00B0315C">
        <w:trPr>
          <w:trHeight w:hRule="exact" w:val="2872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315C" w:rsidRPr="00B0315C" w:rsidRDefault="00B0315C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Щелочная фосфатаза общая</w:t>
            </w:r>
          </w:p>
          <w:p w:rsidR="00B0315C" w:rsidRPr="00B0315C" w:rsidRDefault="00B0315C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Щелочная фосфатаза костная</w:t>
            </w:r>
          </w:p>
          <w:p w:rsidR="00B0315C" w:rsidRPr="00B0315C" w:rsidRDefault="00B0315C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Остеокальцин</w:t>
            </w:r>
          </w:p>
          <w:p w:rsidR="00B0315C" w:rsidRPr="00B0315C" w:rsidRDefault="00B0315C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Пропептид человеческого коллагена</w:t>
            </w:r>
          </w:p>
          <w:p w:rsidR="00B0315C" w:rsidRPr="00B0315C" w:rsidRDefault="00B0315C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I типа (Р1СР)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15C" w:rsidRPr="00B0315C" w:rsidRDefault="00B0315C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Оксипролин (экскреция с мочой) Коллагеновые перекрестные группы Пиридинолин (экскреция с мочой) Деоксипиридинолин</w:t>
            </w:r>
          </w:p>
          <w:p w:rsidR="00B0315C" w:rsidRPr="00B0315C" w:rsidRDefault="00B0315C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en-US"/>
              </w:rPr>
              <w:t>N-</w:t>
            </w: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концевой телопептид Тартратрезистентная кислая фосфатаза</w:t>
            </w:r>
          </w:p>
        </w:tc>
      </w:tr>
    </w:tbl>
    <w:p w:rsidR="00B0315C" w:rsidRDefault="00B0315C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B0315C" w:rsidRDefault="00B0315C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42545" distR="42545" simplePos="0" relativeHeight="251673600" behindDoc="0" locked="0" layoutInCell="1" allowOverlap="1" wp14:anchorId="5BEE3E71" wp14:editId="5DDE5D80">
                <wp:simplePos x="0" y="0"/>
                <wp:positionH relativeFrom="column">
                  <wp:posOffset>-635</wp:posOffset>
                </wp:positionH>
                <wp:positionV relativeFrom="paragraph">
                  <wp:posOffset>3252470</wp:posOffset>
                </wp:positionV>
                <wp:extent cx="5753100" cy="1066800"/>
                <wp:effectExtent l="0" t="0" r="0" b="0"/>
                <wp:wrapTopAndBottom/>
                <wp:docPr id="1151" name="Shape 1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0668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Pr="00B0315C" w:rsidRDefault="00B0315C" w:rsidP="00912B85">
                            <w:pPr>
                              <w:spacing w:line="218" w:lineRule="auto"/>
                              <w:jc w:val="both"/>
                              <w:rPr>
                                <w:rFonts w:ascii="Arial" w:hAnsi="Arial" w:cs="Arial"/>
                                <w:sz w:val="28"/>
                                <w:szCs w:val="18"/>
                              </w:rPr>
                            </w:pPr>
                            <w:r w:rsidRPr="00B0315C">
                              <w:rPr>
                                <w:rFonts w:ascii="Arial" w:hAnsi="Arial" w:cs="Arial"/>
                                <w:sz w:val="28"/>
                                <w:szCs w:val="18"/>
                              </w:rPr>
                              <w:t>Цифрами обозначены варианты лабораторных показателей при первичном гиперпаратирео</w:t>
                            </w:r>
                            <w:r w:rsidRPr="00B0315C">
                              <w:rPr>
                                <w:rFonts w:ascii="Arial" w:hAnsi="Arial" w:cs="Arial"/>
                                <w:sz w:val="28"/>
                                <w:szCs w:val="18"/>
                              </w:rPr>
                              <w:softHyphen/>
                              <w:t>зе: 1 — выраженный первичный гиперпаратиреоз; 2 — гиперкальциемия при еще нормаль</w:t>
                            </w:r>
                            <w:r w:rsidRPr="00B0315C">
                              <w:rPr>
                                <w:rFonts w:ascii="Arial" w:hAnsi="Arial" w:cs="Arial"/>
                                <w:sz w:val="28"/>
                                <w:szCs w:val="18"/>
                              </w:rPr>
                              <w:softHyphen/>
                              <w:t>ном уровне паратгормона; 3 — погранично повышенный уровень кальция при очевидно вы</w:t>
                            </w:r>
                            <w:r w:rsidRPr="00B0315C">
                              <w:rPr>
                                <w:rFonts w:ascii="Arial" w:hAnsi="Arial" w:cs="Arial"/>
                                <w:sz w:val="28"/>
                                <w:szCs w:val="18"/>
                              </w:rPr>
                              <w:softHyphen/>
                              <w:t>соком уровне паратгормона; 4 — пограничное повышение обоих показателей.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E3E71" id="Shape 1151" o:spid="_x0000_s1047" type="#_x0000_t202" style="position:absolute;left:0;text-align:left;margin-left:-.05pt;margin-top:256.1pt;width:453pt;height:84pt;z-index:251673600;visibility:visible;mso-wrap-style:square;mso-width-percent:0;mso-height-percent:0;mso-wrap-distance-left:3.35pt;mso-wrap-distance-top:0;mso-wrap-distance-right:3.35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" filled="f" stroked="f">
                <v:textbox inset="0,0,0,0">
                  <w:txbxContent>
                    <w:p w:rsidR="00B0315C" w:rsidRPr="00B0315C" w:rsidRDefault="00B0315C" w:rsidP="00912B85">
                      <w:pPr>
                        <w:spacing w:line="218" w:lineRule="auto"/>
                        <w:jc w:val="both"/>
                        <w:rPr>
                          <w:rFonts w:ascii="Arial" w:hAnsi="Arial" w:cs="Arial"/>
                          <w:sz w:val="28"/>
                          <w:szCs w:val="18"/>
                        </w:rPr>
                      </w:pPr>
                      <w:r w:rsidRPr="00B0315C">
                        <w:rPr>
                          <w:rFonts w:ascii="Arial" w:hAnsi="Arial" w:cs="Arial"/>
                          <w:sz w:val="28"/>
                          <w:szCs w:val="18"/>
                        </w:rPr>
                        <w:t>Цифрами обозначены варианты лабораторных показателей при первичном гиперпаратирео</w:t>
                      </w:r>
                      <w:r w:rsidRPr="00B0315C">
                        <w:rPr>
                          <w:rFonts w:ascii="Arial" w:hAnsi="Arial" w:cs="Arial"/>
                          <w:sz w:val="28"/>
                          <w:szCs w:val="18"/>
                        </w:rPr>
                        <w:softHyphen/>
                        <w:t>зе: 1 — выраженный первичный гиперпаратиреоз; 2 — гиперкальциемия при еще нормаль</w:t>
                      </w:r>
                      <w:r w:rsidRPr="00B0315C">
                        <w:rPr>
                          <w:rFonts w:ascii="Arial" w:hAnsi="Arial" w:cs="Arial"/>
                          <w:sz w:val="28"/>
                          <w:szCs w:val="18"/>
                        </w:rPr>
                        <w:softHyphen/>
                        <w:t>ном уровне паратгормона; 3 — погранично повышенный уровень кальция при очевидно вы</w:t>
                      </w:r>
                      <w:r w:rsidRPr="00B0315C">
                        <w:rPr>
                          <w:rFonts w:ascii="Arial" w:hAnsi="Arial" w:cs="Arial"/>
                          <w:sz w:val="28"/>
                          <w:szCs w:val="18"/>
                        </w:rPr>
                        <w:softHyphen/>
                        <w:t>соком уровне паратгормона; 4 — пограничное повышение обоих показателей.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2660C076" wp14:editId="68C43838">
            <wp:extent cx="4072255" cy="3017520"/>
            <wp:effectExtent l="0" t="0" r="0" b="0"/>
            <wp:docPr id="1140" name="Picutre 11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" name="Picture 1140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off x="0" y="0"/>
                      <a:ext cx="4072255" cy="301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42545" distR="4758055" simplePos="0" relativeHeight="251668480" behindDoc="0" locked="0" layoutInCell="1" allowOverlap="1" wp14:anchorId="718866A9" wp14:editId="18D75AB5">
                <wp:simplePos x="0" y="0"/>
                <wp:positionH relativeFrom="column">
                  <wp:posOffset>2606040</wp:posOffset>
                </wp:positionH>
                <wp:positionV relativeFrom="paragraph">
                  <wp:posOffset>0</wp:posOffset>
                </wp:positionV>
                <wp:extent cx="69850" cy="118745"/>
                <wp:effectExtent l="0" t="0" r="0" b="0"/>
                <wp:wrapTopAndBottom/>
                <wp:docPr id="1141" name="Shape 1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50" cy="1187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Default="00B0315C" w:rsidP="00912B8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18866A9" id="Shape 1141" o:spid="_x0000_s1048" type="#_x0000_t202" style="position:absolute;left:0;text-align:left;margin-left:205.2pt;margin-top:0;width:5.5pt;height:9.35pt;z-index:251668480;visibility:visible;mso-wrap-style:square;mso-wrap-distance-left:3.35pt;mso-wrap-distance-top:0;mso-wrap-distance-right:374.6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" filled="f" stroked="f">
                <v:textbox inset="0,0,0,0">
                  <w:txbxContent>
                    <w:p w:rsidR="00B0315C" w:rsidRDefault="00B0315C" w:rsidP="00912B85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42545" distR="4081145" simplePos="0" relativeHeight="251669504" behindDoc="0" locked="0" layoutInCell="1" allowOverlap="1" wp14:anchorId="18BF883B" wp14:editId="06D9F4F0">
                <wp:simplePos x="0" y="0"/>
                <wp:positionH relativeFrom="column">
                  <wp:posOffset>920115</wp:posOffset>
                </wp:positionH>
                <wp:positionV relativeFrom="paragraph">
                  <wp:posOffset>2462530</wp:posOffset>
                </wp:positionV>
                <wp:extent cx="746760" cy="130810"/>
                <wp:effectExtent l="0" t="0" r="0" b="0"/>
                <wp:wrapTopAndBottom/>
                <wp:docPr id="1143" name="Shape 1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760" cy="130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Default="00B0315C" w:rsidP="00912B8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Гипопаратиреоз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F883B" id="Shape 1143" o:spid="_x0000_s1049" type="#_x0000_t202" style="position:absolute;left:0;text-align:left;margin-left:72.45pt;margin-top:193.9pt;width:58.8pt;height:10.3pt;z-index:251669504;visibility:visible;mso-wrap-style:square;mso-width-percent:0;mso-height-percent:0;mso-wrap-distance-left:3.35pt;mso-wrap-distance-top:0;mso-wrap-distance-right:321.35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" filled="f" stroked="f">
                <v:textbox inset="0,0,0,0">
                  <w:txbxContent>
                    <w:p w:rsidR="00B0315C" w:rsidRDefault="00B0315C" w:rsidP="00912B85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Гипопаратиреоз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42545" distR="3996055" simplePos="0" relativeHeight="251670528" behindDoc="0" locked="0" layoutInCell="1" allowOverlap="1" wp14:anchorId="729642D2" wp14:editId="098E75DE">
                <wp:simplePos x="0" y="0"/>
                <wp:positionH relativeFrom="column">
                  <wp:posOffset>2120900</wp:posOffset>
                </wp:positionH>
                <wp:positionV relativeFrom="paragraph">
                  <wp:posOffset>2874010</wp:posOffset>
                </wp:positionV>
                <wp:extent cx="831850" cy="130810"/>
                <wp:effectExtent l="0" t="0" r="0" b="0"/>
                <wp:wrapTopAndBottom/>
                <wp:docPr id="1145" name="Shape 1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0" cy="130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Default="00B0315C" w:rsidP="00912B85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Кальций, ммоль/л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29642D2" id="Shape 1145" o:spid="_x0000_s1050" type="#_x0000_t202" style="position:absolute;left:0;text-align:left;margin-left:167pt;margin-top:226.3pt;width:65.5pt;height:10.3pt;z-index:251670528;visibility:visible;mso-wrap-style:square;mso-wrap-distance-left:3.35pt;mso-wrap-distance-top:0;mso-wrap-distance-right:314.6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" filled="f" stroked="f">
                <v:textbox inset="0,0,0,0">
                  <w:txbxContent>
                    <w:p w:rsidR="00B0315C" w:rsidRDefault="00B0315C" w:rsidP="00912B85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Кальций, ммоль/л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42545" distR="3465195" simplePos="0" relativeHeight="251671552" behindDoc="0" locked="0" layoutInCell="1" allowOverlap="1" wp14:anchorId="394C77A0" wp14:editId="459614E2">
                <wp:simplePos x="0" y="0"/>
                <wp:positionH relativeFrom="column">
                  <wp:posOffset>2804160</wp:posOffset>
                </wp:positionH>
                <wp:positionV relativeFrom="paragraph">
                  <wp:posOffset>2465705</wp:posOffset>
                </wp:positionV>
                <wp:extent cx="1362710" cy="140335"/>
                <wp:effectExtent l="0" t="0" r="0" b="0"/>
                <wp:wrapTopAndBottom/>
                <wp:docPr id="1147" name="Shape 1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710" cy="1403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Default="00B0315C" w:rsidP="00912B8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Опухолевая гиперкальциемия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94C77A0" id="Shape 1147" o:spid="_x0000_s1051" type="#_x0000_t202" style="position:absolute;left:0;text-align:left;margin-left:220.8pt;margin-top:194.15pt;width:107.3pt;height:11.05pt;z-index:251671552;visibility:visible;mso-wrap-style:square;mso-wrap-distance-left:3.35pt;mso-wrap-distance-top:0;mso-wrap-distance-right:272.8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" filled="f" stroked="f">
                <v:textbox inset="0,0,0,0">
                  <w:txbxContent>
                    <w:p w:rsidR="00B0315C" w:rsidRDefault="00B0315C" w:rsidP="00912B85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Опухолевая гиперкальциемия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B0315C">
        <w:rPr>
          <w:rFonts w:ascii="Arial" w:hAnsi="Arial" w:cs="Arial"/>
          <w:sz w:val="28"/>
          <w:szCs w:val="28"/>
          <w:lang w:bidi="ru-RU"/>
        </w:rPr>
        <w:t>Прямым и достаточно информативным методом оценки деятельности паращитовидных желез служит определение паратгормона (рис. 11.5). Из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мерение уровня кальцитонина и активных метаболитов витамина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D </w:t>
      </w:r>
      <w:r w:rsidRPr="00B0315C">
        <w:rPr>
          <w:rFonts w:ascii="Arial" w:hAnsi="Arial" w:cs="Arial"/>
          <w:sz w:val="28"/>
          <w:szCs w:val="28"/>
          <w:lang w:bidi="ru-RU"/>
        </w:rPr>
        <w:t>про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водится по строгим показаниям в немногих лабораториях. По показаниям (подозрение на гиперкальциемию вследствие злокачественных неэндо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кринных новообразований) может быть определен паратгормонсвязан- ный пептид — белок, выделяемый некоторыми злокачественными опухо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лями.</w:t>
      </w:r>
    </w:p>
    <w:p w:rsidR="00912B85" w:rsidRPr="00B0315C" w:rsidRDefault="0031747F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42545" distR="42545" simplePos="0" relativeHeight="251672576" behindDoc="0" locked="0" layoutInCell="1" allowOverlap="1" wp14:anchorId="29AC0130" wp14:editId="46B6552B">
                <wp:simplePos x="0" y="0"/>
                <wp:positionH relativeFrom="column">
                  <wp:posOffset>37465</wp:posOffset>
                </wp:positionH>
                <wp:positionV relativeFrom="paragraph">
                  <wp:posOffset>1118235</wp:posOffset>
                </wp:positionV>
                <wp:extent cx="5727700" cy="368300"/>
                <wp:effectExtent l="0" t="0" r="0" b="0"/>
                <wp:wrapTopAndBottom/>
                <wp:docPr id="1149" name="Shape 1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7700" cy="3683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Pr="0031747F" w:rsidRDefault="00B0315C" w:rsidP="00912B85">
                            <w:pPr>
                              <w:spacing w:line="202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31747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Рис. 11.5. </w:t>
                            </w:r>
                            <w:r w:rsidRPr="0031747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Соотношение содержания кальция и интактного паратгормона при раз</w:t>
                            </w:r>
                            <w:r w:rsidRPr="0031747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softHyphen/>
                              <w:t xml:space="preserve">личных заболеваниях </w:t>
                            </w:r>
                            <w:r w:rsidRPr="0031747F">
                              <w:rPr>
                                <w:rFonts w:ascii="Arial" w:hAnsi="Arial" w:cs="Arial"/>
                                <w:sz w:val="28"/>
                                <w:szCs w:val="28"/>
                                <w:lang w:bidi="en-US"/>
                              </w:rPr>
                              <w:t>[</w:t>
                            </w:r>
                            <w:r w:rsidRPr="0031747F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 w:bidi="en-US"/>
                              </w:rPr>
                              <w:t>Ehlenz</w:t>
                            </w:r>
                            <w:r w:rsidRPr="0031747F">
                              <w:rPr>
                                <w:rFonts w:ascii="Arial" w:hAnsi="Arial" w:cs="Arial"/>
                                <w:sz w:val="28"/>
                                <w:szCs w:val="28"/>
                                <w:lang w:bidi="en-US"/>
                              </w:rPr>
                              <w:t xml:space="preserve"> </w:t>
                            </w:r>
                            <w:r w:rsidRPr="0031747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К., 1995].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C0130" id="Shape 1149" o:spid="_x0000_s1052" type="#_x0000_t202" style="position:absolute;left:0;text-align:left;margin-left:2.95pt;margin-top:88.05pt;width:451pt;height:29pt;z-index:251672576;visibility:visible;mso-wrap-style:square;mso-width-percent:0;mso-height-percent:0;mso-wrap-distance-left:3.35pt;mso-wrap-distance-top:0;mso-wrap-distance-right:3.35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" filled="f" stroked="f">
                <v:textbox inset="0,0,0,0">
                  <w:txbxContent>
                    <w:p w:rsidR="00B0315C" w:rsidRPr="0031747F" w:rsidRDefault="00B0315C" w:rsidP="00912B85">
                      <w:pPr>
                        <w:spacing w:line="202" w:lineRule="auto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31747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Рис. 11.5. </w:t>
                      </w:r>
                      <w:r w:rsidRPr="0031747F">
                        <w:rPr>
                          <w:rFonts w:ascii="Arial" w:hAnsi="Arial" w:cs="Arial"/>
                          <w:sz w:val="28"/>
                          <w:szCs w:val="28"/>
                        </w:rPr>
                        <w:t>Соотношение содержания кальция и интактного паратгормона при раз</w:t>
                      </w:r>
                      <w:r w:rsidRPr="0031747F">
                        <w:rPr>
                          <w:rFonts w:ascii="Arial" w:hAnsi="Arial" w:cs="Arial"/>
                          <w:sz w:val="28"/>
                          <w:szCs w:val="28"/>
                        </w:rPr>
                        <w:softHyphen/>
                        <w:t xml:space="preserve">личных заболеваниях </w:t>
                      </w:r>
                      <w:r w:rsidRPr="0031747F">
                        <w:rPr>
                          <w:rFonts w:ascii="Arial" w:hAnsi="Arial" w:cs="Arial"/>
                          <w:sz w:val="28"/>
                          <w:szCs w:val="28"/>
                          <w:lang w:bidi="en-US"/>
                        </w:rPr>
                        <w:t>[</w:t>
                      </w:r>
                      <w:r w:rsidRPr="0031747F">
                        <w:rPr>
                          <w:rFonts w:ascii="Arial" w:hAnsi="Arial" w:cs="Arial"/>
                          <w:sz w:val="28"/>
                          <w:szCs w:val="28"/>
                          <w:lang w:val="en-US" w:bidi="en-US"/>
                        </w:rPr>
                        <w:t>Ehlenz</w:t>
                      </w:r>
                      <w:r w:rsidRPr="0031747F">
                        <w:rPr>
                          <w:rFonts w:ascii="Arial" w:hAnsi="Arial" w:cs="Arial"/>
                          <w:sz w:val="28"/>
                          <w:szCs w:val="28"/>
                          <w:lang w:bidi="en-US"/>
                        </w:rPr>
                        <w:t xml:space="preserve"> </w:t>
                      </w:r>
                      <w:r w:rsidRPr="0031747F">
                        <w:rPr>
                          <w:rFonts w:ascii="Arial" w:hAnsi="Arial" w:cs="Arial"/>
                          <w:sz w:val="28"/>
                          <w:szCs w:val="28"/>
                        </w:rPr>
                        <w:t>К., 1995].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912B85" w:rsidRPr="00B0315C">
        <w:rPr>
          <w:rFonts w:ascii="Arial" w:hAnsi="Arial" w:cs="Arial"/>
          <w:b/>
          <w:bCs/>
          <w:sz w:val="28"/>
          <w:szCs w:val="28"/>
          <w:lang w:bidi="ru-RU"/>
        </w:rPr>
        <w:t xml:space="preserve">Инструментальные методы. </w:t>
      </w:r>
      <w:r w:rsidR="00912B85" w:rsidRPr="00B0315C">
        <w:rPr>
          <w:rFonts w:ascii="Arial" w:hAnsi="Arial" w:cs="Arial"/>
          <w:sz w:val="28"/>
          <w:szCs w:val="28"/>
          <w:lang w:bidi="ru-RU"/>
        </w:rPr>
        <w:t xml:space="preserve">С целью уточнения локализации паратиром проводят эхолокационное, </w:t>
      </w:r>
      <w:r w:rsidR="00912B85" w:rsidRPr="00B0315C">
        <w:rPr>
          <w:rFonts w:ascii="Arial" w:hAnsi="Arial" w:cs="Arial"/>
          <w:sz w:val="28"/>
          <w:szCs w:val="28"/>
          <w:lang w:bidi="en-US"/>
        </w:rPr>
        <w:t>MP</w:t>
      </w:r>
      <w:r w:rsidR="00912B85" w:rsidRPr="00B0315C">
        <w:rPr>
          <w:rFonts w:ascii="Arial" w:hAnsi="Arial" w:cs="Arial"/>
          <w:sz w:val="28"/>
          <w:szCs w:val="28"/>
          <w:lang w:bidi="ru-RU"/>
        </w:rPr>
        <w:t>-томографическое или КТ-исследование паращитовидных желез, а также сканирование с селенметионином или окт</w:t>
      </w:r>
      <w:r w:rsidR="00912B85" w:rsidRPr="00B0315C">
        <w:rPr>
          <w:rFonts w:ascii="Arial" w:hAnsi="Arial" w:cs="Arial"/>
          <w:sz w:val="28"/>
          <w:szCs w:val="28"/>
          <w:lang w:bidi="ru-RU"/>
        </w:rPr>
        <w:softHyphen/>
        <w:t>реотидом или с одновременным введением радиоактивного таллия и техне</w:t>
      </w:r>
      <w:r w:rsidR="00912B85" w:rsidRPr="00B0315C">
        <w:rPr>
          <w:rFonts w:ascii="Arial" w:hAnsi="Arial" w:cs="Arial"/>
          <w:sz w:val="28"/>
          <w:szCs w:val="28"/>
          <w:lang w:bidi="ru-RU"/>
        </w:rPr>
        <w:softHyphen/>
        <w:t>ция (для визуализации атипично расположенных желез).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При </w:t>
      </w: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рентгенологическом исследовании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могут быть изучены различные кости скелета в зависимости от предполагаемого диагноза. Так, рентгено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граммы трубчатых костей и кистей наиболее </w:t>
      </w:r>
      <w:r w:rsidRPr="00B0315C">
        <w:rPr>
          <w:rFonts w:ascii="Arial" w:hAnsi="Arial" w:cs="Arial"/>
          <w:sz w:val="28"/>
          <w:szCs w:val="28"/>
          <w:lang w:bidi="ru-RU"/>
        </w:rPr>
        <w:lastRenderedPageBreak/>
        <w:t>часто изучаются при подозре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нии на гиперпаратиреоз. При этом обнаружение поднадкостничного остео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лиза и/или характерных кист ранее считалось одним из наиболее достовер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ных маркеров гиперпаратиреоза. Укорочение пястных костей — важный признак псевдогипопаратиреоза.</w:t>
      </w:r>
      <w:r w:rsidR="0031747F" w:rsidRPr="00B0315C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 w:rsidRPr="00B0315C">
        <w:rPr>
          <w:rFonts w:ascii="Arial" w:hAnsi="Arial" w:cs="Arial"/>
          <w:noProof/>
          <w:sz w:val="28"/>
          <w:szCs w:val="28"/>
          <w:lang w:eastAsia="ru-RU"/>
        </w:rPr>
        <w:drawing>
          <wp:anchor distT="114300" distB="958850" distL="178435" distR="227330" simplePos="0" relativeHeight="251674624" behindDoc="0" locked="0" layoutInCell="1" allowOverlap="1" wp14:anchorId="36B5D948" wp14:editId="795D7A91">
            <wp:simplePos x="0" y="0"/>
            <wp:positionH relativeFrom="page">
              <wp:posOffset>1552575</wp:posOffset>
            </wp:positionH>
            <wp:positionV relativeFrom="margin">
              <wp:posOffset>373380</wp:posOffset>
            </wp:positionV>
            <wp:extent cx="2011680" cy="2621280"/>
            <wp:effectExtent l="0" t="0" r="0" b="0"/>
            <wp:wrapSquare wrapText="right"/>
            <wp:docPr id="1153" name="Shape 11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" name="Picture box 115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off x="0" y="0"/>
                      <a:ext cx="2011680" cy="2621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95104" behindDoc="0" locked="0" layoutInCell="1" allowOverlap="1" wp14:anchorId="1233FD99" wp14:editId="6F947FDD">
                <wp:simplePos x="0" y="0"/>
                <wp:positionH relativeFrom="page">
                  <wp:posOffset>1488440</wp:posOffset>
                </wp:positionH>
                <wp:positionV relativeFrom="margin">
                  <wp:posOffset>3119755</wp:posOffset>
                </wp:positionV>
                <wp:extent cx="2185670" cy="719455"/>
                <wp:effectExtent l="0" t="0" r="0" b="0"/>
                <wp:wrapNone/>
                <wp:docPr id="1155" name="Shape 1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5670" cy="719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Default="00B0315C" w:rsidP="00912B85">
                            <w:pPr>
                              <w:spacing w:line="197" w:lineRule="auto"/>
                              <w:jc w:val="both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Рис. 11.6. </w:t>
                            </w:r>
                            <w:r>
                              <w:t>Определение минеральной плотности костной ткани в области головки лучевой кости методом двух</w:t>
                            </w:r>
                            <w:r>
                              <w:softHyphen/>
                              <w:t>энергетической рентгеновской аб</w:t>
                            </w:r>
                            <w:r>
                              <w:softHyphen/>
                              <w:t>сорбциометрии с помощью денсито</w:t>
                            </w:r>
                            <w:r>
                              <w:softHyphen/>
                              <w:t>метра.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233FD99" id="Shape 1155" o:spid="_x0000_s1053" type="#_x0000_t202" style="position:absolute;left:0;text-align:left;margin-left:117.2pt;margin-top:245.65pt;width:172.1pt;height:56.65pt;z-index:25169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" filled="f" stroked="f">
                <v:textbox inset="0,0,0,0">
                  <w:txbxContent>
                    <w:p w:rsidR="00B0315C" w:rsidRDefault="00B0315C" w:rsidP="00912B85">
                      <w:pPr>
                        <w:spacing w:line="197" w:lineRule="auto"/>
                        <w:jc w:val="both"/>
                      </w:pPr>
                      <w:r>
                        <w:rPr>
                          <w:b/>
                          <w:bCs/>
                        </w:rPr>
                        <w:t xml:space="preserve">Рис. 11.6. </w:t>
                      </w:r>
                      <w:r>
                        <w:t>Определение минеральной плотности костной ткани в области головки лучевой кости методом двух</w:t>
                      </w:r>
                      <w:r>
                        <w:softHyphen/>
                        <w:t>энергетической рентгеновской аб</w:t>
                      </w:r>
                      <w:r>
                        <w:softHyphen/>
                        <w:t>сорбциометрии с помощью денсито</w:t>
                      </w:r>
                      <w:r>
                        <w:softHyphen/>
                        <w:t>метра.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Pr="00B0315C">
        <w:rPr>
          <w:rFonts w:ascii="Arial" w:hAnsi="Arial" w:cs="Arial"/>
          <w:sz w:val="28"/>
          <w:szCs w:val="28"/>
          <w:lang w:bidi="ru-RU"/>
        </w:rPr>
        <w:t>Наиболее широко распространен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ным и общепринятым методом уста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новления диагноза остеопении и ос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теопороза является визуальная оценка рентгенограмм скелета. Стандартная рентгенография позволяет довольно надежно распознавать остеопороз и оценивать его выраженность в диафи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зах трубчатых костей на основании истончения кортикального слоя и по изменению костного индекса (соотно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шение между диаметром кости и тол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щиной ее кортикальной части). Но этот метод позволяет определить лишь выраженные стадии остеопороза и не годится для оценки динамики изме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нений.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В позвонках (преобладание губча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той кости) остеопороз проявляется изменением трабекулярного рисунка (исчезновение поперечных трабекул, гипертрофия вертикальных, симптом «грубой вертикальной трабекулярной исчерченности»), истончением и по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вышенной контрастностью замыка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тельных пластинок суставных впадин. Признаками компрессионного пере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лома тела позвонка считается снижение высоты тела позвонка, появление клиновидной или двояковогнутой деформации («рыбьи» позвонки). Сни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жение высоты тела позвонка более чем на 4 мм в течение первого года после установления диагноза может быть критерием нарастания остеопе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нии в динамике. К сожалению, рентгенологически остеопороз может быть диагностирован, когда уже 20—30 % массы кости потеряно.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Для ранней диагностики остеопении используются методы </w:t>
      </w: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костной ден</w:t>
      </w: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softHyphen/>
        <w:t>ситометрии,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позволяющие выявить потерю уже 2—5 % массы кости, оце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нить динамику плотности костной ткани в процессе развития заболевания или лечения. Применяются изотопные методы (моно- и двухфотонная аб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сорбциометрия), рентгеновские (моно- и двухэнергетическая абсорбциомет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рия, количественная компьютерная томография) и ультразвуковые методы.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lastRenderedPageBreak/>
        <w:t>С помощью монофотонной, моноэнергетической и ультразвуковой денситометрии исследуют периферические отделы скелета, что удобно для скрининга или предварительной диагностики. Наиболее универсальной яв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ляется двухэнергетическая рентгеновская абсорбциометрия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(DEXA), </w:t>
      </w:r>
      <w:r w:rsidRPr="00B0315C">
        <w:rPr>
          <w:rFonts w:ascii="Arial" w:hAnsi="Arial" w:cs="Arial"/>
          <w:sz w:val="28"/>
          <w:szCs w:val="28"/>
          <w:lang w:bidi="ru-RU"/>
        </w:rPr>
        <w:t>позво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ляющая измерять минеральную плотность кости в любом участке скелета, а также определять содержание солей кальция, жира и мышечной массы во всем организме. Для таких денситометров разработаны стандартные (авто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матические) программы для поясничных позвонков, проксимальных отде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лов бедра, костей предплечья (рис. 11.6) и программа «все тело». Наряду с абсолютными показателями плотности кости (г/см</w:t>
      </w:r>
      <w:r w:rsidRPr="00B0315C">
        <w:rPr>
          <w:rFonts w:ascii="Arial" w:hAnsi="Arial" w:cs="Arial"/>
          <w:sz w:val="28"/>
          <w:szCs w:val="28"/>
          <w:vertAlign w:val="superscript"/>
          <w:lang w:bidi="ru-RU"/>
        </w:rPr>
        <w:t>2</w:t>
      </w:r>
      <w:r w:rsidRPr="00B0315C">
        <w:rPr>
          <w:rFonts w:ascii="Arial" w:hAnsi="Arial" w:cs="Arial"/>
          <w:sz w:val="28"/>
          <w:szCs w:val="28"/>
          <w:lang w:bidi="ru-RU"/>
        </w:rPr>
        <w:t>, мг/см</w:t>
      </w:r>
      <w:r w:rsidRPr="00B0315C">
        <w:rPr>
          <w:rFonts w:ascii="Arial" w:hAnsi="Arial" w:cs="Arial"/>
          <w:sz w:val="28"/>
          <w:szCs w:val="28"/>
          <w:vertAlign w:val="superscript"/>
          <w:lang w:bidi="ru-RU"/>
        </w:rPr>
        <w:t>3</w:t>
      </w:r>
      <w:r w:rsidRPr="00B0315C">
        <w:rPr>
          <w:rFonts w:ascii="Arial" w:hAnsi="Arial" w:cs="Arial"/>
          <w:sz w:val="28"/>
          <w:szCs w:val="28"/>
          <w:lang w:bidi="ru-RU"/>
        </w:rPr>
        <w:t>) при денсито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метрии автоматически вычисляются </w:t>
      </w:r>
      <w:r w:rsidRPr="00B0315C">
        <w:rPr>
          <w:rFonts w:ascii="Arial" w:hAnsi="Arial" w:cs="Arial"/>
          <w:sz w:val="28"/>
          <w:szCs w:val="28"/>
          <w:lang w:bidi="en-US"/>
        </w:rPr>
        <w:t>Z</w:t>
      </w:r>
      <w:r w:rsidRPr="00B0315C">
        <w:rPr>
          <w:rFonts w:ascii="Arial" w:hAnsi="Arial" w:cs="Arial"/>
          <w:sz w:val="28"/>
          <w:szCs w:val="28"/>
          <w:lang w:bidi="ru-RU"/>
        </w:rPr>
        <w:t>-критерий (минеральная плотность костной ткани относительно средних значений для данного возраста и пола) и Т-критерий (сравнение плотности кости с пиковыми значениями в возрасте 30 лет). Выраженность остеопении или остеопороза по рекоменда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циям ВОЗ оценивается по Т-критерию. Снижение минеральной плотности костной ткани более чем на 1 стандартную девиацию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(SD) 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рассматривается как остеопения, а более чем на 2,5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SD </w:t>
      </w:r>
      <w:r w:rsidRPr="00B0315C">
        <w:rPr>
          <w:rFonts w:ascii="Arial" w:hAnsi="Arial" w:cs="Arial"/>
          <w:sz w:val="28"/>
          <w:szCs w:val="28"/>
          <w:lang w:bidi="ru-RU"/>
        </w:rPr>
        <w:t>— как остеопороз.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Современные денситометры дают возможность значительно улучшить диагностику остеопороза, особенно в ранних стадиях. Однако необходимо помнить, что они являются узкоспециализированными приборами, позво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ляющими косвенно судить о насыщенности костной ткани минеральными солями. При сопоставлении результатов костной денситометрии с клини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ческой картиной и рентгенологическими данными следует учитывать, что наличие остеопороза, деформирующего спондилеза со сколиозом, кальци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фикации мягких тканей и переломов в месте исследования могут искажать показатели плотности кости в сторону их увеличения. Остеоденситометрия сама по себе не дает возможности поставить нозологический диагноз и не заменяет стандартного рентгенологического исследования.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При остеопенических процессах неясного происхождения важную роль в дифференциальной диагностике играет </w:t>
      </w: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биопсия костной ткани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из гребня крыла подвздошной кости. Она позволяет различить остеопороз и остеома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ляцию, а также другие виды патологии костной ткани, гистоморфометри- ческие исследования биоптата уточняют тип обмена в костной ткани.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Одним из самых сложных этапов обследования является топическая диагностика паратиромы, которая проводится при наличии веских подо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зрений на наличие гиперпаратиреоза. В наиболее простых случаях парати- рома или гиперплазия паращитовидных желез могут быть обнаружены уже при </w:t>
      </w: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УЗИ паращитовидных желез,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но чаще требуется сложный поиск с ис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пользованием ряда инструментальных </w:t>
      </w:r>
      <w:r w:rsidRPr="00B0315C">
        <w:rPr>
          <w:rFonts w:ascii="Arial" w:hAnsi="Arial" w:cs="Arial"/>
          <w:sz w:val="28"/>
          <w:szCs w:val="28"/>
          <w:lang w:bidi="ru-RU"/>
        </w:rPr>
        <w:lastRenderedPageBreak/>
        <w:t xml:space="preserve">методов, тем более что около 10 % аденом находится в нетипичных местах. Неинвазивные методы включают </w:t>
      </w: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сканирование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с технецием-99, йодом-131 или 123 в комбинации с таллием- 201, а также </w:t>
      </w: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компьютерное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или </w:t>
      </w: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магнитно-резонансное томографическое йс- следование.</w:t>
      </w:r>
      <w:r w:rsidRPr="00B0315C">
        <w:rPr>
          <w:rFonts w:ascii="Arial" w:hAnsi="Arial" w:cs="Arial"/>
          <w:sz w:val="28"/>
          <w:szCs w:val="28"/>
          <w:lang w:bidi="ru-RU"/>
        </w:rPr>
        <w:t>Все эти методы имеют 75 % чувствительность с частотой лож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ноположительных результатов около 10—30 %. Инвазивные методы вклю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чают </w:t>
      </w: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артериографию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и селективный </w:t>
      </w: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забор проб крови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для определения уров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ня паратгормона (чувствительность — 90 %).</w:t>
      </w:r>
    </w:p>
    <w:p w:rsidR="00912B85" w:rsidRPr="00B0315C" w:rsidRDefault="00912B85" w:rsidP="00B0315C">
      <w:pPr>
        <w:numPr>
          <w:ilvl w:val="1"/>
          <w:numId w:val="16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>Классификация заболеваний, связанных с нарушением секреции и чувствительности к паратгормону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>Классификация заболеваний, обусловленных</w:t>
      </w:r>
      <w:r w:rsidRPr="00B0315C">
        <w:rPr>
          <w:rFonts w:ascii="Arial" w:hAnsi="Arial" w:cs="Arial"/>
          <w:b/>
          <w:bCs/>
          <w:sz w:val="28"/>
          <w:szCs w:val="28"/>
          <w:lang w:bidi="ru-RU"/>
        </w:rPr>
        <w:br/>
        <w:t>нарушением секреции паратгормона</w:t>
      </w:r>
    </w:p>
    <w:p w:rsidR="00912B85" w:rsidRPr="00B0315C" w:rsidRDefault="00912B85" w:rsidP="00B0315C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Первичный гиперпаратиреоз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Патогенетические формы</w:t>
      </w:r>
    </w:p>
    <w:p w:rsidR="00912B85" w:rsidRPr="00B0315C" w:rsidRDefault="00912B85" w:rsidP="00B0315C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Гиперфункционирующая аденома (аденомы)</w:t>
      </w:r>
    </w:p>
    <w:p w:rsidR="00912B85" w:rsidRPr="00B0315C" w:rsidRDefault="00912B85" w:rsidP="00B0315C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Гиперплазия околощитовидных желез</w:t>
      </w:r>
    </w:p>
    <w:p w:rsidR="00912B85" w:rsidRPr="00B0315C" w:rsidRDefault="00912B85" w:rsidP="00B0315C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Множественная эндокринная неоплазия I типа с гиперпаратиреозом (синдром Вермера)</w:t>
      </w:r>
    </w:p>
    <w:p w:rsidR="00912B85" w:rsidRPr="00B0315C" w:rsidRDefault="00912B85" w:rsidP="00B0315C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Множественная эндокринная неоплазия И типа с гиперпаратиреозом (синдром Сиппла)</w:t>
      </w:r>
      <w:r w:rsidRPr="00B0315C">
        <w:rPr>
          <w:rFonts w:ascii="Arial" w:hAnsi="Arial" w:cs="Arial"/>
          <w:sz w:val="28"/>
          <w:szCs w:val="28"/>
          <w:lang w:bidi="ru-RU"/>
        </w:rPr>
        <w:tab/>
        <w:t>*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Клинические формы</w:t>
      </w:r>
    </w:p>
    <w:p w:rsidR="00912B85" w:rsidRPr="00B0315C" w:rsidRDefault="00912B85" w:rsidP="00B0315C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Костная</w:t>
      </w:r>
    </w:p>
    <w:p w:rsidR="00912B85" w:rsidRPr="0031747F" w:rsidRDefault="00912B85" w:rsidP="00DB0736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1747F">
        <w:rPr>
          <w:rFonts w:ascii="Arial" w:hAnsi="Arial" w:cs="Arial"/>
          <w:sz w:val="28"/>
          <w:szCs w:val="28"/>
          <w:lang w:bidi="ru-RU"/>
        </w:rPr>
        <w:t>Остеопоротическая</w:t>
      </w:r>
      <w:r w:rsidR="0031747F" w:rsidRPr="0031747F">
        <w:rPr>
          <w:rFonts w:ascii="Arial" w:hAnsi="Arial" w:cs="Arial"/>
          <w:sz w:val="28"/>
          <w:szCs w:val="28"/>
          <w:lang w:bidi="ru-RU"/>
        </w:rPr>
        <w:t xml:space="preserve"> </w:t>
      </w:r>
      <w:r w:rsidRPr="0031747F">
        <w:rPr>
          <w:rFonts w:ascii="Arial" w:hAnsi="Arial" w:cs="Arial"/>
          <w:sz w:val="28"/>
          <w:szCs w:val="28"/>
          <w:lang w:bidi="ru-RU"/>
        </w:rPr>
        <w:t>Фи брозно-кистозный остеит</w:t>
      </w:r>
    </w:p>
    <w:p w:rsidR="00912B85" w:rsidRPr="00B0315C" w:rsidRDefault="00912B85" w:rsidP="00B0315C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«Педжетоидная*-</w:t>
      </w:r>
    </w:p>
    <w:p w:rsidR="00912B85" w:rsidRPr="00B0315C" w:rsidRDefault="00912B85" w:rsidP="00B0315C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Висцеропатическая</w:t>
      </w:r>
    </w:p>
    <w:p w:rsidR="00912B85" w:rsidRPr="00B0315C" w:rsidRDefault="00912B85" w:rsidP="00B0315C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С преимущественным поражением почек</w:t>
      </w:r>
    </w:p>
    <w:p w:rsidR="00912B85" w:rsidRPr="00B0315C" w:rsidRDefault="00912B85" w:rsidP="00B0315C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С преимущественным поражением желудочно-кишечного тракта</w:t>
      </w:r>
    </w:p>
    <w:p w:rsidR="00912B85" w:rsidRPr="00B0315C" w:rsidRDefault="00912B85" w:rsidP="00B0315C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С преимущественным поражением нервно-психической сферы</w:t>
      </w:r>
    </w:p>
    <w:p w:rsidR="00912B85" w:rsidRPr="00B0315C" w:rsidRDefault="00912B85" w:rsidP="00B0315C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Смешанная форма</w:t>
      </w:r>
    </w:p>
    <w:p w:rsidR="00912B85" w:rsidRPr="00B0315C" w:rsidRDefault="00912B85" w:rsidP="00B0315C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Вторичный гиперпаратиреоз</w:t>
      </w:r>
    </w:p>
    <w:p w:rsidR="00912B85" w:rsidRPr="00B0315C" w:rsidRDefault="00912B85" w:rsidP="00B0315C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Почечная патология: хроническая почечная недостаточность, тубуло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патия (типа Олбрайта—Фанкони), почечный рахит</w:t>
      </w:r>
    </w:p>
    <w:p w:rsidR="00912B85" w:rsidRPr="00B0315C" w:rsidRDefault="00912B85" w:rsidP="00B0315C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Кишечная патология; синдром мальабсорбции</w:t>
      </w:r>
    </w:p>
    <w:p w:rsidR="00912B85" w:rsidRPr="00B0315C" w:rsidRDefault="00912B85" w:rsidP="00B0315C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Костная патология: остеомаляция синильная, пуэрперальная, идио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патическая, болезнь Педжета</w:t>
      </w:r>
    </w:p>
    <w:p w:rsidR="00912B85" w:rsidRPr="00B0315C" w:rsidRDefault="00912B85" w:rsidP="00B0315C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Недостаточность витамина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D; </w:t>
      </w:r>
      <w:r w:rsidRPr="00B0315C">
        <w:rPr>
          <w:rFonts w:ascii="Arial" w:hAnsi="Arial" w:cs="Arial"/>
          <w:sz w:val="28"/>
          <w:szCs w:val="28"/>
          <w:lang w:bidi="ru-RU"/>
        </w:rPr>
        <w:t>заболевания почек, заболевания пече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ни, наследственные ферментопатии (кальций- и фосфопеническая наследуемые формы остеомаляции)</w:t>
      </w:r>
    </w:p>
    <w:p w:rsidR="00912B85" w:rsidRPr="00B0315C" w:rsidRDefault="00912B85" w:rsidP="00B0315C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Злокачественные заболевания; миеломная болезнь</w:t>
      </w:r>
    </w:p>
    <w:p w:rsidR="00912B85" w:rsidRPr="00B0315C" w:rsidRDefault="00912B85" w:rsidP="00B0315C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Третичный гиперпаратиреоз</w:t>
      </w:r>
    </w:p>
    <w:p w:rsidR="00912B85" w:rsidRPr="00B0315C" w:rsidRDefault="00912B85" w:rsidP="00B0315C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Псевдо гиперпаратиреоз</w:t>
      </w:r>
    </w:p>
    <w:p w:rsidR="00912B85" w:rsidRPr="00B0315C" w:rsidRDefault="00912B85" w:rsidP="00B0315C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Гормонально-неактивные кистозные и опухолевые образования около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щитовидных желез</w:t>
      </w:r>
    </w:p>
    <w:p w:rsidR="00912B85" w:rsidRPr="00B0315C" w:rsidRDefault="00912B85" w:rsidP="00B0315C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Гипопаратиреоз</w:t>
      </w:r>
    </w:p>
    <w:p w:rsidR="00912B85" w:rsidRPr="00B0315C" w:rsidRDefault="00912B85" w:rsidP="00B0315C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Врожденное недоразвитие или отсутствие околощитовидных желез</w:t>
      </w:r>
    </w:p>
    <w:p w:rsidR="00912B85" w:rsidRPr="00B0315C" w:rsidRDefault="00912B85" w:rsidP="00B0315C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Идиопатический (аутоиммунный)</w:t>
      </w:r>
    </w:p>
    <w:p w:rsidR="00912B85" w:rsidRPr="00B0315C" w:rsidRDefault="00912B85" w:rsidP="00B0315C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Послеоперационный</w:t>
      </w:r>
    </w:p>
    <w:p w:rsidR="00912B85" w:rsidRPr="00B0315C" w:rsidRDefault="00912B85" w:rsidP="00B0315C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Лучевые повреждения</w:t>
      </w:r>
    </w:p>
    <w:p w:rsidR="00912B85" w:rsidRPr="00B0315C" w:rsidRDefault="00912B85" w:rsidP="00B0315C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Повреждение околощитовидных желез при кровоизлиянии, инфаркте</w:t>
      </w:r>
    </w:p>
    <w:p w:rsidR="00912B85" w:rsidRPr="00B0315C" w:rsidRDefault="00912B85" w:rsidP="00B0315C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Инфекционные повреждения</w:t>
      </w:r>
    </w:p>
    <w:p w:rsidR="00912B85" w:rsidRPr="00B0315C" w:rsidRDefault="00912B85" w:rsidP="00B0315C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Псевдо гипопаратиреоз</w:t>
      </w:r>
    </w:p>
    <w:p w:rsidR="00912B85" w:rsidRPr="00B0315C" w:rsidRDefault="00912B85" w:rsidP="00B0315C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I тип — нечувствительность органов-мишеней к паратгормону, зави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симая от аденилатциклазы</w:t>
      </w:r>
    </w:p>
    <w:p w:rsidR="00912B85" w:rsidRPr="00B0315C" w:rsidRDefault="00912B85" w:rsidP="00B0315C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II тип — нечувствительность орта нов-мишеней к паратгормону, неза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висимая от аденилатциклазы, возможно, аутоиммунного генеза</w:t>
      </w:r>
    </w:p>
    <w:p w:rsidR="00912B85" w:rsidRPr="00B0315C" w:rsidRDefault="00912B85" w:rsidP="00B0315C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Псевдопсевдогипопаратиреоз</w:t>
      </w:r>
    </w:p>
    <w:p w:rsidR="00912B85" w:rsidRPr="00B0315C" w:rsidRDefault="00912B85" w:rsidP="00B0315C">
      <w:pPr>
        <w:numPr>
          <w:ilvl w:val="1"/>
          <w:numId w:val="16"/>
        </w:num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3" w:name="bookmark185"/>
      <w:r w:rsidRPr="00B0315C">
        <w:rPr>
          <w:rFonts w:ascii="Arial" w:hAnsi="Arial" w:cs="Arial"/>
          <w:b/>
          <w:bCs/>
          <w:sz w:val="28"/>
          <w:szCs w:val="28"/>
          <w:lang w:bidi="ru-RU"/>
        </w:rPr>
        <w:t>Гиперпаратиреоз</w:t>
      </w:r>
      <w:bookmarkEnd w:id="3"/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Гиперпаратиреоз — заболевание, обусловленное гиперсекрецией паратгор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мона, С учетом патогенетического принципа гиперпаратиреоз подразделя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ется на первичный, вторичный и третичный.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Самостоятельным заболеванием является первичный гиперпаратиреоз, а вторичный и третичный — синдромами, осложняющими течение других заболеваний (почечная недостаточность, мальабсорбция и пр.).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Первичный гиперпаратиреоз — первичное заболевание паращитовид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ных желез, проявляющееся избыточной продукцией паратгормона с разви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тием синдрома гиперкальциемии. Вторичный гиперпаратиреоз представля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ет собой компенсаторную гиперфункцию и гиперплазию паращитовидных желез, развивающуюся при длительной гипокальциемии и гиперфосфате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мии различного генеза. При третичном гиперпаратиреозе происходит раз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витие автономной гиперпродукции паратгормона гиперплазированными паращитовидными железами или формирование аденомы паращитовидных желез при длительно существующем вторичном гиперпаратиреозе.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>Классификация гиперпаратиреоза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 xml:space="preserve">7. </w:t>
      </w: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Первичный гиперпаратиреоз</w:t>
      </w:r>
    </w:p>
    <w:p w:rsidR="00912B85" w:rsidRPr="00B0315C" w:rsidRDefault="00912B85" w:rsidP="00B0315C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Солитарная аденома (80 %), множественные аденомы (5 %)</w:t>
      </w:r>
    </w:p>
    <w:p w:rsidR="00912B85" w:rsidRPr="00B0315C" w:rsidRDefault="00912B85" w:rsidP="00B0315C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Гиперплазия паращитовидных желез (15%)</w:t>
      </w:r>
    </w:p>
    <w:p w:rsidR="00912B85" w:rsidRPr="00B0315C" w:rsidRDefault="00912B85" w:rsidP="00B0315C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Карцинома паращитовидных желез (&lt;5 %)</w:t>
      </w:r>
    </w:p>
    <w:p w:rsidR="00912B85" w:rsidRPr="00B0315C" w:rsidRDefault="00912B85" w:rsidP="00B0315C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Первичный гиперпаратиреоз в рамках синдромов множественных эндокринных неоплазий 1-го и 2-го типов (МЭН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-I </w:t>
      </w:r>
      <w:r w:rsidRPr="00B0315C">
        <w:rPr>
          <w:rFonts w:ascii="Arial" w:hAnsi="Arial" w:cs="Arial"/>
          <w:sz w:val="28"/>
          <w:szCs w:val="28"/>
          <w:lang w:bidi="ru-RU"/>
        </w:rPr>
        <w:t>и МЭН-2)</w:t>
      </w:r>
    </w:p>
    <w:p w:rsidR="00912B85" w:rsidRPr="00B0315C" w:rsidRDefault="00912B85" w:rsidP="00B0315C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lastRenderedPageBreak/>
        <w:t>Вторичный гиперпаратиреоз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о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Почечный вторичный гиперпаратиреоз</w:t>
      </w:r>
    </w:p>
    <w:p w:rsidR="00912B85" w:rsidRPr="00B0315C" w:rsidRDefault="00912B85" w:rsidP="00B0315C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Вторичный гиперпаратиреоз при нормальной почечной функции: — синдром мальабсорбции с нарушением всасывания кальция — патология печени (редко): цирроз (нарушение превращения хо- лекальциферола в 25-ОН-Оз), холестаз (нарушение резорбции холекальциферола)</w:t>
      </w:r>
    </w:p>
    <w:p w:rsidR="00912B85" w:rsidRPr="00B0315C" w:rsidRDefault="00912B85" w:rsidP="00B0315C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Дефицит витамина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D </w:t>
      </w:r>
      <w:r w:rsidRPr="00B0315C">
        <w:rPr>
          <w:rFonts w:ascii="Arial" w:hAnsi="Arial" w:cs="Arial"/>
          <w:sz w:val="28"/>
          <w:szCs w:val="28"/>
          <w:lang w:bidi="ru-RU"/>
        </w:rPr>
        <w:t>(недостаточная солнечная экспозиция)</w:t>
      </w:r>
    </w:p>
    <w:p w:rsidR="00912B85" w:rsidRPr="00B0315C" w:rsidRDefault="00912B85" w:rsidP="00B0315C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Третичный гиперпаратиреоз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11.5.1. Первичный гиперпаратиреоз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Первичный гиперпаратиреоз (ПГП) встречается с частотой порядка 25 новых случаев на 100 000 населения в год. С ПГП связано около 35 % слу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чаев синдрома гиперкальциемии. После сахарного диабета и тиреотоксико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за ПГП является третьим по частоте эндокринным заболеванием. Пик за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болеваемости приходится на 40—50 лет, при этом ПГП в 2 раза чаще встре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чается среди женщин (имеется у 3 % женщин в постменопаузальном перио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де). Диагностика ПГП проводится с большим опозданием: срок от момента появления первого симптома до установления диагноза составляет все те же 10 лет, что и в начале века, когда Ф.Олбрайт впервые описал это заболе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вание. Вероятно, это связано с недостаточным вниманием к наличию ги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перкальциемии, поскольку само по себе определение уровня кальция в крови относится к числу рутинных. Для практического врача очень важно знать, что зарегистрированная повторно гиперкальциемия является серьез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ным основанием для поиска ПГП. Гиперкальциемия регистрируется у взрослых в 0,5—1,1 % случаев, чаще у женщин старше 50 лет.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Этиология. Чаще всего причиной гиперпаратиреоза является солитарная аденома паращитовидной железы (паратирома), значительно реже — аденомы множественные (5 %), еще реже (&lt;5 %) — рак паращито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видной железы. Первичная гиперплазия всех паращитовидных желез встре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чается примерно у 15 % больных.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  <w:sectPr w:rsidR="00912B85" w:rsidRPr="00B0315C" w:rsidSect="00B0315C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footnotePr>
            <w:numFmt w:val="upperRoman"/>
          </w:footnotePr>
          <w:pgSz w:w="11900" w:h="16840" w:code="9"/>
          <w:pgMar w:top="1134" w:right="1134" w:bottom="1134" w:left="1701" w:header="0" w:footer="3" w:gutter="0"/>
          <w:cols w:space="720"/>
          <w:noEndnote/>
          <w:titlePg/>
          <w:docGrid w:linePitch="360"/>
        </w:sectPr>
      </w:pPr>
      <w:r w:rsidRPr="00B0315C">
        <w:rPr>
          <w:rFonts w:ascii="Arial" w:hAnsi="Arial" w:cs="Arial"/>
          <w:sz w:val="28"/>
          <w:szCs w:val="28"/>
          <w:lang w:bidi="ru-RU"/>
        </w:rPr>
        <w:t>Принципиальное клиническое значение имеет тот факт, что первич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ный гиперпаратиреоз встречается при обоих вариантах синдромов мно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жественных эндокринных неоплазий (см. главу 13). Таким образом, при обнаружении ПГП необходимо скрининговое обследование, направлен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ное на выявление других компонентов МЭН-1 и МЭН-2 (феохромоцито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ма, медуллярный рак щитовидной железы, островково-клеточные опу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холи).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Патогенез. Гиперпродукция паратгормона приводит к избыточно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му выведению через почки фосфата. Снижение плазменного уровня пос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леднего стимулирует синтез кальцитриола </w:t>
      </w:r>
      <w:r w:rsidRPr="00B0315C">
        <w:rPr>
          <w:rFonts w:ascii="Arial" w:hAnsi="Arial" w:cs="Arial"/>
          <w:sz w:val="28"/>
          <w:szCs w:val="28"/>
          <w:lang w:bidi="en-US"/>
        </w:rPr>
        <w:t>[1,25-(OH)2-D</w:t>
      </w:r>
      <w:r w:rsidRPr="00B0315C">
        <w:rPr>
          <w:rFonts w:ascii="Arial" w:hAnsi="Arial" w:cs="Arial"/>
          <w:sz w:val="28"/>
          <w:szCs w:val="28"/>
          <w:vertAlign w:val="subscript"/>
          <w:lang w:bidi="en-US"/>
        </w:rPr>
        <w:t>3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], </w:t>
      </w:r>
      <w:r w:rsidRPr="00B0315C">
        <w:rPr>
          <w:rFonts w:ascii="Arial" w:hAnsi="Arial" w:cs="Arial"/>
          <w:sz w:val="28"/>
          <w:szCs w:val="28"/>
          <w:lang w:bidi="ru-RU"/>
        </w:rPr>
        <w:t>который спо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собствует всасыванию избытка Са</w:t>
      </w:r>
      <w:r w:rsidRPr="00B0315C">
        <w:rPr>
          <w:rFonts w:ascii="Arial" w:hAnsi="Arial" w:cs="Arial"/>
          <w:sz w:val="28"/>
          <w:szCs w:val="28"/>
          <w:vertAlign w:val="superscript"/>
          <w:lang w:bidi="ru-RU"/>
        </w:rPr>
        <w:t>2+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в кишечнике. В далеко зашедших ста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диях процесса гиперкальциемия усиливается </w:t>
      </w: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за счет активации избытком паратгормона остеокластов. Избыток паратгормона приводит к ускорению обмена в костной ткани, ускорению костной резорбции и костеобразова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ния, но образование новой кости отстает от ее рассасывания, что приводит к генерализованному остеопорозу и остеодистрофии, вымыванию кальция из костных депо и гиперкальциемии, а также гиперкальциурии, способст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вующей повреждению эпителия почечных канальцев и образованию кам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ней в почках. Нефрокальциноз в свою очередь ведет к снижению функции почек. В возникновении язвенного поражения желудка и двенадцатиперст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ной кишки важную роль играют гиперкальциемия с артериолосклерозом и кальцификацией сосудов. Гиперкальциемия наряду с повышением артери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ального давления создает предпосылки для формирования гипертрофии левого желудочка, функцию которого также ухудшают типичные для гипер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паратиреоза клапанные, коронарные и миокардиальные кальцинаты.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При патологоанатомическом исследовании в случае тяжелого, далеко зашедшего ПГП кости мягкие; плоские кости могут легко быть разрезаны ножом, выявляется диффузный остеопороз, который часто сочетается с об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разованием кист. Выявляется отложение кальцинатов в почках, мышцах, миокарде, стенках крупных артерий.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Клиническая картина. Клинические проявления гиперпара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тиреоза разнообразны. В настоящее время более чем в 50 % случаев диагноз ПГП устанавливают при случайном обнаружении гиперкальциемии. Симп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томатика ПГП складывается из почечного, костного, нейромышечного и гастроинтестинального синдромов. В соответствии с этим выделяют кост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ную, висцеропатическую, нервно-психическую и смешанную формы ги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перпаратиреоза. Тяжелым осложнением ПГП является гиперкальциемичес- кий криз (схема 11.1).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>Схема 11.1. Клинические проявления гиперпаратиреоза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2EFA44B6" wp14:editId="522AC4AC">
            <wp:extent cx="4742815" cy="2200910"/>
            <wp:effectExtent l="0" t="0" r="0" b="0"/>
            <wp:docPr id="1163" name="Picutre 11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" name="Picture 1163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off x="0" y="0"/>
                      <a:ext cx="4742815" cy="220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0315C">
        <w:rPr>
          <w:rFonts w:ascii="Arial" w:hAnsi="Arial" w:cs="Arial"/>
          <w:sz w:val="28"/>
          <w:szCs w:val="28"/>
          <w:lang w:bidi="ru-RU"/>
        </w:rPr>
        <w:br w:type="page"/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anchor distT="0" distB="596900" distL="638810" distR="638810" simplePos="0" relativeHeight="251675648" behindDoc="0" locked="0" layoutInCell="1" allowOverlap="1" wp14:anchorId="4DC7CA0F" wp14:editId="049F778C">
            <wp:simplePos x="0" y="0"/>
            <wp:positionH relativeFrom="page">
              <wp:posOffset>2637790</wp:posOffset>
            </wp:positionH>
            <wp:positionV relativeFrom="margin">
              <wp:posOffset>370205</wp:posOffset>
            </wp:positionV>
            <wp:extent cx="3718560" cy="2426335"/>
            <wp:effectExtent l="0" t="0" r="0" b="0"/>
            <wp:wrapTopAndBottom/>
            <wp:docPr id="1164" name="Shape 11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" name="Picture box 1165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off x="0" y="0"/>
                      <a:ext cx="3718560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96128" behindDoc="0" locked="0" layoutInCell="1" allowOverlap="1" wp14:anchorId="74B9DE05" wp14:editId="19874D72">
                <wp:simplePos x="0" y="0"/>
                <wp:positionH relativeFrom="page">
                  <wp:posOffset>2113280</wp:posOffset>
                </wp:positionH>
                <wp:positionV relativeFrom="margin">
                  <wp:posOffset>2915285</wp:posOffset>
                </wp:positionV>
                <wp:extent cx="4766945" cy="262255"/>
                <wp:effectExtent l="0" t="0" r="0" b="0"/>
                <wp:wrapNone/>
                <wp:docPr id="1166" name="Shape 1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6945" cy="2622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Default="00B0315C" w:rsidP="00912B85">
                            <w:pPr>
                              <w:spacing w:line="194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Рис. 11.7. </w:t>
                            </w:r>
                            <w:r>
                              <w:t>Рентгенограмма костей кисти при первичном гиперпаратиреозе. При</w:t>
                            </w:r>
                            <w:r>
                              <w:softHyphen/>
                              <w:t>знаки субпериостальной костной резорбции концевых фаланг и кисты.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4B9DE05" id="Shape 1166" o:spid="_x0000_s1054" type="#_x0000_t202" style="position:absolute;left:0;text-align:left;margin-left:166.4pt;margin-top:229.55pt;width:375.35pt;height:20.65pt;z-index:25169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" filled="f" stroked="f">
                <v:textbox inset="0,0,0,0">
                  <w:txbxContent>
                    <w:p w:rsidR="00B0315C" w:rsidRDefault="00B0315C" w:rsidP="00912B85">
                      <w:pPr>
                        <w:spacing w:line="194" w:lineRule="auto"/>
                      </w:pPr>
                      <w:r>
                        <w:rPr>
                          <w:b/>
                          <w:bCs/>
                        </w:rPr>
                        <w:t xml:space="preserve">Рис. 11.7. </w:t>
                      </w:r>
                      <w:r>
                        <w:t>Рентгенограмма костей кисти при первичном гиперпаратиреозе. При</w:t>
                      </w:r>
                      <w:r>
                        <w:softHyphen/>
                        <w:t>знаки субпериостальной костной резорбции концевых фаланг и кисты.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Pr="00B0315C">
        <w:rPr>
          <w:rFonts w:ascii="Arial" w:hAnsi="Arial" w:cs="Arial"/>
          <w:sz w:val="28"/>
          <w:szCs w:val="28"/>
          <w:lang w:bidi="ru-RU"/>
        </w:rPr>
        <w:t>Почечная симптоматика клинически выражена в 40—50 % случаев. Жажда и полиурия со снижением удельного веса мочи относятся к числу наиболее ран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них симптомов гиперпатиреоза и могут ошибочно расцениваться врачами как проявления несахарного диабета. Рефрактерный к АДГ инсипидарный син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дром (полиурия, полидипсия, гипоизостенурия) обу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словлен нарушениями почечной реабсорбции воды в связи с нечувствительностью почечных канальцев к АДГ из-за массивной гиперкальциурии. Нефролити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аз, часто сопровождающийся пиелонефритом, встре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чается у 25 % больных с гиперпаратиреозом. Значи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тельно реже встречается, но тяжело протекает нсфро- кальциноз, приводящий к прогрессирующей почеч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ной недостаточности. Первичный гиперпаратиреоз имеется примерно у 2—5 % всех пациентов с мочека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менной болезнью.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noProof/>
          <w:sz w:val="28"/>
          <w:szCs w:val="28"/>
          <w:lang w:eastAsia="ru-RU"/>
        </w:rPr>
        <w:drawing>
          <wp:anchor distT="101600" distB="915670" distL="159385" distR="153670" simplePos="0" relativeHeight="251676672" behindDoc="0" locked="0" layoutInCell="1" allowOverlap="1" wp14:anchorId="76B2C9FB" wp14:editId="43FB8B88">
            <wp:simplePos x="0" y="0"/>
            <wp:positionH relativeFrom="page">
              <wp:posOffset>5670550</wp:posOffset>
            </wp:positionH>
            <wp:positionV relativeFrom="margin">
              <wp:posOffset>3357245</wp:posOffset>
            </wp:positionV>
            <wp:extent cx="1176655" cy="3376930"/>
            <wp:effectExtent l="0" t="0" r="0" b="0"/>
            <wp:wrapSquare wrapText="bothSides"/>
            <wp:docPr id="1168" name="Shape 11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" name="Picture box 1169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off x="0" y="0"/>
                      <a:ext cx="1176655" cy="3376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0315C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97152" behindDoc="0" locked="0" layoutInCell="1" allowOverlap="1" wp14:anchorId="2424C93C" wp14:editId="3248BAB2">
                <wp:simplePos x="0" y="0"/>
                <wp:positionH relativeFrom="page">
                  <wp:posOffset>5612765</wp:posOffset>
                </wp:positionH>
                <wp:positionV relativeFrom="margin">
                  <wp:posOffset>6828790</wp:posOffset>
                </wp:positionV>
                <wp:extent cx="1283335" cy="716280"/>
                <wp:effectExtent l="0" t="0" r="0" b="0"/>
                <wp:wrapNone/>
                <wp:docPr id="1170" name="Shape 1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3335" cy="7162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315C" w:rsidRDefault="00B0315C" w:rsidP="00912B85">
                            <w:pPr>
                              <w:spacing w:line="197" w:lineRule="auto"/>
                              <w:jc w:val="both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Рис. 11.8. </w:t>
                            </w:r>
                            <w:r>
                              <w:t>Рентгено</w:t>
                            </w:r>
                            <w:r>
                              <w:softHyphen/>
                              <w:t>грамма трубчатых костей голени с кис</w:t>
                            </w:r>
                            <w:r>
                              <w:softHyphen/>
                              <w:t>тами и псевдоперело</w:t>
                            </w:r>
                            <w:r>
                              <w:softHyphen/>
                              <w:t>мами при первичном гиперпаратиреозе.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424C93C" id="Shape 1170" o:spid="_x0000_s1055" type="#_x0000_t202" style="position:absolute;left:0;text-align:left;margin-left:441.95pt;margin-top:537.7pt;width:101.05pt;height:56.4pt;z-index:251697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" filled="f" stroked="f">
                <v:textbox inset="0,0,0,0">
                  <w:txbxContent>
                    <w:p w:rsidR="00B0315C" w:rsidRDefault="00B0315C" w:rsidP="00912B85">
                      <w:pPr>
                        <w:spacing w:line="197" w:lineRule="auto"/>
                        <w:jc w:val="both"/>
                      </w:pPr>
                      <w:r>
                        <w:rPr>
                          <w:b/>
                          <w:bCs/>
                        </w:rPr>
                        <w:t xml:space="preserve">Рис. 11.8. </w:t>
                      </w:r>
                      <w:r>
                        <w:t>Рентгено</w:t>
                      </w:r>
                      <w:r>
                        <w:softHyphen/>
                        <w:t>грамма трубчатых костей голени с кис</w:t>
                      </w:r>
                      <w:r>
                        <w:softHyphen/>
                        <w:t>тами и псевдоперело</w:t>
                      </w:r>
                      <w:r>
                        <w:softHyphen/>
                        <w:t>мами при первичном гиперпаратиреозе.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Pr="00B0315C">
        <w:rPr>
          <w:rFonts w:ascii="Arial" w:hAnsi="Arial" w:cs="Arial"/>
          <w:sz w:val="28"/>
          <w:szCs w:val="28"/>
          <w:lang w:bidi="ru-RU"/>
        </w:rPr>
        <w:t>Костные изменения выявляются в 50 % случаев, при этом выделяют остеопоротический вариант, фиброзно-кистозный остеит и «педжетоидный» вари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ант. Наиболее часто рентгенологически выявляется диффузная остеопения: при исследовании кистей в 40 % случаев, позвоночника — в 20 %. При тяжелом ПГП могут выявляться патогномоничная субпериос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тальная резорбция и акроостеолиз концевых фаланг кистей и стоп (рис. 11.7). В тяжелых случаях развива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ются деформация скелета, нарушение походки («ути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ная»), патологические переломы костей (рис. 11.8). Кисты, гигантоклеточные опухоли и эпулиды в на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стоящее время обнаруживаются исключительно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inline distT="0" distB="0" distL="0" distR="0" wp14:anchorId="2B2F0579" wp14:editId="45F1BF62">
            <wp:extent cx="3651250" cy="2560320"/>
            <wp:effectExtent l="0" t="0" r="0" b="0"/>
            <wp:docPr id="1172" name="Picutre 11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" name="Picture 1172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off x="0" y="0"/>
                      <a:ext cx="3651250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 xml:space="preserve">Рис. 11.9. </w:t>
      </w:r>
      <w:r w:rsidRPr="00B0315C">
        <w:rPr>
          <w:rFonts w:ascii="Arial" w:hAnsi="Arial" w:cs="Arial"/>
          <w:sz w:val="28"/>
          <w:szCs w:val="28"/>
          <w:lang w:bidi="ru-RU"/>
        </w:rPr>
        <w:t>Рентгенограмма костей таза при первичном гиперпаратиреозе. Гигант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ские многокамерные кисты.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редко (рис. 11.9). Эпулиды представляют собой кистозные образования, часто ошибочно принимаемые за злокачественную опухоль, что и служит причиной необоснованных операций. Нередко развивается поражение сус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тавов в виде хондрокальциноза.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Гастроинтестинальная симптоматика выявляется также у половины больных. Чаше всего это анорексия, тошнота, обстипация, метеоризм, похудание. В 10 % случаев развиваются пептические язвы желудка и/или двенадцатиперстной кишки, в 10 % — панкреатит, реже панкреакалькулез. В 2 раза чаще, чем в популяции, встречается желчнокаменная болезнь.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Клиническая картина начального периода ПГП многообразна и неспе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цифична, что затрудняет постановку диагноза. Больных беспокоят общая и мышечная слабость, вялость, адинамия, повышенная утомляемость. В за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висимости от формы ранние проявления могут быть преимущественно га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строэнтерологическими (острые боли в эпигастрии, снижение аппетита, тошнота, иногда развивается клиническая картина острого живота, воз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можно развитие панкреатита, панкреокальциноза); урологическими (поли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урия, нефролитиаз). Наиболее выраженная симптоматика возникает при поражении костной системы: расшатывание и выпадение зубов вследствие остеопороза челюстей, боли в костях при ходьбе, деформации костей груд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ной клетки, множественные патологические переломы.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К кардиоваскулярным проявлениям гиперпаратиреоза относят арте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риальную гипертензию и аритмии. Гипертрофия левого желудочка, выяв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ляемая даже в группе лиц с минимальными проявлениями гиперпарати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реоза, служит одним из факторов повышенной смертности при этом забо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левании.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Психоневрологические расстройства могут долгое время быть единст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венными проявлениями болезни; спектр их колеблется от депрессии до де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менции. Разрушения позвоночника и возникающие корешковые расстрой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ства приводят к появлению симптомов натяжения, параличам мышц тазо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вого пояса, нижних конечностей, парестезиям. Психическое возбуждение типично для гиперпаратиреоидного (гиперкальциемического) криза.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Гиперкальциемический криз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в настоящее время встречается редко — менее чем у 5 % больных с ПГП. Криз развивается при уровне кальция в плазме около 4 ммоль/л и провоцируется длительным постельным режи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мом, назначением тиазидных диуретиков, препаратов кальция и витамина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D. </w:t>
      </w:r>
      <w:r w:rsidRPr="00B0315C">
        <w:rPr>
          <w:rFonts w:ascii="Arial" w:hAnsi="Arial" w:cs="Arial"/>
          <w:sz w:val="28"/>
          <w:szCs w:val="28"/>
          <w:lang w:bidi="ru-RU"/>
        </w:rPr>
        <w:t>Назначение последних базируется на ошибочной врачебной гипотезе о наличии остеопороза без уточнения его специфического генеза.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Клинически гиперкальциемический криз характеризуется присоедине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нием к симптоматике гиперпаратиреоза проявлений поражения централь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ной нервной системы (сонливость, ступор, кома, психоз) вслед за нарас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тающей симптоматикой поражения желудочно-кишечного тракта (анорек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сия, тошнота, рвота, запор, боли в эпигастрии, жажда). Быстро развивают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ся резкая слабость, обезвоживание, анурия, коматозное состояние, которое трудно дифференцировать от комы другого генеза. Тяжелейшим невроло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гическим осложнением является миопатия с вовлечением не только про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ксимальных отделов туловища, но и межреберных мышц и диафрагмы, тре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бующая перевода пациента на искусственную вентиляцию легких. Типична лихорадка до 38—39 °C.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Диагностика. Диагностика ПГП базируется на данных клиничес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кого, лабораторного и инструментального исследований. При лабора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торном исследовании гиперкальциемия определяется в 90 % случаев ПГП. В 70 % случаев она сочетается с гипофосфатемией. Кроме того, определя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ются гиперкальциурия и гиперфосфатурия, повышение уровня щелочной фосфатазы в плазме и экскреции с мочой гидрокси пролина и цАМФ. Для ПГП характерна не только усиленная костная резорбция, но и повышенное костеобразование, т.е. высокий уровень костного обмена, чему соответ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ствует высокое содержание остеокальцина, который является маркером остеобластической функции.</w:t>
      </w:r>
      <w:r w:rsidRPr="00B0315C">
        <w:rPr>
          <w:rFonts w:ascii="Arial" w:hAnsi="Arial" w:cs="Arial"/>
          <w:sz w:val="28"/>
          <w:szCs w:val="28"/>
          <w:lang w:bidi="ru-RU"/>
        </w:rPr>
        <w:tab/>
        <w:t>"5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Диагноз ПГП подтверждается высоким уровнем интактного паратгор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мона в плазме, который удается выявить в 90 % случаев ПГП.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Рентгенологическим маркером ПГП является обнаружение остеопоро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за, при этом характерны резкое истончение кортикального слоя костей, по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явление деформаций, кист, вздутий, выпячиваний. Характерны явления субпериостальной резорбции: поднадкостничного рассасывания кости, особенно заметные в </w:t>
      </w: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кистях. Рентгенологические изменения можно услов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 разделить на 3 типа:</w:t>
      </w:r>
    </w:p>
    <w:p w:rsidR="00912B85" w:rsidRPr="00B0315C" w:rsidRDefault="00912B85" w:rsidP="0031747F">
      <w:pPr>
        <w:numPr>
          <w:ilvl w:val="0"/>
          <w:numId w:val="10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остеопоротический (генерализованный остеопороз);</w:t>
      </w:r>
    </w:p>
    <w:p w:rsidR="00912B85" w:rsidRPr="00B0315C" w:rsidRDefault="00912B85" w:rsidP="0031747F">
      <w:pPr>
        <w:numPr>
          <w:ilvl w:val="0"/>
          <w:numId w:val="10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классический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(osteodystrophia fibrosa cystica generalisata), </w:t>
      </w:r>
      <w:r w:rsidRPr="00B0315C">
        <w:rPr>
          <w:rFonts w:ascii="Arial" w:hAnsi="Arial" w:cs="Arial"/>
          <w:sz w:val="28"/>
          <w:szCs w:val="28"/>
          <w:lang w:bidi="ru-RU"/>
        </w:rPr>
        <w:t>при котором на фоне остеопороза выявляются кисты, деформации, субпериостальная резорбция, фиброзно-кистозный остеит;</w:t>
      </w:r>
    </w:p>
    <w:p w:rsidR="00912B85" w:rsidRPr="00B0315C" w:rsidRDefault="00912B85" w:rsidP="0031747F">
      <w:pPr>
        <w:numPr>
          <w:ilvl w:val="0"/>
          <w:numId w:val="10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педжетоидный, при котором компактный слой не истончен, а наобо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рот, неравномерно утолщен, а в костях черепа выявляется «ватный рисунок».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При рентгенологическом и ультразвуковом исследованиях могут быть выявлены нефрокальциноз и нефролитиаз. Классическими ЭКГ-признака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ми гиперкальциемии являются укорочение интервала </w:t>
      </w:r>
      <w:r w:rsidRPr="00B0315C">
        <w:rPr>
          <w:rFonts w:ascii="Arial" w:hAnsi="Arial" w:cs="Arial"/>
          <w:b/>
          <w:bCs/>
          <w:i/>
          <w:iCs/>
          <w:sz w:val="28"/>
          <w:szCs w:val="28"/>
          <w:lang w:bidi="en-US"/>
        </w:rPr>
        <w:t>Q—T,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 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депрессия </w:t>
      </w:r>
      <w:r w:rsidRPr="00B0315C">
        <w:rPr>
          <w:rFonts w:ascii="Arial" w:hAnsi="Arial" w:cs="Arial"/>
          <w:b/>
          <w:bCs/>
          <w:i/>
          <w:iCs/>
          <w:sz w:val="28"/>
          <w:szCs w:val="28"/>
          <w:lang w:bidi="en-US"/>
        </w:rPr>
        <w:t xml:space="preserve">S— </w:t>
      </w: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Т,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атриовентрикулярная блокада. При эхокардиографии выявляют гипер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трофию левого желудочка, кальцинаты в миокарде.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Доказав наличие ПГП, врач сталкивается со сложной проблемой топи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ческой диагностики паратиром. При этом достаточно информативным ока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зывается УЗИ. Инвазивные исследования проводятся лишь при установ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ленном диагнозе ПГП с целью топической диагностики при неинформа- тивности неинвазивных методов и включают неселективную артериогра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фию с контрастными веществами и катетеризацию вен с селективным оп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ределением паратгормона.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При дифференциальной диагностике исключают состояния, сопровож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дающиеся гиперкальциемией, а также другие метаболические остеопатии.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Злокачественные опухоли являются наиболее частой (60 %) причиной развития синдрома гиперкальциемии. Как правило, речь идет о раке легко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го, молочной железы, миеломной болезни. Гиперкальциемия может иметь остеолитический генез при распространенном костном метастазировании и быть пара неопластической за счет опухолевой продукции пептида, родст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венного паратгормону, уровень которого повышен в 90 % случаев опухоле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вой гиперкальциемии. При миеломной болезни он не определяется. В пос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леднем случае обнаруживают увеличение СОЭ, белок Бенс-Джонса в моче, М-градиент при электрофорезе сыворотки, а также отсутствие повышения уровня паратгормона.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Вторичный и третичный гиперпаратиреоз (см. далее), тиреотоксикоз, почечная недостаточность также входят в круг дифференциально-диагнос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тических проблем. Ключевыми в данной ситуации являются анамнез и на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личие явных костных признаков ПГП, а также уровень кальция, который при вторичном и третичном гиперпаратиреозе нормальный. Медикамен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тозная гиперкальциемия развивается при передозировке витаминов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D </w:t>
      </w:r>
      <w:r w:rsidRPr="00B0315C">
        <w:rPr>
          <w:rFonts w:ascii="Arial" w:hAnsi="Arial" w:cs="Arial"/>
          <w:sz w:val="28"/>
          <w:szCs w:val="28"/>
          <w:lang w:bidi="ru-RU"/>
        </w:rPr>
        <w:t>и А, лечении тамоксифеном, тиазидными диуретиками.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Болезнь Педжета (деформирующий остеит) необходимо дифференци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ровать от «педжетоидной» формы гиперпаратиреоза, что позволяет сделать нормальный уровень кальция, фосфора и паратгормона при болезни Пед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жета.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Стертые формы ПГП необходимо дифференцировать от доброкачест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венной семейной гипокальциурической гиперкальциемии, возникающей вследствие мутации в гене, кодирующем образование кальцийчувствитель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ных рецепторов. В последнем случае уровень паратгормона нормальный, нет изменений в структуре костей и соматических признаков гиперпарати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реоза.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В последние годы все чаще регистрируются субклинические (мягкие) формы ПГП, единственным проявлением которого являются такие мало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специфичные симптомы, как депрессия, слабость, расстройства сна и па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мяти. Субклинический ПГП встречается все чаще, в основном в пожилом возрасте, и является крайне сложным для своевременной диагностики со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стоянием.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Клинический пример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Больная К., 45 лет, обратилась к стоматологу с жалобами на опухолевидное образование в области верхней челюсти слева. Одновременно пациентка предъяв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ляла жалобы на мышечную слабость, боли в суставах, грудном и поясничном от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деле позвоночника. До появления указанного опухолевидного образования лечи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лась по поводу полиартрита, плексита, невралгии межреберных нервов и плечело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паточного миозита. Стоматологом диагностирована остеобластома альвеолярного отростка верхней челюсти слева в позиции 3—7-х зубов. Пациентка госпитализи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рована в отделение хирургической стоматологии и успешно прооперирована. Гис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тологическое исследование подтвердило диагноз остеобластомы. В феврале следу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ющего года в связи с подозрением на рецидив опухоли челюсти на область пред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шествовавшей операции проведено облучение. В апреле того же года больной удалена опухоль концевой фаланги IV пальца левой кисти. Гистологическое за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ключение: остеобластома. Вновь проведена лучевая терапия. Одновременно был заподозрен первичный гиперпаратиреоз.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Предпринятое обследование подтвердило диагноз, однако при операции об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наружена и удалена только одна увеличенная паращитовидная железа (гистологи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ческое заключение: гиперплазия). Другие железы не изменены. После операции состояние больной существенно не улучшилось. Сохранялись боли в костях ко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нечностей, перенесла несколько патологических переломов ребер, ключицы и по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звоночника. Два года спустя после первого обращения к врачу вновь возникла опухоль верхней челюсти, но уже справа, в </w:t>
      </w: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области 4—6-го зубов. Проведенная трепанобиопсия позволила выявить остеобластому.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Через полгода проведена повторная ревизия мест типичного расположения околощитовидных желез, а также ревизия позади пище водно го пространства и глоточно-подъязычной области. Однако околощитовидные железы не были обна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ружены. Состояние больной после операции не улучшилось. Сохранялись гипер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кальциемия (3,28 ммоль/л) и гипофосфатемия (0,54 ммоль/л).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Через 5 мес была предпринята стернотомия. В переднем средостении обнару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жена паратирома размером 4,5 х 2,65 х 1 см, интимно спаянная с вилочковой же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лезой. После операции состояние больной стало быстро улучшаться. Концентра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ция кальция в крови снизилась до 2 ммоль/л. Уменьшились, а позднее исчезли боли в костях и суставах, а также мышечная слабость. В течение года после опе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рации отмечался умеренно выраженный тетанический синдром, который удава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лось контролировать ежедневным приемом 2—4 г карбоната кальция, приемом витамина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Dj </w:t>
      </w:r>
      <w:r w:rsidRPr="00B0315C">
        <w:rPr>
          <w:rFonts w:ascii="Arial" w:hAnsi="Arial" w:cs="Arial"/>
          <w:sz w:val="28"/>
          <w:szCs w:val="28"/>
          <w:lang w:bidi="ru-RU"/>
        </w:rPr>
        <w:t>(оксидевита).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Лечение. При паратироме показано ее оперативное удаление. Сама по себе операция удаления паратиромы сравнительно недлительна, и 90 % времени операции уходит на поиск опухоли. При явной клинической кар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тине (висцеропатической, костной форме), подтвержденной убедительны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ми лабораторными данными (гиперкальциемия, высокий уровень интакт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ного паратгормона), ряд авторов рекомендуют проведение оперативного вмешательства даже в отсутствие убедительных данных топической диа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гностики, полагая, что 80 % аденом расположено в типичном месте и щх легче и проще найти интраоперационно, чем тратить время на сложный и нередко бесполезный дооперационный поиск.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Операция абсолютно показана для спасения жизни больного при кли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нически очевидном гиперпаратиреозе и при ПГП у молодых и/или сома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тически здоровых пациентов. При случайно выявленном, бессимптомном ПГП у пациентов в возрасте старше 50 лет вмешательство проводится при наличии:</w:t>
      </w:r>
    </w:p>
    <w:p w:rsidR="00912B85" w:rsidRPr="00B0315C" w:rsidRDefault="00912B85" w:rsidP="0031747F">
      <w:pPr>
        <w:numPr>
          <w:ilvl w:val="0"/>
          <w:numId w:val="11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прогрессирования остеопороза (Т-критерий менее —2,5 </w:t>
      </w:r>
      <w:r w:rsidRPr="00B0315C">
        <w:rPr>
          <w:rFonts w:ascii="Arial" w:hAnsi="Arial" w:cs="Arial"/>
          <w:sz w:val="28"/>
          <w:szCs w:val="28"/>
          <w:lang w:bidi="en-US"/>
        </w:rPr>
        <w:t>SD);</w:t>
      </w:r>
    </w:p>
    <w:p w:rsidR="00912B85" w:rsidRPr="00B0315C" w:rsidRDefault="00912B85" w:rsidP="0031747F">
      <w:pPr>
        <w:numPr>
          <w:ilvl w:val="0"/>
          <w:numId w:val="11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при уровне ионизированного кальция более 3 ммоль/л (12 мг/дл), выраженной кальциурии (более 10 ммоль/сут или 400 мг/24 ч) или при наличии эпизодов тяжелой гиперкальциемии;</w:t>
      </w:r>
    </w:p>
    <w:p w:rsidR="00912B85" w:rsidRPr="00B0315C" w:rsidRDefault="00912B85" w:rsidP="0031747F">
      <w:pPr>
        <w:numPr>
          <w:ilvl w:val="0"/>
          <w:numId w:val="11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при наличии висцеральных осложнений ПГП (фиброзный периос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тит, нефрокальциноз и т.п.);</w:t>
      </w:r>
    </w:p>
    <w:p w:rsidR="00912B85" w:rsidRPr="00B0315C" w:rsidRDefault="00912B85" w:rsidP="0031747F">
      <w:pPr>
        <w:numPr>
          <w:ilvl w:val="0"/>
          <w:numId w:val="11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при показателе клиренса креатинина менее 30 % от возрастной нормы.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Если принято решение не проводить оперативное вмешательство, па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циенты должны получать достаточное количество жидкости, избегать ги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подинамии и дегидратации. Им противопоказаны тиазидовые диуретики и сердечные гликозиды. </w:t>
      </w: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Необходим контроль за уровнем артериального давления, пациенткам в постменопаузе целесообразно назначать лечение эстрогенами. Каждые 6 мес необходимо исследовать содержание кальция, креатинина плазмы, клиренса креатинина, уровень экскреции кальция. Ежегодно показаны УЗИ органов брюшной полости и костная денсито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метрия.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При гиперплазии паращитовидных желез показана тотальная паратиро- идэктомия с подсадкой удаленных желез в клетчатку предплечья. После ликвидации гиперпаратиреоза длительно проводят лечение остеопороза.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Лечение гиперкальциемического криза при установленном гиперпара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тиреозе проводится одновременно с подготовкой к операции. Первым эта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пом лечения является регидратация с введением около 2—4 л изотоничес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кого раствора хлорида натрия (скорость введения около 1 л/ч), после чего начинают вводить внутривенно бисфосфонаты (памидронат или этидронат) на протяжении 4—24 ч. Рекомендовавшееся ранее использование «петле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вых» диуретиков (фуросемид) не должно проводиться на первом этапе ле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чения, так как при этом усугубляется внеклеточная потеря жидкости. Фу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росемид вводят внутривенно после минимум 30-минутной регидратации при тщательном контроле за уровнем электролитов. К числу наиболее без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опасных препаратов относится кальцитонин. При кризе его рекомендуется вводить внутримышечно по 4—8 МЕ/кг каждые 6—12 ч. При уровне неор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ганического фосфора в сыворотке меньше 1 ммоль/л (норма для взрослых 1—1,5 ммоль/л) используют препараты, содержащие соли фосфора. Если гиперкальциемический криз развивается при остеолитических метастазах злокачественных опухолей, назначается цитостатик митрамицин. При ги- перкальциемическом кризе, развившемся в результате передозировки пре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паратов витамина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D, </w:t>
      </w:r>
      <w:r w:rsidRPr="00B0315C">
        <w:rPr>
          <w:rFonts w:ascii="Arial" w:hAnsi="Arial" w:cs="Arial"/>
          <w:sz w:val="28"/>
          <w:szCs w:val="28"/>
          <w:lang w:bidi="ru-RU"/>
        </w:rPr>
        <w:t>назначаются глюкокортикоиды. Если криз развился на фоне почечной недостаточности, показан гемодиализ с бескальциевым буфером.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11.5.2. Вторичный и третичный гиперпаратиреоз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Этиология. Как следует из классификации, основными причинами вторичного гиперпаратиреоза (ВГП) являются почечная недостаточность и болезни системы пищеварения. В соответствии с этим выделяют почечный и интестинальный вторичный гиперпаратиреоз. В связи с широким исполь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зованием гемодиализа и увеличением продолжительности жизни больных с ХПН вторичный гиперпаратиреоз стал встречаться значительно чаще.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Патогенез. К моменту перевода пациентов на гемодиализ гисто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логические изменения той или иной степени в костной ткани имеются у 90 % пациентов. Развитие вторичного гиперпаратиреоза (ВГП) при хрони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ческой почечной недостаточности (ХПН) в первую очередь связано с на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рушением образования в почках активного витамина </w:t>
      </w:r>
      <w:r w:rsidRPr="00B0315C">
        <w:rPr>
          <w:rFonts w:ascii="Arial" w:hAnsi="Arial" w:cs="Arial"/>
          <w:sz w:val="28"/>
          <w:szCs w:val="28"/>
          <w:lang w:bidi="en-US"/>
        </w:rPr>
        <w:t>D</w:t>
      </w:r>
      <w:r w:rsidRPr="00B0315C">
        <w:rPr>
          <w:rFonts w:ascii="Arial" w:hAnsi="Arial" w:cs="Arial"/>
          <w:sz w:val="28"/>
          <w:szCs w:val="28"/>
          <w:vertAlign w:val="subscript"/>
          <w:lang w:bidi="en-US"/>
        </w:rPr>
        <w:t>3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 </w:t>
      </w:r>
      <w:r w:rsidRPr="00B0315C">
        <w:rPr>
          <w:rFonts w:ascii="Arial" w:hAnsi="Arial" w:cs="Arial"/>
          <w:sz w:val="28"/>
          <w:szCs w:val="28"/>
          <w:lang w:bidi="en-US"/>
        </w:rPr>
        <w:lastRenderedPageBreak/>
        <w:t>[1,25-(OH)</w:t>
      </w:r>
      <w:r w:rsidRPr="00B0315C">
        <w:rPr>
          <w:rFonts w:ascii="Arial" w:hAnsi="Arial" w:cs="Arial"/>
          <w:sz w:val="28"/>
          <w:szCs w:val="28"/>
          <w:vertAlign w:val="subscript"/>
          <w:lang w:bidi="en-US"/>
        </w:rPr>
        <w:t>2</w:t>
      </w:r>
      <w:r w:rsidRPr="00B0315C">
        <w:rPr>
          <w:rFonts w:ascii="Arial" w:hAnsi="Arial" w:cs="Arial"/>
          <w:sz w:val="28"/>
          <w:szCs w:val="28"/>
          <w:lang w:bidi="en-US"/>
        </w:rPr>
        <w:t>-D</w:t>
      </w:r>
      <w:r w:rsidRPr="00B0315C">
        <w:rPr>
          <w:rFonts w:ascii="Arial" w:hAnsi="Arial" w:cs="Arial"/>
          <w:sz w:val="28"/>
          <w:szCs w:val="28"/>
          <w:vertAlign w:val="subscript"/>
          <w:lang w:bidi="en-US"/>
        </w:rPr>
        <w:t>3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]. </w:t>
      </w:r>
      <w:r w:rsidRPr="00B0315C">
        <w:rPr>
          <w:rFonts w:ascii="Arial" w:hAnsi="Arial" w:cs="Arial"/>
          <w:sz w:val="28"/>
          <w:szCs w:val="28"/>
          <w:lang w:bidi="ru-RU"/>
        </w:rPr>
        <w:t>Прогрессирующее увеличение плазменного уровня неорганического фос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фора начинается уже при снижении скорости клубочковой фильтрации до 60 мл/мин и менее. Гипокальциемия стимулирует секрецию паратгормона паращитовидными железами. Почечная остеопатия представляет собой комбинацию остеомаляции, развивающейся при дефиците </w:t>
      </w:r>
      <w:r w:rsidRPr="00B0315C">
        <w:rPr>
          <w:rFonts w:ascii="Arial" w:hAnsi="Arial" w:cs="Arial"/>
          <w:sz w:val="28"/>
          <w:szCs w:val="28"/>
          <w:lang w:bidi="en-US"/>
        </w:rPr>
        <w:t>1,25-(OH)</w:t>
      </w:r>
      <w:r w:rsidRPr="00B0315C">
        <w:rPr>
          <w:rFonts w:ascii="Arial" w:hAnsi="Arial" w:cs="Arial"/>
          <w:sz w:val="28"/>
          <w:szCs w:val="28"/>
          <w:vertAlign w:val="subscript"/>
          <w:lang w:bidi="en-US"/>
        </w:rPr>
        <w:t>2</w:t>
      </w:r>
      <w:r w:rsidRPr="00B0315C">
        <w:rPr>
          <w:rFonts w:ascii="Arial" w:hAnsi="Arial" w:cs="Arial"/>
          <w:sz w:val="28"/>
          <w:szCs w:val="28"/>
          <w:lang w:bidi="en-US"/>
        </w:rPr>
        <w:t>-D</w:t>
      </w:r>
      <w:r w:rsidRPr="00B0315C">
        <w:rPr>
          <w:rFonts w:ascii="Arial" w:hAnsi="Arial" w:cs="Arial"/>
          <w:sz w:val="28"/>
          <w:szCs w:val="28"/>
          <w:vertAlign w:val="subscript"/>
          <w:lang w:bidi="en-US"/>
        </w:rPr>
        <w:t>3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, </w:t>
      </w:r>
      <w:r w:rsidRPr="00B0315C">
        <w:rPr>
          <w:rFonts w:ascii="Arial" w:hAnsi="Arial" w:cs="Arial"/>
          <w:sz w:val="28"/>
          <w:szCs w:val="28"/>
          <w:lang w:bidi="ru-RU"/>
        </w:rPr>
        <w:t>и повышенной костной резорбции в результате гиперпродукции паратгор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мона.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В основе патогенеза интестинальной формы ВГП лежит мальабсорбция кальция и витамина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D, </w:t>
      </w:r>
      <w:r w:rsidRPr="00B0315C">
        <w:rPr>
          <w:rFonts w:ascii="Arial" w:hAnsi="Arial" w:cs="Arial"/>
          <w:sz w:val="28"/>
          <w:szCs w:val="28"/>
          <w:lang w:bidi="ru-RU"/>
        </w:rPr>
        <w:t>которая приводит к гиперстимуляции паращито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видных желез. У больных после гастрэктомии остеопатии встречаются при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мерно в 30 % случаев. Пациенты после операции Бильрот-П и тотальной гастрэктомии имеют больший риск развития остеомаляции, чем после опе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рации Бильрот-1. При заболеваниях печени развитие ВГП связано с нару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шением превращения холекальциферола в </w:t>
      </w:r>
      <w:r w:rsidRPr="00B0315C">
        <w:rPr>
          <w:rFonts w:ascii="Arial" w:hAnsi="Arial" w:cs="Arial"/>
          <w:sz w:val="28"/>
          <w:szCs w:val="28"/>
          <w:lang w:bidi="en-US"/>
        </w:rPr>
        <w:t>25-OH-D</w:t>
      </w:r>
      <w:r w:rsidRPr="00B0315C">
        <w:rPr>
          <w:rFonts w:ascii="Arial" w:hAnsi="Arial" w:cs="Arial"/>
          <w:sz w:val="28"/>
          <w:szCs w:val="28"/>
          <w:vertAlign w:val="subscript"/>
          <w:lang w:bidi="en-US"/>
        </w:rPr>
        <w:t>3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. </w:t>
      </w:r>
      <w:r w:rsidRPr="00B0315C">
        <w:rPr>
          <w:rFonts w:ascii="Arial" w:hAnsi="Arial" w:cs="Arial"/>
          <w:sz w:val="28"/>
          <w:szCs w:val="28"/>
          <w:lang w:bidi="ru-RU"/>
        </w:rPr>
        <w:t>Наиболее часто это происходит при первичном билиарном циррозе.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Патогенез третичного гиперпаратиреоза может быть связан с постепен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ным формированием автономии гиперфункционирующих паращитовидных желез (гиперфункция гиперплазия -&gt; опухоль) с нарушением механизма обратной связи между уровнем кальция и избыточной продукцией парат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гормона. Большое значение, кроме того, придается возникновению несоот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ветствия между высоким уровнем паратгормона и снижением потребности в нем. Такая ситуация возникает, например, после того, как при имеющем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ся ВГП, развившемся на фоне хронической почечной недостаточности, производится трансплантация почки.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Клиническая картина. В клинической картине вторичного и третичного гиперпаратиреоза, как правило, доминируют симптомы основ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ного заболевания, чаще всего ХПН. Специфическими симптомами являют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ся боли в костях, слабость в проксимальных отделах мышц, артралгии. Могут возникать спонтанные переломы и деформация скелета. Об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разование внекостных кальцинатов имеет различные клинические про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явления. При кальцификации артерий могут развиваться ишемические из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менения. На руках и ногах могут быть выявлены периартикулярные каль- цинаты. Кальцификация конъюнктивы и роговицы в сочетании с рециди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вирующим конъюнктивитом обозначается как синдром «красного глаза».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Диагностика. Дифференциальная диагностика и интерпретация данных лабораторных исследований, как правило, затруднений не пред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ставляет, поскольку на момент манифестации ВГП уже имеется разверну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тая картина длительно существующей почечной недостаточности. При ХПН почечную остеодистрофию дифференцируют от диализного амилои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доза (отложение 0</w:t>
      </w:r>
      <w:r w:rsidRPr="00B0315C">
        <w:rPr>
          <w:rFonts w:ascii="Arial" w:hAnsi="Arial" w:cs="Arial"/>
          <w:sz w:val="28"/>
          <w:szCs w:val="28"/>
          <w:vertAlign w:val="subscript"/>
          <w:lang w:bidi="ru-RU"/>
        </w:rPr>
        <w:t>2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-микроглобулинового амилоида в костях и суставах), при котором </w:t>
      </w: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имеется повышение уровня р</w:t>
      </w:r>
      <w:r w:rsidRPr="00B0315C">
        <w:rPr>
          <w:rFonts w:ascii="Arial" w:hAnsi="Arial" w:cs="Arial"/>
          <w:sz w:val="28"/>
          <w:szCs w:val="28"/>
          <w:vertAlign w:val="subscript"/>
          <w:lang w:bidi="ru-RU"/>
        </w:rPr>
        <w:t>2</w:t>
      </w:r>
      <w:r w:rsidRPr="00B0315C">
        <w:rPr>
          <w:rFonts w:ascii="Arial" w:hAnsi="Arial" w:cs="Arial"/>
          <w:sz w:val="28"/>
          <w:szCs w:val="28"/>
          <w:lang w:bidi="ru-RU"/>
        </w:rPr>
        <w:t>-микроглобулина в плазме, а также от алюминиевой остеопатии.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При лабораторных исследованиях выявляются гиперфосфатемия, нор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мальное или несколько сниженное содержание кальция в плазме крови, высокий уровень щелочной фосфатазы, низкий уровень </w:t>
      </w:r>
      <w:r w:rsidRPr="00B0315C">
        <w:rPr>
          <w:rFonts w:ascii="Arial" w:hAnsi="Arial" w:cs="Arial"/>
          <w:sz w:val="28"/>
          <w:szCs w:val="28"/>
          <w:lang w:bidi="en-US"/>
        </w:rPr>
        <w:t>1,25-(OH)</w:t>
      </w:r>
      <w:r w:rsidRPr="00B0315C">
        <w:rPr>
          <w:rFonts w:ascii="Arial" w:hAnsi="Arial" w:cs="Arial"/>
          <w:sz w:val="28"/>
          <w:szCs w:val="28"/>
          <w:vertAlign w:val="subscript"/>
          <w:lang w:bidi="en-US"/>
        </w:rPr>
        <w:t>2</w:t>
      </w:r>
      <w:r w:rsidRPr="00B0315C">
        <w:rPr>
          <w:rFonts w:ascii="Arial" w:hAnsi="Arial" w:cs="Arial"/>
          <w:sz w:val="28"/>
          <w:szCs w:val="28"/>
          <w:lang w:bidi="en-US"/>
        </w:rPr>
        <w:t>-D</w:t>
      </w:r>
      <w:r w:rsidRPr="00B0315C">
        <w:rPr>
          <w:rFonts w:ascii="Arial" w:hAnsi="Arial" w:cs="Arial"/>
          <w:sz w:val="28"/>
          <w:szCs w:val="28"/>
          <w:vertAlign w:val="subscript"/>
          <w:lang w:bidi="en-US"/>
        </w:rPr>
        <w:t>3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. </w:t>
      </w:r>
      <w:r w:rsidRPr="00B0315C">
        <w:rPr>
          <w:rFonts w:ascii="Arial" w:hAnsi="Arial" w:cs="Arial"/>
          <w:sz w:val="28"/>
          <w:szCs w:val="28"/>
          <w:lang w:bidi="ru-RU"/>
        </w:rPr>
        <w:t>Наиболее чувствительным маркером ВГП, в частности, начинающейся по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чечной остеопатии является повышение уровня интактного паратгормона в плазме крови.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Типичными рентгенологическими признаками ВГП являются субпери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остальная и субхондральная резорбция костей кисти (акроостеолиз), а также локтевых и тазобедренных суставов.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Лечение и профилактика. При хронической почечной не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достаточности профилактика остеопатии показана при повышении уровня неорганического фосфора в плазме более 1,5 ммоль/л. При этом назначают кальцийсодержащие препараты, связывающие фосфаты (кальция глюко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нат, лактат, цитрат), а также фосфатсвязывающие препараты алюминия. Кроме того, назначают препараты </w:t>
      </w:r>
      <w:r w:rsidRPr="00B0315C">
        <w:rPr>
          <w:rFonts w:ascii="Arial" w:hAnsi="Arial" w:cs="Arial"/>
          <w:sz w:val="28"/>
          <w:szCs w:val="28"/>
          <w:lang w:bidi="en-US"/>
        </w:rPr>
        <w:t>1,25(OH)</w:t>
      </w:r>
      <w:r w:rsidRPr="00B0315C">
        <w:rPr>
          <w:rFonts w:ascii="Arial" w:hAnsi="Arial" w:cs="Arial"/>
          <w:sz w:val="28"/>
          <w:szCs w:val="28"/>
          <w:vertAlign w:val="subscript"/>
          <w:lang w:bidi="en-US"/>
        </w:rPr>
        <w:t>2</w:t>
      </w:r>
      <w:r w:rsidRPr="00B0315C">
        <w:rPr>
          <w:rFonts w:ascii="Arial" w:hAnsi="Arial" w:cs="Arial"/>
          <w:sz w:val="28"/>
          <w:szCs w:val="28"/>
          <w:lang w:bidi="en-US"/>
        </w:rPr>
        <w:t>D</w:t>
      </w:r>
      <w:r w:rsidRPr="00B0315C">
        <w:rPr>
          <w:rFonts w:ascii="Arial" w:hAnsi="Arial" w:cs="Arial"/>
          <w:sz w:val="28"/>
          <w:szCs w:val="28"/>
          <w:vertAlign w:val="subscript"/>
          <w:lang w:bidi="en-US"/>
        </w:rPr>
        <w:t>3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 </w:t>
      </w:r>
      <w:r w:rsidRPr="00B0315C">
        <w:rPr>
          <w:rFonts w:ascii="Arial" w:hAnsi="Arial" w:cs="Arial"/>
          <w:sz w:val="28"/>
          <w:szCs w:val="28"/>
          <w:lang w:bidi="ru-RU"/>
        </w:rPr>
        <w:t>(рокальтрол) под контролем экскреции кальция с мочой, которая не должна превышать 300 мг в сутки. При третичном гиперпаратиреозе, когда формируется автономная аденома, в ряде случаев показано оперативное лечение.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4" w:name="bookmark187"/>
      <w:r w:rsidRPr="00B0315C">
        <w:rPr>
          <w:rFonts w:ascii="Arial" w:hAnsi="Arial" w:cs="Arial"/>
          <w:b/>
          <w:bCs/>
          <w:sz w:val="28"/>
          <w:szCs w:val="28"/>
          <w:lang w:bidi="ru-RU"/>
        </w:rPr>
        <w:t>11.6. Гипопаратиреоз</w:t>
      </w:r>
      <w:bookmarkEnd w:id="4"/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Гипопаратиреоз — заболевание, связанное с дефицитом паратгормона в ре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зультате выпадения или недостаточной функции паращитовидных желез, проявляющееся синдромом гипокальциемии. Гипопаратиреоз различного генеза встречается у 0,2—0,3 % населения.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>Классификация гипопаратиреоза</w:t>
      </w:r>
    </w:p>
    <w:p w:rsidR="00912B85" w:rsidRPr="00B0315C" w:rsidRDefault="00912B85" w:rsidP="0031747F">
      <w:pPr>
        <w:numPr>
          <w:ilvl w:val="0"/>
          <w:numId w:val="12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Послеоперационный гипопаратиреоз</w:t>
      </w:r>
    </w:p>
    <w:p w:rsidR="00912B85" w:rsidRPr="00B0315C" w:rsidRDefault="00912B85" w:rsidP="0031747F">
      <w:pPr>
        <w:numPr>
          <w:ilvl w:val="0"/>
          <w:numId w:val="12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Идиопатический (аутоиммунный) гипопаратиреоз</w:t>
      </w:r>
    </w:p>
    <w:p w:rsidR="00912B85" w:rsidRPr="00B0315C" w:rsidRDefault="00912B85" w:rsidP="0031747F">
      <w:pPr>
        <w:numPr>
          <w:ilvl w:val="0"/>
          <w:numId w:val="13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Изолированный</w:t>
      </w:r>
    </w:p>
    <w:p w:rsidR="00912B85" w:rsidRPr="00B0315C" w:rsidRDefault="00912B85" w:rsidP="0031747F">
      <w:pPr>
        <w:numPr>
          <w:ilvl w:val="0"/>
          <w:numId w:val="13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В рамках аутоиммунного поли гландулярного синдрома 1-го типа (кандидополиэндокринного синдрома)</w:t>
      </w:r>
    </w:p>
    <w:p w:rsidR="00912B85" w:rsidRPr="00B0315C" w:rsidRDefault="00912B85" w:rsidP="0031747F">
      <w:pPr>
        <w:numPr>
          <w:ilvl w:val="0"/>
          <w:numId w:val="12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Гипопаратиреоз как следствие повреждения околощитовидных желез в результате облучения, воздействия инфекционных факторов, при ами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лоидозе, кровоизлияниях в гормонально-неактивную опухоль железы</w:t>
      </w:r>
    </w:p>
    <w:p w:rsidR="00912B85" w:rsidRPr="00B0315C" w:rsidRDefault="00912B85" w:rsidP="0031747F">
      <w:pPr>
        <w:numPr>
          <w:ilvl w:val="0"/>
          <w:numId w:val="12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Аплазия паращитовидных желез и тимуса (синдром </w:t>
      </w:r>
      <w:r w:rsidRPr="00B0315C">
        <w:rPr>
          <w:rFonts w:ascii="Arial" w:hAnsi="Arial" w:cs="Arial"/>
          <w:sz w:val="28"/>
          <w:szCs w:val="28"/>
          <w:lang w:bidi="en-US"/>
        </w:rPr>
        <w:t>Di George)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Этиология. Наиболее частой формой является послеоперацион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ный гипопаратиреоз. При этом он развивается не столько в результате пол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ного удаления желез, сколько за счет нарушения их кровоснабжения в связи с возникновением фиброза клетчатки в зоне оперативного вмеша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тельства. У квалифицированных хирургов, </w:t>
      </w: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оперирующих на щитовидной железе, число случаев развития послеоперационного гипопаратиреоза не должно превышать 2 %, а при повторных операциях ~ 5—10 %.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Спорадические формы идиопатического гипопаратиреоза встречаются, как правило, у молодых людей. Следует помнить, что идиопатическим ги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попаратиреозом, как правило, манифестирует аутоиммунный полигланду- лярный синдром 1-го типа (кандидополиэндокринный синдром). Послед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ний представлен триадой Уайтекера: гипопаратиреоз, слизисто-кожный кандидоз, первичный гипокортицизм (см. главу 12). Первые два компонен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та триады, как правило, манифестируют у детей до 10—12 лет. Позднее присоединяется гипокортицизм, а также ряд других аутоиммунных эндо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кринных (сахарный диабет I типа, первичный гипогонадизм) и неэндо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кринных заболеваний (аутоиммунный гепатит, мальабсорбция).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Редким заболеванием, в рамках которого встречается гипопаратиреоз, является синдром Ди Джорджи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(Di George). </w:t>
      </w:r>
      <w:r w:rsidRPr="00B0315C">
        <w:rPr>
          <w:rFonts w:ascii="Arial" w:hAnsi="Arial" w:cs="Arial"/>
          <w:sz w:val="28"/>
          <w:szCs w:val="28"/>
          <w:lang w:bidi="ru-RU"/>
        </w:rPr>
        <w:t>При этом синдроме агенезия паращитовидных желез сочетается с аплазией тимуса и врожденными поро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ками сердца. Редкой причиной гипопаратиреоза является разрушение пара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щитовидных желез опухолевой инфильтрацией в области шеи, а также при гемохроматозе и амилоидозе. У недоношенных детей встречается неона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тальный транзиторный гипопаратиреоз, который связывают с недоразвити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ем паращитовидных желез. Функциональные формы гипопаратиреоза встречаются при длительно существующей гипомагниемии. Последняя раз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вивается при мальабсорбции магния (синдром мальабсорбции, хроничес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кий алкоголизм), длительном лечении диуретиками.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Патогенез. Недостаток паратгормона приводит к повышению уровня фосфора в крови за счет снижения фосфатурического действия паратгормона на почки, а также к гипокальциемии, обусловленной сниже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нием всасывания кальция в кишечнике, уменьшением его мобилизации из костей и недостаточной реабсорбцией в почечных канальцах, что отчасти связано с уменьшением синтеза в почках 1,25(ОН)Д)</w:t>
      </w:r>
      <w:r w:rsidRPr="00B0315C">
        <w:rPr>
          <w:rFonts w:ascii="Arial" w:hAnsi="Arial" w:cs="Arial"/>
          <w:sz w:val="28"/>
          <w:szCs w:val="28"/>
          <w:vertAlign w:val="subscript"/>
          <w:lang w:bidi="ru-RU"/>
        </w:rPr>
        <w:t>3</w:t>
      </w:r>
      <w:r w:rsidRPr="00B0315C">
        <w:rPr>
          <w:rFonts w:ascii="Arial" w:hAnsi="Arial" w:cs="Arial"/>
          <w:sz w:val="28"/>
          <w:szCs w:val="28"/>
          <w:lang w:bidi="ru-RU"/>
        </w:rPr>
        <w:t>, продукция которого контролируется паратгормоном. Таким образом, отличительной особен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ностью гипокальциемии при гипопаратиреозе является ее сочетание с ги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перфосфатемией. При других заболеваниях, протекающих с гипокальцие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мией (дефицит или резистентность к витамину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D), </w:t>
      </w:r>
      <w:r w:rsidRPr="00B0315C">
        <w:rPr>
          <w:rFonts w:ascii="Arial" w:hAnsi="Arial" w:cs="Arial"/>
          <w:sz w:val="28"/>
          <w:szCs w:val="28"/>
          <w:lang w:bidi="ru-RU"/>
        </w:rPr>
        <w:t>развивается вторичный гиперпаратиреоз и, таким образом, гипофосфатемия.,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Гипокальциемия и гиперфосфатемия приводят к универсальному нару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шению проницаемости клеточных мембран и, таким образом, к повыше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нию нервно-мышечной возбудимости и судорожной готовности, вегетатив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ной лабильности, а также </w:t>
      </w: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отложению солей кальция во внутренних органах и стенках крупных сосудов.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Клиническая картина. Основные клинические проявления гипопаратиреоза обусловлены гипокальциемией и гиперфосфатемией, ко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торые приводят к повышению нервно-мышечной возбудимости и общей вегетативной реактивности, повышенной судорожной активности.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Различают латентную и манифестную формы гипопаратиреоза. Латент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ный гипопаратиреоз протекает без видимых внешних симптомов и клини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чески проявляется лишь при действии провоцирующих факторов или выяв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ляется при специальном исследовании. С одной стороны, послеоперацион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ный гипопаратиреоз может манифестировать или быть случайно обнаружен спустя 10—15 лет после операции на шитовидной железе. С другой сторо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ны, при остром развитии гипокальциемии, например после экстирпации шитовидной железы, симптоматика развивается уже через несколько дней после операции.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Классическими симптомами гипопаратиреоза являются тетанические судороги скелетной мускулатуры в сочетании с парестезиями и различными вегетативными расстройствами, а также трофические нарушения.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Судорожные сокращения скелетной мускулатуры (гипокальциемичес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кая тетания) при идиопатической форме встречаются в 75 % случаев, а при послеоперационной — в 40 %. Парестезии и фибриллярные подергивания переходят в болезненные тонические судороги, протекающие при сохра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ненном сознании, симметрично вовлекающие сгибатели конечностей, ли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цевые мышцы («рука акушера», «конская стопа», «рыбий рот»), реже разги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батели спины (опистотонус). Симптомы Хвостека (сокращение мимичес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кой мускулатуры при постукивании в месте выхода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(n. facialis) </w:t>
      </w:r>
      <w:r w:rsidRPr="00B0315C">
        <w:rPr>
          <w:rFonts w:ascii="Arial" w:hAnsi="Arial" w:cs="Arial"/>
          <w:sz w:val="28"/>
          <w:szCs w:val="28"/>
          <w:lang w:bidi="ru-RU"/>
        </w:rPr>
        <w:t>и Труссо (появление «руки акушера» через 2—3 мин после сдавления плеча манжет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кой тонометра) являются классическими и часто встречающимися, но не специфичными симптомами гипопаратиреоза (рис. 11.10). Спазмы гладкой мускулатуры проявляются ларинго- и бронхоспазмом, дисфагией, рвотой, поносом, запором. Из вегетативных проявлений для гипопаратиреоза ха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рактерны жар, озноб, сердцебиения, боли в области сердца.</w:t>
      </w:r>
    </w:p>
    <w:p w:rsidR="00912B85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Эквивалентами тетанических судорог могут быть эпилептические при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падки. В связи с этим пациентам нередко ошибочно устанавливается диа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гноз эпилепсии.</w:t>
      </w:r>
    </w:p>
    <w:p w:rsidR="0031747F" w:rsidRDefault="0031747F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</w:p>
    <w:p w:rsidR="0031747F" w:rsidRDefault="0031747F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</w:p>
    <w:p w:rsidR="0031747F" w:rsidRDefault="0031747F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</w:p>
    <w:p w:rsidR="0031747F" w:rsidRPr="00B0315C" w:rsidRDefault="0031747F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6"/>
        <w:gridCol w:w="2837"/>
        <w:gridCol w:w="3230"/>
      </w:tblGrid>
      <w:tr w:rsidR="00912B85" w:rsidRPr="00B0315C" w:rsidTr="00912B85">
        <w:trPr>
          <w:trHeight w:hRule="exact" w:val="418"/>
          <w:jc w:val="center"/>
        </w:trPr>
        <w:tc>
          <w:tcPr>
            <w:tcW w:w="749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2B85" w:rsidRPr="00B0315C" w:rsidRDefault="00912B85" w:rsidP="0031747F">
            <w:pPr>
              <w:spacing w:after="0" w:line="24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b/>
                <w:bCs/>
                <w:sz w:val="28"/>
                <w:szCs w:val="28"/>
                <w:lang w:bidi="ru-RU"/>
              </w:rPr>
              <w:lastRenderedPageBreak/>
              <w:t>Клинические симптомы гипопаратиреоза</w:t>
            </w:r>
          </w:p>
        </w:tc>
      </w:tr>
      <w:tr w:rsidR="00912B85" w:rsidRPr="00B0315C" w:rsidTr="00912B85">
        <w:trPr>
          <w:trHeight w:hRule="exact" w:val="2462"/>
          <w:jc w:val="center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Судорожные сокращения различных мышечных групп</w:t>
            </w:r>
          </w:p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Вегетативные нарушения Трофические нарушения Изменения психики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Скелетных</w:t>
            </w:r>
          </w:p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Желудочно-кишечного тракта Дыхательных</w:t>
            </w:r>
          </w:p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Жар, озноб, головокружение, ние</w:t>
            </w:r>
          </w:p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Катаракта, дефекты эмали зу роста волос, раннее поседение Неврозы, снижение памяти, эпилептиформные приступы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Фибриллярные подергивания, тонические судороги; парестезии Дисфагия, рвота, понос или запор Ларинго- и бронхоспазм</w:t>
            </w:r>
          </w:p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боли в области сердца, сердцебие-</w:t>
            </w:r>
          </w:p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бов, ломкость ногтей, нарушение бессонница, депрессия, психозы,</w:t>
            </w:r>
          </w:p>
        </w:tc>
      </w:tr>
    </w:tbl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  <w:sectPr w:rsidR="00912B85" w:rsidRPr="00B0315C" w:rsidSect="00B0315C">
          <w:headerReference w:type="even" r:id="rId32"/>
          <w:headerReference w:type="default" r:id="rId33"/>
          <w:footerReference w:type="even" r:id="rId34"/>
          <w:footerReference w:type="default" r:id="rId35"/>
          <w:footnotePr>
            <w:numFmt w:val="upperRoman"/>
          </w:footnotePr>
          <w:type w:val="continuous"/>
          <w:pgSz w:w="11900" w:h="16840" w:code="9"/>
          <w:pgMar w:top="1134" w:right="1134" w:bottom="1134" w:left="1701" w:header="0" w:footer="3" w:gutter="0"/>
          <w:cols w:space="720"/>
          <w:noEndnote/>
          <w:docGrid w:linePitch="360"/>
        </w:sectPr>
      </w:pP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6647F6EE" wp14:editId="71D8EA9D">
            <wp:extent cx="3383280" cy="2804160"/>
            <wp:effectExtent l="0" t="0" r="0" b="0"/>
            <wp:docPr id="1177" name="Picutre 11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" name="Picture 1177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off x="0" y="0"/>
                      <a:ext cx="3383280" cy="280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 xml:space="preserve">Рис. 11.10. </w:t>
      </w:r>
      <w:r w:rsidRPr="00B0315C">
        <w:rPr>
          <w:rFonts w:ascii="Arial" w:hAnsi="Arial" w:cs="Arial"/>
          <w:sz w:val="28"/>
          <w:szCs w:val="28"/>
          <w:lang w:bidi="ru-RU"/>
        </w:rPr>
        <w:t>Симптом Труссо при гипопаратиреозе.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Специфические изменения ЭКГ при гипокальциемии отсутствуют; как правило, определяется удлинение интервалов </w:t>
      </w:r>
      <w:r w:rsidRPr="00B0315C">
        <w:rPr>
          <w:rFonts w:ascii="Arial" w:hAnsi="Arial" w:cs="Arial"/>
          <w:i/>
          <w:iCs/>
          <w:sz w:val="28"/>
          <w:szCs w:val="28"/>
          <w:lang w:bidi="en-US"/>
        </w:rPr>
        <w:t>Q—T.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У больных с гипопаратиреозом при офтальмологическом осмотре может быть выявлена катаракта, а при магнитно-резонансной томографии головы — кальцификация базальных ганглиев. Сама по себе кальцифика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ция базальных ганглиев (болезнь Фара) является частой (1—2 %) случайной находкой при компьютерной и магнитно-резонансной томографии у пожи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лых пациентов. Кальцификация базальных ганглиев нередко клинически манифестирует экстрапирамидной симптоматикой с хореоатетозом или паркинсонизмом.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Другими трофическими нарушениями, часто встречающимися при ги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попаратиреозе, являются нарушение роста волос и ногтей, дефекты зубной эмали, сухость кожи, остеосклероз.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Диагностика. Принципиальное диагностическое значение имеет указание в анамнезе на оперативные вмешательства на щитовидной железе.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Лабораторная диагностика базируется на выявлении гипокальциемии и гиперфосфатемии, которые при нормальном уровне креатинина и альбуми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на делают диагноз гипопаратиреоза весьма вероятным. Кроме того, при ги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попаратиреозе выявляются гипомагниемия, гиперкальциурия, снижение экскреции с мочой фосфора и цАМФ, уменьшение плазменного уровня интактного паратгормона. В ответ на введение пациенту паратгормона при гипопаратиреозе экскреция фосфата с мочой десятикратно увеличивается (проба Элсворта—Ховарда).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Гипопаратиреоз дифференцируют от других заболеваний, протекающих с судорожным синдромом, а также от большой группы состояний и заболе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ваний, сопровождающихся гипокальциемией.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У всех доношенных новорожденных при развитии гипокальциемии не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обходимо исследовать уровень кальция в плазме крови у матери для исклю- 540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чения у нее субклинического гиперпаратиреоза. В этом случае гиперкаль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циемия у матери может приводить к подавлению функции паращитовид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ных желез у плода.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У пациентов, перенесших операцию на щитовидной железе, необходи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мо дифференцировать стойкий и преходящий гипопаратиреоз. Причиной преходящего гипопаратиреоза, продолжительность которого, как правило, не превышает 4 нед, вероятно, являются обратимые нарушения кровоснаб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жения паращитовидных желез, а также высвобождение в кровь избытка кальцитонина. Как при стойком, так и при преходящем послеоперацион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ном гипопаратиреозе развивается гипокальциемия в сочетании с судорож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ным синдромом уже на первые-вторые сутки после операции. Если после операции гипокальциемия в сочетании с отсутствием адекватного подъема уровня паратгормона сохраняется более 4—12 нед, можно говорить о разви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тии стойкого послеоперационного гипопаратиреоза. До этого срока паци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ентам рекомендуется назначать монотерапию препаратами кальция и лишь при подтверждении стойкого гипопаратиреоза добавлять препараты вита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мина </w:t>
      </w:r>
      <w:r w:rsidRPr="00B0315C">
        <w:rPr>
          <w:rFonts w:ascii="Arial" w:hAnsi="Arial" w:cs="Arial"/>
          <w:sz w:val="28"/>
          <w:szCs w:val="28"/>
          <w:lang w:bidi="en-US"/>
        </w:rPr>
        <w:t>D.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Тяжелая гипокальциемия может развиться при остром и обширном распаде больших клеточных масс. Типичными клиническими ситуациями, при которых это наблюдается, являются острый панкреонекроз, распад опухоли при успешной цитостатической терапии злокачественных опухо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лей, тяжелый рабдомиолиз после травм, тяжелых судорожных припадков, интоксикаций. В данном случае, помимо тяжелой гипокальциемии, опре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деляются гипофосфатемия, высокий уровень внутриклеточных ферментов (лактатдегидрогеназа, креатинин киназа и пр.) и мочевой кислоты, отмеча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ется выраженный ацидоз.</w:t>
      </w:r>
      <w:r w:rsidRPr="00B0315C">
        <w:rPr>
          <w:rFonts w:ascii="Arial" w:hAnsi="Arial" w:cs="Arial"/>
          <w:sz w:val="28"/>
          <w:szCs w:val="28"/>
          <w:lang w:bidi="ru-RU"/>
        </w:rPr>
        <w:tab/>
      </w:r>
      <w:r w:rsidRPr="00B0315C">
        <w:rPr>
          <w:rFonts w:ascii="Arial" w:hAnsi="Arial" w:cs="Arial"/>
          <w:sz w:val="28"/>
          <w:szCs w:val="28"/>
          <w:lang w:bidi="en-US"/>
        </w:rPr>
        <w:t>W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Многие симптомы гипопаратиреоза могут встречаться при так называв мой гип ер вентиляционной тетании. В связи с этим при первичной поста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новке диагноза идиопатического гипопаратиреоза целесообразно исследо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вать газовый состав крови.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Клинический пример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Больной В,, 30 лет, 2 года назад перенес экстирпацию щитовидной железы по поводу папиллярного рака. После операции получал </w:t>
      </w:r>
      <w:r w:rsidRPr="00B0315C">
        <w:rPr>
          <w:rFonts w:ascii="Arial" w:hAnsi="Arial" w:cs="Arial"/>
          <w:sz w:val="28"/>
          <w:szCs w:val="28"/>
          <w:lang w:bidi="en-US"/>
        </w:rPr>
        <w:t>L</w:t>
      </w:r>
      <w:r w:rsidRPr="00B0315C">
        <w:rPr>
          <w:rFonts w:ascii="Arial" w:hAnsi="Arial" w:cs="Arial"/>
          <w:sz w:val="28"/>
          <w:szCs w:val="28"/>
          <w:lang w:bidi="ru-RU"/>
        </w:rPr>
        <w:t>-тироксин в дозе 150 мкг в день. В послеоперационном периоде отмечались судороги в руках и ногах, ощу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щение «ползания мурашек». Был назначен кальция карбонат в дозе 1,5 г в сутки, а в дальнейшем добавлен тахистин (10 капель ежедневно). На протяжении полу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тора лет сохранялись работоспособность и нормальное самочувствие. После по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пытки отмены карбоната кальция и тахистина состояние постепенно ухудшалось: участились судороги в конечностях, появились спастические боли в животе и ощущение сдавливания в грудной клетке, купировавшиеся внутривенным вве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дением препаратов кальция. Постепенно присоединились снижение памяти, зре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ния.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При лабораторном исследовании выявлены гипокальциемия (общий кальций 1,92 ммоль/л, ионизированный кальций 0,78 ммоль/л), гиперфосфатемия (2,06 ммоль/л), гипокальциурия, удлинение интервала </w:t>
      </w:r>
      <w:r w:rsidRPr="00B0315C">
        <w:rPr>
          <w:rFonts w:ascii="Arial" w:hAnsi="Arial" w:cs="Arial"/>
          <w:b/>
          <w:bCs/>
          <w:i/>
          <w:iCs/>
          <w:sz w:val="28"/>
          <w:szCs w:val="28"/>
          <w:lang w:bidi="en-US"/>
        </w:rPr>
        <w:t>Q—T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 </w:t>
      </w:r>
      <w:r w:rsidRPr="00B0315C">
        <w:rPr>
          <w:rFonts w:ascii="Arial" w:hAnsi="Arial" w:cs="Arial"/>
          <w:sz w:val="28"/>
          <w:szCs w:val="28"/>
          <w:lang w:bidi="ru-RU"/>
        </w:rPr>
        <w:t>на ЭКГ. Обнаружена на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чальная катаракта обоих глаз. Уровень тиреотропного гормона 0,01 мМЕ/л.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  <w:sectPr w:rsidR="00912B85" w:rsidRPr="00B0315C" w:rsidSect="00B0315C">
          <w:headerReference w:type="even" r:id="rId37"/>
          <w:headerReference w:type="default" r:id="rId38"/>
          <w:footerReference w:type="even" r:id="rId39"/>
          <w:footerReference w:type="default" r:id="rId40"/>
          <w:footnotePr>
            <w:numFmt w:val="upperRoman"/>
          </w:footnotePr>
          <w:type w:val="continuous"/>
          <w:pgSz w:w="11900" w:h="16840" w:code="9"/>
          <w:pgMar w:top="1134" w:right="1134" w:bottom="1134" w:left="1701" w:header="0" w:footer="3" w:gutter="0"/>
          <w:cols w:space="720"/>
          <w:noEndnote/>
          <w:docGrid w:linePitch="360"/>
        </w:sectPr>
      </w:pPr>
      <w:r w:rsidRPr="00B0315C">
        <w:rPr>
          <w:rFonts w:ascii="Arial" w:hAnsi="Arial" w:cs="Arial"/>
          <w:sz w:val="28"/>
          <w:szCs w:val="28"/>
          <w:lang w:bidi="ru-RU"/>
        </w:rPr>
        <w:t>Таким образом, у больного, подвергшегося радикальной операции по поводу папиллярного рака, правильно проводилось лечение первичного гипотиреоза: доза тироксина была супрессивной, в связи с основным заболеванием, но не про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водилось необходимой коррекции возникшего послеоперационного гипопарати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реоза. Был назначен препарат «Альфа-Пз-Тева» в сочетании с карбонатом каль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ция ежедневно. Через 10 дней нормализовались уровни кальция и фосфора, пре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кратились судороги.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Лечение. Лечение гипопаратиреоза подразделяется на купирование тетанического гипокальциемического криза и поддерживающую терапию. Для купирования тетанического криза используется внутривенное введение 10—20 мл 10 % раствора глюконата кальция, в 10 мл которого содержится 90 мг элементарного кальция. Глюконат кальция рекомендуется вводить медленно, со скоростью не более 2 мл/мин. При повышении уровня каль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ция в плазме крови до 2 ммоль/л и более симптоматика, как правило, купи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руется. С особой осторожностью препараты кальция вводятся пациентам, получающим сердечные гликозиды; в этом случае внутривенное введение не рекомендуется.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Для хронической поддерживающей терапии гипопаратиреоза использу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ются препараты кальция и витамина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D. </w:t>
      </w:r>
      <w:r w:rsidRPr="00B0315C">
        <w:rPr>
          <w:rFonts w:ascii="Arial" w:hAnsi="Arial" w:cs="Arial"/>
          <w:sz w:val="28"/>
          <w:szCs w:val="28"/>
          <w:lang w:bidi="ru-RU"/>
        </w:rPr>
        <w:t>Вначале необходимо предпринять попытку назначения монотерапии препаратами кальция. У многих пациен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тов таким образом удается достичь удовлетворительной компенсации забо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левания, при этом не возникает проблем с возможными осложнениями те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рапии препаратами витамина </w:t>
      </w:r>
      <w:r w:rsidRPr="00B0315C">
        <w:rPr>
          <w:rFonts w:ascii="Arial" w:hAnsi="Arial" w:cs="Arial"/>
          <w:sz w:val="28"/>
          <w:szCs w:val="28"/>
          <w:lang w:bidi="en-US"/>
        </w:rPr>
        <w:t>D.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Из препаратов солей кальция возможно назначение глюконата, цитра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та, лактата, хлорида и карбоната. При определении дозы препарата прин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ципиальное значение имеет содержание элементарного кальция в той или иной соли. Так, 1 г элементарного кальция содержится в 2,5 г карбоната кальция, в 5 г цитрата кальция, 4 г хлорида кальция и И г глюконата каль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ция. Обычная поддерживающая доза составляет 1,0—1,5 г элементарного кальция в сутки. При невозможности компенсации заболевания препа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ратами кальция дополнительно назначают препараты витамина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D: </w:t>
      </w:r>
      <w:r w:rsidRPr="00B0315C">
        <w:rPr>
          <w:rFonts w:ascii="Arial" w:hAnsi="Arial" w:cs="Arial"/>
          <w:sz w:val="28"/>
          <w:szCs w:val="28"/>
          <w:lang w:bidi="ru-RU"/>
        </w:rPr>
        <w:t>дигид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ротахистерол (АТ-10, тахистин) 0,5—2 мг вдень (12—40 капель); холекаль- циферол (вигантол, кальцинова) 25 000—75 000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ME 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(40 000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ME 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= 1 мг);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la-OH-Dj </w:t>
      </w:r>
      <w:r w:rsidRPr="00B0315C">
        <w:rPr>
          <w:rFonts w:ascii="Arial" w:hAnsi="Arial" w:cs="Arial"/>
          <w:sz w:val="28"/>
          <w:szCs w:val="28"/>
          <w:lang w:bidi="ru-RU"/>
        </w:rPr>
        <w:t>(альфа-</w:t>
      </w:r>
      <w:r w:rsidRPr="00B0315C">
        <w:rPr>
          <w:rFonts w:ascii="Arial" w:hAnsi="Arial" w:cs="Arial"/>
          <w:sz w:val="28"/>
          <w:szCs w:val="28"/>
          <w:lang w:bidi="en-US"/>
        </w:rPr>
        <w:t>Di</w:t>
      </w:r>
      <w:r w:rsidRPr="00B0315C">
        <w:rPr>
          <w:rFonts w:ascii="Arial" w:hAnsi="Arial" w:cs="Arial"/>
          <w:sz w:val="28"/>
          <w:szCs w:val="28"/>
          <w:lang w:bidi="ru-RU"/>
        </w:rPr>
        <w:t>-Тева, оксидевит, ванальфа, альфа-кальцидиол) 2— 4 мкг в день; 1,25(ОН)</w:t>
      </w:r>
      <w:r w:rsidRPr="00B0315C">
        <w:rPr>
          <w:rFonts w:ascii="Arial" w:hAnsi="Arial" w:cs="Arial"/>
          <w:sz w:val="28"/>
          <w:szCs w:val="28"/>
          <w:vertAlign w:val="subscript"/>
          <w:lang w:bidi="ru-RU"/>
        </w:rPr>
        <w:t>2</w:t>
      </w:r>
      <w:r w:rsidRPr="00B0315C">
        <w:rPr>
          <w:rFonts w:ascii="Arial" w:hAnsi="Arial" w:cs="Arial"/>
          <w:sz w:val="28"/>
          <w:szCs w:val="28"/>
          <w:lang w:bidi="ru-RU"/>
        </w:rPr>
        <w:t>П</w:t>
      </w:r>
      <w:r w:rsidRPr="00B0315C">
        <w:rPr>
          <w:rFonts w:ascii="Arial" w:hAnsi="Arial" w:cs="Arial"/>
          <w:sz w:val="28"/>
          <w:szCs w:val="28"/>
          <w:vertAlign w:val="subscript"/>
          <w:lang w:bidi="ru-RU"/>
        </w:rPr>
        <w:t>3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(рокальтрол) 1—3 мкг в день.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Контрольными параметрами при лечении гипопаратиреоза являются уровень кальция в плазме крови и уровень его экскреции с мочой.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5" w:name="bookmark189"/>
      <w:r w:rsidRPr="00B0315C">
        <w:rPr>
          <w:rFonts w:ascii="Arial" w:hAnsi="Arial" w:cs="Arial"/>
          <w:b/>
          <w:bCs/>
          <w:sz w:val="28"/>
          <w:szCs w:val="28"/>
          <w:lang w:bidi="ru-RU"/>
        </w:rPr>
        <w:t>11.7. Псевдогипопаратиреоз ' и псевдопсевдогипопаратиреоз</w:t>
      </w:r>
      <w:bookmarkEnd w:id="5"/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 xml:space="preserve">Псевдогипопаратиреоз </w:t>
      </w:r>
      <w:r w:rsidRPr="00B0315C">
        <w:rPr>
          <w:rFonts w:ascii="Arial" w:hAnsi="Arial" w:cs="Arial"/>
          <w:sz w:val="28"/>
          <w:szCs w:val="28"/>
          <w:lang w:bidi="ru-RU"/>
        </w:rPr>
        <w:t>(врожденная остеодистрофия Олбрайта) — редкий наследственный синдром, характеризующийся тканевой резистентностью к паратгормону, гипокальциемией, увеличением функции паращитовидных желез, низкорослостью и скелетными аномалиями (укорочение пястных и плюсневых костей).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Псевдогипопаратиреоз (ПГПТ) явился первым эндокринным заболева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нием, на примере которого была доказана возможность существования фе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номена нарушения тканевой чувствительности к </w:t>
      </w: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гормону (эндогенному и экзогенно вводимому) при неизмененном механизме его секреции и нор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мальном плазменном уровне.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Патогенетически выделяют ПГПТ 1-го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(la, 1b, </w:t>
      </w:r>
      <w:r w:rsidRPr="00B0315C">
        <w:rPr>
          <w:rFonts w:ascii="Arial" w:hAnsi="Arial" w:cs="Arial"/>
          <w:sz w:val="28"/>
          <w:szCs w:val="28"/>
          <w:lang w:bidi="ru-RU"/>
        </w:rPr>
        <w:t>1с) и 2-го типов. Тип наследования псевдо гипопаратиреоза остается неясным. У лиц с остеодис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трофией Олбрайта имеется деления концевой части длинного плеча 2-й хромосомы. Соотношение женщин и мужчин составляет 2:1.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При ПГПТ типа 1а обнаружено 50 % снижение активности </w:t>
      </w:r>
      <w:r w:rsidRPr="00B0315C">
        <w:rPr>
          <w:rFonts w:ascii="Arial" w:hAnsi="Arial" w:cs="Arial"/>
          <w:sz w:val="28"/>
          <w:szCs w:val="28"/>
          <w:lang w:bidi="en-US"/>
        </w:rPr>
        <w:t>Gs</w:t>
      </w:r>
      <w:r w:rsidRPr="00B0315C">
        <w:rPr>
          <w:rFonts w:ascii="Arial" w:hAnsi="Arial" w:cs="Arial"/>
          <w:sz w:val="28"/>
          <w:szCs w:val="28"/>
          <w:lang w:bidi="ru-RU"/>
        </w:rPr>
        <w:t>-субъеди- ницы аденилатциклазно-рецепторных комплексов паратгормона. Этот де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фект характерен не только для почечных рецепторов паратгормона, но и для рецепторов других гормонов, что объясняет сочетание ПГПТ 1-го типа 542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с резистентностью к другим белковым гормонам (нефрогенный несахарный диабет, гипогликемический синдром). Для ПГПТ типа 1а характерны фе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нотипические признаки, обозначаемые как остеодистрофия Олбрайта: лу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нообразное лицо, низкорослость, ожирение, укорочение IV и V плюсневых и пястных костей, гетеротопные подкожные кальцинаты и экзостозы. Часто отмечается умственная отсталость.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При ПГПТ типа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1b 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определяется нормальная активность </w:t>
      </w:r>
      <w:r w:rsidRPr="00B0315C">
        <w:rPr>
          <w:rFonts w:ascii="Arial" w:hAnsi="Arial" w:cs="Arial"/>
          <w:sz w:val="28"/>
          <w:szCs w:val="28"/>
          <w:lang w:bidi="en-US"/>
        </w:rPr>
        <w:t>Gs</w:t>
      </w:r>
      <w:r w:rsidRPr="00B0315C">
        <w:rPr>
          <w:rFonts w:ascii="Arial" w:hAnsi="Arial" w:cs="Arial"/>
          <w:sz w:val="28"/>
          <w:szCs w:val="28"/>
          <w:lang w:bidi="ru-RU"/>
        </w:rPr>
        <w:t>-субъеди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ницы. Развитие ПГПТ связано с дефектом самого рецептора паратгормона. При ПГПТ типа 1с также определяется нормальная активность </w:t>
      </w:r>
      <w:r w:rsidRPr="00B0315C">
        <w:rPr>
          <w:rFonts w:ascii="Arial" w:hAnsi="Arial" w:cs="Arial"/>
          <w:sz w:val="28"/>
          <w:szCs w:val="28"/>
          <w:lang w:bidi="en-US"/>
        </w:rPr>
        <w:t>Gs</w:t>
      </w:r>
      <w:r w:rsidRPr="00B0315C">
        <w:rPr>
          <w:rFonts w:ascii="Arial" w:hAnsi="Arial" w:cs="Arial"/>
          <w:sz w:val="28"/>
          <w:szCs w:val="28"/>
          <w:lang w:bidi="ru-RU"/>
        </w:rPr>
        <w:t>-субъ- единицы, а дефект, наиболее вероятно, локализован на уровне каталити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ческой субъединицы аденилатциклазы.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При ПГПТ 2-го типа комплекс рецептор паратгормона — аденилатцик- лаза функционирует нормально, но обнаруживается нарушение цАМФ-за- висимого клеточного ответа на введение паратгормона. При экзогенном введении паратгормона обнаруживается адекватное повышение экскреции с мочой цАМФ, однако при этом отсутствует увеличение экскреции фос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фата.</w:t>
      </w:r>
    </w:p>
    <w:p w:rsidR="00912B85" w:rsidRPr="00B0315C" w:rsidRDefault="00912B85" w:rsidP="0031747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 xml:space="preserve">Псевдопсевдогипопаратиреоз </w:t>
      </w:r>
      <w:r w:rsidRPr="00B0315C">
        <w:rPr>
          <w:rFonts w:ascii="Arial" w:hAnsi="Arial" w:cs="Arial"/>
          <w:sz w:val="28"/>
          <w:szCs w:val="28"/>
          <w:lang w:bidi="ru-RU"/>
        </w:rPr>
        <w:t>(ППГПТ) является фенокопией псевдоги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попаратиреоза без его биохимических маркеров. У больных имеются ти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пичные изменения фенотипа (остеодистрофия Олбрайта), характерные для ПГПТ 1а, несмотря на нормальный уровень кальция в крови и нормальный ответ цАМФ на введение паратгормона (ПГ). Некоторые больные с ПГПТ являются ближайшими родственниками больных с ПГПТ 1а. У многих па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циентов, которым первоначально ставили диагноз ППГПТ, в дальнейшем развивалась легкая гипокальциемия, что позволило рассматривать ППГПТ как вариант ПГПТ типа 1а (табл. 11.1). </w:t>
      </w:r>
      <w:r w:rsidRPr="00B0315C">
        <w:rPr>
          <w:rFonts w:ascii="Arial" w:hAnsi="Arial" w:cs="Arial"/>
          <w:sz w:val="28"/>
          <w:szCs w:val="28"/>
          <w:vertAlign w:val="subscript"/>
          <w:lang w:bidi="ru-RU"/>
        </w:rPr>
        <w:t>:</w:t>
      </w:r>
      <w:r w:rsidRPr="00B0315C">
        <w:rPr>
          <w:rFonts w:ascii="Arial" w:hAnsi="Arial" w:cs="Arial"/>
          <w:sz w:val="28"/>
          <w:szCs w:val="28"/>
          <w:lang w:bidi="ru-RU"/>
        </w:rPr>
        <w:tab/>
      </w:r>
      <w:r w:rsidRPr="00B0315C">
        <w:rPr>
          <w:rFonts w:ascii="Arial" w:hAnsi="Arial" w:cs="Arial"/>
          <w:b/>
          <w:bCs/>
          <w:sz w:val="28"/>
          <w:szCs w:val="28"/>
          <w:lang w:bidi="ru-RU"/>
        </w:rPr>
        <w:t>V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 xml:space="preserve">Таблица 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11.1. </w:t>
      </w:r>
      <w:r w:rsidRPr="00B0315C">
        <w:rPr>
          <w:rFonts w:ascii="Arial" w:hAnsi="Arial" w:cs="Arial"/>
          <w:b/>
          <w:bCs/>
          <w:sz w:val="28"/>
          <w:szCs w:val="28"/>
          <w:lang w:bidi="ru-RU"/>
        </w:rPr>
        <w:t>Типы псевдогипопаратиреоза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"/>
        <w:gridCol w:w="1109"/>
        <w:gridCol w:w="1138"/>
        <w:gridCol w:w="960"/>
        <w:gridCol w:w="816"/>
        <w:gridCol w:w="2510"/>
      </w:tblGrid>
      <w:tr w:rsidR="00912B85" w:rsidRPr="00B0315C" w:rsidTr="00912B85">
        <w:trPr>
          <w:trHeight w:hRule="exact" w:val="845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Синдром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Экскреция цАМФ</w:t>
            </w:r>
          </w:p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в ответ на введение ПГ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Экскреция фосфата в ответ на введение ПГ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Резис</w:t>
            </w: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тентность к другим гормонам</w:t>
            </w:r>
          </w:p>
        </w:tc>
        <w:tc>
          <w:tcPr>
            <w:tcW w:w="8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Остеоди</w:t>
            </w: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softHyphen/>
              <w:t>строфия Олбрайта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Патогенез</w:t>
            </w:r>
          </w:p>
        </w:tc>
      </w:tr>
      <w:tr w:rsidR="00912B85" w:rsidRPr="00B0315C" w:rsidTr="00912B85">
        <w:trPr>
          <w:trHeight w:hRule="exact" w:val="374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lastRenderedPageBreak/>
              <w:t>ПГПТ 1а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+ ■ 1</w:t>
            </w:r>
          </w:p>
        </w:tc>
        <w:tc>
          <w:tcPr>
            <w:tcW w:w="81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+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 xml:space="preserve">Дефект </w:t>
            </w:r>
            <w:r w:rsidRPr="00B0315C">
              <w:rPr>
                <w:rFonts w:ascii="Arial" w:hAnsi="Arial" w:cs="Arial"/>
                <w:sz w:val="28"/>
                <w:szCs w:val="28"/>
                <w:lang w:bidi="en-US"/>
              </w:rPr>
              <w:t>Gs-</w:t>
            </w: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субъединицы</w:t>
            </w:r>
          </w:p>
        </w:tc>
      </w:tr>
      <w:tr w:rsidR="00912B85" w:rsidRPr="00B0315C" w:rsidTr="00912B85">
        <w:trPr>
          <w:trHeight w:hRule="exact" w:val="250"/>
          <w:jc w:val="center"/>
        </w:trPr>
        <w:tc>
          <w:tcPr>
            <w:tcW w:w="936" w:type="dxa"/>
            <w:tcBorders>
              <w:left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ППГПТ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Норма</w:t>
            </w:r>
          </w:p>
        </w:tc>
        <w:tc>
          <w:tcPr>
            <w:tcW w:w="1138" w:type="dxa"/>
            <w:tcBorders>
              <w:left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Норма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</w:p>
        </w:tc>
        <w:tc>
          <w:tcPr>
            <w:tcW w:w="816" w:type="dxa"/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</w:p>
        </w:tc>
        <w:tc>
          <w:tcPr>
            <w:tcW w:w="2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 xml:space="preserve">Дефект </w:t>
            </w:r>
            <w:r w:rsidRPr="00B0315C">
              <w:rPr>
                <w:rFonts w:ascii="Arial" w:hAnsi="Arial" w:cs="Arial"/>
                <w:sz w:val="28"/>
                <w:szCs w:val="28"/>
                <w:lang w:bidi="en-US"/>
              </w:rPr>
              <w:t>Gs</w:t>
            </w: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-субъединицы (?)</w:t>
            </w:r>
          </w:p>
        </w:tc>
      </w:tr>
      <w:tr w:rsidR="00912B85" w:rsidRPr="00B0315C" w:rsidTr="00912B85">
        <w:trPr>
          <w:trHeight w:hRule="exact" w:val="254"/>
          <w:jc w:val="center"/>
        </w:trPr>
        <w:tc>
          <w:tcPr>
            <w:tcW w:w="936" w:type="dxa"/>
            <w:tcBorders>
              <w:left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 xml:space="preserve">ПГПТ </w:t>
            </w:r>
            <w:r w:rsidRPr="00B0315C">
              <w:rPr>
                <w:rFonts w:ascii="Arial" w:hAnsi="Arial" w:cs="Arial"/>
                <w:sz w:val="28"/>
                <w:szCs w:val="28"/>
                <w:lang w:bidi="en-US"/>
              </w:rPr>
              <w:t>1b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</w:p>
        </w:tc>
        <w:tc>
          <w:tcPr>
            <w:tcW w:w="1138" w:type="dxa"/>
            <w:tcBorders>
              <w:left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+ 1</w:t>
            </w:r>
          </w:p>
        </w:tc>
        <w:tc>
          <w:tcPr>
            <w:tcW w:w="816" w:type="dxa"/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— •</w:t>
            </w:r>
          </w:p>
        </w:tc>
        <w:tc>
          <w:tcPr>
            <w:tcW w:w="2510" w:type="dxa"/>
            <w:tcBorders>
              <w:left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Дефект рецептора ПГ</w:t>
            </w:r>
          </w:p>
        </w:tc>
      </w:tr>
      <w:tr w:rsidR="00912B85" w:rsidRPr="00B0315C" w:rsidTr="00912B85">
        <w:trPr>
          <w:trHeight w:hRule="exact" w:val="422"/>
          <w:jc w:val="center"/>
        </w:trPr>
        <w:tc>
          <w:tcPr>
            <w:tcW w:w="936" w:type="dxa"/>
            <w:tcBorders>
              <w:left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ПГПТ 1с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4</w:t>
            </w:r>
          </w:p>
        </w:tc>
        <w:tc>
          <w:tcPr>
            <w:tcW w:w="1138" w:type="dxa"/>
            <w:tcBorders>
              <w:left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Г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</w:p>
        </w:tc>
        <w:tc>
          <w:tcPr>
            <w:tcW w:w="816" w:type="dxa"/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+</w:t>
            </w:r>
          </w:p>
        </w:tc>
        <w:tc>
          <w:tcPr>
            <w:tcW w:w="2510" w:type="dxa"/>
            <w:tcBorders>
              <w:left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 xml:space="preserve">Нормальная функция </w:t>
            </w:r>
            <w:r w:rsidRPr="00B0315C">
              <w:rPr>
                <w:rFonts w:ascii="Arial" w:hAnsi="Arial" w:cs="Arial"/>
                <w:sz w:val="28"/>
                <w:szCs w:val="28"/>
                <w:lang w:bidi="en-US"/>
              </w:rPr>
              <w:t xml:space="preserve">Gs- </w:t>
            </w: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субъединицы</w:t>
            </w:r>
          </w:p>
        </w:tc>
      </w:tr>
      <w:tr w:rsidR="00912B85" w:rsidRPr="00B0315C" w:rsidTr="00912B85">
        <w:trPr>
          <w:trHeight w:hRule="exact" w:val="494"/>
          <w:jc w:val="center"/>
        </w:trPr>
        <w:tc>
          <w:tcPr>
            <w:tcW w:w="9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ПГПТ 2</w:t>
            </w:r>
          </w:p>
        </w:tc>
        <w:tc>
          <w:tcPr>
            <w:tcW w:w="11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Норма</w:t>
            </w: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г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</w:p>
        </w:tc>
        <w:tc>
          <w:tcPr>
            <w:tcW w:w="816" w:type="dxa"/>
            <w:tcBorders>
              <w:bottom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—</w:t>
            </w:r>
          </w:p>
        </w:tc>
        <w:tc>
          <w:tcPr>
            <w:tcW w:w="25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12B85" w:rsidRPr="00B0315C" w:rsidRDefault="00912B85" w:rsidP="00B0315C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B0315C">
              <w:rPr>
                <w:rFonts w:ascii="Arial" w:hAnsi="Arial" w:cs="Arial"/>
                <w:sz w:val="28"/>
                <w:szCs w:val="28"/>
                <w:lang w:bidi="ru-RU"/>
              </w:rPr>
              <w:t>Дефект цАМФ-зависимого ответа на ПГ</w:t>
            </w:r>
          </w:p>
        </w:tc>
      </w:tr>
    </w:tbl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Клинический пример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Больной Л., 24 лет, предъявляет жалобы на судороги, преимущественно левой половины тела, лица, заторможенность, утомляемость, скованность в дви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жениях, снижение зрения. Считает себя больным с 14 лет, когда впервые отметил подергивания пальцев левой руки. Был установлен диагноз «судорожный син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дром» и назначено лечение глюфералом без существенного эффекта. С 25-летнего возраста отмечает резкое снижение зрения на правый глаз, выявлена катаракта. Объективно: рост 158 см, масса тела — 50 кг. Лицо округлое, непропорциональ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ное телосложение: крупная голова, относительно короткие конечности, укороче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</w:r>
      <w:r w:rsidRPr="00B0315C">
        <w:rPr>
          <w:rFonts w:ascii="Arial" w:hAnsi="Arial" w:cs="Arial"/>
          <w:b/>
          <w:bCs/>
          <w:sz w:val="28"/>
          <w:szCs w:val="28"/>
          <w:lang w:bidi="ru-RU"/>
        </w:rPr>
        <w:t xml:space="preserve">ние </w:t>
      </w:r>
      <w:r w:rsidRPr="00B0315C">
        <w:rPr>
          <w:rFonts w:ascii="Arial" w:hAnsi="Arial" w:cs="Arial"/>
          <w:sz w:val="28"/>
          <w:szCs w:val="28"/>
          <w:lang w:bidi="ru-RU"/>
        </w:rPr>
        <w:t>IV пальца на обеих руках. Симптомы Хвостека и Труссо положительные. Ла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бораторные исследования: содержание кальция 1,77 ммоль/л (снижено), фосфора 1,12 ммоль/л (норма), паратгормона 21 пмоль/л (норма), Набоковой краниограм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ме равномерное утолщение костей свода черепа, турецкое седло без особеннос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тей. При компьютерной томографии выявлена кальцификация базальных гангли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ев. Назначено лечение препаратом «Алъфа-Оз-Тева» в дозе 2 мкг в сутки в сочета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нии с 1,0 г карбоната кальция с хорошим эффектом.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В основе диагностики ПГПТ лежат выявление положительного семей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ного анамнеза и обнаружение пороков развития, характерных для ПГПТ типа 1а в сочетании с биохимическими признаками гипопаратиреоза (гипо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кальциемия, гиперфосфатемия). При всех типах ПГПТ, кроме 1а и 1с, ха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рактерные фенотипические изменения (остеодистрофия Олбрайта) отсутст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вуют. В большинстве случаев у пациентов с ПГПТ определяется повышен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ный уровень интактного паратгормона, что позволяет дифференцировать ПГПТ от гипопаратиреоза. Дифференцировать типы ПГПТ помогает проба с паратгормоном и определением экскреции цАМФ и фосфата.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Лечение всех видов псевдогипопаратиреоза подразумевает назначение препаратов витамина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D </w:t>
      </w:r>
      <w:r w:rsidRPr="00B0315C">
        <w:rPr>
          <w:rFonts w:ascii="Arial" w:hAnsi="Arial" w:cs="Arial"/>
          <w:sz w:val="28"/>
          <w:szCs w:val="28"/>
          <w:lang w:bidi="ru-RU"/>
        </w:rPr>
        <w:t>в сочетании с препаратами кальция.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6" w:name="bookmark191"/>
      <w:r w:rsidRPr="00B0315C">
        <w:rPr>
          <w:rFonts w:ascii="Arial" w:hAnsi="Arial" w:cs="Arial"/>
          <w:b/>
          <w:bCs/>
          <w:sz w:val="28"/>
          <w:szCs w:val="28"/>
          <w:lang w:bidi="ru-RU"/>
        </w:rPr>
        <w:t>11.8. Остеопороз</w:t>
      </w:r>
      <w:bookmarkEnd w:id="6"/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Остеопороз — системное заболевание скелета, характеризующееся сниже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нием массы кости в единице объема и нарушением микроархитектоники костной ткани, приводящим к увеличению хрупкости костей и высокому риску их переломов. Это определение в настоящее время является обще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принятым, хотя с клинических </w:t>
      </w: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позиций очевидно, что остеопороз в боль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шинстве случаев вторичен по отношению к тому или иному заболеванию и, строго говоря, является синдромом.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Наряду с термином «остеопороз» при оценке заболеваний скелета ис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пользуется термин «остеопения», имеющий двоякий смысл. Во-первых, он используется для обозначения понятия «снижение минеральной плотности кости» и, во-вторых, при инструментальной оценке плотности кости в диа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пазоне критерия «Т» от —1 до —2,5.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Согласно данным ВОЗ, остеопороз как причина инвалидизации и смертности больных от переломов костей занимает 4-е место среди неин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фекционных заболеваний, уступая лишь болезням сердечно-сосудистой системы, онкологической патологии и сахарному диабету. Это обусловлено широкой распространенностью остеопороза, его многофакторной приро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дой, поздней диагностикой и несвоевременным началом лечения.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Остеопороз — одно из наиболее распространенных метаболических за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болеваний скелета, частота которого повышается с возрастом. Каждая тре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тья женщина после наступления менопаузы и более половины всех лиц в возрасте 75—80 лет имеют остеопороз, последствия которого: переломы тел позвонков и трубчатых костей — обусловливают значительный подъем за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болеваемости, инвалидности и смертности среди лиц пожилого возраста. Около 20 % больных с переломами шейки бедра умирают в течение 6 мес после перелома, а из оставшихся 50 % становятся инвалидами. Затраты здравоохранения США на лечение остеопоротических переломов составля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ют 7—10 млрд долларов в год при населении 250 млн человек. В Велико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британии стоимость лечения остеопороза и его осложнений — 614 млн фунтов в год при населении 50 млн человек.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Частота переломов бедра является одним из показателей распростра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ненности остеопороза и значительно колеблется в разных странах: наибо- 544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лее низкая в Южной Африке (6 на 1 000 000), наиболее высокая — в Скан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динавских странах (Швеция — 1391 на 100 000 населения старше 50 лет). Распространенность переломов бедра в европейских странах уменьшается с севера на юг и с запада на восток. В России среди населения двух городов (Ярославль и Электросталь) частота переломов бедренной кости составила 61 на 100 000.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r w:rsidRPr="00B0315C">
        <w:rPr>
          <w:rFonts w:ascii="Arial" w:hAnsi="Arial" w:cs="Arial"/>
          <w:b/>
          <w:bCs/>
          <w:sz w:val="28"/>
          <w:szCs w:val="28"/>
          <w:lang w:bidi="ru-RU"/>
        </w:rPr>
        <w:t>Факторы риска развития остеопороза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B0315C">
        <w:rPr>
          <w:rFonts w:ascii="Arial" w:hAnsi="Arial" w:cs="Arial"/>
          <w:bCs/>
          <w:sz w:val="28"/>
          <w:szCs w:val="28"/>
          <w:lang w:bidi="ru-RU"/>
        </w:rPr>
        <w:t>Заболевания эндокринной системы Курение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B0315C">
        <w:rPr>
          <w:rFonts w:ascii="Arial" w:hAnsi="Arial" w:cs="Arial"/>
          <w:bCs/>
          <w:sz w:val="28"/>
          <w:szCs w:val="28"/>
          <w:lang w:bidi="ru-RU"/>
        </w:rPr>
        <w:t>Злоупотребление алкоголем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B0315C">
        <w:rPr>
          <w:rFonts w:ascii="Arial" w:hAnsi="Arial" w:cs="Arial"/>
          <w:bCs/>
          <w:sz w:val="28"/>
          <w:szCs w:val="28"/>
          <w:lang w:bidi="ru-RU"/>
        </w:rPr>
        <w:t>Злоупотребление кофеином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B0315C">
        <w:rPr>
          <w:rFonts w:ascii="Arial" w:hAnsi="Arial" w:cs="Arial"/>
          <w:bCs/>
          <w:sz w:val="28"/>
          <w:szCs w:val="28"/>
          <w:lang w:bidi="ru-RU"/>
        </w:rPr>
        <w:t xml:space="preserve">Непереносимость молочных продуктов 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B0315C">
        <w:rPr>
          <w:rFonts w:ascii="Arial" w:hAnsi="Arial" w:cs="Arial"/>
          <w:bCs/>
          <w:sz w:val="28"/>
          <w:szCs w:val="28"/>
          <w:lang w:bidi="ru-RU"/>
        </w:rPr>
        <w:t>Длительное употребление лекарственных средств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B0315C">
        <w:rPr>
          <w:rFonts w:ascii="Arial" w:hAnsi="Arial" w:cs="Arial"/>
          <w:bCs/>
          <w:sz w:val="28"/>
          <w:szCs w:val="28"/>
          <w:lang w:bidi="ru-RU"/>
        </w:rPr>
        <w:lastRenderedPageBreak/>
        <w:t>Глюкокортикоиды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B0315C">
        <w:rPr>
          <w:rFonts w:ascii="Arial" w:hAnsi="Arial" w:cs="Arial"/>
          <w:bCs/>
          <w:sz w:val="28"/>
          <w:szCs w:val="28"/>
          <w:lang w:bidi="ru-RU"/>
        </w:rPr>
        <w:t>Тиреоидные гормоны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B0315C">
        <w:rPr>
          <w:rFonts w:ascii="Arial" w:hAnsi="Arial" w:cs="Arial"/>
          <w:bCs/>
          <w:sz w:val="28"/>
          <w:szCs w:val="28"/>
          <w:lang w:bidi="ru-RU"/>
        </w:rPr>
        <w:t>Антикоагулянты (гепарин)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B0315C">
        <w:rPr>
          <w:rFonts w:ascii="Arial" w:hAnsi="Arial" w:cs="Arial"/>
          <w:bCs/>
          <w:sz w:val="28"/>
          <w:szCs w:val="28"/>
          <w:lang w:bidi="ru-RU"/>
        </w:rPr>
        <w:t xml:space="preserve">Антиконвульсанты 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B0315C">
        <w:rPr>
          <w:rFonts w:ascii="Arial" w:hAnsi="Arial" w:cs="Arial"/>
          <w:bCs/>
          <w:sz w:val="28"/>
          <w:szCs w:val="28"/>
          <w:lang w:bidi="ru-RU"/>
        </w:rPr>
        <w:t xml:space="preserve">Препараты лития 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B0315C">
        <w:rPr>
          <w:rFonts w:ascii="Arial" w:hAnsi="Arial" w:cs="Arial"/>
          <w:bCs/>
          <w:sz w:val="28"/>
          <w:szCs w:val="28"/>
          <w:lang w:bidi="ru-RU"/>
        </w:rPr>
        <w:t xml:space="preserve">Метотрексат 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B0315C">
        <w:rPr>
          <w:rFonts w:ascii="Arial" w:hAnsi="Arial" w:cs="Arial"/>
          <w:bCs/>
          <w:sz w:val="28"/>
          <w:szCs w:val="28"/>
          <w:lang w:bidi="ru-RU"/>
        </w:rPr>
        <w:t xml:space="preserve">ЦиклоспоринА 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B0315C">
        <w:rPr>
          <w:rFonts w:ascii="Arial" w:hAnsi="Arial" w:cs="Arial"/>
          <w:bCs/>
          <w:sz w:val="28"/>
          <w:szCs w:val="28"/>
          <w:lang w:bidi="ru-RU"/>
        </w:rPr>
        <w:t xml:space="preserve">Препараты тетрациклина 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B0315C">
        <w:rPr>
          <w:rFonts w:ascii="Arial" w:hAnsi="Arial" w:cs="Arial"/>
          <w:bCs/>
          <w:sz w:val="28"/>
          <w:szCs w:val="28"/>
          <w:lang w:bidi="ru-RU"/>
        </w:rPr>
        <w:t xml:space="preserve">Диуретики (фуросемид) 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B0315C">
        <w:rPr>
          <w:rFonts w:ascii="Arial" w:hAnsi="Arial" w:cs="Arial"/>
          <w:bCs/>
          <w:sz w:val="28"/>
          <w:szCs w:val="28"/>
          <w:lang w:bidi="ru-RU"/>
        </w:rPr>
        <w:t xml:space="preserve">Препараты фенотиазина 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B0315C">
        <w:rPr>
          <w:rFonts w:ascii="Arial" w:hAnsi="Arial" w:cs="Arial"/>
          <w:bCs/>
          <w:sz w:val="28"/>
          <w:szCs w:val="28"/>
          <w:lang w:bidi="ru-RU"/>
        </w:rPr>
        <w:t xml:space="preserve">Антациды, содержащие алюминий 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bCs/>
          <w:sz w:val="28"/>
          <w:szCs w:val="28"/>
          <w:lang w:bidi="ru-RU"/>
        </w:rPr>
        <w:t>Агонисты гонадотропин-рилизинг-гор</w:t>
      </w:r>
      <w:r w:rsidRPr="00B0315C">
        <w:rPr>
          <w:rFonts w:ascii="Arial" w:hAnsi="Arial" w:cs="Arial"/>
          <w:bCs/>
          <w:sz w:val="28"/>
          <w:szCs w:val="28"/>
          <w:lang w:bidi="ru-RU"/>
        </w:rPr>
        <w:softHyphen/>
        <w:t>мона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Этническая принадлежность (белая и азиатская расы) 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Семейная агрегация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Пожилой возраст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Женский пол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Низкая масса тела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Достижение низкого пика костной массы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Отсутствие генерализованного остеоартроза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Сидячий образ жизни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Избыточная физическая нагрузка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Низкое потребление кальция Избыточное потребление мяса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| Дефицит витамина D Ранняя менопауза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] Позднее начало менструаций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5 Женский пол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I Периоды аменореи до менопаузы Бесплодие</w:t>
      </w:r>
    </w:p>
    <w:p w:rsidR="00390B26" w:rsidRPr="00B0315C" w:rsidRDefault="00390B26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Этиология и патогенез. Из приведенной на схеме 11.2 клас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сификации остеопороза явно видно, что большинство форм остеопороза скорее должны рассматриваться как симптоматические при целом ряде за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болеваний. В МК.Б-10 различаются остеопороз с патологическими перело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мами костей и без патологических переломов. По морфологическим при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знакам выделяют трабекулярный, кортикальный и смешанный остеопороз, по метаболической активности — остеопороз с высоким костным обменом, с низким уровнем метаболизма костной ткани и с нормальными показате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лями костного метаболизма.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Скорость потери костного вещества зависит от многих факторов. При любом патофизиологическом механизме масса костной ткани будет умень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шаться, достигая некоторого порогового значения, после которого наступа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ет стадия переломов.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При остеопорозе с высоким костным обменом высокая резорбция кости не компенсируется нормальным или повышенным костеобразовани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ем, а при остеопорозе с низким костным обменом скорость резорбции кости нормальная или снижена, а темп </w:t>
      </w: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костеобразования замедлен. И та, и другая формы могут проявляться как различные стадии остеопоротическо- го процесса у одного больного.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В патогенезе </w:t>
      </w: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постменопаузального остеопороза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пусковым фактором яв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ляется эстрогенная недостаточность, резко ускоряющая потери костной^ массы. Доказано наличие эстрогенных рецепторов на остеобластах, а дефи- цит эстрогенов способствует продукции остеобластами фактора, стимули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рующего и дифференцировку, и активность остеокластов, что обусловлива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ет повышенную резорбцию кости. Недостаток эстрогенов способствует снижению секреции кальцитонина и повышенной чувствительности кости к резорбтивному действию паратиреоидного гормона, а также вторично обусловленному дефициту витамина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D </w:t>
      </w:r>
      <w:r w:rsidRPr="00B0315C">
        <w:rPr>
          <w:rFonts w:ascii="Arial" w:hAnsi="Arial" w:cs="Arial"/>
          <w:sz w:val="28"/>
          <w:szCs w:val="28"/>
          <w:lang w:bidi="ru-RU"/>
        </w:rPr>
        <w:t>и снижению абсорбции кальция в кишечнике. Вероятность развития постменопаузального остеопороза воз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растает при наличии дополнительных факторов риска, приведенных в таб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лице.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 xml:space="preserve">В патогенезе </w:t>
      </w:r>
      <w:r w:rsidRPr="00B0315C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сенильного остеопороза</w:t>
      </w:r>
      <w:r w:rsidRPr="00B0315C">
        <w:rPr>
          <w:rFonts w:ascii="Arial" w:hAnsi="Arial" w:cs="Arial"/>
          <w:sz w:val="28"/>
          <w:szCs w:val="28"/>
          <w:lang w:bidi="ru-RU"/>
        </w:rPr>
        <w:t xml:space="preserve"> наряду с дефицитом половых сте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роидов и кальцитонина большое значение придают отрицательному каль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циевому балансу, обусловленному дефицитом витамина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D </w:t>
      </w:r>
      <w:r w:rsidRPr="00B0315C">
        <w:rPr>
          <w:rFonts w:ascii="Arial" w:hAnsi="Arial" w:cs="Arial"/>
          <w:sz w:val="28"/>
          <w:szCs w:val="28"/>
          <w:lang w:bidi="ru-RU"/>
        </w:rPr>
        <w:t>и сниженной аб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сорбции кальция в кишечнике, что в итоге приводит к развитию вторично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го гиперпаратиреоза и повышенной резорбции костной ткани. Нарушение обмена витамина </w:t>
      </w:r>
      <w:r w:rsidRPr="00B0315C">
        <w:rPr>
          <w:rFonts w:ascii="Arial" w:hAnsi="Arial" w:cs="Arial"/>
          <w:sz w:val="28"/>
          <w:szCs w:val="28"/>
          <w:lang w:bidi="en-US"/>
        </w:rPr>
        <w:t xml:space="preserve">D </w:t>
      </w:r>
      <w:r w:rsidRPr="00B0315C">
        <w:rPr>
          <w:rFonts w:ascii="Arial" w:hAnsi="Arial" w:cs="Arial"/>
          <w:sz w:val="28"/>
          <w:szCs w:val="28"/>
          <w:lang w:bidi="ru-RU"/>
        </w:rPr>
        <w:t>объясняют как уменьшением инсоляции вследствие снижения пребывания на улице, так и нарушением образования активных форм из-за дефицита половых гормонов.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Избыточная или недостаточная секреция большинства гормонов в любом возрасте ведет к остеопорозу. Примером резкого преобладания ре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зорбции костной ткани могут служить костная форма первичного гиперпа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ратиреоза и нарушения метаболизма костной ткани при тяжелом рециди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вирующем течении тиреотоксикоза.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Избыток глюкокортикоидов при синдроме Кушинга подавляет косте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образование, при этом снижается всасывание кальция в кишечнике и по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вышается экскреция его почками, что создает отрицательный кальциевый  баланс, приводит к вторичному гиперпаратиреозу и повышенной костной резорбции. Механизм развития остеопороза при гипогонадизме у женщин в репродуктивном периоде сходен с таковым при постменопаузе. Снижение андрогенной функции у мужчин ведет к сниженному костеобразованиюл развитию остеопороза с низким костным обменомКлиническая картина. Наиболее характерными переломами при остеопорозе являются переломы проксимальных отделов бедра, тел по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звонков и дистальных отделов костей предплечья, хотя могут встречаться переломы любой локализации. Частота переломов костей в старших возрас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 xml:space="preserve">тных группах значительно больше у женщин. Более половины </w:t>
      </w:r>
      <w:r w:rsidRPr="00B0315C">
        <w:rPr>
          <w:rFonts w:ascii="Arial" w:hAnsi="Arial" w:cs="Arial"/>
          <w:sz w:val="28"/>
          <w:szCs w:val="28"/>
          <w:lang w:bidi="ru-RU"/>
        </w:rPr>
        <w:lastRenderedPageBreak/>
        <w:t>всех перело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мов костей среди взрослых может быть связано с остеопорозом.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Переломы тел позвонков являются одним из классических признаков остеопороза, а их последствия в виде болей в спине, нарушения функции и деформаций позвоночника определяют степень нетрудоспособности и важ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ность этой проблемы для здравоохранения. Распространенность этих пере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ломов в России составила 11,8 %.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Почти в 50 % случаев остеопороз протекает бессимптомно или мало- симптомно и выявляется лишь при наличии переломов костей. Для постме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нопаузального, стероидного и гипогонадального остеопороза характерны преимущественные потери трабекулярной костной ткани и соответственно переломы тел позвонков, ребер и переломы лучевой кости в типичном месте (остеопороз 1-го типа). Преимущественное поражение кортикальной костной ткани свойственно сенильному остеопорозу, гиперпаратиреозу и тиреотоксикозу (остеопороз 2-го типа), при этом чаше встречаются перело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мы трубчатых костей и шейки бедра; но нередки (особенно в старших воз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растных группах) и переломы тел позвонков.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Типичны жалобы на боли в спине, усиливающиеся после физической нагрузки, длительном пребывании в одном положении (стоя или сидя). Эти боли ослабевают или исчезают после отдыха лежа. Выраженность болевого синдрома может быть неодинаковой не только у разных больных, но и у одного и того же больного в разные периоды болезни. При осмотре необхо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димо обращать внимание на изменение осанки пациента, деформацию грудной клетки, снижение роста, образование кожных складок на боковой поверхности грудной клетки, нарушения походки.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Диагностика. Методы и принципы диагностики остеопении и остеопороза разобраны в главе 11.3 при обсуждении инструментальных и лабораторных методов обследования.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Диагностика остеопороза предполагает решение следующих задач: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• выявление остеопении и переломов костей;</w:t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:</w:t>
      </w:r>
      <w:r w:rsidRPr="00B0315C">
        <w:rPr>
          <w:rFonts w:ascii="Arial" w:hAnsi="Arial" w:cs="Arial"/>
          <w:sz w:val="28"/>
          <w:szCs w:val="28"/>
          <w:lang w:bidi="ru-RU"/>
        </w:rPr>
        <w:tab/>
        <w:t>• оценку уровня метаболизма в костной ткани: исследование биохими</w:t>
      </w:r>
      <w:r w:rsidRPr="00B0315C">
        <w:rPr>
          <w:rFonts w:ascii="Arial" w:hAnsi="Arial" w:cs="Arial"/>
          <w:sz w:val="28"/>
          <w:szCs w:val="28"/>
          <w:lang w:bidi="ru-RU"/>
        </w:rPr>
        <w:softHyphen/>
      </w:r>
    </w:p>
    <w:p w:rsidR="00912B85" w:rsidRPr="00B0315C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ческих и/или морфологических маркеров костной резорбции и кос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теобразования, а также показателей кальциевого обмена;</w:t>
      </w:r>
    </w:p>
    <w:p w:rsidR="00912B85" w:rsidRPr="00B0315C" w:rsidRDefault="00912B85" w:rsidP="00B0315C">
      <w:pPr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выяснение причин остеопении и дифференциальная диагностика с другими формами метаболических остеопатий.</w:t>
      </w:r>
    </w:p>
    <w:p w:rsidR="00620713" w:rsidRDefault="00912B85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B0315C">
        <w:rPr>
          <w:rFonts w:ascii="Arial" w:hAnsi="Arial" w:cs="Arial"/>
          <w:sz w:val="28"/>
          <w:szCs w:val="28"/>
          <w:lang w:bidi="ru-RU"/>
        </w:rPr>
        <w:t>Первичный остеопороз прежде всего дифференцируют от остеомаля</w:t>
      </w:r>
      <w:r w:rsidRPr="00B0315C">
        <w:rPr>
          <w:rFonts w:ascii="Arial" w:hAnsi="Arial" w:cs="Arial"/>
          <w:sz w:val="28"/>
          <w:szCs w:val="28"/>
          <w:lang w:bidi="ru-RU"/>
        </w:rPr>
        <w:softHyphen/>
      </w:r>
      <w:r w:rsidRPr="00B0315C">
        <w:rPr>
          <w:rFonts w:ascii="Arial" w:hAnsi="Arial" w:cs="Arial"/>
          <w:b/>
          <w:bCs/>
          <w:sz w:val="28"/>
          <w:szCs w:val="28"/>
          <w:lang w:bidi="ru-RU"/>
        </w:rPr>
        <w:t xml:space="preserve">ции, </w:t>
      </w:r>
      <w:r w:rsidRPr="00B0315C">
        <w:rPr>
          <w:rFonts w:ascii="Arial" w:hAnsi="Arial" w:cs="Arial"/>
          <w:sz w:val="28"/>
          <w:szCs w:val="28"/>
          <w:lang w:bidi="ru-RU"/>
        </w:rPr>
        <w:t>костной формы первичного гиперпаратиреоза, остеопоротической формы болезни Педжета, миеломной болезни и костных метастазов. Диа</w:t>
      </w:r>
      <w:r w:rsidRPr="00B0315C">
        <w:rPr>
          <w:rFonts w:ascii="Arial" w:hAnsi="Arial" w:cs="Arial"/>
          <w:sz w:val="28"/>
          <w:szCs w:val="28"/>
          <w:lang w:bidi="ru-RU"/>
        </w:rPr>
        <w:softHyphen/>
        <w:t>гноз первичного остеопороза ставится после исключения перечисленных заболеваний.</w:t>
      </w:r>
    </w:p>
    <w:p w:rsidR="0031747F" w:rsidRPr="00B0315C" w:rsidRDefault="0031747F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31747F" w:rsidRPr="0031747F" w:rsidRDefault="0031747F" w:rsidP="0031747F">
      <w:pPr>
        <w:spacing w:after="0" w:line="240" w:lineRule="auto"/>
        <w:jc w:val="both"/>
        <w:rPr>
          <w:rFonts w:ascii="Arial" w:hAnsi="Arial" w:cs="Arial"/>
          <w:b/>
        </w:rPr>
      </w:pPr>
      <w:r w:rsidRPr="0031747F">
        <w:rPr>
          <w:rFonts w:ascii="Arial" w:hAnsi="Arial" w:cs="Arial"/>
          <w:b/>
        </w:rPr>
        <w:lastRenderedPageBreak/>
        <w:t>Литература:</w:t>
      </w:r>
    </w:p>
    <w:p w:rsidR="0031747F" w:rsidRPr="0031747F" w:rsidRDefault="0031747F" w:rsidP="0031747F">
      <w:pPr>
        <w:spacing w:after="0" w:line="240" w:lineRule="auto"/>
        <w:jc w:val="both"/>
        <w:rPr>
          <w:rFonts w:ascii="Arial" w:hAnsi="Arial" w:cs="Arial"/>
        </w:rPr>
      </w:pPr>
    </w:p>
    <w:p w:rsidR="0031747F" w:rsidRPr="0031747F" w:rsidRDefault="0031747F" w:rsidP="0031747F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31747F">
        <w:rPr>
          <w:rFonts w:ascii="Arial" w:hAnsi="Arial" w:cs="Arial"/>
        </w:rPr>
        <w:t>Дедов И.И., Мельниченко Г.А., Фадеев В.В. «Эндокринология». Учебник. –М.: «Медицина», 2000. Стр. 632.</w:t>
      </w:r>
    </w:p>
    <w:p w:rsidR="0031747F" w:rsidRPr="0031747F" w:rsidRDefault="0031747F" w:rsidP="0031747F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31747F">
        <w:rPr>
          <w:rFonts w:ascii="Arial" w:hAnsi="Arial" w:cs="Arial"/>
        </w:rPr>
        <w:t>Гарднер Д., Шобек Д. Базисная и клиническая эндокринология / под ред. Г. А. Мельниченко. — М.: 2015. — Стр. 169.</w:t>
      </w:r>
    </w:p>
    <w:p w:rsidR="0031747F" w:rsidRPr="0031747F" w:rsidRDefault="0031747F" w:rsidP="0031747F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31747F">
        <w:rPr>
          <w:rFonts w:ascii="Arial" w:hAnsi="Arial" w:cs="Arial"/>
        </w:rPr>
        <w:t xml:space="preserve">Дедов И. И., Мельниченко Г. А. Эндокринология. Национальное руководство. Краткое издание. — 2-е изд., перераб. и доп. — М.: ГЭОТАР-Медиа, 2018. — Стр. 832. </w:t>
      </w:r>
    </w:p>
    <w:p w:rsidR="0031747F" w:rsidRPr="0031747F" w:rsidRDefault="0031747F" w:rsidP="0031747F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31747F">
        <w:rPr>
          <w:rFonts w:ascii="Arial" w:hAnsi="Arial" w:cs="Arial"/>
        </w:rPr>
        <w:t xml:space="preserve">Проверенный поставщик медицинской информации с 1899 года. </w:t>
      </w:r>
      <w:hyperlink r:id="rId41" w:history="1">
        <w:r w:rsidRPr="0031747F">
          <w:rPr>
            <w:rFonts w:ascii="Arial" w:hAnsi="Arial" w:cs="Arial"/>
            <w:color w:val="0563C1" w:themeColor="hyperlink"/>
            <w:u w:val="single"/>
            <w:lang w:val="en-US"/>
          </w:rPr>
          <w:t>https://</w:t>
        </w:r>
      </w:hyperlink>
      <w:hyperlink r:id="rId42" w:history="1">
        <w:r w:rsidRPr="0031747F">
          <w:rPr>
            <w:rFonts w:ascii="Arial" w:hAnsi="Arial" w:cs="Arial"/>
            <w:color w:val="0563C1" w:themeColor="hyperlink"/>
            <w:u w:val="single"/>
            <w:lang w:val="en-US"/>
          </w:rPr>
          <w:t>www.msdmanuals.com</w:t>
        </w:r>
      </w:hyperlink>
      <w:hyperlink r:id="rId43" w:history="1">
        <w:r w:rsidRPr="0031747F">
          <w:rPr>
            <w:rFonts w:ascii="Arial" w:hAnsi="Arial" w:cs="Arial"/>
            <w:color w:val="0563C1" w:themeColor="hyperlink"/>
            <w:u w:val="single"/>
            <w:lang w:val="en-US"/>
          </w:rPr>
          <w:t>/</w:t>
        </w:r>
      </w:hyperlink>
      <w:hyperlink r:id="rId44" w:history="1">
        <w:r w:rsidRPr="0031747F">
          <w:rPr>
            <w:rFonts w:ascii="Arial" w:hAnsi="Arial" w:cs="Arial"/>
            <w:color w:val="0563C1" w:themeColor="hyperlink"/>
            <w:u w:val="single"/>
            <w:lang w:val="en-US"/>
          </w:rPr>
          <w:t>ru</w:t>
        </w:r>
      </w:hyperlink>
      <w:hyperlink r:id="rId45" w:history="1">
        <w:r w:rsidRPr="0031747F">
          <w:rPr>
            <w:rFonts w:ascii="Arial" w:hAnsi="Arial" w:cs="Arial"/>
            <w:color w:val="0563C1" w:themeColor="hyperlink"/>
            <w:u w:val="single"/>
            <w:lang w:val="en-US"/>
          </w:rPr>
          <w:t>/</w:t>
        </w:r>
      </w:hyperlink>
    </w:p>
    <w:p w:rsidR="0031747F" w:rsidRPr="0031747F" w:rsidRDefault="0031747F" w:rsidP="0031747F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lang w:val="en-US"/>
        </w:rPr>
      </w:pPr>
      <w:r w:rsidRPr="0031747F">
        <w:rPr>
          <w:rFonts w:ascii="Arial" w:hAnsi="Arial" w:cs="Arial"/>
          <w:lang w:val="en-US"/>
        </w:rPr>
        <w:t>World Health Organization (WHO). ICD-10 classification of mental and behavioural disorders: diagnostic criteria for research 1993. — Geneva (Switzerland), 1993.</w:t>
      </w:r>
    </w:p>
    <w:p w:rsidR="0031747F" w:rsidRPr="0031747F" w:rsidRDefault="0031747F" w:rsidP="0031747F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lang w:val="en-US"/>
        </w:rPr>
      </w:pPr>
      <w:r w:rsidRPr="0031747F">
        <w:rPr>
          <w:rFonts w:ascii="Arial" w:hAnsi="Arial" w:cs="Arial"/>
          <w:lang w:val="en-US"/>
        </w:rPr>
        <w:t>Calabria A. Growth hormone deficiency in children // MSD Manual. — 2018.</w:t>
      </w:r>
    </w:p>
    <w:p w:rsidR="0031747F" w:rsidRPr="0031747F" w:rsidRDefault="0031747F" w:rsidP="0031747F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31747F">
        <w:rPr>
          <w:rFonts w:ascii="Arial" w:hAnsi="Arial" w:cs="Arial"/>
          <w:i/>
          <w:iCs/>
          <w:lang w:bidi="ru-RU"/>
        </w:rPr>
        <w:t>Дедов И. И., Шестакова М. В., Максимова М. А.</w:t>
      </w:r>
      <w:r w:rsidRPr="0031747F">
        <w:rPr>
          <w:rFonts w:ascii="Arial" w:hAnsi="Arial" w:cs="Arial"/>
          <w:lang w:bidi="ru-RU"/>
        </w:rPr>
        <w:t xml:space="preserve"> Федеральная целевая программа «Сахарный диабет». Методические рекомендации. М., 2002.</w:t>
      </w:r>
    </w:p>
    <w:p w:rsidR="0031747F" w:rsidRPr="0031747F" w:rsidRDefault="0031747F" w:rsidP="0031747F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31747F">
        <w:rPr>
          <w:rFonts w:ascii="Arial" w:hAnsi="Arial" w:cs="Arial"/>
        </w:rPr>
        <w:t>Российская ассоциация эндокринологов. Федеральные клинические рекомендации по ведению детей с эндокринными заболеваниями. — М., 2014 — С. 338.</w:t>
      </w:r>
    </w:p>
    <w:p w:rsidR="0031747F" w:rsidRPr="0031747F" w:rsidRDefault="0031747F" w:rsidP="0031747F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lang w:val="en-US"/>
        </w:rPr>
      </w:pPr>
      <w:r w:rsidRPr="0031747F">
        <w:rPr>
          <w:rFonts w:ascii="Arial" w:hAnsi="Arial" w:cs="Arial"/>
          <w:lang w:val="en-US"/>
        </w:rPr>
        <w:t>Kurtoglu S., Ozdemir A., Hatipoglu N. Neonatal hipopituitarism: approaches to diagnosis and treatment // J Clin Res Pediatr Endocrinol. — 2019; 11 (1): 4-12.</w:t>
      </w:r>
      <w:r w:rsidRPr="0031747F">
        <w:rPr>
          <w:rFonts w:ascii="Arial" w:hAnsi="Arial" w:cs="Arial"/>
        </w:rPr>
        <w:t>ссылка</w:t>
      </w:r>
    </w:p>
    <w:p w:rsidR="0031747F" w:rsidRPr="0031747F" w:rsidRDefault="0031747F" w:rsidP="0031747F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31747F">
        <w:rPr>
          <w:rFonts w:ascii="Arial" w:hAnsi="Arial" w:cs="Arial"/>
        </w:rPr>
        <w:t>Дедов И. И., Мельниченко Г. А., Фадеев В. В. Эндокринология. — М., 2015. — С. 59.</w:t>
      </w:r>
    </w:p>
    <w:p w:rsidR="0031747F" w:rsidRPr="0031747F" w:rsidRDefault="0031747F" w:rsidP="0031747F">
      <w:pPr>
        <w:widowControl w:val="0"/>
        <w:numPr>
          <w:ilvl w:val="0"/>
          <w:numId w:val="17"/>
        </w:numPr>
        <w:tabs>
          <w:tab w:val="clear" w:pos="720"/>
        </w:tabs>
        <w:spacing w:after="0" w:line="240" w:lineRule="auto"/>
        <w:jc w:val="both"/>
        <w:rPr>
          <w:rFonts w:ascii="Arial" w:hAnsi="Arial" w:cs="Arial"/>
        </w:rPr>
      </w:pPr>
      <w:r w:rsidRPr="0031747F">
        <w:rPr>
          <w:rFonts w:ascii="Arial" w:hAnsi="Arial" w:cs="Arial"/>
        </w:rPr>
        <w:t>Дедов И. И., Петеркова В. А., Малиевский О. А. Детская эндокринология. — М., 2016. — С. 9.</w:t>
      </w:r>
    </w:p>
    <w:p w:rsidR="0031747F" w:rsidRPr="0031747F" w:rsidRDefault="0031747F" w:rsidP="0031747F">
      <w:pPr>
        <w:widowControl w:val="0"/>
        <w:numPr>
          <w:ilvl w:val="0"/>
          <w:numId w:val="17"/>
        </w:numPr>
        <w:tabs>
          <w:tab w:val="clear" w:pos="720"/>
        </w:tabs>
        <w:spacing w:after="0" w:line="240" w:lineRule="auto"/>
        <w:jc w:val="both"/>
        <w:rPr>
          <w:rFonts w:ascii="Arial" w:hAnsi="Arial" w:cs="Arial"/>
        </w:rPr>
      </w:pPr>
      <w:r w:rsidRPr="0031747F">
        <w:rPr>
          <w:rFonts w:ascii="Arial" w:hAnsi="Arial" w:cs="Arial"/>
          <w:lang w:val="en-US" w:bidi="en-US"/>
        </w:rPr>
        <w:t xml:space="preserve">Centers for Disease Control and Prevention. National diabetes fact sheet. U. S. Department of Health and Human Services, Centers for Disease Control and Prevention. </w:t>
      </w:r>
      <w:r w:rsidRPr="0031747F">
        <w:rPr>
          <w:rFonts w:ascii="Arial" w:hAnsi="Arial" w:cs="Arial"/>
        </w:rPr>
        <w:t>Atlanta, GA, 2004.</w:t>
      </w:r>
    </w:p>
    <w:p w:rsidR="0031747F" w:rsidRPr="0031747F" w:rsidRDefault="0031747F" w:rsidP="0031747F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1747F" w:rsidRPr="0031747F" w:rsidRDefault="0031747F" w:rsidP="0031747F">
      <w:pPr>
        <w:widowControl w:val="0"/>
        <w:spacing w:after="0" w:line="240" w:lineRule="auto"/>
        <w:ind w:firstLine="420"/>
        <w:jc w:val="both"/>
        <w:rPr>
          <w:rFonts w:ascii="Arial" w:eastAsia="Arial Unicode MS" w:hAnsi="Arial" w:cs="Arial"/>
          <w:color w:val="000000"/>
          <w:sz w:val="24"/>
          <w:szCs w:val="24"/>
          <w:lang w:eastAsia="ru-RU" w:bidi="ru-RU"/>
        </w:rPr>
      </w:pPr>
    </w:p>
    <w:p w:rsidR="00653D1B" w:rsidRPr="00B0315C" w:rsidRDefault="00653D1B" w:rsidP="00B0315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sectPr w:rsidR="00653D1B" w:rsidRPr="00B0315C" w:rsidSect="00B0315C">
      <w:headerReference w:type="even" r:id="rId46"/>
      <w:headerReference w:type="default" r:id="rId47"/>
      <w:footerReference w:type="even" r:id="rId48"/>
      <w:footerReference w:type="default" r:id="rId49"/>
      <w:pgSz w:w="11900" w:h="16840" w:code="9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518" w:rsidRDefault="00117518">
      <w:pPr>
        <w:spacing w:after="0" w:line="240" w:lineRule="auto"/>
      </w:pPr>
      <w:r>
        <w:separator/>
      </w:r>
    </w:p>
  </w:endnote>
  <w:endnote w:type="continuationSeparator" w:id="0">
    <w:p w:rsidR="00117518" w:rsidRDefault="00117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47FA45D6" wp14:editId="6755EBCC">
              <wp:simplePos x="0" y="0"/>
              <wp:positionH relativeFrom="page">
                <wp:posOffset>1679575</wp:posOffset>
              </wp:positionH>
              <wp:positionV relativeFrom="page">
                <wp:posOffset>9768840</wp:posOffset>
              </wp:positionV>
              <wp:extent cx="198120" cy="100330"/>
              <wp:effectExtent l="0" t="0" r="0" b="0"/>
              <wp:wrapNone/>
              <wp:docPr id="1112" name="Shape 11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8120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0315C" w:rsidRDefault="00B0315C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526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FA45D6" id="_x0000_t202" coordsize="21600,21600" o:spt="202" path="m,l,21600r21600,l21600,xe">
              <v:stroke joinstyle="miter"/>
              <v:path gradientshapeok="t" o:connecttype="rect"/>
            </v:shapetype>
            <v:shape id="Shape 1112" o:spid="_x0000_s1056" type="#_x0000_t202" style="position:absolute;margin-left:132.25pt;margin-top:769.2pt;width:15.6pt;height:7.9pt;z-index:-2516541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" filled="f" stroked="f">
              <v:textbox style="mso-fit-shape-to-text:t" inset="0,0,0,0">
                <w:txbxContent>
                  <w:p w:rsidR="00B0315C" w:rsidRDefault="00B0315C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526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643CEC5" wp14:editId="5260375A">
              <wp:simplePos x="0" y="0"/>
              <wp:positionH relativeFrom="page">
                <wp:posOffset>6106795</wp:posOffset>
              </wp:positionH>
              <wp:positionV relativeFrom="page">
                <wp:posOffset>9944735</wp:posOffset>
              </wp:positionV>
              <wp:extent cx="115570" cy="103505"/>
              <wp:effectExtent l="0" t="0" r="0" b="0"/>
              <wp:wrapNone/>
              <wp:docPr id="1110" name="Shape 11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57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0315C" w:rsidRDefault="00B0315C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E3A43">
                            <w:rPr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43CEC5" id="_x0000_t202" coordsize="21600,21600" o:spt="202" path="m,l,21600r21600,l21600,xe">
              <v:stroke joinstyle="miter"/>
              <v:path gradientshapeok="t" o:connecttype="rect"/>
            </v:shapetype>
            <v:shape id="Shape 1110" o:spid="_x0000_s1057" type="#_x0000_t202" style="position:absolute;margin-left:480.85pt;margin-top:783.05pt;width:9.1pt;height:8.15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" filled="f" stroked="f">
              <v:textbox style="mso-fit-shape-to-text:t" inset="0,0,0,0">
                <w:txbxContent>
                  <w:p w:rsidR="00B0315C" w:rsidRDefault="00B0315C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E3A43">
                      <w:rPr>
                        <w:noProof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50386517" wp14:editId="1E8B04B1">
              <wp:simplePos x="0" y="0"/>
              <wp:positionH relativeFrom="page">
                <wp:posOffset>5999480</wp:posOffset>
              </wp:positionH>
              <wp:positionV relativeFrom="page">
                <wp:posOffset>9619615</wp:posOffset>
              </wp:positionV>
              <wp:extent cx="255905" cy="103505"/>
              <wp:effectExtent l="0" t="0" r="0" b="0"/>
              <wp:wrapNone/>
              <wp:docPr id="1159" name="Shape 11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5905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0315C" w:rsidRDefault="00B0315C">
                          <w:r>
                            <w:t>.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386517" id="_x0000_t202" coordsize="21600,21600" o:spt="202" path="m,l,21600r21600,l21600,xe">
              <v:stroke joinstyle="miter"/>
              <v:path gradientshapeok="t" o:connecttype="rect"/>
            </v:shapetype>
            <v:shape id="Shape 1159" o:spid="_x0000_s1058" type="#_x0000_t202" style="position:absolute;margin-left:472.4pt;margin-top:757.45pt;width:20.15pt;height:8.15pt;z-index:-25165209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" filled="f" stroked="f">
              <v:textbox style="mso-fit-shape-to-text:t" inset="0,0,0,0">
                <w:txbxContent>
                  <w:p w:rsidR="00B0315C" w:rsidRDefault="00B0315C">
                    <w:r>
                      <w:t>.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563FABE7" wp14:editId="63B2A032">
              <wp:simplePos x="0" y="0"/>
              <wp:positionH relativeFrom="page">
                <wp:posOffset>5999480</wp:posOffset>
              </wp:positionH>
              <wp:positionV relativeFrom="page">
                <wp:posOffset>9619615</wp:posOffset>
              </wp:positionV>
              <wp:extent cx="255905" cy="103505"/>
              <wp:effectExtent l="0" t="0" r="0" b="0"/>
              <wp:wrapNone/>
              <wp:docPr id="1157" name="Shape 11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5905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0315C" w:rsidRDefault="00B0315C">
                          <w:r>
                            <w:t>.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E3A43">
                            <w:rPr>
                              <w:noProof/>
                            </w:rPr>
                            <w:t>16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3FABE7" id="_x0000_t202" coordsize="21600,21600" o:spt="202" path="m,l,21600r21600,l21600,xe">
              <v:stroke joinstyle="miter"/>
              <v:path gradientshapeok="t" o:connecttype="rect"/>
            </v:shapetype>
            <v:shape id="Shape 1157" o:spid="_x0000_s1059" type="#_x0000_t202" style="position:absolute;margin-left:472.4pt;margin-top:757.45pt;width:20.15pt;height:8.15pt;z-index:-2516531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" filled="f" stroked="f">
              <v:textbox style="mso-fit-shape-to-text:t" inset="0,0,0,0">
                <w:txbxContent>
                  <w:p w:rsidR="00B0315C" w:rsidRDefault="00B0315C">
                    <w:r>
                      <w:t>.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E3A43">
                      <w:rPr>
                        <w:noProof/>
                      </w:rPr>
                      <w:t>16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56B891DA" wp14:editId="01C0436C">
              <wp:simplePos x="0" y="0"/>
              <wp:positionH relativeFrom="page">
                <wp:posOffset>1506855</wp:posOffset>
              </wp:positionH>
              <wp:positionV relativeFrom="page">
                <wp:posOffset>9619615</wp:posOffset>
              </wp:positionV>
              <wp:extent cx="213360" cy="97790"/>
              <wp:effectExtent l="0" t="0" r="0" b="0"/>
              <wp:wrapNone/>
              <wp:docPr id="1161" name="Shape 11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3360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0315C" w:rsidRDefault="00B0315C">
                          <w:pPr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  <w:sz w:val="26"/>
                              <w:szCs w:val="26"/>
                            </w:rPr>
                            <w:instrText xml:space="preserve"> PAGE \* MERGEFORMAT </w:instrText>
                          </w:r>
                          <w:r>
                            <w:rPr>
                              <w:rFonts w:ascii="Arial" w:eastAsia="Arial" w:hAnsi="Arial" w:cs="Arial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FE3A43">
                            <w:rPr>
                              <w:rFonts w:ascii="Arial" w:eastAsia="Arial" w:hAnsi="Arial" w:cs="Arial"/>
                              <w:noProof/>
                              <w:sz w:val="26"/>
                              <w:szCs w:val="26"/>
                            </w:rPr>
                            <w:t>8</w:t>
                          </w:r>
                          <w:r>
                            <w:rPr>
                              <w:rFonts w:ascii="Arial" w:eastAsia="Arial" w:hAnsi="Arial" w:cs="Arial"/>
                              <w:sz w:val="26"/>
                              <w:szCs w:val="26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26"/>
                              <w:szCs w:val="26"/>
                            </w:rPr>
                            <w:t>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B891DA" id="_x0000_t202" coordsize="21600,21600" o:spt="202" path="m,l,21600r21600,l21600,xe">
              <v:stroke joinstyle="miter"/>
              <v:path gradientshapeok="t" o:connecttype="rect"/>
            </v:shapetype>
            <v:shape id="Shape 1161" o:spid="_x0000_s1060" type="#_x0000_t202" style="position:absolute;margin-left:118.65pt;margin-top:757.45pt;width:16.8pt;height:7.7pt;z-index:-25165107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" filled="f" stroked="f">
              <v:textbox style="mso-fit-shape-to-text:t" inset="0,0,0,0">
                <w:txbxContent>
                  <w:p w:rsidR="00B0315C" w:rsidRDefault="00B0315C">
                    <w:pPr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rFonts w:ascii="Arial" w:eastAsia="Arial" w:hAnsi="Arial" w:cs="Arial"/>
                        <w:sz w:val="26"/>
                        <w:szCs w:val="26"/>
                      </w:rPr>
                      <w:instrText xml:space="preserve"> PAGE \* MERGEFORMAT </w:instrText>
                    </w:r>
                    <w:r>
                      <w:rPr>
                        <w:rFonts w:ascii="Arial" w:eastAsia="Arial" w:hAnsi="Arial" w:cs="Arial"/>
                        <w:sz w:val="26"/>
                        <w:szCs w:val="26"/>
                      </w:rPr>
                      <w:fldChar w:fldCharType="separate"/>
                    </w:r>
                    <w:r w:rsidR="00FE3A43">
                      <w:rPr>
                        <w:rFonts w:ascii="Arial" w:eastAsia="Arial" w:hAnsi="Arial" w:cs="Arial"/>
                        <w:noProof/>
                        <w:sz w:val="26"/>
                        <w:szCs w:val="26"/>
                      </w:rPr>
                      <w:t>8</w:t>
                    </w:r>
                    <w:r>
                      <w:rPr>
                        <w:rFonts w:ascii="Arial" w:eastAsia="Arial" w:hAnsi="Arial" w:cs="Arial"/>
                        <w:sz w:val="26"/>
                        <w:szCs w:val="26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26"/>
                        <w:szCs w:val="26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47E736F0" wp14:editId="0C337194">
              <wp:simplePos x="0" y="0"/>
              <wp:positionH relativeFrom="page">
                <wp:posOffset>1679575</wp:posOffset>
              </wp:positionH>
              <wp:positionV relativeFrom="page">
                <wp:posOffset>9768840</wp:posOffset>
              </wp:positionV>
              <wp:extent cx="198120" cy="100330"/>
              <wp:effectExtent l="0" t="0" r="0" b="0"/>
              <wp:wrapNone/>
              <wp:docPr id="1175" name="Shape 11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8120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0315C" w:rsidRDefault="00B0315C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538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E736F0" id="_x0000_t202" coordsize="21600,21600" o:spt="202" path="m,l,21600r21600,l21600,xe">
              <v:stroke joinstyle="miter"/>
              <v:path gradientshapeok="t" o:connecttype="rect"/>
            </v:shapetype>
            <v:shape id="Shape 1175" o:spid="_x0000_s1061" type="#_x0000_t202" style="position:absolute;margin-left:132.25pt;margin-top:769.2pt;width:15.6pt;height:7.9pt;z-index:-25164902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" filled="f" stroked="f">
              <v:textbox style="mso-fit-shape-to-text:t" inset="0,0,0,0">
                <w:txbxContent>
                  <w:p w:rsidR="00B0315C" w:rsidRDefault="00B0315C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538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2C9903D2" wp14:editId="05346CF4">
              <wp:simplePos x="0" y="0"/>
              <wp:positionH relativeFrom="page">
                <wp:posOffset>6106795</wp:posOffset>
              </wp:positionH>
              <wp:positionV relativeFrom="page">
                <wp:posOffset>9944735</wp:posOffset>
              </wp:positionV>
              <wp:extent cx="115570" cy="103505"/>
              <wp:effectExtent l="0" t="0" r="0" b="0"/>
              <wp:wrapNone/>
              <wp:docPr id="1173" name="Shape 117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57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0315C" w:rsidRDefault="00B0315C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E3A43">
                            <w:rPr>
                              <w:noProof/>
                            </w:rPr>
                            <w:t>21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9903D2" id="_x0000_t202" coordsize="21600,21600" o:spt="202" path="m,l,21600r21600,l21600,xe">
              <v:stroke joinstyle="miter"/>
              <v:path gradientshapeok="t" o:connecttype="rect"/>
            </v:shapetype>
            <v:shape id="Shape 1173" o:spid="_x0000_s1062" type="#_x0000_t202" style="position:absolute;margin-left:480.85pt;margin-top:783.05pt;width:9.1pt;height:8.15pt;z-index:-25165004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" filled="f" stroked="f">
              <v:textbox style="mso-fit-shape-to-text:t" inset="0,0,0,0">
                <w:txbxContent>
                  <w:p w:rsidR="00B0315C" w:rsidRDefault="00B0315C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E3A43">
                      <w:rPr>
                        <w:noProof/>
                      </w:rPr>
                      <w:t>21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47448210" wp14:editId="2A3E8D36">
              <wp:simplePos x="0" y="0"/>
              <wp:positionH relativeFrom="page">
                <wp:posOffset>6106795</wp:posOffset>
              </wp:positionH>
              <wp:positionV relativeFrom="page">
                <wp:posOffset>9944735</wp:posOffset>
              </wp:positionV>
              <wp:extent cx="115570" cy="103505"/>
              <wp:effectExtent l="0" t="0" r="0" b="0"/>
              <wp:wrapNone/>
              <wp:docPr id="1178" name="Shape 117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57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0315C" w:rsidRDefault="00B0315C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E3A43">
                            <w:rPr>
                              <w:noProof/>
                            </w:rPr>
                            <w:t>31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448210" id="_x0000_t202" coordsize="21600,21600" o:spt="202" path="m,l,21600r21600,l21600,xe">
              <v:stroke joinstyle="miter"/>
              <v:path gradientshapeok="t" o:connecttype="rect"/>
            </v:shapetype>
            <v:shape id="Shape 1178" o:spid="_x0000_s1063" type="#_x0000_t202" style="position:absolute;margin-left:480.85pt;margin-top:783.05pt;width:9.1pt;height:8.15pt;z-index:-25164800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" filled="f" stroked="f">
              <v:textbox style="mso-fit-shape-to-text:t" inset="0,0,0,0">
                <w:txbxContent>
                  <w:p w:rsidR="00B0315C" w:rsidRDefault="00B0315C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E3A43">
                      <w:rPr>
                        <w:noProof/>
                      </w:rPr>
                      <w:t>31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3CBC0B96" wp14:editId="15155176">
              <wp:simplePos x="0" y="0"/>
              <wp:positionH relativeFrom="page">
                <wp:posOffset>1475105</wp:posOffset>
              </wp:positionH>
              <wp:positionV relativeFrom="page">
                <wp:posOffset>9810115</wp:posOffset>
              </wp:positionV>
              <wp:extent cx="194945" cy="115570"/>
              <wp:effectExtent l="0" t="0" r="0" b="0"/>
              <wp:wrapNone/>
              <wp:docPr id="1183" name="Shape 11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4945" cy="1155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0315C" w:rsidRDefault="00B0315C">
                          <w:r>
                            <w:rPr>
                              <w:b/>
                              <w:bCs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</w:rPr>
                            <w:instrText xml:space="preserve"> PAGE \* MERGEFORMAT </w:instrText>
                          </w:r>
                          <w:r>
                            <w:rPr>
                              <w:b/>
                              <w:bCs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</w:rPr>
                            <w:t>548</w:t>
                          </w:r>
                          <w:r>
                            <w:rPr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BC0B96" id="_x0000_t202" coordsize="21600,21600" o:spt="202" path="m,l,21600r21600,l21600,xe">
              <v:stroke joinstyle="miter"/>
              <v:path gradientshapeok="t" o:connecttype="rect"/>
            </v:shapetype>
            <v:shape id="Shape 1183" o:spid="_x0000_s1064" type="#_x0000_t202" style="position:absolute;margin-left:116.15pt;margin-top:772.45pt;width:15.35pt;height:9.1pt;z-index:-25164595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" filled="f" stroked="f">
              <v:textbox style="mso-fit-shape-to-text:t" inset="0,0,0,0">
                <w:txbxContent>
                  <w:p w:rsidR="00B0315C" w:rsidRDefault="00B0315C">
                    <w:r>
                      <w:rPr>
                        <w:b/>
                        <w:bCs/>
                      </w:rPr>
                      <w:fldChar w:fldCharType="begin"/>
                    </w:r>
                    <w:r>
                      <w:rPr>
                        <w:b/>
                        <w:bCs/>
                      </w:rPr>
                      <w:instrText xml:space="preserve"> PAGE \* MERGEFORMAT </w:instrText>
                    </w:r>
                    <w:r>
                      <w:rPr>
                        <w:b/>
                        <w:bCs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</w:rPr>
                      <w:t>548</w:t>
                    </w:r>
                    <w:r>
                      <w:rPr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6DE2D8C8" wp14:editId="32A36459">
              <wp:simplePos x="0" y="0"/>
              <wp:positionH relativeFrom="page">
                <wp:posOffset>6106795</wp:posOffset>
              </wp:positionH>
              <wp:positionV relativeFrom="page">
                <wp:posOffset>9944735</wp:posOffset>
              </wp:positionV>
              <wp:extent cx="115570" cy="103505"/>
              <wp:effectExtent l="0" t="0" r="0" b="0"/>
              <wp:wrapNone/>
              <wp:docPr id="1181" name="Shape 118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57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0315C" w:rsidRDefault="00B0315C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E3A43">
                            <w:rPr>
                              <w:noProof/>
                            </w:rPr>
                            <w:t>39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E2D8C8" id="_x0000_t202" coordsize="21600,21600" o:spt="202" path="m,l,21600r21600,l21600,xe">
              <v:stroke joinstyle="miter"/>
              <v:path gradientshapeok="t" o:connecttype="rect"/>
            </v:shapetype>
            <v:shape id="Shape 1181" o:spid="_x0000_s1065" type="#_x0000_t202" style="position:absolute;margin-left:480.85pt;margin-top:783.05pt;width:9.1pt;height:8.15pt;z-index:-25164697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" filled="f" stroked="f">
              <v:textbox style="mso-fit-shape-to-text:t" inset="0,0,0,0">
                <w:txbxContent>
                  <w:p w:rsidR="00B0315C" w:rsidRDefault="00B0315C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E3A43">
                      <w:rPr>
                        <w:noProof/>
                      </w:rPr>
                      <w:t>39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518" w:rsidRDefault="00117518">
      <w:pPr>
        <w:spacing w:after="0" w:line="240" w:lineRule="auto"/>
      </w:pPr>
      <w:r>
        <w:separator/>
      </w:r>
    </w:p>
  </w:footnote>
  <w:footnote w:type="continuationSeparator" w:id="0">
    <w:p w:rsidR="00117518" w:rsidRDefault="00117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15C" w:rsidRDefault="00B0315C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3613E"/>
    <w:multiLevelType w:val="hybridMultilevel"/>
    <w:tmpl w:val="A6C2CE34"/>
    <w:lvl w:ilvl="0" w:tplc="3DB0EC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D493D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3464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EA6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84F3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A0B6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5AB5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4467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C8F1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7B31BA"/>
    <w:multiLevelType w:val="multilevel"/>
    <w:tmpl w:val="DEDAF1B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055199"/>
    <w:multiLevelType w:val="multilevel"/>
    <w:tmpl w:val="2B02754E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B1571F8"/>
    <w:multiLevelType w:val="multilevel"/>
    <w:tmpl w:val="F3301FE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B4A65E5"/>
    <w:multiLevelType w:val="multilevel"/>
    <w:tmpl w:val="884C35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D9E34AB"/>
    <w:multiLevelType w:val="multilevel"/>
    <w:tmpl w:val="6610E8F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F1F7015"/>
    <w:multiLevelType w:val="multilevel"/>
    <w:tmpl w:val="6C06BB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F5D2D1F"/>
    <w:multiLevelType w:val="multilevel"/>
    <w:tmpl w:val="91EA391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B1A0DC1"/>
    <w:multiLevelType w:val="multilevel"/>
    <w:tmpl w:val="B15475B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9F503BC"/>
    <w:multiLevelType w:val="hybridMultilevel"/>
    <w:tmpl w:val="D3529C82"/>
    <w:lvl w:ilvl="0" w:tplc="B9C8D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5B1824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90E41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52B2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026C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C8AE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822D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A6C0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36CA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B55495"/>
    <w:multiLevelType w:val="multilevel"/>
    <w:tmpl w:val="204C8BF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F1D3E61"/>
    <w:multiLevelType w:val="multilevel"/>
    <w:tmpl w:val="B566BE8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2E02A0D"/>
    <w:multiLevelType w:val="multilevel"/>
    <w:tmpl w:val="DE62E762"/>
    <w:lvl w:ilvl="0">
      <w:start w:val="11"/>
      <w:numFmt w:val="decimal"/>
      <w:lvlText w:val="%1."/>
      <w:lvlJc w:val="left"/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A3A2CF8"/>
    <w:multiLevelType w:val="multilevel"/>
    <w:tmpl w:val="A092760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D85023F"/>
    <w:multiLevelType w:val="multilevel"/>
    <w:tmpl w:val="CAE2E33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1C05B07"/>
    <w:multiLevelType w:val="multilevel"/>
    <w:tmpl w:val="C80E6F7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6801092"/>
    <w:multiLevelType w:val="hybridMultilevel"/>
    <w:tmpl w:val="A9F226A6"/>
    <w:lvl w:ilvl="0" w:tplc="0E32FBD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1"/>
  </w:num>
  <w:num w:numId="5">
    <w:abstractNumId w:val="7"/>
  </w:num>
  <w:num w:numId="6">
    <w:abstractNumId w:val="13"/>
  </w:num>
  <w:num w:numId="7">
    <w:abstractNumId w:val="8"/>
  </w:num>
  <w:num w:numId="8">
    <w:abstractNumId w:val="2"/>
  </w:num>
  <w:num w:numId="9">
    <w:abstractNumId w:val="11"/>
  </w:num>
  <w:num w:numId="10">
    <w:abstractNumId w:val="14"/>
  </w:num>
  <w:num w:numId="11">
    <w:abstractNumId w:val="10"/>
  </w:num>
  <w:num w:numId="12">
    <w:abstractNumId w:val="6"/>
  </w:num>
  <w:num w:numId="13">
    <w:abstractNumId w:val="15"/>
  </w:num>
  <w:num w:numId="14">
    <w:abstractNumId w:val="3"/>
  </w:num>
  <w:num w:numId="15">
    <w:abstractNumId w:val="9"/>
  </w:num>
  <w:num w:numId="16">
    <w:abstractNumId w:val="1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numFmt w:val="upperRoman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B85"/>
    <w:rsid w:val="00117518"/>
    <w:rsid w:val="00260AA2"/>
    <w:rsid w:val="0031747F"/>
    <w:rsid w:val="00390B26"/>
    <w:rsid w:val="00561B39"/>
    <w:rsid w:val="005B032C"/>
    <w:rsid w:val="00620713"/>
    <w:rsid w:val="00653D1B"/>
    <w:rsid w:val="00912B85"/>
    <w:rsid w:val="009E5643"/>
    <w:rsid w:val="00B0315C"/>
    <w:rsid w:val="00FE3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FBF40D-4353-43B8-ADA2-08E889216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315C"/>
    <w:pPr>
      <w:widowControl w:val="0"/>
      <w:spacing w:after="0" w:line="240" w:lineRule="auto"/>
    </w:pPr>
    <w:rPr>
      <w:rFonts w:ascii="Times New Roman" w:eastAsia="Arial Unicode MS" w:hAnsi="Times New Roman" w:cs="Times New Roman"/>
      <w:color w:val="000000"/>
      <w:sz w:val="24"/>
      <w:szCs w:val="24"/>
      <w:lang w:eastAsia="ru-RU" w:bidi="ru-RU"/>
    </w:rPr>
  </w:style>
  <w:style w:type="paragraph" w:styleId="a4">
    <w:name w:val="List Paragraph"/>
    <w:basedOn w:val="a"/>
    <w:uiPriority w:val="34"/>
    <w:qFormat/>
    <w:rsid w:val="00B0315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15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260">
          <w:marLeft w:val="720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67600">
          <w:marLeft w:val="720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1356">
          <w:marLeft w:val="720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868">
          <w:marLeft w:val="720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8.jpeg"/><Relationship Id="rId26" Type="http://schemas.openxmlformats.org/officeDocument/2006/relationships/header" Target="header5.xml"/><Relationship Id="rId39" Type="http://schemas.openxmlformats.org/officeDocument/2006/relationships/footer" Target="footer8.xm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34" Type="http://schemas.openxmlformats.org/officeDocument/2006/relationships/footer" Target="footer6.xml"/><Relationship Id="rId42" Type="http://schemas.openxmlformats.org/officeDocument/2006/relationships/hyperlink" Target="https://www.msdmanuals.com/ru/" TargetMode="External"/><Relationship Id="rId47" Type="http://schemas.openxmlformats.org/officeDocument/2006/relationships/header" Target="header11.xml"/><Relationship Id="rId50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2.xml"/><Relationship Id="rId25" Type="http://schemas.openxmlformats.org/officeDocument/2006/relationships/footer" Target="footer4.xml"/><Relationship Id="rId33" Type="http://schemas.openxmlformats.org/officeDocument/2006/relationships/header" Target="header7.xml"/><Relationship Id="rId38" Type="http://schemas.openxmlformats.org/officeDocument/2006/relationships/header" Target="header9.xml"/><Relationship Id="rId46" Type="http://schemas.openxmlformats.org/officeDocument/2006/relationships/header" Target="header10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image" Target="media/image10.jpeg"/><Relationship Id="rId29" Type="http://schemas.openxmlformats.org/officeDocument/2006/relationships/image" Target="media/image13.jpeg"/><Relationship Id="rId41" Type="http://schemas.openxmlformats.org/officeDocument/2006/relationships/hyperlink" Target="https://www.msdmanuals.com/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3.xml"/><Relationship Id="rId32" Type="http://schemas.openxmlformats.org/officeDocument/2006/relationships/header" Target="header6.xml"/><Relationship Id="rId37" Type="http://schemas.openxmlformats.org/officeDocument/2006/relationships/header" Target="header8.xml"/><Relationship Id="rId40" Type="http://schemas.openxmlformats.org/officeDocument/2006/relationships/footer" Target="footer9.xml"/><Relationship Id="rId45" Type="http://schemas.openxmlformats.org/officeDocument/2006/relationships/hyperlink" Target="https://www.msdmanuals.com/ru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23" Type="http://schemas.openxmlformats.org/officeDocument/2006/relationships/header" Target="header4.xml"/><Relationship Id="rId28" Type="http://schemas.openxmlformats.org/officeDocument/2006/relationships/image" Target="media/image12.png"/><Relationship Id="rId36" Type="http://schemas.openxmlformats.org/officeDocument/2006/relationships/image" Target="media/image16.jpeg"/><Relationship Id="rId49" Type="http://schemas.openxmlformats.org/officeDocument/2006/relationships/footer" Target="footer11.xml"/><Relationship Id="rId10" Type="http://schemas.openxmlformats.org/officeDocument/2006/relationships/image" Target="media/image4.jpeg"/><Relationship Id="rId19" Type="http://schemas.openxmlformats.org/officeDocument/2006/relationships/image" Target="media/image9.jpeg"/><Relationship Id="rId31" Type="http://schemas.openxmlformats.org/officeDocument/2006/relationships/image" Target="media/image15.jpeg"/><Relationship Id="rId44" Type="http://schemas.openxmlformats.org/officeDocument/2006/relationships/hyperlink" Target="https://www.msdmanuals.com/ru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Relationship Id="rId22" Type="http://schemas.openxmlformats.org/officeDocument/2006/relationships/header" Target="header3.xml"/><Relationship Id="rId27" Type="http://schemas.openxmlformats.org/officeDocument/2006/relationships/footer" Target="footer5.xml"/><Relationship Id="rId30" Type="http://schemas.openxmlformats.org/officeDocument/2006/relationships/image" Target="media/image14.jpeg"/><Relationship Id="rId35" Type="http://schemas.openxmlformats.org/officeDocument/2006/relationships/footer" Target="footer7.xml"/><Relationship Id="rId43" Type="http://schemas.openxmlformats.org/officeDocument/2006/relationships/hyperlink" Target="https://www.msdmanuals.com/ru/" TargetMode="External"/><Relationship Id="rId48" Type="http://schemas.openxmlformats.org/officeDocument/2006/relationships/footer" Target="footer10.xml"/><Relationship Id="rId8" Type="http://schemas.openxmlformats.org/officeDocument/2006/relationships/image" Target="media/image2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39</Pages>
  <Words>11923</Words>
  <Characters>67963</Characters>
  <Application>Microsoft Office Word</Application>
  <DocSecurity>0</DocSecurity>
  <Lines>566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dcterms:created xsi:type="dcterms:W3CDTF">2021-05-23T10:58:00Z</dcterms:created>
  <dcterms:modified xsi:type="dcterms:W3CDTF">2021-05-31T10:45:00Z</dcterms:modified>
</cp:coreProperties>
</file>