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7E0A" w:rsidRPr="00217E0A" w:rsidRDefault="00217E0A" w:rsidP="00217E0A">
      <w:pPr>
        <w:widowControl/>
        <w:rPr>
          <w:rFonts w:ascii="Arial" w:eastAsiaTheme="minorHAnsi" w:hAnsi="Arial" w:cs="Arial"/>
          <w:b/>
          <w:bCs/>
          <w:color w:val="auto"/>
          <w:sz w:val="28"/>
          <w:szCs w:val="28"/>
          <w:lang w:eastAsia="en-US"/>
        </w:rPr>
      </w:pPr>
    </w:p>
    <w:p w:rsidR="00217E0A" w:rsidRPr="00217E0A" w:rsidRDefault="00217E0A" w:rsidP="00217E0A">
      <w:pPr>
        <w:widowControl/>
        <w:jc w:val="both"/>
        <w:rPr>
          <w:rFonts w:ascii="Arial" w:eastAsiaTheme="minorHAnsi" w:hAnsi="Arial" w:cs="Arial"/>
          <w:b/>
          <w:color w:val="auto"/>
          <w:sz w:val="28"/>
          <w:szCs w:val="28"/>
          <w:lang w:val="en-US" w:eastAsia="en-US" w:bidi="ar-SA"/>
        </w:rPr>
      </w:pPr>
      <w:r w:rsidRPr="00217E0A">
        <w:rPr>
          <w:rFonts w:ascii="Arial" w:eastAsiaTheme="minorHAnsi" w:hAnsi="Arial" w:cs="Arial"/>
          <w:noProof/>
          <w:color w:val="auto"/>
          <w:sz w:val="28"/>
          <w:szCs w:val="28"/>
          <w:lang w:bidi="ar-SA"/>
        </w:rPr>
        <mc:AlternateContent>
          <mc:Choice Requires="wps">
            <w:drawing>
              <wp:anchor distT="0" distB="0" distL="114300" distR="114300" simplePos="0" relativeHeight="251676672" behindDoc="0" locked="0" layoutInCell="1" allowOverlap="1" wp14:anchorId="7D20CC6B" wp14:editId="6E4F1915">
                <wp:simplePos x="0" y="0"/>
                <wp:positionH relativeFrom="column">
                  <wp:posOffset>3697605</wp:posOffset>
                </wp:positionH>
                <wp:positionV relativeFrom="paragraph">
                  <wp:posOffset>-34290</wp:posOffset>
                </wp:positionV>
                <wp:extent cx="2324100" cy="434975"/>
                <wp:effectExtent l="0" t="0" r="0" b="0"/>
                <wp:wrapNone/>
                <wp:docPr id="2" name="Заголовок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2324100" cy="434975"/>
                        </a:xfrm>
                        <a:prstGeom prst="rect">
                          <a:avLst/>
                        </a:prstGeom>
                      </wps:spPr>
                      <wps:txbx>
                        <w:txbxContent>
                          <w:p w:rsidR="00217E0A" w:rsidRPr="006B798B" w:rsidRDefault="00217E0A" w:rsidP="00217E0A">
                            <w:pPr>
                              <w:pStyle w:val="aa"/>
                              <w:spacing w:after="240" w:line="216" w:lineRule="auto"/>
                              <w:jc w:val="center"/>
                              <w:rPr>
                                <w:sz w:val="2"/>
                              </w:rPr>
                            </w:pPr>
                            <w:r w:rsidRPr="006B798B">
                              <w:rPr>
                                <w:rFonts w:ascii="Arial" w:eastAsia="+mj-ea" w:hAnsi="Arial" w:cs="Arial"/>
                                <w:b/>
                                <w:bCs/>
                                <w:kern w:val="24"/>
                                <w:sz w:val="18"/>
                                <w:szCs w:val="56"/>
                              </w:rPr>
                              <w:t>Андижанский государственный медицинский институт</w:t>
                            </w:r>
                          </w:p>
                        </w:txbxContent>
                      </wps:txbx>
                      <wps:bodyPr vert="horz" wrap="square" lIns="91440" tIns="45720" rIns="91440" bIns="45720" numCol="1" rtlCol="0"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20CC6B" id="Заголовок 3" o:spid="_x0000_s1026" style="position:absolute;left:0;text-align:left;margin-left:291.15pt;margin-top:-2.7pt;width:183pt;height:34.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b08DAIAAOIDAAAOAAAAZHJzL2Uyb0RvYy54bWysU8GO0zAQvSPxD5bvNE2aZdmo6QrtihVS&#10;WVbqIs5Tx2kiEo+x3SblR/gNBDdW2m/oJzF201KWG+IQy+MZP8978zK97NuGbaSxNaqcx6MxZ1IJ&#10;LGq1yvmH+zcvXnFmHagCGlQy51tp+eXs+bNppzOZYIVNIQ0jEGWzTue8ck5nUWRFJVuwI9RSUbJE&#10;04Kj0KyiwkBH6G0TJePxy6hDU2iDQlpLp9f7JJ8F/LKUwr0vSysda3JOvbmwmrAu/RrNppCtDOiq&#10;FkMb8A9dtFArevQIdQ0O2NrUf0G1tTBosXQjgW2EZVkLGTgQm3j8hM2iAi0DFxLH6qNM9v/BitvN&#10;nWF1kfOEMwUtjWj3dfdt92P3uHug7zt9P9nE69Rpm1H5Qt8Zz9TqOYpPlim8MTS42JdEf9T4wFI1&#10;W3bvsCBkWDsMKvWlaT0G8Wd9GMb2OAzZOyboMJkkaTymmQnKpZP04vwsPAHZ4bY21t1IbJnf5NzQ&#10;sAM6bObW+W4gO5QMrflu9kRcv+wHTkssttQkmZhAKjRfOOvIEDm3n9dgJGfNW0WKX8Rp6h0UgvTs&#10;PKHAnGaWpxm1bq+QPBdTkWvClupBCXog5+6wvXJ7L5IZNLi5Wmjh73htfOv3/UcweuDnSJlbPHgC&#10;sic097X+psLXJHRZBw38EPYMBw3ISEGawfTeqadxqPr9a85+AQAA//8DAFBLAwQUAAYACAAAACEA&#10;58FHmt8AAAAJAQAADwAAAGRycy9kb3ducmV2LnhtbEyPwU7DMAyG70i8Q2Qkblu6dRul1J0mEDdA&#10;2hjimjahqdY4VZNu5e0xJzja/vT7+4vt5DpxNkNoPSEs5gkIQ7XXLTUIx/fnWQYiREVadZ4MwrcJ&#10;sC2vrwqVa3+hvTkfYiM4hEKuEGyMfS5lqK1xKsx9b4hvX35wKvI4NFIP6sLhrpPLJNlIp1riD1b1&#10;5tGa+nQYHcJd9XQc0/Ay6iTs3j70sD99vlrE25tp9wAimin+wfCrz+pQslPlR9JBdAjrbJkyijBb&#10;r0AwcL/KeFEhbNIFyLKQ/xuUPwAAAP//AwBQSwECLQAUAAYACAAAACEAtoM4kv4AAADhAQAAEwAA&#10;AAAAAAAAAAAAAAAAAAAAW0NvbnRlbnRfVHlwZXNdLnhtbFBLAQItABQABgAIAAAAIQA4/SH/1gAA&#10;AJQBAAALAAAAAAAAAAAAAAAAAC8BAABfcmVscy8ucmVsc1BLAQItABQABgAIAAAAIQB2eb08DAIA&#10;AOIDAAAOAAAAAAAAAAAAAAAAAC4CAABkcnMvZTJvRG9jLnhtbFBLAQItABQABgAIAAAAIQDnwUea&#10;3wAAAAkBAAAPAAAAAAAAAAAAAAAAAGYEAABkcnMvZG93bnJldi54bWxQSwUGAAAAAAQABADzAAAA&#10;cgUAAAAA&#10;" filled="f" stroked="f">
                <v:path arrowok="t"/>
                <o:lock v:ext="edit" grouping="t"/>
                <v:textbox>
                  <w:txbxContent>
                    <w:p w:rsidR="00217E0A" w:rsidRPr="006B798B" w:rsidRDefault="00217E0A" w:rsidP="00217E0A">
                      <w:pPr>
                        <w:pStyle w:val="aa"/>
                        <w:spacing w:after="240" w:line="216" w:lineRule="auto"/>
                        <w:jc w:val="center"/>
                        <w:rPr>
                          <w:sz w:val="2"/>
                        </w:rPr>
                      </w:pPr>
                      <w:r w:rsidRPr="006B798B">
                        <w:rPr>
                          <w:rFonts w:ascii="Arial" w:eastAsia="+mj-ea" w:hAnsi="Arial" w:cs="Arial"/>
                          <w:b/>
                          <w:bCs/>
                          <w:kern w:val="24"/>
                          <w:sz w:val="18"/>
                          <w:szCs w:val="56"/>
                        </w:rPr>
                        <w:t>Андижанский государственный медицинский институт</w:t>
                      </w:r>
                    </w:p>
                  </w:txbxContent>
                </v:textbox>
              </v:rect>
            </w:pict>
          </mc:Fallback>
        </mc:AlternateContent>
      </w:r>
      <w:r w:rsidRPr="00217E0A">
        <w:rPr>
          <w:rFonts w:ascii="Arial" w:eastAsiaTheme="minorHAnsi" w:hAnsi="Arial" w:cs="Arial"/>
          <w:noProof/>
          <w:color w:val="auto"/>
          <w:sz w:val="28"/>
          <w:szCs w:val="28"/>
          <w:lang w:bidi="ar-SA"/>
        </w:rPr>
        <w:drawing>
          <wp:anchor distT="0" distB="0" distL="114300" distR="114300" simplePos="0" relativeHeight="251677696" behindDoc="0" locked="0" layoutInCell="1" allowOverlap="1" wp14:anchorId="6B823057" wp14:editId="7C85613A">
            <wp:simplePos x="0" y="0"/>
            <wp:positionH relativeFrom="column">
              <wp:posOffset>2853055</wp:posOffset>
            </wp:positionH>
            <wp:positionV relativeFrom="paragraph">
              <wp:posOffset>-194310</wp:posOffset>
            </wp:positionV>
            <wp:extent cx="798576" cy="665480"/>
            <wp:effectExtent l="0" t="0" r="1905" b="1270"/>
            <wp:wrapNone/>
            <wp:docPr id="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7"/>
                    <a:stretch>
                      <a:fillRect/>
                    </a:stretch>
                  </pic:blipFill>
                  <pic:spPr>
                    <a:xfrm>
                      <a:off x="0" y="0"/>
                      <a:ext cx="798576" cy="665480"/>
                    </a:xfrm>
                    <a:prstGeom prst="rect">
                      <a:avLst/>
                    </a:prstGeom>
                  </pic:spPr>
                </pic:pic>
              </a:graphicData>
            </a:graphic>
            <wp14:sizeRelH relativeFrom="margin">
              <wp14:pctWidth>0</wp14:pctWidth>
            </wp14:sizeRelH>
            <wp14:sizeRelV relativeFrom="margin">
              <wp14:pctHeight>0</wp14:pctHeight>
            </wp14:sizeRelV>
          </wp:anchor>
        </w:drawing>
      </w:r>
    </w:p>
    <w:p w:rsidR="00217E0A" w:rsidRPr="00217E0A" w:rsidRDefault="00217E0A" w:rsidP="00217E0A">
      <w:pPr>
        <w:widowControl/>
        <w:jc w:val="both"/>
        <w:rPr>
          <w:rFonts w:ascii="Arial" w:eastAsiaTheme="minorHAnsi" w:hAnsi="Arial" w:cs="Arial"/>
          <w:b/>
          <w:color w:val="auto"/>
          <w:sz w:val="28"/>
          <w:szCs w:val="28"/>
          <w:lang w:val="en-US" w:eastAsia="en-US" w:bidi="ar-SA"/>
        </w:rPr>
      </w:pPr>
    </w:p>
    <w:p w:rsidR="00217E0A" w:rsidRPr="00217E0A" w:rsidRDefault="00217E0A" w:rsidP="00217E0A">
      <w:pPr>
        <w:widowControl/>
        <w:rPr>
          <w:rFonts w:ascii="Arial" w:eastAsiaTheme="minorHAnsi" w:hAnsi="Arial" w:cs="Arial"/>
          <w:b/>
          <w:color w:val="00B050"/>
          <w:sz w:val="28"/>
          <w:szCs w:val="28"/>
          <w:lang w:val="en-US" w:eastAsia="en-US" w:bidi="ar-SA"/>
        </w:rPr>
      </w:pPr>
    </w:p>
    <w:p w:rsidR="00217E0A" w:rsidRPr="00217E0A" w:rsidRDefault="00217E0A" w:rsidP="00217E0A">
      <w:pPr>
        <w:widowControl/>
        <w:jc w:val="center"/>
        <w:rPr>
          <w:rFonts w:ascii="Arial" w:eastAsiaTheme="minorHAnsi" w:hAnsi="Arial" w:cs="Arial"/>
          <w:b/>
          <w:color w:val="00B050"/>
          <w:sz w:val="28"/>
          <w:szCs w:val="28"/>
          <w:lang w:val="en-US" w:eastAsia="en-US" w:bidi="ar-SA"/>
        </w:rPr>
      </w:pPr>
    </w:p>
    <w:p w:rsidR="00217E0A" w:rsidRPr="00217E0A" w:rsidRDefault="00217E0A" w:rsidP="00217E0A">
      <w:pPr>
        <w:widowControl/>
        <w:jc w:val="center"/>
        <w:rPr>
          <w:rFonts w:ascii="Arial" w:eastAsiaTheme="minorHAnsi" w:hAnsi="Arial" w:cs="Arial"/>
          <w:b/>
          <w:color w:val="00B050"/>
          <w:sz w:val="28"/>
          <w:szCs w:val="28"/>
          <w:lang w:val="en-US" w:eastAsia="en-US" w:bidi="ar-SA"/>
        </w:rPr>
      </w:pPr>
      <w:r w:rsidRPr="00217E0A">
        <w:rPr>
          <w:rFonts w:ascii="Arial" w:eastAsiaTheme="minorHAnsi" w:hAnsi="Arial" w:cs="Arial"/>
          <w:b/>
          <w:color w:val="00B050"/>
          <w:sz w:val="28"/>
          <w:szCs w:val="28"/>
          <w:lang w:val="en-US" w:eastAsia="en-US" w:bidi="ar-SA"/>
        </w:rPr>
        <w:t xml:space="preserve">Lecture </w:t>
      </w:r>
      <w:r w:rsidR="003E5C2B" w:rsidRPr="003E5C2B">
        <w:rPr>
          <w:rFonts w:ascii="Arial" w:eastAsiaTheme="minorHAnsi" w:hAnsi="Arial" w:cs="Arial"/>
          <w:b/>
          <w:color w:val="00B050"/>
          <w:sz w:val="28"/>
          <w:szCs w:val="28"/>
          <w:lang w:val="en-US" w:eastAsia="en-US" w:bidi="ar-SA"/>
        </w:rPr>
        <w:t>12</w:t>
      </w:r>
      <w:r w:rsidRPr="00217E0A">
        <w:rPr>
          <w:rFonts w:ascii="Arial" w:eastAsiaTheme="minorHAnsi" w:hAnsi="Arial" w:cs="Arial"/>
          <w:b/>
          <w:color w:val="00B050"/>
          <w:sz w:val="28"/>
          <w:szCs w:val="28"/>
          <w:lang w:val="en-US" w:eastAsia="en-US" w:bidi="ar-SA"/>
        </w:rPr>
        <w:t>: Tumors of the endocrine part of the pancreas and gastrointestinal tract.</w:t>
      </w:r>
      <w:r w:rsidRPr="00217E0A">
        <w:rPr>
          <w:rFonts w:ascii="Arial" w:eastAsiaTheme="minorHAnsi" w:hAnsi="Arial" w:cs="Arial"/>
          <w:b/>
          <w:color w:val="00B050"/>
          <w:sz w:val="28"/>
          <w:szCs w:val="28"/>
          <w:lang w:val="en-US" w:eastAsia="en-US" w:bidi="ar-SA"/>
        </w:rPr>
        <w:br/>
      </w:r>
    </w:p>
    <w:p w:rsidR="00217E0A" w:rsidRPr="00217E0A" w:rsidRDefault="00217E0A" w:rsidP="00217E0A">
      <w:pPr>
        <w:widowControl/>
        <w:jc w:val="center"/>
        <w:rPr>
          <w:rFonts w:ascii="Arial" w:eastAsiaTheme="minorHAnsi" w:hAnsi="Arial" w:cs="Arial"/>
          <w:b/>
          <w:bCs/>
          <w:color w:val="00B050"/>
          <w:sz w:val="28"/>
          <w:szCs w:val="28"/>
          <w:lang w:eastAsia="en-US" w:bidi="ar-SA"/>
        </w:rPr>
      </w:pPr>
      <w:r w:rsidRPr="00217E0A">
        <w:rPr>
          <w:rFonts w:ascii="Arial" w:eastAsiaTheme="minorHAnsi" w:hAnsi="Arial" w:cs="Arial"/>
          <w:b/>
          <w:bCs/>
          <w:color w:val="00B050"/>
          <w:sz w:val="28"/>
          <w:szCs w:val="28"/>
          <w:lang w:eastAsia="en-US" w:bidi="ar-SA"/>
        </w:rPr>
        <w:t>Тема</w:t>
      </w:r>
      <w:r>
        <w:rPr>
          <w:rFonts w:ascii="Arial" w:eastAsiaTheme="minorHAnsi" w:hAnsi="Arial" w:cs="Arial"/>
          <w:b/>
          <w:bCs/>
          <w:color w:val="00B050"/>
          <w:sz w:val="28"/>
          <w:szCs w:val="28"/>
          <w:lang w:eastAsia="en-US" w:bidi="ar-SA"/>
        </w:rPr>
        <w:t>-12</w:t>
      </w:r>
      <w:r w:rsidRPr="00217E0A">
        <w:rPr>
          <w:rFonts w:ascii="Arial" w:eastAsiaTheme="minorHAnsi" w:hAnsi="Arial" w:cs="Arial"/>
          <w:b/>
          <w:bCs/>
          <w:color w:val="00B050"/>
          <w:sz w:val="28"/>
          <w:szCs w:val="28"/>
          <w:lang w:eastAsia="en-US" w:bidi="ar-SA"/>
        </w:rPr>
        <w:t xml:space="preserve">: </w:t>
      </w:r>
      <w:r>
        <w:rPr>
          <w:rFonts w:ascii="Arial" w:eastAsiaTheme="minorHAnsi" w:hAnsi="Arial" w:cs="Arial"/>
          <w:b/>
          <w:bCs/>
          <w:color w:val="00B050"/>
          <w:sz w:val="28"/>
          <w:szCs w:val="28"/>
          <w:lang w:val="uz-Cyrl-UZ" w:eastAsia="en-US"/>
        </w:rPr>
        <w:t>О</w:t>
      </w:r>
      <w:r w:rsidRPr="00217E0A">
        <w:rPr>
          <w:rFonts w:ascii="Arial" w:eastAsiaTheme="minorHAnsi" w:hAnsi="Arial" w:cs="Arial"/>
          <w:b/>
          <w:bCs/>
          <w:color w:val="00B050"/>
          <w:sz w:val="28"/>
          <w:szCs w:val="28"/>
          <w:lang w:val="uz-Cyrl-UZ" w:eastAsia="en-US"/>
        </w:rPr>
        <w:t>пухоли эндокринной части поджелудочной железы и желудочно-кишечного тракта.</w:t>
      </w:r>
    </w:p>
    <w:p w:rsidR="00217E0A" w:rsidRPr="00217E0A" w:rsidRDefault="00217E0A" w:rsidP="00217E0A">
      <w:pPr>
        <w:widowControl/>
        <w:jc w:val="center"/>
        <w:rPr>
          <w:rFonts w:ascii="Arial" w:eastAsiaTheme="minorHAnsi" w:hAnsi="Arial" w:cs="Arial"/>
          <w:b/>
          <w:bCs/>
          <w:color w:val="00B050"/>
          <w:sz w:val="28"/>
          <w:szCs w:val="28"/>
          <w:lang w:eastAsia="en-US" w:bidi="ar-SA"/>
        </w:rPr>
      </w:pPr>
    </w:p>
    <w:p w:rsidR="00217E0A" w:rsidRPr="00217E0A" w:rsidRDefault="00217E0A" w:rsidP="00217E0A">
      <w:pPr>
        <w:widowControl/>
        <w:jc w:val="center"/>
        <w:rPr>
          <w:rFonts w:ascii="Arial" w:eastAsiaTheme="minorHAnsi" w:hAnsi="Arial" w:cs="Arial"/>
          <w:b/>
          <w:bCs/>
          <w:color w:val="00B050"/>
          <w:sz w:val="28"/>
          <w:szCs w:val="28"/>
          <w:lang w:eastAsia="en-US" w:bidi="ar-SA"/>
        </w:rPr>
      </w:pPr>
      <w:r w:rsidRPr="00217E0A">
        <w:rPr>
          <w:rFonts w:ascii="Arial" w:eastAsiaTheme="minorHAnsi" w:hAnsi="Arial" w:cs="Arial"/>
          <w:b/>
          <w:bCs/>
          <w:color w:val="00B050"/>
          <w:sz w:val="28"/>
          <w:szCs w:val="28"/>
          <w:lang w:eastAsia="en-US" w:bidi="ar-SA"/>
        </w:rPr>
        <w:t>План лекции:</w:t>
      </w:r>
    </w:p>
    <w:p w:rsidR="00217E0A" w:rsidRPr="00217E0A" w:rsidRDefault="00217E0A" w:rsidP="00217E0A">
      <w:pPr>
        <w:widowControl/>
        <w:jc w:val="center"/>
        <w:rPr>
          <w:rFonts w:ascii="Arial" w:eastAsiaTheme="minorHAnsi" w:hAnsi="Arial" w:cs="Arial"/>
          <w:b/>
          <w:bCs/>
          <w:color w:val="00B050"/>
          <w:sz w:val="28"/>
          <w:szCs w:val="28"/>
          <w:lang w:eastAsia="en-US" w:bidi="ar-SA"/>
        </w:rPr>
      </w:pPr>
    </w:p>
    <w:p w:rsidR="00217E0A" w:rsidRPr="00217E0A" w:rsidRDefault="00217E0A" w:rsidP="00217E0A">
      <w:pPr>
        <w:widowControl/>
        <w:numPr>
          <w:ilvl w:val="0"/>
          <w:numId w:val="16"/>
        </w:numPr>
        <w:spacing w:after="160" w:line="259" w:lineRule="auto"/>
        <w:contextualSpacing/>
        <w:rPr>
          <w:rFonts w:ascii="Arial" w:eastAsia="+mn-ea" w:hAnsi="Arial" w:cs="Arial"/>
          <w:color w:val="002060"/>
          <w:kern w:val="24"/>
          <w:sz w:val="28"/>
          <w:szCs w:val="28"/>
          <w:lang w:val="uz-Cyrl-UZ" w:bidi="ar-SA"/>
        </w:rPr>
      </w:pPr>
      <w:r w:rsidRPr="00217E0A">
        <w:rPr>
          <w:rFonts w:ascii="Arial" w:eastAsia="+mn-ea" w:hAnsi="Arial" w:cs="Arial"/>
          <w:color w:val="002060"/>
          <w:kern w:val="24"/>
          <w:sz w:val="28"/>
          <w:szCs w:val="28"/>
          <w:lang w:val="uz-Cyrl-UZ" w:bidi="ar-SA"/>
        </w:rPr>
        <w:t>Что такое сахарный диабет</w:t>
      </w:r>
    </w:p>
    <w:p w:rsidR="00217E0A" w:rsidRPr="00217E0A" w:rsidRDefault="00217E0A" w:rsidP="00217E0A">
      <w:pPr>
        <w:widowControl/>
        <w:numPr>
          <w:ilvl w:val="0"/>
          <w:numId w:val="16"/>
        </w:numPr>
        <w:spacing w:after="160" w:line="259" w:lineRule="auto"/>
        <w:contextualSpacing/>
        <w:rPr>
          <w:rFonts w:ascii="Arial" w:eastAsia="+mn-ea" w:hAnsi="Arial" w:cs="Arial"/>
          <w:color w:val="002060"/>
          <w:kern w:val="24"/>
          <w:sz w:val="28"/>
          <w:szCs w:val="28"/>
          <w:lang w:val="uz-Cyrl-UZ" w:bidi="ar-SA"/>
        </w:rPr>
      </w:pPr>
      <w:r w:rsidRPr="00217E0A">
        <w:rPr>
          <w:rFonts w:ascii="Arial" w:eastAsia="+mn-ea" w:hAnsi="Arial" w:cs="Arial"/>
          <w:color w:val="002060"/>
          <w:kern w:val="24"/>
          <w:sz w:val="28"/>
          <w:szCs w:val="28"/>
          <w:lang w:val="uz-Cyrl-UZ" w:bidi="ar-SA"/>
        </w:rPr>
        <w:t>Как развивается сахарный диабет</w:t>
      </w:r>
    </w:p>
    <w:p w:rsidR="00217E0A" w:rsidRPr="00217E0A" w:rsidRDefault="00217E0A" w:rsidP="00217E0A">
      <w:pPr>
        <w:widowControl/>
        <w:numPr>
          <w:ilvl w:val="0"/>
          <w:numId w:val="16"/>
        </w:numPr>
        <w:spacing w:after="160" w:line="259" w:lineRule="auto"/>
        <w:contextualSpacing/>
        <w:rPr>
          <w:rFonts w:ascii="Arial" w:eastAsia="+mn-ea" w:hAnsi="Arial" w:cs="Arial"/>
          <w:color w:val="002060"/>
          <w:kern w:val="24"/>
          <w:sz w:val="28"/>
          <w:szCs w:val="28"/>
          <w:lang w:val="uz-Cyrl-UZ" w:bidi="ar-SA"/>
        </w:rPr>
      </w:pPr>
      <w:r w:rsidRPr="00217E0A">
        <w:rPr>
          <w:rFonts w:ascii="Arial" w:eastAsia="+mn-ea" w:hAnsi="Arial" w:cs="Arial"/>
          <w:color w:val="002060"/>
          <w:kern w:val="24"/>
          <w:sz w:val="28"/>
          <w:szCs w:val="28"/>
          <w:lang w:val="uz-Cyrl-UZ" w:bidi="ar-SA"/>
        </w:rPr>
        <w:t xml:space="preserve">Причина сахарного диабета </w:t>
      </w:r>
    </w:p>
    <w:p w:rsidR="00217E0A" w:rsidRPr="00217E0A" w:rsidRDefault="00217E0A" w:rsidP="00217E0A">
      <w:pPr>
        <w:widowControl/>
        <w:numPr>
          <w:ilvl w:val="0"/>
          <w:numId w:val="16"/>
        </w:numPr>
        <w:spacing w:after="160" w:line="259" w:lineRule="auto"/>
        <w:contextualSpacing/>
        <w:rPr>
          <w:rFonts w:ascii="Arial" w:eastAsia="+mn-ea" w:hAnsi="Arial" w:cs="Arial"/>
          <w:color w:val="002060"/>
          <w:kern w:val="24"/>
          <w:sz w:val="28"/>
          <w:szCs w:val="28"/>
          <w:lang w:val="uz-Cyrl-UZ" w:bidi="ar-SA"/>
        </w:rPr>
      </w:pPr>
      <w:r w:rsidRPr="00217E0A">
        <w:rPr>
          <w:rFonts w:ascii="Arial" w:eastAsia="+mn-ea" w:hAnsi="Arial" w:cs="Arial"/>
          <w:color w:val="002060"/>
          <w:kern w:val="24"/>
          <w:sz w:val="28"/>
          <w:szCs w:val="28"/>
          <w:lang w:val="uz-Cyrl-UZ" w:bidi="ar-SA"/>
        </w:rPr>
        <w:t xml:space="preserve">Классификация сахарного диабета </w:t>
      </w:r>
    </w:p>
    <w:p w:rsidR="00217E0A" w:rsidRPr="00217E0A" w:rsidRDefault="00217E0A" w:rsidP="00217E0A">
      <w:pPr>
        <w:widowControl/>
        <w:numPr>
          <w:ilvl w:val="0"/>
          <w:numId w:val="16"/>
        </w:numPr>
        <w:spacing w:after="160" w:line="259" w:lineRule="auto"/>
        <w:contextualSpacing/>
        <w:rPr>
          <w:rFonts w:ascii="Arial" w:eastAsia="+mn-ea" w:hAnsi="Arial" w:cs="Arial"/>
          <w:color w:val="002060"/>
          <w:kern w:val="24"/>
          <w:sz w:val="28"/>
          <w:szCs w:val="28"/>
          <w:lang w:val="uz-Cyrl-UZ" w:bidi="ar-SA"/>
        </w:rPr>
      </w:pPr>
      <w:r w:rsidRPr="00217E0A">
        <w:rPr>
          <w:rFonts w:ascii="Arial" w:eastAsia="+mn-ea" w:hAnsi="Arial" w:cs="Arial"/>
          <w:color w:val="002060"/>
          <w:kern w:val="24"/>
          <w:sz w:val="28"/>
          <w:szCs w:val="28"/>
          <w:lang w:val="uz-Cyrl-UZ" w:bidi="ar-SA"/>
        </w:rPr>
        <w:t>Клинические признаки сахарного диабета</w:t>
      </w:r>
    </w:p>
    <w:p w:rsidR="00217E0A" w:rsidRPr="00217E0A" w:rsidRDefault="00217E0A" w:rsidP="00217E0A">
      <w:pPr>
        <w:widowControl/>
        <w:numPr>
          <w:ilvl w:val="0"/>
          <w:numId w:val="16"/>
        </w:numPr>
        <w:spacing w:after="160" w:line="259" w:lineRule="auto"/>
        <w:contextualSpacing/>
        <w:rPr>
          <w:rFonts w:ascii="Arial" w:eastAsia="+mn-ea" w:hAnsi="Arial" w:cs="Arial"/>
          <w:color w:val="002060"/>
          <w:kern w:val="24"/>
          <w:sz w:val="28"/>
          <w:szCs w:val="28"/>
          <w:lang w:val="uz-Cyrl-UZ" w:bidi="ar-SA"/>
        </w:rPr>
      </w:pPr>
      <w:r w:rsidRPr="00217E0A">
        <w:rPr>
          <w:rFonts w:ascii="Arial" w:eastAsia="+mn-ea" w:hAnsi="Arial" w:cs="Arial"/>
          <w:color w:val="002060"/>
          <w:kern w:val="24"/>
          <w:sz w:val="28"/>
          <w:szCs w:val="28"/>
          <w:lang w:val="uz-Cyrl-UZ" w:bidi="ar-SA"/>
        </w:rPr>
        <w:t>Диагностика сахарного дибета</w:t>
      </w:r>
    </w:p>
    <w:p w:rsidR="00F66E52" w:rsidRPr="004B0B65" w:rsidRDefault="00F66E52" w:rsidP="00DE1F06">
      <w:pPr>
        <w:pStyle w:val="1"/>
        <w:ind w:left="180" w:firstLine="0"/>
        <w:rPr>
          <w:rFonts w:ascii="Arial" w:hAnsi="Arial" w:cs="Arial"/>
          <w:sz w:val="24"/>
          <w:szCs w:val="24"/>
        </w:rPr>
      </w:pPr>
      <w:r w:rsidRPr="004B0B65">
        <w:rPr>
          <w:rFonts w:ascii="Arial" w:hAnsi="Arial" w:cs="Arial"/>
          <w:b/>
          <w:bCs/>
          <w:sz w:val="24"/>
          <w:szCs w:val="24"/>
        </w:rPr>
        <w:t xml:space="preserve"> </w:t>
      </w:r>
    </w:p>
    <w:p w:rsidR="00F66E52" w:rsidRPr="00217E0A" w:rsidRDefault="00F66E52" w:rsidP="00217E0A">
      <w:pPr>
        <w:pStyle w:val="1"/>
        <w:tabs>
          <w:tab w:val="left" w:pos="678"/>
        </w:tabs>
        <w:ind w:firstLine="0"/>
        <w:jc w:val="center"/>
        <w:rPr>
          <w:rFonts w:ascii="Arial" w:hAnsi="Arial" w:cs="Arial"/>
          <w:color w:val="002060"/>
          <w:sz w:val="24"/>
          <w:szCs w:val="24"/>
        </w:rPr>
      </w:pPr>
      <w:r w:rsidRPr="00217E0A">
        <w:rPr>
          <w:rFonts w:ascii="Arial" w:hAnsi="Arial" w:cs="Arial"/>
          <w:b/>
          <w:bCs/>
          <w:color w:val="002060"/>
          <w:sz w:val="24"/>
          <w:szCs w:val="24"/>
        </w:rPr>
        <w:t>Анатомия и физиология эндокринной части поджелудочной железы и желудочно-кишечного тракта</w:t>
      </w:r>
    </w:p>
    <w:p w:rsidR="00F66E52" w:rsidRPr="004B0B65" w:rsidRDefault="00F66E52" w:rsidP="00DE1F06">
      <w:pPr>
        <w:pStyle w:val="1"/>
        <w:ind w:firstLine="0"/>
        <w:jc w:val="both"/>
        <w:rPr>
          <w:rFonts w:ascii="Arial" w:hAnsi="Arial" w:cs="Arial"/>
        </w:rPr>
      </w:pPr>
      <w:r w:rsidRPr="004B0B65">
        <w:rPr>
          <w:rFonts w:ascii="Arial" w:hAnsi="Arial" w:cs="Arial"/>
        </w:rPr>
        <w:t xml:space="preserve">Поджелудочная железа расположена забрюшинно, на уровне </w:t>
      </w:r>
      <w:r w:rsidRPr="004B0B65">
        <w:rPr>
          <w:rFonts w:ascii="Arial" w:hAnsi="Arial" w:cs="Arial"/>
          <w:lang w:val="en-US" w:bidi="en-US"/>
        </w:rPr>
        <w:t>L</w:t>
      </w:r>
      <w:r w:rsidRPr="004B0B65">
        <w:rPr>
          <w:rFonts w:ascii="Arial" w:hAnsi="Arial" w:cs="Arial"/>
          <w:vertAlign w:val="subscript"/>
          <w:lang w:bidi="en-US"/>
        </w:rPr>
        <w:t>(</w:t>
      </w:r>
      <w:r w:rsidRPr="004B0B65">
        <w:rPr>
          <w:rFonts w:ascii="Arial" w:hAnsi="Arial" w:cs="Arial"/>
          <w:lang w:bidi="en-US"/>
        </w:rPr>
        <w:t>—</w:t>
      </w:r>
      <w:r w:rsidRPr="004B0B65">
        <w:rPr>
          <w:rFonts w:ascii="Arial" w:hAnsi="Arial" w:cs="Arial"/>
          <w:lang w:val="en-US" w:bidi="en-US"/>
        </w:rPr>
        <w:t>L</w:t>
      </w:r>
      <w:r w:rsidRPr="004B0B65">
        <w:rPr>
          <w:rFonts w:ascii="Arial" w:hAnsi="Arial" w:cs="Arial"/>
          <w:vertAlign w:val="subscript"/>
          <w:lang w:bidi="en-US"/>
        </w:rPr>
        <w:t>(</w:t>
      </w:r>
      <w:r w:rsidRPr="004B0B65">
        <w:rPr>
          <w:rFonts w:ascii="Arial" w:hAnsi="Arial" w:cs="Arial"/>
          <w:vertAlign w:val="subscript"/>
          <w:lang w:val="en-US" w:bidi="en-US"/>
        </w:rPr>
        <w:t>iI</w:t>
      </w:r>
      <w:r w:rsidRPr="004B0B65">
        <w:rPr>
          <w:rFonts w:ascii="Arial" w:hAnsi="Arial" w:cs="Arial"/>
          <w:lang w:bidi="en-US"/>
        </w:rPr>
        <w:t xml:space="preserve">, </w:t>
      </w:r>
      <w:r w:rsidRPr="004B0B65">
        <w:rPr>
          <w:rFonts w:ascii="Arial" w:hAnsi="Arial" w:cs="Arial"/>
        </w:rPr>
        <w:t>лежит поперечно, начинаясь от двенадцатиперстной кишки до ворот селезенки и имеет размеры 10—</w:t>
      </w:r>
      <w:r w:rsidRPr="004B0B65">
        <w:rPr>
          <w:rFonts w:ascii="Arial" w:hAnsi="Arial" w:cs="Arial"/>
          <w:lang w:bidi="en-US"/>
        </w:rPr>
        <w:t>20</w:t>
      </w:r>
      <w:r w:rsidRPr="004B0B65">
        <w:rPr>
          <w:rFonts w:ascii="Arial" w:hAnsi="Arial" w:cs="Arial"/>
          <w:lang w:val="en-US" w:bidi="en-US"/>
        </w:rPr>
        <w:t>x</w:t>
      </w:r>
      <w:r w:rsidRPr="004B0B65">
        <w:rPr>
          <w:rFonts w:ascii="Arial" w:hAnsi="Arial" w:cs="Arial"/>
          <w:lang w:bidi="en-US"/>
        </w:rPr>
        <w:t>5—10</w:t>
      </w:r>
      <w:r w:rsidRPr="004B0B65">
        <w:rPr>
          <w:rFonts w:ascii="Arial" w:hAnsi="Arial" w:cs="Arial"/>
          <w:lang w:val="en-US" w:bidi="en-US"/>
        </w:rPr>
        <w:t>x</w:t>
      </w:r>
      <w:r w:rsidRPr="004B0B65">
        <w:rPr>
          <w:rFonts w:ascii="Arial" w:hAnsi="Arial" w:cs="Arial"/>
          <w:lang w:bidi="en-US"/>
        </w:rPr>
        <w:t>3—</w:t>
      </w:r>
      <w:r w:rsidRPr="004B0B65">
        <w:rPr>
          <w:rFonts w:ascii="Arial" w:hAnsi="Arial" w:cs="Arial"/>
        </w:rPr>
        <w:t>5 см и массу около 100 г. Эндокринная часть поджелудочной железы (ПЖЖ) представлена панкреатическими ост</w:t>
      </w:r>
      <w:r w:rsidRPr="004B0B65">
        <w:rPr>
          <w:rFonts w:ascii="Arial" w:hAnsi="Arial" w:cs="Arial"/>
        </w:rPr>
        <w:softHyphen/>
        <w:t>ровками Лангерганса</w:t>
      </w:r>
      <w:bookmarkStart w:id="0" w:name="_GoBack"/>
      <w:bookmarkEnd w:id="0"/>
      <w:r w:rsidRPr="004B0B65">
        <w:rPr>
          <w:rFonts w:ascii="Arial" w:hAnsi="Arial" w:cs="Arial"/>
        </w:rPr>
        <w:t>. Островки Лангерганса (общее число 1—2 млн) рассеяны во всех отделах ПЖЖ, при этом их больше в хвостовой части. Островок имеет диаметр около 100—200 мкм и состоит из 100—200 эндокринных клеток. Крово- снабжается ПЖЖ передней и задней верхними панкреатодуоденальными артериями (ветви гастродуоденальной артерии), нижней панкреатодуо</w:t>
      </w:r>
      <w:r w:rsidRPr="004B0B65">
        <w:rPr>
          <w:rFonts w:ascii="Arial" w:hAnsi="Arial" w:cs="Arial"/>
        </w:rPr>
        <w:softHyphen/>
        <w:t>денальной артерией (ветвь верхней брыжеечной артерии), а также панкреа</w:t>
      </w:r>
      <w:r w:rsidRPr="004B0B65">
        <w:rPr>
          <w:rFonts w:ascii="Arial" w:hAnsi="Arial" w:cs="Arial"/>
        </w:rPr>
        <w:softHyphen/>
        <w:t>тическими ветвями селезеночной артерии. Иннервация ПЖЖ осуществля</w:t>
      </w:r>
      <w:r w:rsidRPr="004B0B65">
        <w:rPr>
          <w:rFonts w:ascii="Arial" w:hAnsi="Arial" w:cs="Arial"/>
        </w:rPr>
        <w:softHyphen/>
        <w:t>ется блуждающими нервами и симпатическими нервами из чревного спле</w:t>
      </w:r>
      <w:r w:rsidRPr="004B0B65">
        <w:rPr>
          <w:rFonts w:ascii="Arial" w:hAnsi="Arial" w:cs="Arial"/>
        </w:rPr>
        <w:softHyphen/>
        <w:t>тения.</w:t>
      </w:r>
    </w:p>
    <w:p w:rsidR="00F66E52" w:rsidRPr="004B0B65" w:rsidRDefault="00F66E52" w:rsidP="00DE1F06">
      <w:pPr>
        <w:pStyle w:val="1"/>
        <w:ind w:firstLine="420"/>
        <w:jc w:val="both"/>
        <w:rPr>
          <w:rFonts w:ascii="Arial" w:hAnsi="Arial" w:cs="Arial"/>
        </w:rPr>
      </w:pPr>
      <w:r w:rsidRPr="004B0B65">
        <w:rPr>
          <w:rFonts w:ascii="Arial" w:hAnsi="Arial" w:cs="Arial"/>
        </w:rPr>
        <w:t>Эндокринная часть ПЖЖ функционирует в тесной физиологической связи с одиночными гормонпродуцирующими клетками желудочно-кишеч</w:t>
      </w:r>
      <w:r w:rsidRPr="004B0B65">
        <w:rPr>
          <w:rFonts w:ascii="Arial" w:hAnsi="Arial" w:cs="Arial"/>
        </w:rPr>
        <w:softHyphen/>
        <w:t>ного тракта (ЖКТ) и других органов. Такое функциональное единство по</w:t>
      </w:r>
      <w:r w:rsidRPr="004B0B65">
        <w:rPr>
          <w:rFonts w:ascii="Arial" w:hAnsi="Arial" w:cs="Arial"/>
        </w:rPr>
        <w:softHyphen/>
        <w:t>зволило объединить эндокринные клетки ПЖЖ и ЖКТ в гастроэнтеропан- креатическую эндокринную систему. Эта система является функционально ассоциированным комплексом, состоящим из эндокринного аппарата под</w:t>
      </w:r>
      <w:r w:rsidRPr="004B0B65">
        <w:rPr>
          <w:rFonts w:ascii="Arial" w:hAnsi="Arial" w:cs="Arial"/>
        </w:rPr>
        <w:softHyphen/>
        <w:t>желудочной железы и желудочно-кишечного тракта, который осуществляет координацию процессов пищеварения, клеточного метаболизма и эндоген</w:t>
      </w:r>
      <w:r w:rsidRPr="004B0B65">
        <w:rPr>
          <w:rFonts w:ascii="Arial" w:hAnsi="Arial" w:cs="Arial"/>
        </w:rPr>
        <w:softHyphen/>
        <w:t>ного синтеза его основных субстратов в соответствии с конкретными фи</w:t>
      </w:r>
      <w:r w:rsidRPr="004B0B65">
        <w:rPr>
          <w:rFonts w:ascii="Arial" w:hAnsi="Arial" w:cs="Arial"/>
        </w:rPr>
        <w:softHyphen/>
        <w:t>зиологическими потребностями.</w:t>
      </w:r>
    </w:p>
    <w:p w:rsidR="00F66E52" w:rsidRPr="004B0B65" w:rsidRDefault="00F66E52" w:rsidP="00DE1F06">
      <w:pPr>
        <w:pStyle w:val="1"/>
        <w:ind w:firstLine="420"/>
        <w:jc w:val="both"/>
        <w:rPr>
          <w:rFonts w:ascii="Arial" w:hAnsi="Arial" w:cs="Arial"/>
        </w:rPr>
      </w:pPr>
      <w:r w:rsidRPr="004B0B65">
        <w:rPr>
          <w:rFonts w:ascii="Arial" w:hAnsi="Arial" w:cs="Arial"/>
        </w:rPr>
        <w:t>По суммарной массе эндокринпродуцирующих клеток эндокринная часть поджелудочной железы и кишечные эндокриноциты являются самой крупной «эндокринной железой» человеческого организма. На основании единства эмбрионального происхождения, а также биохимических и гисто</w:t>
      </w:r>
      <w:r w:rsidRPr="004B0B65">
        <w:rPr>
          <w:rFonts w:ascii="Arial" w:hAnsi="Arial" w:cs="Arial"/>
        </w:rPr>
        <w:softHyphen/>
        <w:t xml:space="preserve">химических свойств эти клетки принято объединять в </w:t>
      </w:r>
      <w:r w:rsidRPr="004B0B65">
        <w:rPr>
          <w:rFonts w:ascii="Arial" w:hAnsi="Arial" w:cs="Arial"/>
          <w:lang w:val="en-US" w:bidi="en-US"/>
        </w:rPr>
        <w:t>APUD</w:t>
      </w:r>
      <w:r w:rsidRPr="004B0B65">
        <w:rPr>
          <w:rFonts w:ascii="Arial" w:hAnsi="Arial" w:cs="Arial"/>
          <w:lang w:bidi="en-US"/>
        </w:rPr>
        <w:t xml:space="preserve"> </w:t>
      </w:r>
      <w:r w:rsidRPr="004B0B65">
        <w:rPr>
          <w:rFonts w:ascii="Arial" w:hAnsi="Arial" w:cs="Arial"/>
        </w:rPr>
        <w:t xml:space="preserve">(от англ, </w:t>
      </w:r>
      <w:r w:rsidRPr="004B0B65">
        <w:rPr>
          <w:rFonts w:ascii="Arial" w:hAnsi="Arial" w:cs="Arial"/>
          <w:lang w:val="en-US" w:bidi="en-US"/>
        </w:rPr>
        <w:t>amine</w:t>
      </w:r>
      <w:r w:rsidRPr="004B0B65">
        <w:rPr>
          <w:rFonts w:ascii="Arial" w:hAnsi="Arial" w:cs="Arial"/>
          <w:lang w:bidi="en-US"/>
        </w:rPr>
        <w:t xml:space="preserve"> </w:t>
      </w:r>
      <w:r w:rsidRPr="004B0B65">
        <w:rPr>
          <w:rFonts w:ascii="Arial" w:hAnsi="Arial" w:cs="Arial"/>
          <w:lang w:val="en-US" w:bidi="en-US"/>
        </w:rPr>
        <w:t>precusor</w:t>
      </w:r>
      <w:r w:rsidRPr="004B0B65">
        <w:rPr>
          <w:rFonts w:ascii="Arial" w:hAnsi="Arial" w:cs="Arial"/>
          <w:lang w:bidi="en-US"/>
        </w:rPr>
        <w:t xml:space="preserve"> </w:t>
      </w:r>
      <w:r w:rsidRPr="004B0B65">
        <w:rPr>
          <w:rFonts w:ascii="Arial" w:hAnsi="Arial" w:cs="Arial"/>
          <w:lang w:val="en-US" w:bidi="en-US"/>
        </w:rPr>
        <w:t>uptake</w:t>
      </w:r>
      <w:r w:rsidRPr="004B0B65">
        <w:rPr>
          <w:rFonts w:ascii="Arial" w:hAnsi="Arial" w:cs="Arial"/>
          <w:lang w:bidi="en-US"/>
        </w:rPr>
        <w:t xml:space="preserve"> </w:t>
      </w:r>
      <w:r w:rsidRPr="004B0B65">
        <w:rPr>
          <w:rFonts w:ascii="Arial" w:hAnsi="Arial" w:cs="Arial"/>
          <w:lang w:val="en-US" w:bidi="en-US"/>
        </w:rPr>
        <w:t>and</w:t>
      </w:r>
      <w:r w:rsidRPr="004B0B65">
        <w:rPr>
          <w:rFonts w:ascii="Arial" w:hAnsi="Arial" w:cs="Arial"/>
          <w:lang w:bidi="en-US"/>
        </w:rPr>
        <w:t xml:space="preserve"> </w:t>
      </w:r>
      <w:r w:rsidRPr="004B0B65">
        <w:rPr>
          <w:rFonts w:ascii="Arial" w:hAnsi="Arial" w:cs="Arial"/>
          <w:lang w:val="en-US" w:bidi="en-US"/>
        </w:rPr>
        <w:t>decarboxylation</w:t>
      </w:r>
      <w:r w:rsidRPr="004B0B65">
        <w:rPr>
          <w:rFonts w:ascii="Arial" w:hAnsi="Arial" w:cs="Arial"/>
          <w:lang w:bidi="en-US"/>
        </w:rPr>
        <w:t xml:space="preserve"> — </w:t>
      </w:r>
      <w:r w:rsidRPr="004B0B65">
        <w:rPr>
          <w:rFonts w:ascii="Arial" w:hAnsi="Arial" w:cs="Arial"/>
        </w:rPr>
        <w:t>захват предшественников ами</w:t>
      </w:r>
      <w:r w:rsidRPr="004B0B65">
        <w:rPr>
          <w:rFonts w:ascii="Arial" w:hAnsi="Arial" w:cs="Arial"/>
        </w:rPr>
        <w:softHyphen/>
        <w:t>нов и их декарбоксилирование) — АПУД-систему. Отличительными осо</w:t>
      </w:r>
      <w:r w:rsidRPr="004B0B65">
        <w:rPr>
          <w:rFonts w:ascii="Arial" w:hAnsi="Arial" w:cs="Arial"/>
        </w:rPr>
        <w:softHyphen/>
        <w:t>бенностями клеток АПУД-системы являются:</w:t>
      </w:r>
    </w:p>
    <w:p w:rsidR="00F66E52" w:rsidRPr="004B0B65" w:rsidRDefault="00F66E52" w:rsidP="00DE1F06">
      <w:pPr>
        <w:pStyle w:val="1"/>
        <w:numPr>
          <w:ilvl w:val="0"/>
          <w:numId w:val="2"/>
        </w:numPr>
        <w:tabs>
          <w:tab w:val="left" w:pos="733"/>
        </w:tabs>
        <w:ind w:left="680" w:hanging="260"/>
        <w:jc w:val="both"/>
        <w:rPr>
          <w:rFonts w:ascii="Arial" w:hAnsi="Arial" w:cs="Arial"/>
        </w:rPr>
      </w:pPr>
      <w:r w:rsidRPr="004B0B65">
        <w:rPr>
          <w:rFonts w:ascii="Arial" w:hAnsi="Arial" w:cs="Arial"/>
        </w:rPr>
        <w:t>способность синтезировать, декарбоксилировать и запасать предше</w:t>
      </w:r>
      <w:r w:rsidRPr="004B0B65">
        <w:rPr>
          <w:rFonts w:ascii="Arial" w:hAnsi="Arial" w:cs="Arial"/>
        </w:rPr>
        <w:softHyphen/>
        <w:t xml:space="preserve">ственники </w:t>
      </w:r>
      <w:r w:rsidRPr="004B0B65">
        <w:rPr>
          <w:rFonts w:ascii="Arial" w:hAnsi="Arial" w:cs="Arial"/>
        </w:rPr>
        <w:lastRenderedPageBreak/>
        <w:t>ароматических аминов;</w:t>
      </w:r>
    </w:p>
    <w:p w:rsidR="00F66E52" w:rsidRPr="004B0B65" w:rsidRDefault="00F66E52" w:rsidP="00DE1F06">
      <w:pPr>
        <w:pStyle w:val="1"/>
        <w:numPr>
          <w:ilvl w:val="0"/>
          <w:numId w:val="2"/>
        </w:numPr>
        <w:tabs>
          <w:tab w:val="left" w:pos="733"/>
        </w:tabs>
        <w:ind w:left="680" w:hanging="260"/>
        <w:jc w:val="both"/>
        <w:rPr>
          <w:rFonts w:ascii="Arial" w:hAnsi="Arial" w:cs="Arial"/>
        </w:rPr>
      </w:pPr>
      <w:r w:rsidRPr="004B0B65">
        <w:rPr>
          <w:rFonts w:ascii="Arial" w:hAnsi="Arial" w:cs="Arial"/>
        </w:rPr>
        <w:t>высокая активность холинэстеразы, эстеразы и глицеринфосфатде- гидрогеназы;</w:t>
      </w:r>
    </w:p>
    <w:p w:rsidR="00F66E52" w:rsidRPr="004B0B65" w:rsidRDefault="00F66E52" w:rsidP="00DE1F06">
      <w:pPr>
        <w:pStyle w:val="1"/>
        <w:numPr>
          <w:ilvl w:val="0"/>
          <w:numId w:val="2"/>
        </w:numPr>
        <w:tabs>
          <w:tab w:val="left" w:pos="733"/>
        </w:tabs>
        <w:ind w:left="680" w:hanging="260"/>
        <w:jc w:val="both"/>
        <w:rPr>
          <w:rFonts w:ascii="Arial" w:hAnsi="Arial" w:cs="Arial"/>
        </w:rPr>
      </w:pPr>
      <w:r w:rsidRPr="004B0B65">
        <w:rPr>
          <w:rFonts w:ascii="Arial" w:hAnsi="Arial" w:cs="Arial"/>
        </w:rPr>
        <w:t>происхождение из нервной хорды и вентрального нервного гребня;</w:t>
      </w:r>
    </w:p>
    <w:p w:rsidR="00F66E52" w:rsidRPr="004B0B65" w:rsidRDefault="00F66E52" w:rsidP="00DE1F06">
      <w:pPr>
        <w:pStyle w:val="1"/>
        <w:numPr>
          <w:ilvl w:val="0"/>
          <w:numId w:val="2"/>
        </w:numPr>
        <w:tabs>
          <w:tab w:val="left" w:pos="733"/>
        </w:tabs>
        <w:ind w:left="680" w:hanging="260"/>
        <w:jc w:val="both"/>
        <w:rPr>
          <w:rFonts w:ascii="Arial" w:hAnsi="Arial" w:cs="Arial"/>
        </w:rPr>
      </w:pPr>
      <w:r w:rsidRPr="004B0B65">
        <w:rPr>
          <w:rFonts w:ascii="Arial" w:hAnsi="Arial" w:cs="Arial"/>
        </w:rPr>
        <w:t xml:space="preserve">специфические иммуногистохимические маркеры: нейронспецифи- ческая энолаза </w:t>
      </w:r>
      <w:r w:rsidRPr="004B0B65">
        <w:rPr>
          <w:rFonts w:ascii="Arial" w:hAnsi="Arial" w:cs="Arial"/>
          <w:lang w:bidi="en-US"/>
        </w:rPr>
        <w:t>(</w:t>
      </w:r>
      <w:r w:rsidRPr="004B0B65">
        <w:rPr>
          <w:rFonts w:ascii="Arial" w:hAnsi="Arial" w:cs="Arial"/>
          <w:lang w:val="en-US" w:bidi="en-US"/>
        </w:rPr>
        <w:t>NSE</w:t>
      </w:r>
      <w:r w:rsidRPr="004B0B65">
        <w:rPr>
          <w:rFonts w:ascii="Arial" w:hAnsi="Arial" w:cs="Arial"/>
          <w:lang w:bidi="en-US"/>
        </w:rPr>
        <w:t xml:space="preserve">), </w:t>
      </w:r>
      <w:r w:rsidRPr="004B0B65">
        <w:rPr>
          <w:rFonts w:ascii="Arial" w:hAnsi="Arial" w:cs="Arial"/>
        </w:rPr>
        <w:t>хромогранин, синаптофизин;</w:t>
      </w:r>
    </w:p>
    <w:p w:rsidR="00F66E52" w:rsidRPr="004B0B65" w:rsidRDefault="00F66E52" w:rsidP="00DE1F06">
      <w:pPr>
        <w:pStyle w:val="1"/>
        <w:ind w:left="660" w:hanging="240"/>
        <w:jc w:val="both"/>
        <w:rPr>
          <w:rFonts w:ascii="Arial" w:hAnsi="Arial" w:cs="Arial"/>
        </w:rPr>
      </w:pPr>
      <w:r w:rsidRPr="004B0B65">
        <w:rPr>
          <w:rFonts w:ascii="Arial" w:hAnsi="Arial" w:cs="Arial"/>
        </w:rPr>
        <w:t>— развитие морфологически схожих опухолей, которые продуцируют структурно родственные гормоны; частое образование этих опухолей одновременно в нескольких местах с развитием при этом разнооб</w:t>
      </w:r>
      <w:r w:rsidRPr="004B0B65">
        <w:rPr>
          <w:rFonts w:ascii="Arial" w:hAnsi="Arial" w:cs="Arial"/>
        </w:rPr>
        <w:softHyphen/>
        <w:t>разных клинических синдромов, которые определяются как некон</w:t>
      </w:r>
      <w:r w:rsidRPr="004B0B65">
        <w:rPr>
          <w:rFonts w:ascii="Arial" w:hAnsi="Arial" w:cs="Arial"/>
        </w:rPr>
        <w:softHyphen/>
        <w:t>тролируемой продукцией гуморальных факторов (гормонов), так и собственно опухолевым процессом (рост, метастазирование).</w:t>
      </w:r>
    </w:p>
    <w:p w:rsidR="00F66E52" w:rsidRPr="004B0B65" w:rsidRDefault="00F66E52"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Впервые концепция существования АПУД-системы была выдвинута А. Пирсом в 1968 г. К АПУД-системе, помимо панкреатических и кишеч</w:t>
      </w:r>
      <w:r w:rsidRPr="004B0B65">
        <w:rPr>
          <w:rFonts w:ascii="Arial" w:eastAsia="Times New Roman" w:hAnsi="Arial" w:cs="Arial"/>
          <w:sz w:val="22"/>
          <w:szCs w:val="22"/>
        </w:rPr>
        <w:softHyphen/>
        <w:t>ных эндокринных клеток, относят клетки аденогипофиза, паратиреоциты, С-клетки (парафолликулярные) щитовидной железы, мозговое вещество надпочечников и экстраадреналовую хромаффинную ткань, а также эндо</w:t>
      </w:r>
      <w:r w:rsidRPr="004B0B65">
        <w:rPr>
          <w:rFonts w:ascii="Arial" w:eastAsia="Times New Roman" w:hAnsi="Arial" w:cs="Arial"/>
          <w:sz w:val="22"/>
          <w:szCs w:val="22"/>
        </w:rPr>
        <w:softHyphen/>
        <w:t>кринные клетки дыхательного тракта. Становится понятным, что широко использующийся термин «апудома» (опухоль, происходящая из клеток АПУД-системы), принципиально применим к новообразованиям большин</w:t>
      </w:r>
      <w:r w:rsidRPr="004B0B65">
        <w:rPr>
          <w:rFonts w:ascii="Arial" w:eastAsia="Times New Roman" w:hAnsi="Arial" w:cs="Arial"/>
          <w:sz w:val="22"/>
          <w:szCs w:val="22"/>
        </w:rPr>
        <w:softHyphen/>
        <w:t>ства эндокринных желез. В связи с этим в клинической практике становит</w:t>
      </w:r>
      <w:r w:rsidRPr="004B0B65">
        <w:rPr>
          <w:rFonts w:ascii="Arial" w:eastAsia="Times New Roman" w:hAnsi="Arial" w:cs="Arial"/>
          <w:sz w:val="22"/>
          <w:szCs w:val="22"/>
        </w:rPr>
        <w:softHyphen/>
        <w:t>ся более употребим термин «эндокринные опухоли ПЖЖ и ЖКТ», или «гастроэнтеропанкреатические эндокринные опухоли». Преимущественно именно эти опухоли и будут рассматриваться в данной главе.</w:t>
      </w:r>
    </w:p>
    <w:p w:rsidR="00F66E52" w:rsidRPr="004B0B65" w:rsidRDefault="00F66E52"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Основными продуктами секреции панкреатических островков Лангер</w:t>
      </w:r>
      <w:r w:rsidRPr="004B0B65">
        <w:rPr>
          <w:rFonts w:ascii="Arial" w:eastAsia="Times New Roman" w:hAnsi="Arial" w:cs="Arial"/>
          <w:sz w:val="22"/>
          <w:szCs w:val="22"/>
        </w:rPr>
        <w:softHyphen/>
        <w:t>ганса являются инсулин, глюкагон, соматостатин и панкреатический поли</w:t>
      </w:r>
      <w:r w:rsidRPr="004B0B65">
        <w:rPr>
          <w:rFonts w:ascii="Arial" w:eastAsia="Times New Roman" w:hAnsi="Arial" w:cs="Arial"/>
          <w:sz w:val="22"/>
          <w:szCs w:val="22"/>
        </w:rPr>
        <w:softHyphen/>
        <w:t>пептид (табл. 13.1).</w:t>
      </w:r>
    </w:p>
    <w:p w:rsidR="00F66E52" w:rsidRPr="004B0B65" w:rsidRDefault="00F66E52" w:rsidP="00DE1F06">
      <w:pPr>
        <w:ind w:firstLine="420"/>
        <w:jc w:val="both"/>
        <w:rPr>
          <w:rFonts w:ascii="Arial" w:eastAsia="Times New Roman" w:hAnsi="Arial" w:cs="Arial"/>
          <w:sz w:val="22"/>
          <w:szCs w:val="22"/>
        </w:rPr>
      </w:pPr>
      <w:r w:rsidRPr="004B0B65">
        <w:rPr>
          <w:rFonts w:ascii="Arial" w:eastAsia="Times New Roman" w:hAnsi="Arial" w:cs="Arial"/>
          <w:b/>
          <w:bCs/>
          <w:i/>
          <w:iCs/>
          <w:sz w:val="22"/>
          <w:szCs w:val="22"/>
        </w:rPr>
        <w:t>Инсулин</w:t>
      </w:r>
      <w:r w:rsidRPr="004B0B65">
        <w:rPr>
          <w:rFonts w:ascii="Arial" w:eastAsia="Times New Roman" w:hAnsi="Arial" w:cs="Arial"/>
          <w:sz w:val="22"/>
          <w:szCs w:val="22"/>
        </w:rPr>
        <w:t xml:space="preserve"> является полипептидным гормоном, продуцирующимся Р-клетками островков Лангерганса в виде предшественника проинсулина, который после протеолитического отщепления С-пептида превращается в биологически активный инсулин. Физиология инсулина и глюкагона подробнее обсуждается в главе 10. Дефицит или нарушение механизма дей</w:t>
      </w:r>
      <w:r w:rsidRPr="004B0B65">
        <w:rPr>
          <w:rFonts w:ascii="Arial" w:eastAsia="Times New Roman" w:hAnsi="Arial" w:cs="Arial"/>
          <w:sz w:val="22"/>
          <w:szCs w:val="22"/>
        </w:rPr>
        <w:softHyphen/>
        <w:t>ствия инсулина приводит к самому распространенному эндокринному за</w:t>
      </w:r>
      <w:r w:rsidRPr="004B0B65">
        <w:rPr>
          <w:rFonts w:ascii="Arial" w:eastAsia="Times New Roman" w:hAnsi="Arial" w:cs="Arial"/>
          <w:sz w:val="22"/>
          <w:szCs w:val="22"/>
        </w:rPr>
        <w:softHyphen/>
        <w:t>болеванию — сахарному диабету. Следует отметить, что сахарный диабет является единственно клинически значимой патологией, при которой име-</w:t>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b/>
          <w:bCs/>
          <w:sz w:val="19"/>
          <w:szCs w:val="19"/>
        </w:rPr>
        <w:t xml:space="preserve">Т </w:t>
      </w:r>
      <w:r w:rsidRPr="004B0B65">
        <w:rPr>
          <w:rFonts w:ascii="Arial" w:eastAsia="Times New Roman" w:hAnsi="Arial" w:cs="Arial"/>
          <w:sz w:val="19"/>
          <w:szCs w:val="19"/>
        </w:rPr>
        <w:t xml:space="preserve">а б л и </w:t>
      </w:r>
      <w:r w:rsidRPr="004B0B65">
        <w:rPr>
          <w:rFonts w:ascii="Arial" w:eastAsia="Times New Roman" w:hAnsi="Arial" w:cs="Arial"/>
          <w:b/>
          <w:bCs/>
          <w:sz w:val="19"/>
          <w:szCs w:val="19"/>
        </w:rPr>
        <w:t xml:space="preserve">ц </w:t>
      </w:r>
      <w:r w:rsidRPr="004B0B65">
        <w:rPr>
          <w:rFonts w:ascii="Arial" w:eastAsia="Times New Roman" w:hAnsi="Arial" w:cs="Arial"/>
          <w:sz w:val="19"/>
          <w:szCs w:val="19"/>
        </w:rPr>
        <w:t xml:space="preserve">а 13.1. </w:t>
      </w:r>
      <w:r w:rsidRPr="004B0B65">
        <w:rPr>
          <w:rFonts w:ascii="Arial" w:eastAsia="Times New Roman" w:hAnsi="Arial" w:cs="Arial"/>
          <w:b/>
          <w:bCs/>
          <w:sz w:val="19"/>
          <w:szCs w:val="19"/>
        </w:rPr>
        <w:t>Основные клетки и гормоны островков Лангерганса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1061"/>
        <w:gridCol w:w="1219"/>
        <w:gridCol w:w="1152"/>
        <w:gridCol w:w="4070"/>
      </w:tblGrid>
      <w:tr w:rsidR="00F66E52" w:rsidRPr="004B0B65" w:rsidTr="0074786D">
        <w:trPr>
          <w:trHeight w:hRule="exact" w:val="504"/>
          <w:jc w:val="center"/>
        </w:trPr>
        <w:tc>
          <w:tcPr>
            <w:tcW w:w="1061" w:type="dxa"/>
            <w:tcBorders>
              <w:top w:val="single" w:sz="4" w:space="0" w:color="auto"/>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Тип клеток</w:t>
            </w:r>
          </w:p>
        </w:tc>
        <w:tc>
          <w:tcPr>
            <w:tcW w:w="1219" w:type="dxa"/>
            <w:tcBorders>
              <w:top w:val="single" w:sz="4" w:space="0" w:color="auto"/>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Содержание в островке, %</w:t>
            </w:r>
          </w:p>
        </w:tc>
        <w:tc>
          <w:tcPr>
            <w:tcW w:w="1152" w:type="dxa"/>
            <w:tcBorders>
              <w:top w:val="single" w:sz="4" w:space="0" w:color="auto"/>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Гормон</w:t>
            </w:r>
          </w:p>
        </w:tc>
        <w:tc>
          <w:tcPr>
            <w:tcW w:w="4070" w:type="dxa"/>
            <w:tcBorders>
              <w:top w:val="single" w:sz="4" w:space="0" w:color="auto"/>
              <w:left w:val="single" w:sz="4" w:space="0" w:color="auto"/>
              <w:righ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Основная функция гормона</w:t>
            </w:r>
          </w:p>
        </w:tc>
      </w:tr>
      <w:tr w:rsidR="00F66E52" w:rsidRPr="004B0B65" w:rsidTr="0074786D">
        <w:trPr>
          <w:trHeight w:hRule="exact" w:val="734"/>
          <w:jc w:val="center"/>
        </w:trPr>
        <w:tc>
          <w:tcPr>
            <w:tcW w:w="1061" w:type="dxa"/>
            <w:tcBorders>
              <w:top w:val="single" w:sz="4" w:space="0" w:color="auto"/>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а (или А)</w:t>
            </w:r>
          </w:p>
        </w:tc>
        <w:tc>
          <w:tcPr>
            <w:tcW w:w="1219" w:type="dxa"/>
            <w:tcBorders>
              <w:top w:val="single" w:sz="4" w:space="0" w:color="auto"/>
              <w:left w:val="single" w:sz="4" w:space="0" w:color="auto"/>
            </w:tcBorders>
            <w:shd w:val="clear" w:color="auto" w:fill="auto"/>
          </w:tcPr>
          <w:p w:rsidR="00F66E52" w:rsidRPr="004B0B65" w:rsidRDefault="00F66E52" w:rsidP="00DE1F06">
            <w:pPr>
              <w:jc w:val="center"/>
              <w:rPr>
                <w:rFonts w:ascii="Arial" w:eastAsia="Times New Roman" w:hAnsi="Arial" w:cs="Arial"/>
                <w:sz w:val="19"/>
                <w:szCs w:val="19"/>
              </w:rPr>
            </w:pPr>
            <w:r w:rsidRPr="004B0B65">
              <w:rPr>
                <w:rFonts w:ascii="Arial" w:eastAsia="Times New Roman" w:hAnsi="Arial" w:cs="Arial"/>
                <w:sz w:val="19"/>
                <w:szCs w:val="19"/>
              </w:rPr>
              <w:t>20</w:t>
            </w:r>
          </w:p>
        </w:tc>
        <w:tc>
          <w:tcPr>
            <w:tcW w:w="1152" w:type="dxa"/>
            <w:tcBorders>
              <w:top w:val="single" w:sz="4" w:space="0" w:color="auto"/>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Глюкагон</w:t>
            </w:r>
          </w:p>
        </w:tc>
        <w:tc>
          <w:tcPr>
            <w:tcW w:w="4070" w:type="dxa"/>
            <w:tcBorders>
              <w:top w:val="single" w:sz="4" w:space="0" w:color="auto"/>
              <w:left w:val="single" w:sz="4" w:space="0" w:color="auto"/>
              <w:right w:val="single" w:sz="4" w:space="0" w:color="auto"/>
            </w:tcBorders>
            <w:shd w:val="clear" w:color="auto" w:fill="auto"/>
            <w:vAlign w:val="bottom"/>
          </w:tcPr>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rPr>
              <w:t>Стимулирует глюконеогенез, гликогенолиз, протеолиз, липолиз, секрецию инсулина 0- клетками</w:t>
            </w:r>
          </w:p>
        </w:tc>
      </w:tr>
      <w:tr w:rsidR="00F66E52" w:rsidRPr="004B0B65" w:rsidTr="0074786D">
        <w:trPr>
          <w:trHeight w:hRule="exact" w:val="1339"/>
          <w:jc w:val="center"/>
        </w:trPr>
        <w:tc>
          <w:tcPr>
            <w:tcW w:w="1061"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Р(или В)</w:t>
            </w:r>
          </w:p>
        </w:tc>
        <w:tc>
          <w:tcPr>
            <w:tcW w:w="1219" w:type="dxa"/>
            <w:tcBorders>
              <w:left w:val="single" w:sz="4" w:space="0" w:color="auto"/>
            </w:tcBorders>
            <w:shd w:val="clear" w:color="auto" w:fill="auto"/>
          </w:tcPr>
          <w:p w:rsidR="00F66E52" w:rsidRPr="004B0B65" w:rsidRDefault="00F66E52" w:rsidP="00DE1F06">
            <w:pPr>
              <w:jc w:val="center"/>
              <w:rPr>
                <w:rFonts w:ascii="Arial" w:eastAsia="Times New Roman" w:hAnsi="Arial" w:cs="Arial"/>
                <w:sz w:val="19"/>
                <w:szCs w:val="19"/>
              </w:rPr>
            </w:pPr>
            <w:r w:rsidRPr="004B0B65">
              <w:rPr>
                <w:rFonts w:ascii="Arial" w:eastAsia="Times New Roman" w:hAnsi="Arial" w:cs="Arial"/>
                <w:sz w:val="19"/>
                <w:szCs w:val="19"/>
              </w:rPr>
              <w:t>75</w:t>
            </w:r>
          </w:p>
        </w:tc>
        <w:tc>
          <w:tcPr>
            <w:tcW w:w="1152"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Инсулин</w:t>
            </w:r>
          </w:p>
        </w:tc>
        <w:tc>
          <w:tcPr>
            <w:tcW w:w="4070" w:type="dxa"/>
            <w:tcBorders>
              <w:left w:val="single" w:sz="4" w:space="0" w:color="auto"/>
              <w:right w:val="single" w:sz="4" w:space="0" w:color="auto"/>
            </w:tcBorders>
            <w:shd w:val="clear" w:color="auto" w:fill="auto"/>
            <w:vAlign w:val="bottom"/>
          </w:tcPr>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rPr>
              <w:t>Универсальный анаболический гормон. Обеспечивает поступление глюкозы и ами</w:t>
            </w:r>
            <w:r w:rsidRPr="004B0B65">
              <w:rPr>
                <w:rFonts w:ascii="Arial" w:eastAsia="Times New Roman" w:hAnsi="Arial" w:cs="Arial"/>
                <w:sz w:val="19"/>
                <w:szCs w:val="19"/>
              </w:rPr>
              <w:softHyphen/>
              <w:t>нокислот в инсулинзависимые ткани (мы</w:t>
            </w:r>
            <w:r w:rsidRPr="004B0B65">
              <w:rPr>
                <w:rFonts w:ascii="Arial" w:eastAsia="Times New Roman" w:hAnsi="Arial" w:cs="Arial"/>
                <w:sz w:val="19"/>
                <w:szCs w:val="19"/>
              </w:rPr>
              <w:softHyphen/>
              <w:t>шечная жировая), активирует гликолиз и гликогеногенез в печени, стимулирует ли- погенез в жировой ткани, подавляет-кето</w:t>
            </w:r>
            <w:r w:rsidRPr="004B0B65">
              <w:rPr>
                <w:rFonts w:ascii="Arial" w:eastAsia="Times New Roman" w:hAnsi="Arial" w:cs="Arial"/>
                <w:sz w:val="19"/>
                <w:szCs w:val="19"/>
              </w:rPr>
              <w:softHyphen/>
              <w:t>генез и секрецию глюкагона</w:t>
            </w:r>
          </w:p>
        </w:tc>
      </w:tr>
      <w:tr w:rsidR="00F66E52" w:rsidRPr="004B0B65" w:rsidTr="0074786D">
        <w:trPr>
          <w:trHeight w:hRule="exact" w:val="955"/>
          <w:jc w:val="center"/>
        </w:trPr>
        <w:tc>
          <w:tcPr>
            <w:tcW w:w="1061"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 xml:space="preserve">8(или </w:t>
            </w:r>
            <w:r w:rsidRPr="004B0B65">
              <w:rPr>
                <w:rFonts w:ascii="Arial" w:eastAsia="Times New Roman" w:hAnsi="Arial" w:cs="Arial"/>
                <w:sz w:val="19"/>
                <w:szCs w:val="19"/>
                <w:lang w:val="en-US" w:eastAsia="en-US" w:bidi="en-US"/>
              </w:rPr>
              <w:t>D)</w:t>
            </w:r>
          </w:p>
        </w:tc>
        <w:tc>
          <w:tcPr>
            <w:tcW w:w="1219" w:type="dxa"/>
            <w:tcBorders>
              <w:left w:val="single" w:sz="4" w:space="0" w:color="auto"/>
            </w:tcBorders>
            <w:shd w:val="clear" w:color="auto" w:fill="auto"/>
          </w:tcPr>
          <w:p w:rsidR="00F66E52" w:rsidRPr="004B0B65" w:rsidRDefault="00F66E52" w:rsidP="00DE1F06">
            <w:pPr>
              <w:jc w:val="center"/>
              <w:rPr>
                <w:rFonts w:ascii="Arial" w:eastAsia="Times New Roman" w:hAnsi="Arial" w:cs="Arial"/>
                <w:sz w:val="19"/>
                <w:szCs w:val="19"/>
              </w:rPr>
            </w:pPr>
            <w:r w:rsidRPr="004B0B65">
              <w:rPr>
                <w:rFonts w:ascii="Arial" w:eastAsia="Times New Roman" w:hAnsi="Arial" w:cs="Arial"/>
                <w:sz w:val="19"/>
                <w:szCs w:val="19"/>
              </w:rPr>
              <w:t>3—5</w:t>
            </w:r>
          </w:p>
        </w:tc>
        <w:tc>
          <w:tcPr>
            <w:tcW w:w="1152"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Сомато</w:t>
            </w:r>
            <w:r w:rsidRPr="004B0B65">
              <w:rPr>
                <w:rFonts w:ascii="Arial" w:eastAsia="Times New Roman" w:hAnsi="Arial" w:cs="Arial"/>
                <w:sz w:val="19"/>
                <w:szCs w:val="19"/>
              </w:rPr>
              <w:softHyphen/>
              <w:t>статин</w:t>
            </w:r>
          </w:p>
        </w:tc>
        <w:tc>
          <w:tcPr>
            <w:tcW w:w="4070" w:type="dxa"/>
            <w:tcBorders>
              <w:left w:val="single" w:sz="4" w:space="0" w:color="auto"/>
              <w:right w:val="single" w:sz="4" w:space="0" w:color="auto"/>
            </w:tcBorders>
            <w:shd w:val="clear" w:color="auto" w:fill="auto"/>
          </w:tcPr>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rPr>
              <w:t>Подавляет секрецию большинства извест</w:t>
            </w:r>
            <w:r w:rsidRPr="004B0B65">
              <w:rPr>
                <w:rFonts w:ascii="Arial" w:eastAsia="Times New Roman" w:hAnsi="Arial" w:cs="Arial"/>
                <w:sz w:val="19"/>
                <w:szCs w:val="19"/>
              </w:rPr>
              <w:softHyphen/>
              <w:t>ных гормонов, желудочную кислотопродук- цию, экзокринную секрецию ПЖЖ и мото</w:t>
            </w:r>
            <w:r w:rsidRPr="004B0B65">
              <w:rPr>
                <w:rFonts w:ascii="Arial" w:eastAsia="Times New Roman" w:hAnsi="Arial" w:cs="Arial"/>
                <w:sz w:val="19"/>
                <w:szCs w:val="19"/>
              </w:rPr>
              <w:softHyphen/>
              <w:t>рику кишечника (универсальное ингибиру</w:t>
            </w:r>
            <w:r w:rsidRPr="004B0B65">
              <w:rPr>
                <w:rFonts w:ascii="Arial" w:eastAsia="Times New Roman" w:hAnsi="Arial" w:cs="Arial"/>
                <w:sz w:val="19"/>
                <w:szCs w:val="19"/>
              </w:rPr>
              <w:softHyphen/>
              <w:t>ющее действие)</w:t>
            </w:r>
          </w:p>
        </w:tc>
      </w:tr>
      <w:tr w:rsidR="00F66E52" w:rsidRPr="004B0B65" w:rsidTr="0074786D">
        <w:trPr>
          <w:trHeight w:hRule="exact" w:val="682"/>
          <w:jc w:val="center"/>
        </w:trPr>
        <w:tc>
          <w:tcPr>
            <w:tcW w:w="1061" w:type="dxa"/>
            <w:tcBorders>
              <w:left w:val="single" w:sz="4" w:space="0" w:color="auto"/>
              <w:bottom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 xml:space="preserve">РР (или </w:t>
            </w:r>
            <w:r w:rsidRPr="004B0B65">
              <w:rPr>
                <w:rFonts w:ascii="Arial" w:eastAsia="Times New Roman" w:hAnsi="Arial" w:cs="Arial"/>
                <w:sz w:val="19"/>
                <w:szCs w:val="19"/>
                <w:lang w:val="en-US" w:eastAsia="en-US" w:bidi="en-US"/>
              </w:rPr>
              <w:t>F)</w:t>
            </w:r>
          </w:p>
        </w:tc>
        <w:tc>
          <w:tcPr>
            <w:tcW w:w="1219" w:type="dxa"/>
            <w:tcBorders>
              <w:left w:val="single" w:sz="4" w:space="0" w:color="auto"/>
              <w:bottom w:val="single" w:sz="4" w:space="0" w:color="auto"/>
            </w:tcBorders>
            <w:shd w:val="clear" w:color="auto" w:fill="auto"/>
          </w:tcPr>
          <w:p w:rsidR="00F66E52" w:rsidRPr="004B0B65" w:rsidRDefault="00F66E52" w:rsidP="00DE1F06">
            <w:pPr>
              <w:jc w:val="center"/>
              <w:rPr>
                <w:rFonts w:ascii="Arial" w:eastAsia="Times New Roman" w:hAnsi="Arial" w:cs="Arial"/>
                <w:sz w:val="19"/>
                <w:szCs w:val="19"/>
              </w:rPr>
            </w:pPr>
            <w:r w:rsidRPr="004B0B65">
              <w:rPr>
                <w:rFonts w:ascii="Arial" w:eastAsia="Times New Roman" w:hAnsi="Arial" w:cs="Arial"/>
                <w:sz w:val="19"/>
                <w:szCs w:val="19"/>
              </w:rPr>
              <w:t>&lt;2</w:t>
            </w:r>
          </w:p>
        </w:tc>
        <w:tc>
          <w:tcPr>
            <w:tcW w:w="1152" w:type="dxa"/>
            <w:tcBorders>
              <w:left w:val="single" w:sz="4" w:space="0" w:color="auto"/>
              <w:bottom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Панкреати</w:t>
            </w:r>
            <w:r w:rsidRPr="004B0B65">
              <w:rPr>
                <w:rFonts w:ascii="Arial" w:eastAsia="Times New Roman" w:hAnsi="Arial" w:cs="Arial"/>
                <w:sz w:val="19"/>
                <w:szCs w:val="19"/>
              </w:rPr>
              <w:softHyphen/>
              <w:t>ческий по</w:t>
            </w:r>
            <w:r w:rsidRPr="004B0B65">
              <w:rPr>
                <w:rFonts w:ascii="Arial" w:eastAsia="Times New Roman" w:hAnsi="Arial" w:cs="Arial"/>
                <w:sz w:val="19"/>
                <w:szCs w:val="19"/>
              </w:rPr>
              <w:softHyphen/>
              <w:t>липептид</w:t>
            </w:r>
          </w:p>
        </w:tc>
        <w:tc>
          <w:tcPr>
            <w:tcW w:w="4070" w:type="dxa"/>
            <w:tcBorders>
              <w:left w:val="single" w:sz="4" w:space="0" w:color="auto"/>
              <w:bottom w:val="single" w:sz="4" w:space="0" w:color="auto"/>
              <w:right w:val="single" w:sz="4" w:space="0" w:color="auto"/>
            </w:tcBorders>
            <w:shd w:val="clear" w:color="auto" w:fill="auto"/>
          </w:tcPr>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rPr>
              <w:t>Потенциальный ингибитор панкреатической секреции и печеночного глюконеогенеза</w:t>
            </w:r>
          </w:p>
        </w:tc>
      </w:tr>
    </w:tbl>
    <w:p w:rsidR="00F66E52" w:rsidRPr="004B0B65" w:rsidRDefault="00F66E52" w:rsidP="00DE1F06">
      <w:pPr>
        <w:jc w:val="both"/>
        <w:rPr>
          <w:rFonts w:ascii="Arial" w:eastAsia="Times New Roman" w:hAnsi="Arial" w:cs="Arial"/>
          <w:sz w:val="22"/>
          <w:szCs w:val="22"/>
        </w:rPr>
      </w:pPr>
      <w:r w:rsidRPr="004B0B65">
        <w:rPr>
          <w:rFonts w:ascii="Arial" w:eastAsia="Times New Roman" w:hAnsi="Arial" w:cs="Arial"/>
          <w:sz w:val="22"/>
          <w:szCs w:val="22"/>
        </w:rPr>
        <w:t>ется дефицит гормона островков Лангерганса. Другие известные на сегод</w:t>
      </w:r>
      <w:r w:rsidRPr="004B0B65">
        <w:rPr>
          <w:rFonts w:ascii="Arial" w:eastAsia="Times New Roman" w:hAnsi="Arial" w:cs="Arial"/>
          <w:sz w:val="22"/>
          <w:szCs w:val="22"/>
        </w:rPr>
        <w:softHyphen/>
        <w:t>няшний день заболевания эндокринной части поджелудочной железы пато</w:t>
      </w:r>
      <w:r w:rsidRPr="004B0B65">
        <w:rPr>
          <w:rFonts w:ascii="Arial" w:eastAsia="Times New Roman" w:hAnsi="Arial" w:cs="Arial"/>
          <w:sz w:val="22"/>
          <w:szCs w:val="22"/>
        </w:rPr>
        <w:softHyphen/>
        <w:t>генетически связаны с избытком панкреатических гормонов.</w:t>
      </w:r>
    </w:p>
    <w:p w:rsidR="00F66E52" w:rsidRPr="004B0B65" w:rsidRDefault="00F66E52" w:rsidP="00DE1F06">
      <w:pPr>
        <w:pStyle w:val="1"/>
        <w:ind w:firstLine="420"/>
        <w:jc w:val="both"/>
        <w:rPr>
          <w:rFonts w:ascii="Arial" w:hAnsi="Arial" w:cs="Arial"/>
        </w:rPr>
      </w:pPr>
      <w:r w:rsidRPr="004B0B65">
        <w:rPr>
          <w:rFonts w:ascii="Arial" w:hAnsi="Arial" w:cs="Arial"/>
          <w:b/>
          <w:bCs/>
          <w:i/>
          <w:iCs/>
        </w:rPr>
        <w:t>Глюкагон</w:t>
      </w:r>
      <w:r w:rsidRPr="004B0B65">
        <w:rPr>
          <w:rFonts w:ascii="Arial" w:hAnsi="Arial" w:cs="Arial"/>
        </w:rPr>
        <w:t xml:space="preserve"> — полипептид, состоящий из 29 аминокислотных остатков, в молекуле которого отсутствуют дисульфидные связи. Физиологически и иммунологически глюкагон аналогичен энтероглюкагону, продуцируемому эндокринными клетками двенадцатиперстной кишки. Синтезируется глю</w:t>
      </w:r>
      <w:r w:rsidRPr="004B0B65">
        <w:rPr>
          <w:rFonts w:ascii="Arial" w:hAnsi="Arial" w:cs="Arial"/>
        </w:rPr>
        <w:softHyphen/>
        <w:t>кагон в виде крупной молекулы-предшественника — проглюкагона. Лишь 30—40 % иммунореактивного глюкагона плазмы приходится на долю пан</w:t>
      </w:r>
      <w:r w:rsidRPr="004B0B65">
        <w:rPr>
          <w:rFonts w:ascii="Arial" w:hAnsi="Arial" w:cs="Arial"/>
        </w:rPr>
        <w:softHyphen/>
        <w:t>креатического глюкагона. Остальная часть — это более крупные молекулы, лишенные биологической активности.</w:t>
      </w:r>
    </w:p>
    <w:p w:rsidR="00F66E52" w:rsidRPr="004B0B65" w:rsidRDefault="00F66E52" w:rsidP="00DE1F06">
      <w:pPr>
        <w:ind w:firstLine="420"/>
        <w:jc w:val="both"/>
        <w:rPr>
          <w:rFonts w:ascii="Arial" w:eastAsia="Times New Roman" w:hAnsi="Arial" w:cs="Arial"/>
          <w:sz w:val="22"/>
          <w:szCs w:val="22"/>
        </w:rPr>
      </w:pPr>
      <w:r w:rsidRPr="004B0B65">
        <w:rPr>
          <w:rFonts w:ascii="Arial" w:eastAsia="Times New Roman" w:hAnsi="Arial" w:cs="Arial"/>
          <w:b/>
          <w:bCs/>
          <w:i/>
          <w:iCs/>
          <w:sz w:val="22"/>
          <w:szCs w:val="22"/>
        </w:rPr>
        <w:lastRenderedPageBreak/>
        <w:t>Соматостатин</w:t>
      </w:r>
      <w:r w:rsidRPr="004B0B65">
        <w:rPr>
          <w:rFonts w:ascii="Arial" w:eastAsia="Times New Roman" w:hAnsi="Arial" w:cs="Arial"/>
          <w:sz w:val="22"/>
          <w:szCs w:val="22"/>
        </w:rPr>
        <w:t xml:space="preserve"> представляет собой циклический полипептид, секрети</w:t>
      </w:r>
      <w:r w:rsidRPr="004B0B65">
        <w:rPr>
          <w:rFonts w:ascii="Arial" w:eastAsia="Times New Roman" w:hAnsi="Arial" w:cs="Arial"/>
          <w:sz w:val="22"/>
          <w:szCs w:val="22"/>
        </w:rPr>
        <w:softHyphen/>
        <w:t xml:space="preserve">рующийся </w:t>
      </w:r>
      <w:r w:rsidRPr="004B0B65">
        <w:rPr>
          <w:rFonts w:ascii="Arial" w:eastAsia="Times New Roman" w:hAnsi="Arial" w:cs="Arial"/>
          <w:sz w:val="22"/>
          <w:szCs w:val="22"/>
          <w:lang w:val="en-US" w:eastAsia="en-US" w:bidi="en-US"/>
        </w:rPr>
        <w:t>D</w:t>
      </w:r>
      <w:r w:rsidRPr="004B0B65">
        <w:rPr>
          <w:rFonts w:ascii="Arial" w:eastAsia="Times New Roman" w:hAnsi="Arial" w:cs="Arial"/>
          <w:sz w:val="22"/>
          <w:szCs w:val="22"/>
          <w:lang w:eastAsia="en-US" w:bidi="en-US"/>
        </w:rPr>
        <w:t xml:space="preserve"> </w:t>
      </w:r>
      <w:r w:rsidRPr="004B0B65">
        <w:rPr>
          <w:rFonts w:ascii="Arial" w:eastAsia="Times New Roman" w:hAnsi="Arial" w:cs="Arial"/>
          <w:sz w:val="22"/>
          <w:szCs w:val="22"/>
        </w:rPr>
        <w:t>клетками поджелудочной железы в виде крупного прогормо- на. Окончательный продукт состоит из 14 аминокислотных остатков. Свое название соматостатин получил в связи с тем, что вначале был выделен из гипоталамуса как фактор, ингибирующий секрецию гормона роста.</w:t>
      </w:r>
    </w:p>
    <w:p w:rsidR="00F66E52" w:rsidRPr="004B0B65" w:rsidRDefault="00F66E52"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Значительно большее число гормонов по сравнению с эндокринной частью ПЖЖ секретирует желудочно-кишечный тракт. Как это ни пара</w:t>
      </w:r>
      <w:r w:rsidRPr="004B0B65">
        <w:rPr>
          <w:rFonts w:ascii="Arial" w:eastAsia="Times New Roman" w:hAnsi="Arial" w:cs="Arial"/>
          <w:sz w:val="22"/>
          <w:szCs w:val="22"/>
        </w:rPr>
        <w:softHyphen/>
        <w:t xml:space="preserve">доксально, но термин «гормон» (от греч. </w:t>
      </w:r>
      <w:r w:rsidRPr="004B0B65">
        <w:rPr>
          <w:rFonts w:ascii="Arial" w:eastAsia="Times New Roman" w:hAnsi="Arial" w:cs="Arial"/>
          <w:sz w:val="22"/>
          <w:szCs w:val="22"/>
          <w:lang w:val="en-US" w:eastAsia="en-US" w:bidi="en-US"/>
        </w:rPr>
        <w:t>hormao</w:t>
      </w:r>
      <w:r w:rsidRPr="004B0B65">
        <w:rPr>
          <w:rFonts w:ascii="Arial" w:eastAsia="Times New Roman" w:hAnsi="Arial" w:cs="Arial"/>
          <w:sz w:val="22"/>
          <w:szCs w:val="22"/>
          <w:lang w:eastAsia="en-US" w:bidi="en-US"/>
        </w:rPr>
        <w:t xml:space="preserve"> </w:t>
      </w:r>
      <w:r w:rsidRPr="004B0B65">
        <w:rPr>
          <w:rFonts w:ascii="Arial" w:eastAsia="Times New Roman" w:hAnsi="Arial" w:cs="Arial"/>
          <w:sz w:val="22"/>
          <w:szCs w:val="22"/>
        </w:rPr>
        <w:t>— возбуждаю, привожу в действие) был впервые использован У.Бейлисом и С.Старлингом в 1902 г., когда они описывали активность секретина — пептида, выделенного из слизистой оболочки двенадцатиперстной кишки, который стимулировал секрецию панкреатического сока при внутривенном введении. На сегод</w:t>
      </w:r>
      <w:r w:rsidRPr="004B0B65">
        <w:rPr>
          <w:rFonts w:ascii="Arial" w:eastAsia="Times New Roman" w:hAnsi="Arial" w:cs="Arial"/>
          <w:sz w:val="22"/>
          <w:szCs w:val="22"/>
        </w:rPr>
        <w:softHyphen/>
        <w:t>няшний день описано более 20 типов гормонпродуцирующих клеток ЖКТ и более 50 продуктов их секреции (табл. 13.2).</w:t>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 xml:space="preserve">Таблица 13.2. </w:t>
      </w:r>
      <w:r w:rsidRPr="004B0B65">
        <w:rPr>
          <w:rFonts w:ascii="Arial" w:eastAsia="Times New Roman" w:hAnsi="Arial" w:cs="Arial"/>
          <w:b/>
          <w:bCs/>
          <w:sz w:val="19"/>
          <w:szCs w:val="19"/>
        </w:rPr>
        <w:t>Топография некоторых гормонпродуцирующих клеток эндокрин</w:t>
      </w:r>
      <w:r w:rsidRPr="004B0B65">
        <w:rPr>
          <w:rFonts w:ascii="Arial" w:eastAsia="Times New Roman" w:hAnsi="Arial" w:cs="Arial"/>
          <w:b/>
          <w:bCs/>
          <w:sz w:val="19"/>
          <w:szCs w:val="19"/>
        </w:rPr>
        <w:softHyphen/>
        <w:t>ной системы ПЖЖ и ЖКТ и их продукты</w:t>
      </w:r>
    </w:p>
    <w:tbl>
      <w:tblPr>
        <w:tblOverlap w:val="never"/>
        <w:tblW w:w="0" w:type="auto"/>
        <w:jc w:val="center"/>
        <w:tblLayout w:type="fixed"/>
        <w:tblCellMar>
          <w:left w:w="10" w:type="dxa"/>
          <w:right w:w="10" w:type="dxa"/>
        </w:tblCellMar>
        <w:tblLook w:val="0000" w:firstRow="0" w:lastRow="0" w:firstColumn="0" w:lastColumn="0" w:noHBand="0" w:noVBand="0"/>
      </w:tblPr>
      <w:tblGrid>
        <w:gridCol w:w="710"/>
        <w:gridCol w:w="1814"/>
        <w:gridCol w:w="816"/>
        <w:gridCol w:w="912"/>
        <w:gridCol w:w="1320"/>
        <w:gridCol w:w="1930"/>
      </w:tblGrid>
      <w:tr w:rsidR="00F66E52" w:rsidRPr="004B0B65" w:rsidTr="0074786D">
        <w:trPr>
          <w:trHeight w:hRule="exact" w:val="331"/>
          <w:jc w:val="center"/>
        </w:trPr>
        <w:tc>
          <w:tcPr>
            <w:tcW w:w="710" w:type="dxa"/>
            <w:vMerge w:val="restart"/>
            <w:tcBorders>
              <w:top w:val="single" w:sz="4" w:space="0" w:color="auto"/>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Тип клеток</w:t>
            </w:r>
          </w:p>
        </w:tc>
        <w:tc>
          <w:tcPr>
            <w:tcW w:w="1814" w:type="dxa"/>
            <w:vMerge w:val="restart"/>
            <w:tcBorders>
              <w:top w:val="single" w:sz="4" w:space="0" w:color="auto"/>
              <w:left w:val="single" w:sz="4" w:space="0" w:color="auto"/>
            </w:tcBorders>
            <w:shd w:val="clear" w:color="auto" w:fill="auto"/>
            <w:vAlign w:val="bottom"/>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Основной продукт секреции</w:t>
            </w:r>
          </w:p>
        </w:tc>
        <w:tc>
          <w:tcPr>
            <w:tcW w:w="4978" w:type="dxa"/>
            <w:gridSpan w:val="4"/>
            <w:tcBorders>
              <w:top w:val="single" w:sz="4" w:space="0" w:color="auto"/>
              <w:left w:val="single" w:sz="4" w:space="0" w:color="auto"/>
              <w:right w:val="single" w:sz="4" w:space="0" w:color="auto"/>
            </w:tcBorders>
            <w:shd w:val="clear" w:color="auto" w:fill="auto"/>
            <w:vAlign w:val="bottom"/>
          </w:tcPr>
          <w:p w:rsidR="00F66E52" w:rsidRPr="004B0B65" w:rsidRDefault="00F66E52" w:rsidP="00DE1F06">
            <w:pPr>
              <w:ind w:firstLine="320"/>
              <w:jc w:val="both"/>
              <w:rPr>
                <w:rFonts w:ascii="Arial" w:eastAsia="Times New Roman" w:hAnsi="Arial" w:cs="Arial"/>
                <w:sz w:val="18"/>
                <w:szCs w:val="18"/>
              </w:rPr>
            </w:pPr>
            <w:r w:rsidRPr="004B0B65">
              <w:rPr>
                <w:rFonts w:ascii="Arial" w:eastAsia="Times New Roman" w:hAnsi="Arial" w:cs="Arial"/>
                <w:sz w:val="18"/>
                <w:szCs w:val="18"/>
              </w:rPr>
              <w:t>Основная локализация гормонпродуцирующих клеток</w:t>
            </w:r>
          </w:p>
        </w:tc>
      </w:tr>
      <w:tr w:rsidR="00F66E52" w:rsidRPr="004B0B65" w:rsidTr="0074786D">
        <w:trPr>
          <w:trHeight w:hRule="exact" w:val="317"/>
          <w:jc w:val="center"/>
        </w:trPr>
        <w:tc>
          <w:tcPr>
            <w:tcW w:w="710" w:type="dxa"/>
            <w:vMerge/>
            <w:tcBorders>
              <w:left w:val="single" w:sz="4" w:space="0" w:color="auto"/>
            </w:tcBorders>
            <w:shd w:val="clear" w:color="auto" w:fill="auto"/>
            <w:vAlign w:val="center"/>
          </w:tcPr>
          <w:p w:rsidR="00F66E52" w:rsidRPr="004B0B65" w:rsidRDefault="00F66E52" w:rsidP="00DE1F06">
            <w:pPr>
              <w:rPr>
                <w:rFonts w:ascii="Arial" w:hAnsi="Arial" w:cs="Arial"/>
              </w:rPr>
            </w:pPr>
          </w:p>
        </w:tc>
        <w:tc>
          <w:tcPr>
            <w:tcW w:w="1814" w:type="dxa"/>
            <w:vMerge/>
            <w:tcBorders>
              <w:left w:val="single" w:sz="4" w:space="0" w:color="auto"/>
            </w:tcBorders>
            <w:shd w:val="clear" w:color="auto" w:fill="auto"/>
            <w:vAlign w:val="bottom"/>
          </w:tcPr>
          <w:p w:rsidR="00F66E52" w:rsidRPr="004B0B65" w:rsidRDefault="00F66E52" w:rsidP="00DE1F06">
            <w:pPr>
              <w:rPr>
                <w:rFonts w:ascii="Arial" w:hAnsi="Arial" w:cs="Arial"/>
              </w:rPr>
            </w:pPr>
          </w:p>
        </w:tc>
        <w:tc>
          <w:tcPr>
            <w:tcW w:w="816" w:type="dxa"/>
            <w:tcBorders>
              <w:top w:val="single" w:sz="4" w:space="0" w:color="auto"/>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ПЖЖ</w:t>
            </w:r>
          </w:p>
        </w:tc>
        <w:tc>
          <w:tcPr>
            <w:tcW w:w="912" w:type="dxa"/>
            <w:tcBorders>
              <w:top w:val="single" w:sz="4" w:space="0" w:color="auto"/>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желудок</w:t>
            </w:r>
          </w:p>
        </w:tc>
        <w:tc>
          <w:tcPr>
            <w:tcW w:w="1320" w:type="dxa"/>
            <w:tcBorders>
              <w:top w:val="single" w:sz="4" w:space="0" w:color="auto"/>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Тощая кишка</w:t>
            </w:r>
          </w:p>
        </w:tc>
        <w:tc>
          <w:tcPr>
            <w:tcW w:w="1930" w:type="dxa"/>
            <w:tcBorders>
              <w:top w:val="single" w:sz="4" w:space="0" w:color="auto"/>
              <w:left w:val="single" w:sz="4" w:space="0" w:color="auto"/>
              <w:righ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подвздошная кишка</w:t>
            </w:r>
          </w:p>
        </w:tc>
      </w:tr>
      <w:tr w:rsidR="00F66E52" w:rsidRPr="004B0B65" w:rsidTr="0074786D">
        <w:trPr>
          <w:trHeight w:hRule="exact" w:val="379"/>
          <w:jc w:val="center"/>
        </w:trPr>
        <w:tc>
          <w:tcPr>
            <w:tcW w:w="710" w:type="dxa"/>
            <w:tcBorders>
              <w:top w:val="single" w:sz="4" w:space="0" w:color="auto"/>
              <w:left w:val="single" w:sz="4" w:space="0" w:color="auto"/>
            </w:tcBorders>
            <w:shd w:val="clear" w:color="auto" w:fill="auto"/>
            <w:vAlign w:val="bottom"/>
          </w:tcPr>
          <w:p w:rsidR="00F66E52" w:rsidRPr="004B0B65" w:rsidRDefault="00F66E52" w:rsidP="00DE1F06">
            <w:pPr>
              <w:jc w:val="center"/>
              <w:rPr>
                <w:rFonts w:ascii="Arial" w:eastAsia="Times New Roman" w:hAnsi="Arial" w:cs="Arial"/>
                <w:sz w:val="19"/>
                <w:szCs w:val="19"/>
              </w:rPr>
            </w:pPr>
            <w:r w:rsidRPr="004B0B65">
              <w:rPr>
                <w:rFonts w:ascii="Arial" w:eastAsia="Times New Roman" w:hAnsi="Arial" w:cs="Arial"/>
                <w:sz w:val="19"/>
                <w:szCs w:val="19"/>
              </w:rPr>
              <w:t>а</w:t>
            </w:r>
          </w:p>
        </w:tc>
        <w:tc>
          <w:tcPr>
            <w:tcW w:w="1814" w:type="dxa"/>
            <w:tcBorders>
              <w:top w:val="single" w:sz="4" w:space="0" w:color="auto"/>
              <w:left w:val="single" w:sz="4" w:space="0" w:color="auto"/>
            </w:tcBorders>
            <w:shd w:val="clear" w:color="auto" w:fill="auto"/>
            <w:vAlign w:val="bottom"/>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Глюкагон</w:t>
            </w:r>
          </w:p>
        </w:tc>
        <w:tc>
          <w:tcPr>
            <w:tcW w:w="816" w:type="dxa"/>
            <w:tcBorders>
              <w:top w:val="single" w:sz="4" w:space="0" w:color="auto"/>
              <w:left w:val="single" w:sz="4" w:space="0" w:color="auto"/>
            </w:tcBorders>
            <w:shd w:val="clear" w:color="auto" w:fill="auto"/>
            <w:vAlign w:val="bottom"/>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912" w:type="dxa"/>
            <w:tcBorders>
              <w:top w:val="single" w:sz="4" w:space="0" w:color="auto"/>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1320" w:type="dxa"/>
            <w:tcBorders>
              <w:top w:val="single" w:sz="4" w:space="0" w:color="auto"/>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1930" w:type="dxa"/>
            <w:tcBorders>
              <w:top w:val="single" w:sz="4" w:space="0" w:color="auto"/>
              <w:left w:val="single" w:sz="4" w:space="0" w:color="auto"/>
              <w:righ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r>
      <w:tr w:rsidR="00F66E52" w:rsidRPr="004B0B65" w:rsidTr="0074786D">
        <w:trPr>
          <w:trHeight w:hRule="exact" w:val="274"/>
          <w:jc w:val="center"/>
        </w:trPr>
        <w:tc>
          <w:tcPr>
            <w:tcW w:w="710" w:type="dxa"/>
            <w:tcBorders>
              <w:left w:val="single" w:sz="4" w:space="0" w:color="auto"/>
            </w:tcBorders>
            <w:shd w:val="clear" w:color="auto" w:fill="auto"/>
            <w:vAlign w:val="center"/>
          </w:tcPr>
          <w:p w:rsidR="00F66E52" w:rsidRPr="004B0B65" w:rsidRDefault="00F66E52" w:rsidP="00DE1F06">
            <w:pPr>
              <w:ind w:firstLine="260"/>
              <w:rPr>
                <w:rFonts w:ascii="Arial" w:eastAsia="Times New Roman" w:hAnsi="Arial" w:cs="Arial"/>
                <w:sz w:val="19"/>
                <w:szCs w:val="19"/>
              </w:rPr>
            </w:pPr>
            <w:r w:rsidRPr="004B0B65">
              <w:rPr>
                <w:rFonts w:ascii="Arial" w:eastAsia="Times New Roman" w:hAnsi="Arial" w:cs="Arial"/>
                <w:sz w:val="19"/>
                <w:szCs w:val="19"/>
              </w:rPr>
              <w:t>р</w:t>
            </w:r>
          </w:p>
        </w:tc>
        <w:tc>
          <w:tcPr>
            <w:tcW w:w="1814" w:type="dxa"/>
            <w:tcBorders>
              <w:left w:val="single" w:sz="4" w:space="0" w:color="auto"/>
            </w:tcBorders>
            <w:shd w:val="clear" w:color="auto" w:fill="auto"/>
            <w:vAlign w:val="center"/>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Инсулин</w:t>
            </w:r>
          </w:p>
        </w:tc>
        <w:tc>
          <w:tcPr>
            <w:tcW w:w="816" w:type="dxa"/>
            <w:tcBorders>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912" w:type="dxa"/>
            <w:tcBorders>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1320" w:type="dxa"/>
            <w:tcBorders>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1930" w:type="dxa"/>
            <w:tcBorders>
              <w:left w:val="single" w:sz="4" w:space="0" w:color="auto"/>
              <w:righ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r>
      <w:tr w:rsidR="00F66E52" w:rsidRPr="004B0B65" w:rsidTr="0074786D">
        <w:trPr>
          <w:trHeight w:hRule="exact" w:val="259"/>
          <w:jc w:val="center"/>
        </w:trPr>
        <w:tc>
          <w:tcPr>
            <w:tcW w:w="710" w:type="dxa"/>
            <w:tcBorders>
              <w:left w:val="single" w:sz="4" w:space="0" w:color="auto"/>
            </w:tcBorders>
            <w:shd w:val="clear" w:color="auto" w:fill="auto"/>
            <w:vAlign w:val="center"/>
          </w:tcPr>
          <w:p w:rsidR="00F66E52" w:rsidRPr="004B0B65" w:rsidRDefault="00F66E52" w:rsidP="00DE1F06">
            <w:pPr>
              <w:ind w:firstLine="260"/>
              <w:rPr>
                <w:rFonts w:ascii="Arial" w:eastAsia="Times New Roman" w:hAnsi="Arial" w:cs="Arial"/>
                <w:sz w:val="19"/>
                <w:szCs w:val="19"/>
              </w:rPr>
            </w:pPr>
            <w:r w:rsidRPr="004B0B65">
              <w:rPr>
                <w:rFonts w:ascii="Arial" w:eastAsia="Times New Roman" w:hAnsi="Arial" w:cs="Arial"/>
                <w:sz w:val="19"/>
                <w:szCs w:val="19"/>
              </w:rPr>
              <w:t>6</w:t>
            </w:r>
          </w:p>
        </w:tc>
        <w:tc>
          <w:tcPr>
            <w:tcW w:w="1814" w:type="dxa"/>
            <w:tcBorders>
              <w:left w:val="single" w:sz="4" w:space="0" w:color="auto"/>
            </w:tcBorders>
            <w:shd w:val="clear" w:color="auto" w:fill="auto"/>
            <w:vAlign w:val="center"/>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Соматостатин</w:t>
            </w:r>
          </w:p>
        </w:tc>
        <w:tc>
          <w:tcPr>
            <w:tcW w:w="816" w:type="dxa"/>
            <w:tcBorders>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912" w:type="dxa"/>
            <w:tcBorders>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1320" w:type="dxa"/>
            <w:tcBorders>
              <w:left w:val="single" w:sz="4" w:space="0" w:color="auto"/>
            </w:tcBorders>
            <w:shd w:val="clear" w:color="auto" w:fill="auto"/>
            <w:vAlign w:val="bottom"/>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1930" w:type="dxa"/>
            <w:tcBorders>
              <w:left w:val="single" w:sz="4" w:space="0" w:color="auto"/>
              <w:right w:val="single" w:sz="4" w:space="0" w:color="auto"/>
            </w:tcBorders>
            <w:shd w:val="clear" w:color="auto" w:fill="auto"/>
            <w:vAlign w:val="bottom"/>
          </w:tcPr>
          <w:p w:rsidR="00F66E52" w:rsidRPr="004B0B65" w:rsidRDefault="00F66E52" w:rsidP="00DE1F06">
            <w:pPr>
              <w:ind w:firstLine="760"/>
              <w:rPr>
                <w:rFonts w:ascii="Arial" w:eastAsia="Times New Roman" w:hAnsi="Arial" w:cs="Arial"/>
                <w:sz w:val="18"/>
                <w:szCs w:val="18"/>
              </w:rPr>
            </w:pPr>
            <w:r w:rsidRPr="004B0B65">
              <w:rPr>
                <w:rFonts w:ascii="Arial" w:eastAsia="Times New Roman" w:hAnsi="Arial" w:cs="Arial"/>
                <w:sz w:val="18"/>
                <w:szCs w:val="18"/>
              </w:rPr>
              <w:t>+/- ...</w:t>
            </w:r>
          </w:p>
        </w:tc>
      </w:tr>
      <w:tr w:rsidR="00F66E52" w:rsidRPr="004B0B65" w:rsidTr="0074786D">
        <w:trPr>
          <w:trHeight w:hRule="exact" w:val="432"/>
          <w:jc w:val="center"/>
        </w:trPr>
        <w:tc>
          <w:tcPr>
            <w:tcW w:w="710" w:type="dxa"/>
            <w:tcBorders>
              <w:left w:val="single" w:sz="4" w:space="0" w:color="auto"/>
            </w:tcBorders>
            <w:shd w:val="clear" w:color="auto" w:fill="auto"/>
          </w:tcPr>
          <w:p w:rsidR="00F66E52" w:rsidRPr="004B0B65" w:rsidRDefault="00F66E52" w:rsidP="00DE1F06">
            <w:pPr>
              <w:ind w:firstLine="260"/>
              <w:rPr>
                <w:rFonts w:ascii="Arial" w:eastAsia="Times New Roman" w:hAnsi="Arial" w:cs="Arial"/>
                <w:sz w:val="19"/>
                <w:szCs w:val="19"/>
              </w:rPr>
            </w:pPr>
            <w:r w:rsidRPr="004B0B65">
              <w:rPr>
                <w:rFonts w:ascii="Arial" w:eastAsia="Times New Roman" w:hAnsi="Arial" w:cs="Arial"/>
                <w:sz w:val="19"/>
                <w:szCs w:val="19"/>
              </w:rPr>
              <w:t>рр</w:t>
            </w:r>
          </w:p>
        </w:tc>
        <w:tc>
          <w:tcPr>
            <w:tcW w:w="1814" w:type="dxa"/>
            <w:tcBorders>
              <w:left w:val="single" w:sz="4" w:space="0" w:color="auto"/>
            </w:tcBorders>
            <w:shd w:val="clear" w:color="auto" w:fill="auto"/>
            <w:vAlign w:val="center"/>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Панкреатический полипептид</w:t>
            </w:r>
          </w:p>
        </w:tc>
        <w:tc>
          <w:tcPr>
            <w:tcW w:w="816" w:type="dxa"/>
            <w:tcBorders>
              <w:left w:val="single" w:sz="4" w:space="0" w:color="auto"/>
            </w:tcBorders>
            <w:shd w:val="clear" w:color="auto" w:fill="auto"/>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912" w:type="dxa"/>
            <w:tcBorders>
              <w:left w:val="single" w:sz="4" w:space="0" w:color="auto"/>
            </w:tcBorders>
            <w:shd w:val="clear" w:color="auto" w:fill="auto"/>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1320" w:type="dxa"/>
            <w:tcBorders>
              <w:left w:val="single" w:sz="4" w:space="0" w:color="auto"/>
            </w:tcBorders>
            <w:shd w:val="clear" w:color="auto" w:fill="auto"/>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1930" w:type="dxa"/>
            <w:tcBorders>
              <w:left w:val="single" w:sz="4" w:space="0" w:color="auto"/>
              <w:right w:val="single" w:sz="4" w:space="0" w:color="auto"/>
            </w:tcBorders>
            <w:shd w:val="clear" w:color="auto" w:fill="auto"/>
          </w:tcPr>
          <w:p w:rsidR="00F66E52" w:rsidRPr="004B0B65" w:rsidRDefault="00F66E52" w:rsidP="00DE1F06">
            <w:pPr>
              <w:ind w:right="900"/>
              <w:jc w:val="right"/>
              <w:rPr>
                <w:rFonts w:ascii="Arial" w:eastAsia="Times New Roman" w:hAnsi="Arial" w:cs="Arial"/>
                <w:sz w:val="18"/>
                <w:szCs w:val="18"/>
              </w:rPr>
            </w:pPr>
            <w:r w:rsidRPr="004B0B65">
              <w:rPr>
                <w:rFonts w:ascii="Arial" w:eastAsia="Times New Roman" w:hAnsi="Arial" w:cs="Arial"/>
                <w:sz w:val="18"/>
                <w:szCs w:val="18"/>
              </w:rPr>
              <w:t>■ —</w:t>
            </w:r>
          </w:p>
        </w:tc>
      </w:tr>
      <w:tr w:rsidR="00F66E52" w:rsidRPr="004B0B65" w:rsidTr="0074786D">
        <w:trPr>
          <w:trHeight w:hRule="exact" w:val="264"/>
          <w:jc w:val="center"/>
        </w:trPr>
        <w:tc>
          <w:tcPr>
            <w:tcW w:w="710" w:type="dxa"/>
            <w:tcBorders>
              <w:left w:val="single" w:sz="4" w:space="0" w:color="auto"/>
            </w:tcBorders>
            <w:shd w:val="clear" w:color="auto" w:fill="auto"/>
            <w:vAlign w:val="center"/>
          </w:tcPr>
          <w:p w:rsidR="00F66E52" w:rsidRPr="004B0B65" w:rsidRDefault="00F66E52" w:rsidP="00DE1F06">
            <w:pPr>
              <w:ind w:firstLine="260"/>
              <w:rPr>
                <w:rFonts w:ascii="Arial" w:eastAsia="Times New Roman" w:hAnsi="Arial" w:cs="Arial"/>
                <w:sz w:val="19"/>
                <w:szCs w:val="19"/>
              </w:rPr>
            </w:pPr>
            <w:r w:rsidRPr="004B0B65">
              <w:rPr>
                <w:rFonts w:ascii="Arial" w:eastAsia="Times New Roman" w:hAnsi="Arial" w:cs="Arial"/>
                <w:sz w:val="19"/>
                <w:szCs w:val="19"/>
                <w:lang w:val="en-US" w:eastAsia="en-US" w:bidi="en-US"/>
              </w:rPr>
              <w:t>G</w:t>
            </w:r>
          </w:p>
        </w:tc>
        <w:tc>
          <w:tcPr>
            <w:tcW w:w="1814" w:type="dxa"/>
            <w:tcBorders>
              <w:left w:val="single" w:sz="4" w:space="0" w:color="auto"/>
            </w:tcBorders>
            <w:shd w:val="clear" w:color="auto" w:fill="auto"/>
            <w:vAlign w:val="center"/>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Гастрин</w:t>
            </w:r>
          </w:p>
        </w:tc>
        <w:tc>
          <w:tcPr>
            <w:tcW w:w="816" w:type="dxa"/>
            <w:tcBorders>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912" w:type="dxa"/>
            <w:tcBorders>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1320" w:type="dxa"/>
            <w:tcBorders>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1930" w:type="dxa"/>
            <w:tcBorders>
              <w:left w:val="single" w:sz="4" w:space="0" w:color="auto"/>
              <w:righ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r>
      <w:tr w:rsidR="00F66E52" w:rsidRPr="004B0B65" w:rsidTr="0074786D">
        <w:trPr>
          <w:trHeight w:hRule="exact" w:val="442"/>
          <w:jc w:val="center"/>
        </w:trPr>
        <w:tc>
          <w:tcPr>
            <w:tcW w:w="710" w:type="dxa"/>
            <w:tcBorders>
              <w:left w:val="single" w:sz="4" w:space="0" w:color="auto"/>
            </w:tcBorders>
            <w:shd w:val="clear" w:color="auto" w:fill="auto"/>
          </w:tcPr>
          <w:p w:rsidR="00F66E52" w:rsidRPr="004B0B65" w:rsidRDefault="00F66E52" w:rsidP="00DE1F06">
            <w:pPr>
              <w:ind w:firstLine="260"/>
              <w:rPr>
                <w:rFonts w:ascii="Arial" w:eastAsia="Times New Roman" w:hAnsi="Arial" w:cs="Arial"/>
                <w:sz w:val="19"/>
                <w:szCs w:val="19"/>
              </w:rPr>
            </w:pPr>
            <w:r w:rsidRPr="004B0B65">
              <w:rPr>
                <w:rFonts w:ascii="Arial" w:eastAsia="Times New Roman" w:hAnsi="Arial" w:cs="Arial"/>
                <w:sz w:val="19"/>
                <w:szCs w:val="19"/>
              </w:rPr>
              <w:t>I</w:t>
            </w:r>
          </w:p>
        </w:tc>
        <w:tc>
          <w:tcPr>
            <w:tcW w:w="1814" w:type="dxa"/>
            <w:tcBorders>
              <w:left w:val="single" w:sz="4" w:space="0" w:color="auto"/>
            </w:tcBorders>
            <w:shd w:val="clear" w:color="auto" w:fill="auto"/>
            <w:vAlign w:val="center"/>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Холецистокинин- панкреозимин</w:t>
            </w:r>
          </w:p>
        </w:tc>
        <w:tc>
          <w:tcPr>
            <w:tcW w:w="816" w:type="dxa"/>
            <w:tcBorders>
              <w:left w:val="single" w:sz="4" w:space="0" w:color="auto"/>
            </w:tcBorders>
            <w:shd w:val="clear" w:color="auto" w:fill="auto"/>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912" w:type="dxa"/>
            <w:tcBorders>
              <w:left w:val="single" w:sz="4" w:space="0" w:color="auto"/>
            </w:tcBorders>
            <w:shd w:val="clear" w:color="auto" w:fill="auto"/>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1320" w:type="dxa"/>
            <w:tcBorders>
              <w:left w:val="single" w:sz="4" w:space="0" w:color="auto"/>
            </w:tcBorders>
            <w:shd w:val="clear" w:color="auto" w:fill="auto"/>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1930" w:type="dxa"/>
            <w:tcBorders>
              <w:left w:val="single" w:sz="4" w:space="0" w:color="auto"/>
              <w:right w:val="single" w:sz="4" w:space="0" w:color="auto"/>
            </w:tcBorders>
            <w:shd w:val="clear" w:color="auto" w:fill="auto"/>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r>
      <w:tr w:rsidR="00F66E52" w:rsidRPr="004B0B65" w:rsidTr="0074786D">
        <w:trPr>
          <w:trHeight w:hRule="exact" w:val="250"/>
          <w:jc w:val="center"/>
        </w:trPr>
        <w:tc>
          <w:tcPr>
            <w:tcW w:w="710" w:type="dxa"/>
            <w:tcBorders>
              <w:left w:val="single" w:sz="4" w:space="0" w:color="auto"/>
            </w:tcBorders>
            <w:shd w:val="clear" w:color="auto" w:fill="auto"/>
            <w:vAlign w:val="center"/>
          </w:tcPr>
          <w:p w:rsidR="00F66E52" w:rsidRPr="004B0B65" w:rsidRDefault="00F66E52" w:rsidP="00DE1F06">
            <w:pPr>
              <w:ind w:firstLine="260"/>
              <w:rPr>
                <w:rFonts w:ascii="Arial" w:eastAsia="Times New Roman" w:hAnsi="Arial" w:cs="Arial"/>
                <w:sz w:val="19"/>
                <w:szCs w:val="19"/>
              </w:rPr>
            </w:pPr>
            <w:r w:rsidRPr="004B0B65">
              <w:rPr>
                <w:rFonts w:ascii="Arial" w:eastAsia="Times New Roman" w:hAnsi="Arial" w:cs="Arial"/>
                <w:sz w:val="19"/>
                <w:szCs w:val="19"/>
                <w:lang w:val="en-US" w:eastAsia="en-US" w:bidi="en-US"/>
              </w:rPr>
              <w:t>S</w:t>
            </w:r>
          </w:p>
        </w:tc>
        <w:tc>
          <w:tcPr>
            <w:tcW w:w="1814" w:type="dxa"/>
            <w:tcBorders>
              <w:left w:val="single" w:sz="4" w:space="0" w:color="auto"/>
            </w:tcBorders>
            <w:shd w:val="clear" w:color="auto" w:fill="auto"/>
            <w:vAlign w:val="center"/>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Секретин</w:t>
            </w:r>
          </w:p>
        </w:tc>
        <w:tc>
          <w:tcPr>
            <w:tcW w:w="816" w:type="dxa"/>
            <w:tcBorders>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912" w:type="dxa"/>
            <w:tcBorders>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1320" w:type="dxa"/>
            <w:tcBorders>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1930" w:type="dxa"/>
            <w:tcBorders>
              <w:left w:val="single" w:sz="4" w:space="0" w:color="auto"/>
              <w:righ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r>
      <w:tr w:rsidR="00F66E52" w:rsidRPr="004B0B65" w:rsidTr="0074786D">
        <w:trPr>
          <w:trHeight w:hRule="exact" w:val="254"/>
          <w:jc w:val="center"/>
        </w:trPr>
        <w:tc>
          <w:tcPr>
            <w:tcW w:w="710" w:type="dxa"/>
            <w:tcBorders>
              <w:left w:val="single" w:sz="4" w:space="0" w:color="auto"/>
            </w:tcBorders>
            <w:shd w:val="clear" w:color="auto" w:fill="auto"/>
            <w:vAlign w:val="center"/>
          </w:tcPr>
          <w:p w:rsidR="00F66E52" w:rsidRPr="004B0B65" w:rsidRDefault="00F66E52" w:rsidP="00DE1F06">
            <w:pPr>
              <w:ind w:firstLine="180"/>
              <w:rPr>
                <w:rFonts w:ascii="Arial" w:eastAsia="Times New Roman" w:hAnsi="Arial" w:cs="Arial"/>
                <w:sz w:val="19"/>
                <w:szCs w:val="19"/>
              </w:rPr>
            </w:pPr>
            <w:r w:rsidRPr="004B0B65">
              <w:rPr>
                <w:rFonts w:ascii="Arial" w:eastAsia="Times New Roman" w:hAnsi="Arial" w:cs="Arial"/>
                <w:sz w:val="19"/>
                <w:szCs w:val="19"/>
              </w:rPr>
              <w:t>Мо</w:t>
            </w:r>
          </w:p>
        </w:tc>
        <w:tc>
          <w:tcPr>
            <w:tcW w:w="1814" w:type="dxa"/>
            <w:tcBorders>
              <w:left w:val="single" w:sz="4" w:space="0" w:color="auto"/>
            </w:tcBorders>
            <w:shd w:val="clear" w:color="auto" w:fill="auto"/>
            <w:vAlign w:val="center"/>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Моталин</w:t>
            </w:r>
          </w:p>
        </w:tc>
        <w:tc>
          <w:tcPr>
            <w:tcW w:w="816" w:type="dxa"/>
            <w:tcBorders>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912" w:type="dxa"/>
            <w:tcBorders>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1320" w:type="dxa"/>
            <w:tcBorders>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1930" w:type="dxa"/>
            <w:tcBorders>
              <w:left w:val="single" w:sz="4" w:space="0" w:color="auto"/>
              <w:right w:val="single" w:sz="4" w:space="0" w:color="auto"/>
            </w:tcBorders>
            <w:shd w:val="clear" w:color="auto" w:fill="auto"/>
            <w:vAlign w:val="bottom"/>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r>
      <w:tr w:rsidR="00F66E52" w:rsidRPr="004B0B65" w:rsidTr="0074786D">
        <w:trPr>
          <w:trHeight w:hRule="exact" w:val="341"/>
          <w:jc w:val="center"/>
        </w:trPr>
        <w:tc>
          <w:tcPr>
            <w:tcW w:w="710" w:type="dxa"/>
            <w:tcBorders>
              <w:left w:val="single" w:sz="4" w:space="0" w:color="auto"/>
              <w:bottom w:val="single" w:sz="4" w:space="0" w:color="auto"/>
            </w:tcBorders>
            <w:shd w:val="clear" w:color="auto" w:fill="auto"/>
          </w:tcPr>
          <w:p w:rsidR="00F66E52" w:rsidRPr="004B0B65" w:rsidRDefault="00F66E52" w:rsidP="00DE1F06">
            <w:pPr>
              <w:ind w:firstLine="260"/>
              <w:rPr>
                <w:rFonts w:ascii="Arial" w:eastAsia="Times New Roman" w:hAnsi="Arial" w:cs="Arial"/>
                <w:sz w:val="19"/>
                <w:szCs w:val="19"/>
              </w:rPr>
            </w:pPr>
            <w:r w:rsidRPr="004B0B65">
              <w:rPr>
                <w:rFonts w:ascii="Arial" w:eastAsia="Times New Roman" w:hAnsi="Arial" w:cs="Arial"/>
                <w:sz w:val="19"/>
                <w:szCs w:val="19"/>
                <w:lang w:val="en-US" w:eastAsia="en-US" w:bidi="en-US"/>
              </w:rPr>
              <w:t>N</w:t>
            </w:r>
          </w:p>
        </w:tc>
        <w:tc>
          <w:tcPr>
            <w:tcW w:w="1814" w:type="dxa"/>
            <w:tcBorders>
              <w:left w:val="single" w:sz="4" w:space="0" w:color="auto"/>
              <w:bottom w:val="single" w:sz="4" w:space="0" w:color="auto"/>
            </w:tcBorders>
            <w:shd w:val="clear" w:color="auto" w:fill="auto"/>
            <w:vAlign w:val="center"/>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Нейротензин</w:t>
            </w:r>
          </w:p>
        </w:tc>
        <w:tc>
          <w:tcPr>
            <w:tcW w:w="816" w:type="dxa"/>
            <w:tcBorders>
              <w:left w:val="single" w:sz="4" w:space="0" w:color="auto"/>
              <w:bottom w:val="single" w:sz="4" w:space="0" w:color="auto"/>
            </w:tcBorders>
            <w:shd w:val="clear" w:color="auto" w:fill="auto"/>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912" w:type="dxa"/>
            <w:tcBorders>
              <w:left w:val="single" w:sz="4" w:space="0" w:color="auto"/>
              <w:bottom w:val="single" w:sz="4" w:space="0" w:color="auto"/>
            </w:tcBorders>
            <w:shd w:val="clear" w:color="auto" w:fill="auto"/>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1320" w:type="dxa"/>
            <w:tcBorders>
              <w:left w:val="single" w:sz="4" w:space="0" w:color="auto"/>
              <w:bottom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c>
          <w:tcPr>
            <w:tcW w:w="1930" w:type="dxa"/>
            <w:tcBorders>
              <w:left w:val="single" w:sz="4" w:space="0" w:color="auto"/>
              <w:bottom w:val="single" w:sz="4" w:space="0" w:color="auto"/>
              <w:right w:val="single" w:sz="4" w:space="0" w:color="auto"/>
            </w:tcBorders>
            <w:shd w:val="clear" w:color="auto" w:fill="auto"/>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w:t>
            </w:r>
          </w:p>
        </w:tc>
      </w:tr>
    </w:tbl>
    <w:p w:rsidR="00F66E52" w:rsidRPr="004B0B65" w:rsidRDefault="00F66E52" w:rsidP="00DE1F06">
      <w:pPr>
        <w:rPr>
          <w:rFonts w:ascii="Arial" w:hAnsi="Arial" w:cs="Arial"/>
        </w:rPr>
      </w:pPr>
    </w:p>
    <w:p w:rsidR="00F66E52" w:rsidRPr="004B0B65" w:rsidRDefault="00F66E52"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Если суммировать имеющиеся на сегодняшний день представления о физиологической роли кишечных и панкреатических гормонов, то в основ</w:t>
      </w:r>
      <w:r w:rsidRPr="004B0B65">
        <w:rPr>
          <w:rFonts w:ascii="Arial" w:eastAsia="Times New Roman" w:hAnsi="Arial" w:cs="Arial"/>
          <w:sz w:val="22"/>
          <w:szCs w:val="22"/>
        </w:rPr>
        <w:softHyphen/>
        <w:t>ном она состоит в регуляции процессов пищеварения (все желудочно- кишечные гормоны), клеточного метаболизма (инсулин) и эндогенного синтеза его основных субстратов (инсулин, глюкагон). Эндокринная система</w:t>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 xml:space="preserve">Таблица 13.3. </w:t>
      </w:r>
      <w:r w:rsidRPr="004B0B65">
        <w:rPr>
          <w:rFonts w:ascii="Arial" w:eastAsia="Times New Roman" w:hAnsi="Arial" w:cs="Arial"/>
          <w:b/>
          <w:bCs/>
          <w:sz w:val="19"/>
          <w:szCs w:val="19"/>
        </w:rPr>
        <w:t>Желудочно-кишечные гормоны семейства секретина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970"/>
        <w:gridCol w:w="2362"/>
        <w:gridCol w:w="4147"/>
      </w:tblGrid>
      <w:tr w:rsidR="00F66E52" w:rsidRPr="004B0B65" w:rsidTr="0074786D">
        <w:trPr>
          <w:trHeight w:hRule="exact" w:val="547"/>
          <w:jc w:val="center"/>
        </w:trPr>
        <w:tc>
          <w:tcPr>
            <w:tcW w:w="970" w:type="dxa"/>
            <w:tcBorders>
              <w:top w:val="single" w:sz="4" w:space="0" w:color="auto"/>
              <w:left w:val="single" w:sz="4" w:space="0" w:color="auto"/>
            </w:tcBorders>
            <w:shd w:val="clear" w:color="auto" w:fill="auto"/>
            <w:vAlign w:val="center"/>
          </w:tcPr>
          <w:p w:rsidR="00F66E52" w:rsidRPr="004B0B65" w:rsidRDefault="00F66E52" w:rsidP="00DE1F06">
            <w:pPr>
              <w:ind w:firstLine="180"/>
              <w:rPr>
                <w:rFonts w:ascii="Arial" w:eastAsia="Times New Roman" w:hAnsi="Arial" w:cs="Arial"/>
                <w:sz w:val="18"/>
                <w:szCs w:val="18"/>
              </w:rPr>
            </w:pPr>
            <w:r w:rsidRPr="004B0B65">
              <w:rPr>
                <w:rFonts w:ascii="Arial" w:eastAsia="Times New Roman" w:hAnsi="Arial" w:cs="Arial"/>
                <w:sz w:val="18"/>
                <w:szCs w:val="18"/>
              </w:rPr>
              <w:t>Гормон</w:t>
            </w:r>
          </w:p>
        </w:tc>
        <w:tc>
          <w:tcPr>
            <w:tcW w:w="2362" w:type="dxa"/>
            <w:tcBorders>
              <w:top w:val="single" w:sz="4" w:space="0" w:color="auto"/>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Локализация гормон- секретирующих клеток</w:t>
            </w:r>
          </w:p>
        </w:tc>
        <w:tc>
          <w:tcPr>
            <w:tcW w:w="4147" w:type="dxa"/>
            <w:tcBorders>
              <w:top w:val="single" w:sz="4" w:space="0" w:color="auto"/>
              <w:left w:val="single" w:sz="4" w:space="0" w:color="auto"/>
              <w:righ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Функция</w:t>
            </w:r>
          </w:p>
        </w:tc>
      </w:tr>
      <w:tr w:rsidR="00F66E52" w:rsidRPr="004B0B65" w:rsidTr="0074786D">
        <w:trPr>
          <w:trHeight w:hRule="exact" w:val="2496"/>
          <w:jc w:val="center"/>
        </w:trPr>
        <w:tc>
          <w:tcPr>
            <w:tcW w:w="970" w:type="dxa"/>
            <w:tcBorders>
              <w:top w:val="single" w:sz="4" w:space="0" w:color="auto"/>
              <w:left w:val="single" w:sz="4" w:space="0" w:color="auto"/>
              <w:bottom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Секретин</w:t>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ВИП</w:t>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ЖИП</w:t>
            </w:r>
          </w:p>
        </w:tc>
        <w:tc>
          <w:tcPr>
            <w:tcW w:w="2362" w:type="dxa"/>
            <w:tcBorders>
              <w:top w:val="single" w:sz="4" w:space="0" w:color="auto"/>
              <w:left w:val="single" w:sz="4" w:space="0" w:color="auto"/>
              <w:bottom w:val="single" w:sz="4" w:space="0" w:color="auto"/>
            </w:tcBorders>
            <w:shd w:val="clear" w:color="auto" w:fill="auto"/>
            <w:vAlign w:val="center"/>
          </w:tcPr>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lang w:val="en-US" w:eastAsia="en-US" w:bidi="en-US"/>
              </w:rPr>
              <w:t>S</w:t>
            </w:r>
            <w:r w:rsidRPr="004B0B65">
              <w:rPr>
                <w:rFonts w:ascii="Arial" w:eastAsia="Times New Roman" w:hAnsi="Arial" w:cs="Arial"/>
                <w:sz w:val="19"/>
                <w:szCs w:val="19"/>
              </w:rPr>
              <w:t>-клетки слизистой обо</w:t>
            </w:r>
            <w:r w:rsidRPr="004B0B65">
              <w:rPr>
                <w:rFonts w:ascii="Arial" w:eastAsia="Times New Roman" w:hAnsi="Arial" w:cs="Arial"/>
                <w:sz w:val="19"/>
                <w:szCs w:val="19"/>
              </w:rPr>
              <w:softHyphen/>
              <w:t>лочки двенадцатиперст</w:t>
            </w:r>
            <w:r w:rsidRPr="004B0B65">
              <w:rPr>
                <w:rFonts w:ascii="Arial" w:eastAsia="Times New Roman" w:hAnsi="Arial" w:cs="Arial"/>
                <w:sz w:val="19"/>
                <w:szCs w:val="19"/>
              </w:rPr>
              <w:softHyphen/>
              <w:t>ной и тощей кишки</w:t>
            </w:r>
          </w:p>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lang w:val="en-US" w:eastAsia="en-US" w:bidi="en-US"/>
              </w:rPr>
              <w:t>Di</w:t>
            </w:r>
            <w:r w:rsidRPr="004B0B65">
              <w:rPr>
                <w:rFonts w:ascii="Arial" w:eastAsia="Times New Roman" w:hAnsi="Arial" w:cs="Arial"/>
                <w:sz w:val="19"/>
                <w:szCs w:val="19"/>
              </w:rPr>
              <w:t>-клетки поджелудоч</w:t>
            </w:r>
            <w:r w:rsidRPr="004B0B65">
              <w:rPr>
                <w:rFonts w:ascii="Arial" w:eastAsia="Times New Roman" w:hAnsi="Arial" w:cs="Arial"/>
                <w:sz w:val="19"/>
                <w:szCs w:val="19"/>
              </w:rPr>
              <w:softHyphen/>
              <w:t>ной железы и тонкой кишки</w:t>
            </w:r>
          </w:p>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rPr>
              <w:t>К-клетки слизистой обо</w:t>
            </w:r>
            <w:r w:rsidRPr="004B0B65">
              <w:rPr>
                <w:rFonts w:ascii="Arial" w:eastAsia="Times New Roman" w:hAnsi="Arial" w:cs="Arial"/>
                <w:sz w:val="19"/>
                <w:szCs w:val="19"/>
              </w:rPr>
              <w:softHyphen/>
              <w:t>лочки двенадцатиперст</w:t>
            </w:r>
            <w:r w:rsidRPr="004B0B65">
              <w:rPr>
                <w:rFonts w:ascii="Arial" w:eastAsia="Times New Roman" w:hAnsi="Arial" w:cs="Arial"/>
                <w:sz w:val="19"/>
                <w:szCs w:val="19"/>
              </w:rPr>
              <w:softHyphen/>
              <w:t>ной и тощей кишки</w:t>
            </w:r>
          </w:p>
        </w:tc>
        <w:tc>
          <w:tcPr>
            <w:tcW w:w="4147" w:type="dxa"/>
            <w:tcBorders>
              <w:top w:val="single" w:sz="4" w:space="0" w:color="auto"/>
              <w:left w:val="single" w:sz="4" w:space="0" w:color="auto"/>
              <w:bottom w:val="single" w:sz="4" w:space="0" w:color="auto"/>
              <w:right w:val="single" w:sz="4" w:space="0" w:color="auto"/>
            </w:tcBorders>
            <w:shd w:val="clear" w:color="auto" w:fill="auto"/>
            <w:vAlign w:val="center"/>
          </w:tcPr>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rPr>
              <w:t>Стимулятор секреции панкреатического со</w:t>
            </w:r>
            <w:r w:rsidRPr="004B0B65">
              <w:rPr>
                <w:rFonts w:ascii="Arial" w:eastAsia="Times New Roman" w:hAnsi="Arial" w:cs="Arial"/>
                <w:sz w:val="19"/>
                <w:szCs w:val="19"/>
              </w:rPr>
              <w:softHyphen/>
              <w:t>ка. Его секрецию стимулирует попадание в кишечник кислого желудочного содержимого Контролирует поступление жидкости в про</w:t>
            </w:r>
            <w:r w:rsidRPr="004B0B65">
              <w:rPr>
                <w:rFonts w:ascii="Arial" w:eastAsia="Times New Roman" w:hAnsi="Arial" w:cs="Arial"/>
                <w:sz w:val="19"/>
                <w:szCs w:val="19"/>
              </w:rPr>
              <w:softHyphen/>
              <w:t>свет кишечника и работу его сфинктеров, в высоких концентрациях стимулирует про</w:t>
            </w:r>
            <w:r w:rsidRPr="004B0B65">
              <w:rPr>
                <w:rFonts w:ascii="Arial" w:eastAsia="Times New Roman" w:hAnsi="Arial" w:cs="Arial"/>
                <w:sz w:val="19"/>
                <w:szCs w:val="19"/>
              </w:rPr>
              <w:softHyphen/>
              <w:t>дукцию панкреатического и кишечного сока Подавляет сократительную и секреторную активность желудка, потенцирует стимули</w:t>
            </w:r>
            <w:r w:rsidRPr="004B0B65">
              <w:rPr>
                <w:rFonts w:ascii="Arial" w:eastAsia="Times New Roman" w:hAnsi="Arial" w:cs="Arial"/>
                <w:sz w:val="19"/>
                <w:szCs w:val="19"/>
              </w:rPr>
              <w:softHyphen/>
              <w:t>рующий эффект глюкозы на р-клетки ост</w:t>
            </w:r>
            <w:r w:rsidRPr="004B0B65">
              <w:rPr>
                <w:rFonts w:ascii="Arial" w:eastAsia="Times New Roman" w:hAnsi="Arial" w:cs="Arial"/>
                <w:sz w:val="19"/>
                <w:szCs w:val="19"/>
              </w:rPr>
              <w:softHyphen/>
              <w:t>ровков Лангерганса</w:t>
            </w:r>
          </w:p>
        </w:tc>
      </w:tr>
    </w:tbl>
    <w:p w:rsidR="00F66E52" w:rsidRPr="004B0B65" w:rsidRDefault="00F66E52" w:rsidP="00DE1F06">
      <w:pPr>
        <w:rPr>
          <w:rFonts w:ascii="Arial" w:hAnsi="Arial" w:cs="Arial"/>
        </w:rPr>
      </w:pPr>
    </w:p>
    <w:p w:rsidR="00F66E52" w:rsidRPr="004B0B65" w:rsidRDefault="00F66E52" w:rsidP="00DE1F06">
      <w:pPr>
        <w:jc w:val="both"/>
        <w:rPr>
          <w:rFonts w:ascii="Arial" w:eastAsia="Times New Roman" w:hAnsi="Arial" w:cs="Arial"/>
          <w:sz w:val="22"/>
          <w:szCs w:val="22"/>
        </w:rPr>
      </w:pPr>
      <w:r w:rsidRPr="004B0B65">
        <w:rPr>
          <w:rFonts w:ascii="Arial" w:eastAsia="Times New Roman" w:hAnsi="Arial" w:cs="Arial"/>
          <w:sz w:val="22"/>
          <w:szCs w:val="22"/>
        </w:rPr>
        <w:t>ЖКТ и ПЖЖ имеет сложнейшую систему внутренней гуморальной регуля</w:t>
      </w:r>
      <w:r w:rsidRPr="004B0B65">
        <w:rPr>
          <w:rFonts w:ascii="Arial" w:eastAsia="Times New Roman" w:hAnsi="Arial" w:cs="Arial"/>
          <w:sz w:val="22"/>
          <w:szCs w:val="22"/>
        </w:rPr>
        <w:softHyphen/>
        <w:t>ции: большинство из описанных гормонов, помимо внешних эффектов, тем или иным образом влияют на секрецию других. Многие желудочно-ки</w:t>
      </w:r>
      <w:r w:rsidRPr="004B0B65">
        <w:rPr>
          <w:rFonts w:ascii="Arial" w:eastAsia="Times New Roman" w:hAnsi="Arial" w:cs="Arial"/>
          <w:sz w:val="22"/>
          <w:szCs w:val="22"/>
        </w:rPr>
        <w:softHyphen/>
        <w:t>шечные гормоны и пептиды, помимо ЖКТ, обнаруживаются в головном мозге.</w:t>
      </w:r>
    </w:p>
    <w:p w:rsidR="00F66E52" w:rsidRPr="004B0B65" w:rsidRDefault="00F66E52"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Панкреатические и желудочно-кишечные гормоны представляют собой гетерогенную группу гуморальных факторов. Часть из них, как, например, гастрин, секретин, мотилин, холецистокинин, соответствует классическому понятию «гормон» (гуморальный фактор, оказывающий действие на отда</w:t>
      </w:r>
      <w:r w:rsidRPr="004B0B65">
        <w:rPr>
          <w:rFonts w:ascii="Arial" w:eastAsia="Times New Roman" w:hAnsi="Arial" w:cs="Arial"/>
          <w:sz w:val="22"/>
          <w:szCs w:val="22"/>
        </w:rPr>
        <w:softHyphen/>
        <w:t xml:space="preserve">ленные от него структуры). Другие </w:t>
      </w:r>
      <w:r w:rsidRPr="004B0B65">
        <w:rPr>
          <w:rFonts w:ascii="Arial" w:eastAsia="Times New Roman" w:hAnsi="Arial" w:cs="Arial"/>
          <w:sz w:val="22"/>
          <w:szCs w:val="22"/>
        </w:rPr>
        <w:lastRenderedPageBreak/>
        <w:t>гормоны действуют паракринно и ней- рокринно, т.е. как ложные нейромедиаторы. Нейрокринными свойствами обладают вазоактивный интестинальный пептид, нейротензин, вещество Р, соматостатин и др.</w:t>
      </w:r>
    </w:p>
    <w:p w:rsidR="00F66E52" w:rsidRPr="004B0B65" w:rsidRDefault="00F66E52"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Семейства близкородственных желудочно-кишечных гормонов и пеп</w:t>
      </w:r>
      <w:r w:rsidRPr="004B0B65">
        <w:rPr>
          <w:rFonts w:ascii="Arial" w:eastAsia="Times New Roman" w:hAnsi="Arial" w:cs="Arial"/>
          <w:sz w:val="22"/>
          <w:szCs w:val="22"/>
        </w:rPr>
        <w:softHyphen/>
        <w:t>тидов имеют много общего в химической структуре и физиологических функциях. На основании этого было предложено подразделение желудоч</w:t>
      </w:r>
      <w:r w:rsidRPr="004B0B65">
        <w:rPr>
          <w:rFonts w:ascii="Arial" w:eastAsia="Times New Roman" w:hAnsi="Arial" w:cs="Arial"/>
          <w:sz w:val="22"/>
          <w:szCs w:val="22"/>
        </w:rPr>
        <w:softHyphen/>
        <w:t>но-кишечных гормонов на 3 семейства: секретина, гастрина и панкреати</w:t>
      </w:r>
      <w:r w:rsidRPr="004B0B65">
        <w:rPr>
          <w:rFonts w:ascii="Arial" w:eastAsia="Times New Roman" w:hAnsi="Arial" w:cs="Arial"/>
          <w:sz w:val="22"/>
          <w:szCs w:val="22"/>
        </w:rPr>
        <w:softHyphen/>
        <w:t>ческого полипептида.</w:t>
      </w:r>
    </w:p>
    <w:p w:rsidR="00F66E52" w:rsidRPr="004B0B65" w:rsidRDefault="00F66E52"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 xml:space="preserve">К </w:t>
      </w:r>
      <w:r w:rsidRPr="004B0B65">
        <w:rPr>
          <w:rFonts w:ascii="Arial" w:eastAsia="Times New Roman" w:hAnsi="Arial" w:cs="Arial"/>
          <w:i/>
          <w:iCs/>
          <w:sz w:val="22"/>
          <w:szCs w:val="22"/>
        </w:rPr>
        <w:t>семейству секретина</w:t>
      </w:r>
      <w:r w:rsidRPr="004B0B65">
        <w:rPr>
          <w:rFonts w:ascii="Arial" w:eastAsia="Times New Roman" w:hAnsi="Arial" w:cs="Arial"/>
          <w:sz w:val="22"/>
          <w:szCs w:val="22"/>
        </w:rPr>
        <w:t xml:space="preserve"> (табл. 13.3) относятся секретин, вазоактивный интестинальный пептид (ВИП), глюкагон (энтероглюкагон) и желудочный ингибиторный пептид (ЖИП). Гормоны семейства секретина имеют много идентичных аминокислотных участков и в 6-м положении все имеют фе</w:t>
      </w:r>
      <w:r w:rsidRPr="004B0B65">
        <w:rPr>
          <w:rFonts w:ascii="Arial" w:eastAsia="Times New Roman" w:hAnsi="Arial" w:cs="Arial"/>
          <w:sz w:val="22"/>
          <w:szCs w:val="22"/>
        </w:rPr>
        <w:softHyphen/>
        <w:t>нилаланин.</w:t>
      </w:r>
    </w:p>
    <w:p w:rsidR="00F66E52" w:rsidRPr="004B0B65" w:rsidRDefault="00F66E52" w:rsidP="00DE1F06">
      <w:pPr>
        <w:ind w:firstLine="420"/>
        <w:jc w:val="both"/>
        <w:rPr>
          <w:rFonts w:ascii="Arial" w:eastAsia="Times New Roman" w:hAnsi="Arial" w:cs="Arial"/>
          <w:sz w:val="22"/>
          <w:szCs w:val="22"/>
        </w:rPr>
      </w:pPr>
      <w:r w:rsidRPr="004B0B65">
        <w:rPr>
          <w:rFonts w:ascii="Arial" w:eastAsia="Times New Roman" w:hAnsi="Arial" w:cs="Arial"/>
          <w:i/>
          <w:iCs/>
          <w:sz w:val="22"/>
          <w:szCs w:val="22"/>
        </w:rPr>
        <w:t>Семейство гастрина</w:t>
      </w:r>
      <w:r w:rsidRPr="004B0B65">
        <w:rPr>
          <w:rFonts w:ascii="Arial" w:eastAsia="Times New Roman" w:hAnsi="Arial" w:cs="Arial"/>
          <w:sz w:val="22"/>
          <w:szCs w:val="22"/>
        </w:rPr>
        <w:t xml:space="preserve"> объединяет гастрин и холецистокинин-панкреози</w:t>
      </w:r>
      <w:r w:rsidRPr="004B0B65">
        <w:rPr>
          <w:rFonts w:ascii="Arial" w:eastAsia="Times New Roman" w:hAnsi="Arial" w:cs="Arial"/>
          <w:sz w:val="22"/>
          <w:szCs w:val="22"/>
        </w:rPr>
        <w:softHyphen/>
        <w:t>мин (ХКП), имеющие аналогичную последовательность пяти С-терминаль- ных аминокислот (табл. 13.4).</w:t>
      </w:r>
    </w:p>
    <w:p w:rsidR="00F66E52" w:rsidRPr="004B0B65" w:rsidRDefault="00F66E52"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Гастрин является наиболее гетерогенным по структуре кишечным гор</w:t>
      </w:r>
      <w:r w:rsidRPr="004B0B65">
        <w:rPr>
          <w:rFonts w:ascii="Arial" w:eastAsia="Times New Roman" w:hAnsi="Arial" w:cs="Arial"/>
          <w:sz w:val="22"/>
          <w:szCs w:val="22"/>
        </w:rPr>
        <w:softHyphen/>
        <w:t>моном, что необходимо помнить при определении различными методами его уровня в плазме. Первыми предшественниками биологически активных гормонов являются препрогастрин и прогастрин. Сам гастрин присутствует в плазме как минимум в трех основных формах: гастрин-34, гастрин-17 и гастрин-14, которые объединяют последовательность 14 С-концевых ами</w:t>
      </w:r>
      <w:r w:rsidRPr="004B0B65">
        <w:rPr>
          <w:rFonts w:ascii="Arial" w:eastAsia="Times New Roman" w:hAnsi="Arial" w:cs="Arial"/>
          <w:sz w:val="22"/>
          <w:szCs w:val="22"/>
        </w:rPr>
        <w:softHyphen/>
        <w:t>нокислот (рис. 13.1). Каждая форма, кроме того, может существовать и в сульфатированном виде. Главным стимулятором желудочной секреции считается гастрин-17. Гастрин-34 циркулирует в плазме крови в значительно</w:t>
      </w:r>
    </w:p>
    <w:p w:rsidR="00F66E52" w:rsidRPr="004B0B65" w:rsidRDefault="00F66E52" w:rsidP="00DE1F06">
      <w:pPr>
        <w:jc w:val="center"/>
        <w:rPr>
          <w:rFonts w:ascii="Arial" w:hAnsi="Arial" w:cs="Arial"/>
          <w:sz w:val="2"/>
          <w:szCs w:val="2"/>
        </w:rPr>
      </w:pPr>
      <w:r w:rsidRPr="004B0B65">
        <w:rPr>
          <w:rFonts w:ascii="Arial" w:hAnsi="Arial" w:cs="Arial"/>
          <w:noProof/>
          <w:lang w:bidi="ar-SA"/>
        </w:rPr>
        <w:drawing>
          <wp:inline distT="0" distB="0" distL="0" distR="0" wp14:anchorId="27B12631" wp14:editId="5212EDA8">
            <wp:extent cx="4340225" cy="2078990"/>
            <wp:effectExtent l="0" t="0" r="0" b="0"/>
            <wp:docPr id="1199" name="Picutre 1199"/>
            <wp:cNvGraphicFramePr/>
            <a:graphic xmlns:a="http://schemas.openxmlformats.org/drawingml/2006/main">
              <a:graphicData uri="http://schemas.openxmlformats.org/drawingml/2006/picture">
                <pic:pic xmlns:pic="http://schemas.openxmlformats.org/drawingml/2006/picture">
                  <pic:nvPicPr>
                    <pic:cNvPr id="1199" name="Picture 1199"/>
                    <pic:cNvPicPr/>
                  </pic:nvPicPr>
                  <pic:blipFill>
                    <a:blip r:embed="rId8"/>
                    <a:stretch/>
                  </pic:blipFill>
                  <pic:spPr>
                    <a:xfrm>
                      <a:off x="0" y="0"/>
                      <a:ext cx="4340225" cy="2078990"/>
                    </a:xfrm>
                    <a:prstGeom prst="rect">
                      <a:avLst/>
                    </a:prstGeom>
                  </pic:spPr>
                </pic:pic>
              </a:graphicData>
            </a:graphic>
          </wp:inline>
        </w:drawing>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b/>
          <w:bCs/>
          <w:sz w:val="19"/>
          <w:szCs w:val="19"/>
        </w:rPr>
        <w:t xml:space="preserve">Рис. 13.1. </w:t>
      </w:r>
      <w:r w:rsidRPr="004B0B65">
        <w:rPr>
          <w:rFonts w:ascii="Arial" w:eastAsia="Times New Roman" w:hAnsi="Arial" w:cs="Arial"/>
          <w:sz w:val="19"/>
          <w:szCs w:val="19"/>
        </w:rPr>
        <w:t>Предшественники и молекулярные формы гастрина.</w:t>
      </w:r>
    </w:p>
    <w:p w:rsidR="00F66E52" w:rsidRPr="004B0B65" w:rsidRDefault="00F66E52" w:rsidP="00DE1F06">
      <w:pPr>
        <w:rPr>
          <w:rFonts w:ascii="Arial" w:hAnsi="Arial" w:cs="Arial"/>
        </w:rPr>
      </w:pPr>
    </w:p>
    <w:p w:rsidR="00F66E52" w:rsidRPr="004B0B65" w:rsidRDefault="00F66E52" w:rsidP="00DE1F06">
      <w:pPr>
        <w:rPr>
          <w:rFonts w:ascii="Arial" w:hAnsi="Arial" w:cs="Arial"/>
        </w:rPr>
      </w:pPr>
    </w:p>
    <w:p w:rsidR="00F66E52" w:rsidRPr="004B0B65" w:rsidRDefault="00F66E52" w:rsidP="00DE1F06">
      <w:pPr>
        <w:ind w:left="43"/>
        <w:rPr>
          <w:rFonts w:ascii="Arial" w:eastAsia="Times New Roman" w:hAnsi="Arial" w:cs="Arial"/>
          <w:sz w:val="19"/>
          <w:szCs w:val="19"/>
        </w:rPr>
      </w:pPr>
      <w:r w:rsidRPr="004B0B65">
        <w:rPr>
          <w:rFonts w:ascii="Arial" w:eastAsia="Times New Roman" w:hAnsi="Arial" w:cs="Arial"/>
          <w:b/>
          <w:bCs/>
          <w:sz w:val="19"/>
          <w:szCs w:val="19"/>
        </w:rPr>
        <w:t>Таблица 13.4. Желудочно-кишечные гормоны семейства гастрина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8"/>
        <w:gridCol w:w="1738"/>
        <w:gridCol w:w="4867"/>
      </w:tblGrid>
      <w:tr w:rsidR="00F66E52" w:rsidRPr="004B0B65" w:rsidTr="0074786D">
        <w:trPr>
          <w:trHeight w:hRule="exact" w:val="749"/>
          <w:jc w:val="center"/>
        </w:trPr>
        <w:tc>
          <w:tcPr>
            <w:tcW w:w="888" w:type="dxa"/>
            <w:tcBorders>
              <w:top w:val="single" w:sz="4" w:space="0" w:color="auto"/>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Гормон</w:t>
            </w:r>
          </w:p>
        </w:tc>
        <w:tc>
          <w:tcPr>
            <w:tcW w:w="1738" w:type="dxa"/>
            <w:tcBorders>
              <w:top w:val="single" w:sz="4" w:space="0" w:color="auto"/>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Локализация гормонсекрети- рующих клеток</w:t>
            </w:r>
          </w:p>
        </w:tc>
        <w:tc>
          <w:tcPr>
            <w:tcW w:w="4867" w:type="dxa"/>
            <w:tcBorders>
              <w:top w:val="single" w:sz="4" w:space="0" w:color="auto"/>
              <w:left w:val="single" w:sz="4" w:space="0" w:color="auto"/>
              <w:righ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Функция</w:t>
            </w:r>
          </w:p>
        </w:tc>
      </w:tr>
      <w:tr w:rsidR="00F66E52" w:rsidRPr="004B0B65" w:rsidTr="0074786D">
        <w:trPr>
          <w:trHeight w:hRule="exact" w:val="802"/>
          <w:jc w:val="center"/>
        </w:trPr>
        <w:tc>
          <w:tcPr>
            <w:tcW w:w="888" w:type="dxa"/>
            <w:tcBorders>
              <w:top w:val="single" w:sz="4" w:space="0" w:color="auto"/>
              <w:left w:val="single" w:sz="4" w:space="0" w:color="auto"/>
            </w:tcBorders>
            <w:shd w:val="clear" w:color="auto" w:fill="auto"/>
            <w:vAlign w:val="center"/>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Гастрин</w:t>
            </w:r>
          </w:p>
        </w:tc>
        <w:tc>
          <w:tcPr>
            <w:tcW w:w="1738" w:type="dxa"/>
            <w:tcBorders>
              <w:top w:val="single" w:sz="4" w:space="0" w:color="auto"/>
              <w:left w:val="single" w:sz="4" w:space="0" w:color="auto"/>
            </w:tcBorders>
            <w:shd w:val="clear" w:color="auto" w:fill="auto"/>
            <w:vAlign w:val="bottom"/>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lang w:val="en-US" w:eastAsia="en-US" w:bidi="en-US"/>
              </w:rPr>
              <w:t>G</w:t>
            </w:r>
            <w:r w:rsidRPr="004B0B65">
              <w:rPr>
                <w:rFonts w:ascii="Arial" w:eastAsia="Times New Roman" w:hAnsi="Arial" w:cs="Arial"/>
                <w:sz w:val="19"/>
                <w:szCs w:val="19"/>
              </w:rPr>
              <w:t>-клетки желудка и двенадцати</w:t>
            </w:r>
            <w:r w:rsidRPr="004B0B65">
              <w:rPr>
                <w:rFonts w:ascii="Arial" w:eastAsia="Times New Roman" w:hAnsi="Arial" w:cs="Arial"/>
                <w:sz w:val="19"/>
                <w:szCs w:val="19"/>
              </w:rPr>
              <w:softHyphen/>
              <w:t>перстной кишки</w:t>
            </w:r>
          </w:p>
        </w:tc>
        <w:tc>
          <w:tcPr>
            <w:tcW w:w="4867" w:type="dxa"/>
            <w:tcBorders>
              <w:top w:val="single" w:sz="4" w:space="0" w:color="auto"/>
              <w:left w:val="single" w:sz="4" w:space="0" w:color="auto"/>
              <w:right w:val="single" w:sz="4" w:space="0" w:color="auto"/>
            </w:tcBorders>
            <w:shd w:val="clear" w:color="auto" w:fill="auto"/>
            <w:vAlign w:val="bottom"/>
          </w:tcPr>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rPr>
              <w:t>Стимулирует секрецию соляной кислоты париеталь</w:t>
            </w:r>
            <w:r w:rsidRPr="004B0B65">
              <w:rPr>
                <w:rFonts w:ascii="Arial" w:eastAsia="Times New Roman" w:hAnsi="Arial" w:cs="Arial"/>
                <w:sz w:val="19"/>
                <w:szCs w:val="19"/>
              </w:rPr>
              <w:softHyphen/>
              <w:t>ными клетками желудка. Его секреция стимулируется попаданием в желудок пептидов и аминокислот</w:t>
            </w:r>
          </w:p>
        </w:tc>
      </w:tr>
      <w:tr w:rsidR="00F66E52" w:rsidRPr="004B0B65" w:rsidTr="0074786D">
        <w:trPr>
          <w:trHeight w:hRule="exact" w:val="912"/>
          <w:jc w:val="center"/>
        </w:trPr>
        <w:tc>
          <w:tcPr>
            <w:tcW w:w="888" w:type="dxa"/>
            <w:tcBorders>
              <w:left w:val="single" w:sz="4" w:space="0" w:color="auto"/>
              <w:bottom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ХКП</w:t>
            </w:r>
          </w:p>
        </w:tc>
        <w:tc>
          <w:tcPr>
            <w:tcW w:w="1738" w:type="dxa"/>
            <w:tcBorders>
              <w:left w:val="single" w:sz="4" w:space="0" w:color="auto"/>
              <w:bottom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1-клетки двенад</w:t>
            </w:r>
            <w:r w:rsidRPr="004B0B65">
              <w:rPr>
                <w:rFonts w:ascii="Arial" w:eastAsia="Times New Roman" w:hAnsi="Arial" w:cs="Arial"/>
                <w:sz w:val="19"/>
                <w:szCs w:val="19"/>
              </w:rPr>
              <w:softHyphen/>
              <w:t>цатиперстной и тощей кишки</w:t>
            </w:r>
          </w:p>
        </w:tc>
        <w:tc>
          <w:tcPr>
            <w:tcW w:w="4867" w:type="dxa"/>
            <w:tcBorders>
              <w:left w:val="single" w:sz="4" w:space="0" w:color="auto"/>
              <w:bottom w:val="single" w:sz="4" w:space="0" w:color="auto"/>
              <w:right w:val="single" w:sz="4" w:space="0" w:color="auto"/>
            </w:tcBorders>
            <w:shd w:val="clear" w:color="auto" w:fill="auto"/>
          </w:tcPr>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rPr>
              <w:t>Стимулирует контрактильную активность желчного пузыря и экзокринную секрецию ПЖЖ, замедляет процесс эвакуации желудочного содержимого, усили</w:t>
            </w:r>
            <w:r w:rsidRPr="004B0B65">
              <w:rPr>
                <w:rFonts w:ascii="Arial" w:eastAsia="Times New Roman" w:hAnsi="Arial" w:cs="Arial"/>
                <w:sz w:val="19"/>
                <w:szCs w:val="19"/>
              </w:rPr>
              <w:softHyphen/>
              <w:t>вает моторику кишечника</w:t>
            </w:r>
          </w:p>
        </w:tc>
      </w:tr>
    </w:tbl>
    <w:p w:rsidR="00F66E52" w:rsidRPr="004B0B65" w:rsidRDefault="00F66E52" w:rsidP="00DE1F06">
      <w:pPr>
        <w:rPr>
          <w:rFonts w:ascii="Arial" w:hAnsi="Arial" w:cs="Arial"/>
        </w:rPr>
      </w:pPr>
    </w:p>
    <w:p w:rsidR="00F66E52" w:rsidRPr="00217E0A" w:rsidRDefault="00F66E52" w:rsidP="00DE1F06">
      <w:pPr>
        <w:jc w:val="both"/>
        <w:rPr>
          <w:rFonts w:ascii="Arial" w:eastAsia="Times New Roman" w:hAnsi="Arial" w:cs="Arial"/>
          <w:sz w:val="22"/>
          <w:szCs w:val="22"/>
        </w:rPr>
      </w:pPr>
      <w:r w:rsidRPr="004B0B65">
        <w:rPr>
          <w:rFonts w:ascii="Arial" w:eastAsia="Times New Roman" w:hAnsi="Arial" w:cs="Arial"/>
          <w:sz w:val="22"/>
          <w:szCs w:val="22"/>
        </w:rPr>
        <w:t>большей концентрации и имеет больший период полураспада. С-концевой пентапептид аминокислотной последовательности гастрина (пентагастрин) обладает всеми биологическими свойствами гастрина, но его биологичес</w:t>
      </w:r>
      <w:r w:rsidRPr="004B0B65">
        <w:rPr>
          <w:rFonts w:ascii="Arial" w:eastAsia="Times New Roman" w:hAnsi="Arial" w:cs="Arial"/>
          <w:sz w:val="22"/>
          <w:szCs w:val="22"/>
        </w:rPr>
        <w:softHyphen/>
        <w:t xml:space="preserve">кая активность в 10 раз меньше таковой для последнего. Последними пятью аналогичными аминокислотами </w:t>
      </w:r>
      <w:r w:rsidRPr="00217E0A">
        <w:rPr>
          <w:rFonts w:ascii="Arial" w:eastAsia="Times New Roman" w:hAnsi="Arial" w:cs="Arial"/>
          <w:sz w:val="22"/>
          <w:szCs w:val="22"/>
        </w:rPr>
        <w:t>определяется и гомология гастрина и холецистокинин-панкреозимина.</w:t>
      </w:r>
    </w:p>
    <w:p w:rsidR="00F66E52" w:rsidRPr="00217E0A" w:rsidRDefault="00F66E52" w:rsidP="00DE1F06">
      <w:pPr>
        <w:ind w:firstLine="420"/>
        <w:jc w:val="both"/>
        <w:rPr>
          <w:rFonts w:ascii="Arial" w:eastAsia="Times New Roman" w:hAnsi="Arial" w:cs="Arial"/>
          <w:sz w:val="22"/>
          <w:szCs w:val="22"/>
        </w:rPr>
      </w:pPr>
      <w:r w:rsidRPr="00217E0A">
        <w:rPr>
          <w:rFonts w:ascii="Arial" w:eastAsia="Times New Roman" w:hAnsi="Arial" w:cs="Arial"/>
          <w:i/>
          <w:iCs/>
          <w:sz w:val="22"/>
          <w:szCs w:val="22"/>
        </w:rPr>
        <w:t>Семейство панкреатического полипептида</w:t>
      </w:r>
      <w:r w:rsidRPr="00217E0A">
        <w:rPr>
          <w:rFonts w:ascii="Arial" w:eastAsia="Times New Roman" w:hAnsi="Arial" w:cs="Arial"/>
          <w:sz w:val="22"/>
          <w:szCs w:val="22"/>
        </w:rPr>
        <w:t xml:space="preserve"> достаточно условно объеди</w:t>
      </w:r>
      <w:r w:rsidRPr="00217E0A">
        <w:rPr>
          <w:rFonts w:ascii="Arial" w:eastAsia="Times New Roman" w:hAnsi="Arial" w:cs="Arial"/>
          <w:sz w:val="22"/>
          <w:szCs w:val="22"/>
        </w:rPr>
        <w:softHyphen/>
        <w:t>няет гормоны, не вошедшие в другие группы. К нему относят панкреати</w:t>
      </w:r>
      <w:r w:rsidRPr="00217E0A">
        <w:rPr>
          <w:rFonts w:ascii="Arial" w:eastAsia="Times New Roman" w:hAnsi="Arial" w:cs="Arial"/>
          <w:sz w:val="22"/>
          <w:szCs w:val="22"/>
        </w:rPr>
        <w:softHyphen/>
        <w:t xml:space="preserve">ческий полипептид, </w:t>
      </w:r>
      <w:r w:rsidRPr="00217E0A">
        <w:rPr>
          <w:rFonts w:ascii="Arial" w:eastAsia="Times New Roman" w:hAnsi="Arial" w:cs="Arial"/>
          <w:sz w:val="22"/>
          <w:szCs w:val="22"/>
        </w:rPr>
        <w:lastRenderedPageBreak/>
        <w:t xml:space="preserve">нейропептид </w:t>
      </w:r>
      <w:r w:rsidRPr="00217E0A">
        <w:rPr>
          <w:rFonts w:ascii="Arial" w:eastAsia="Times New Roman" w:hAnsi="Arial" w:cs="Arial"/>
          <w:sz w:val="22"/>
          <w:szCs w:val="22"/>
          <w:lang w:val="en-US" w:eastAsia="en-US" w:bidi="en-US"/>
        </w:rPr>
        <w:t>Y</w:t>
      </w:r>
      <w:r w:rsidRPr="00217E0A">
        <w:rPr>
          <w:rFonts w:ascii="Arial" w:eastAsia="Times New Roman" w:hAnsi="Arial" w:cs="Arial"/>
          <w:sz w:val="22"/>
          <w:szCs w:val="22"/>
          <w:lang w:eastAsia="en-US" w:bidi="en-US"/>
        </w:rPr>
        <w:t xml:space="preserve">, </w:t>
      </w:r>
      <w:r w:rsidRPr="00217E0A">
        <w:rPr>
          <w:rFonts w:ascii="Arial" w:eastAsia="Times New Roman" w:hAnsi="Arial" w:cs="Arial"/>
          <w:sz w:val="22"/>
          <w:szCs w:val="22"/>
        </w:rPr>
        <w:t>соматостатин, мотилин, субстанцию Р, нейротензин. Физиологическая, а тем более клиническая роль указанных гормонов и пептидов остается до конца не выясненной.</w:t>
      </w:r>
    </w:p>
    <w:p w:rsidR="00F66E52" w:rsidRDefault="00F66E52" w:rsidP="00DE1F06">
      <w:pPr>
        <w:ind w:firstLine="420"/>
        <w:jc w:val="both"/>
        <w:rPr>
          <w:rFonts w:ascii="Arial" w:eastAsia="Times New Roman" w:hAnsi="Arial" w:cs="Arial"/>
          <w:sz w:val="22"/>
          <w:szCs w:val="22"/>
        </w:rPr>
      </w:pPr>
      <w:r w:rsidRPr="00217E0A">
        <w:rPr>
          <w:rFonts w:ascii="Arial" w:eastAsia="Times New Roman" w:hAnsi="Arial" w:cs="Arial"/>
          <w:sz w:val="22"/>
          <w:szCs w:val="22"/>
        </w:rPr>
        <w:t>Эндокринная функция поджелудочной железы и желудочно-кишечного тракта является наименее изученной проблемой эндокринологии и гастро</w:t>
      </w:r>
      <w:r w:rsidRPr="00217E0A">
        <w:rPr>
          <w:rFonts w:ascii="Arial" w:eastAsia="Times New Roman" w:hAnsi="Arial" w:cs="Arial"/>
          <w:sz w:val="22"/>
          <w:szCs w:val="22"/>
        </w:rPr>
        <w:softHyphen/>
        <w:t>энтерологии. Неоспоримое клиническое значение на сегодняшний день имеет только выраженная гиперсекреция небольшого числа описанных гормонов при гормонпродуцирующих опухолях поджелудочной железы и кишечника, о которых пойдет речь в этой главе.</w:t>
      </w:r>
    </w:p>
    <w:p w:rsidR="00217E0A" w:rsidRPr="00217E0A" w:rsidRDefault="00217E0A" w:rsidP="00DE1F06">
      <w:pPr>
        <w:ind w:firstLine="420"/>
        <w:jc w:val="both"/>
        <w:rPr>
          <w:rFonts w:ascii="Arial" w:eastAsia="Times New Roman" w:hAnsi="Arial" w:cs="Arial"/>
          <w:sz w:val="22"/>
          <w:szCs w:val="22"/>
        </w:rPr>
      </w:pPr>
    </w:p>
    <w:p w:rsidR="00F66E52" w:rsidRPr="00217E0A" w:rsidRDefault="00F66E52" w:rsidP="00217E0A">
      <w:pPr>
        <w:tabs>
          <w:tab w:val="left" w:pos="673"/>
        </w:tabs>
        <w:jc w:val="center"/>
        <w:rPr>
          <w:rFonts w:ascii="Arial" w:eastAsia="Times New Roman" w:hAnsi="Arial" w:cs="Arial"/>
        </w:rPr>
      </w:pPr>
      <w:r w:rsidRPr="00217E0A">
        <w:rPr>
          <w:rFonts w:ascii="Arial" w:eastAsia="Times New Roman" w:hAnsi="Arial" w:cs="Arial"/>
          <w:b/>
          <w:bCs/>
        </w:rPr>
        <w:t>Общая характеристика эндокринных опухолей поджелудочной железы, желудочно-кишечного тракта и методы обследования больных</w:t>
      </w:r>
    </w:p>
    <w:p w:rsidR="00217E0A" w:rsidRDefault="00217E0A" w:rsidP="00DE1F06">
      <w:pPr>
        <w:jc w:val="both"/>
        <w:rPr>
          <w:rFonts w:ascii="Arial" w:eastAsia="Times New Roman" w:hAnsi="Arial" w:cs="Arial"/>
          <w:sz w:val="22"/>
          <w:szCs w:val="22"/>
        </w:rPr>
      </w:pPr>
    </w:p>
    <w:p w:rsidR="00F66E52" w:rsidRPr="004B0B65" w:rsidRDefault="00F66E52" w:rsidP="00217E0A">
      <w:pPr>
        <w:ind w:firstLine="567"/>
        <w:jc w:val="both"/>
        <w:rPr>
          <w:rFonts w:ascii="Arial" w:eastAsia="Times New Roman" w:hAnsi="Arial" w:cs="Arial"/>
          <w:sz w:val="22"/>
          <w:szCs w:val="22"/>
        </w:rPr>
      </w:pPr>
      <w:r w:rsidRPr="00217E0A">
        <w:rPr>
          <w:rFonts w:ascii="Arial" w:eastAsia="Times New Roman" w:hAnsi="Arial" w:cs="Arial"/>
          <w:sz w:val="22"/>
          <w:szCs w:val="22"/>
        </w:rPr>
        <w:t>Эндокринные опухоли поджелудочной железы и желудочно-кишечного тракта являются достаточно редкими заболеваниями: частота новых случа</w:t>
      </w:r>
      <w:r w:rsidRPr="00217E0A">
        <w:rPr>
          <w:rFonts w:ascii="Arial" w:eastAsia="Times New Roman" w:hAnsi="Arial" w:cs="Arial"/>
          <w:sz w:val="22"/>
          <w:szCs w:val="22"/>
        </w:rPr>
        <w:softHyphen/>
        <w:t>ев составляет от 0,4 до 1,5 на 100 000 жителей. При этом следует отметить, что в 2 % случаев всех аутопсий</w:t>
      </w:r>
      <w:r w:rsidRPr="004B0B65">
        <w:rPr>
          <w:rFonts w:ascii="Arial" w:eastAsia="Times New Roman" w:hAnsi="Arial" w:cs="Arial"/>
          <w:sz w:val="22"/>
          <w:szCs w:val="22"/>
        </w:rPr>
        <w:t xml:space="preserve"> встречаются мелкие функционально неак</w:t>
      </w:r>
      <w:r w:rsidRPr="004B0B65">
        <w:rPr>
          <w:rFonts w:ascii="Arial" w:eastAsia="Times New Roman" w:hAnsi="Arial" w:cs="Arial"/>
          <w:sz w:val="22"/>
          <w:szCs w:val="22"/>
        </w:rPr>
        <w:softHyphen/>
        <w:t>тивные эндокринные опухоли в червеобразном отростке и ПЖЖ. В настоя</w:t>
      </w:r>
      <w:r w:rsidRPr="004B0B65">
        <w:rPr>
          <w:rFonts w:ascii="Arial" w:eastAsia="Times New Roman" w:hAnsi="Arial" w:cs="Arial"/>
          <w:sz w:val="22"/>
          <w:szCs w:val="22"/>
        </w:rPr>
        <w:softHyphen/>
        <w:t>щее время описано около 19 типов кишечных и панкреатических эндо</w:t>
      </w:r>
      <w:r w:rsidRPr="004B0B65">
        <w:rPr>
          <w:rFonts w:ascii="Arial" w:eastAsia="Times New Roman" w:hAnsi="Arial" w:cs="Arial"/>
          <w:sz w:val="22"/>
          <w:szCs w:val="22"/>
        </w:rPr>
        <w:softHyphen/>
        <w:t>кринных опухолей и более 40 продуктов их секреции. Большинство опухо</w:t>
      </w:r>
      <w:r w:rsidRPr="004B0B65">
        <w:rPr>
          <w:rFonts w:ascii="Arial" w:eastAsia="Times New Roman" w:hAnsi="Arial" w:cs="Arial"/>
          <w:sz w:val="22"/>
          <w:szCs w:val="22"/>
        </w:rPr>
        <w:softHyphen/>
        <w:t>лей, в том числе и так называемые функционально неактивные, обладает мультигормональной секрецией, но развитие эндокринного синдрома оп</w:t>
      </w:r>
      <w:r w:rsidRPr="004B0B65">
        <w:rPr>
          <w:rFonts w:ascii="Arial" w:eastAsia="Times New Roman" w:hAnsi="Arial" w:cs="Arial"/>
          <w:sz w:val="22"/>
          <w:szCs w:val="22"/>
        </w:rPr>
        <w:softHyphen/>
        <w:t>ределяется преимущественной выработкой какого-то одного гормона. Опу</w:t>
      </w:r>
      <w:r w:rsidRPr="004B0B65">
        <w:rPr>
          <w:rFonts w:ascii="Arial" w:eastAsia="Times New Roman" w:hAnsi="Arial" w:cs="Arial"/>
          <w:sz w:val="22"/>
          <w:szCs w:val="22"/>
        </w:rPr>
        <w:softHyphen/>
        <w:t>холи различаются не только по типу продукции того или иного гормона, но и по характеру опухолевого роста. За исключением инсулином, в основном речь идет о злокачественных опухолях, однако по сравнению с другими злокачественными новообразованиями рост эндокринных кишечных и панкреатических опухолей чаще бывает относительно медленным. Пяти</w:t>
      </w:r>
      <w:r w:rsidRPr="004B0B65">
        <w:rPr>
          <w:rFonts w:ascii="Arial" w:eastAsia="Times New Roman" w:hAnsi="Arial" w:cs="Arial"/>
          <w:sz w:val="22"/>
          <w:szCs w:val="22"/>
        </w:rPr>
        <w:softHyphen/>
        <w:t>летняя выживаемость составляет около 50 %. Основными эндокринными опухолями ЖКТ и ПЖЖ являются инсулиномы, гастриномы, глюкагоно</w:t>
      </w:r>
      <w:r w:rsidRPr="004B0B65">
        <w:rPr>
          <w:rFonts w:ascii="Arial" w:eastAsia="Times New Roman" w:hAnsi="Arial" w:cs="Arial"/>
          <w:sz w:val="22"/>
          <w:szCs w:val="22"/>
        </w:rPr>
        <w:softHyphen/>
        <w:t>мы, випомы, опухоли, обусловливающие развитие карциноидного синдро</w:t>
      </w:r>
      <w:r w:rsidRPr="004B0B65">
        <w:rPr>
          <w:rFonts w:ascii="Arial" w:eastAsia="Times New Roman" w:hAnsi="Arial" w:cs="Arial"/>
          <w:sz w:val="22"/>
          <w:szCs w:val="22"/>
        </w:rPr>
        <w:softHyphen/>
        <w:t>ма, и функционально неактивные эндокринные опухоли (табл. 13.5).</w:t>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 xml:space="preserve">Таблица 13.5. </w:t>
      </w:r>
      <w:r w:rsidRPr="004B0B65">
        <w:rPr>
          <w:rFonts w:ascii="Arial" w:eastAsia="Times New Roman" w:hAnsi="Arial" w:cs="Arial"/>
          <w:b/>
          <w:bCs/>
          <w:sz w:val="19"/>
          <w:szCs w:val="19"/>
        </w:rPr>
        <w:t>Важнейшие эндокринные опухоли поджелудочной железы н же</w:t>
      </w:r>
      <w:r w:rsidRPr="004B0B65">
        <w:rPr>
          <w:rFonts w:ascii="Arial" w:eastAsia="Times New Roman" w:hAnsi="Arial" w:cs="Arial"/>
          <w:b/>
          <w:bCs/>
          <w:sz w:val="19"/>
          <w:szCs w:val="19"/>
        </w:rPr>
        <w:softHyphen/>
        <w:t>лудочно-кишечного тракта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1421"/>
        <w:gridCol w:w="1814"/>
        <w:gridCol w:w="1507"/>
        <w:gridCol w:w="1603"/>
        <w:gridCol w:w="1147"/>
      </w:tblGrid>
      <w:tr w:rsidR="00F66E52" w:rsidRPr="004B0B65" w:rsidTr="0074786D">
        <w:trPr>
          <w:trHeight w:hRule="exact" w:val="706"/>
          <w:jc w:val="center"/>
        </w:trPr>
        <w:tc>
          <w:tcPr>
            <w:tcW w:w="1421" w:type="dxa"/>
            <w:tcBorders>
              <w:top w:val="single" w:sz="4" w:space="0" w:color="auto"/>
              <w:left w:val="single" w:sz="4" w:space="0" w:color="auto"/>
            </w:tcBorders>
            <w:shd w:val="clear" w:color="auto" w:fill="auto"/>
            <w:vAlign w:val="center"/>
          </w:tcPr>
          <w:p w:rsidR="00F66E52" w:rsidRPr="004B0B65" w:rsidRDefault="00F66E52" w:rsidP="00DE1F06">
            <w:pPr>
              <w:ind w:firstLine="360"/>
              <w:rPr>
                <w:rFonts w:ascii="Arial" w:eastAsia="Times New Roman" w:hAnsi="Arial" w:cs="Arial"/>
                <w:sz w:val="18"/>
                <w:szCs w:val="18"/>
              </w:rPr>
            </w:pPr>
            <w:r w:rsidRPr="004B0B65">
              <w:rPr>
                <w:rFonts w:ascii="Arial" w:eastAsia="Times New Roman" w:hAnsi="Arial" w:cs="Arial"/>
                <w:sz w:val="18"/>
                <w:szCs w:val="18"/>
              </w:rPr>
              <w:t>Опухоль</w:t>
            </w:r>
          </w:p>
        </w:tc>
        <w:tc>
          <w:tcPr>
            <w:tcW w:w="1814" w:type="dxa"/>
            <w:tcBorders>
              <w:top w:val="single" w:sz="4" w:space="0" w:color="auto"/>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Ведущие симптомы</w:t>
            </w:r>
          </w:p>
        </w:tc>
        <w:tc>
          <w:tcPr>
            <w:tcW w:w="1507" w:type="dxa"/>
            <w:tcBorders>
              <w:top w:val="single" w:sz="4" w:space="0" w:color="auto"/>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Локализация первичной опухоли</w:t>
            </w:r>
          </w:p>
        </w:tc>
        <w:tc>
          <w:tcPr>
            <w:tcW w:w="1603" w:type="dxa"/>
            <w:tcBorders>
              <w:top w:val="single" w:sz="4" w:space="0" w:color="auto"/>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Секретируемы й гормон</w:t>
            </w:r>
          </w:p>
        </w:tc>
        <w:tc>
          <w:tcPr>
            <w:tcW w:w="1147" w:type="dxa"/>
            <w:tcBorders>
              <w:top w:val="single" w:sz="4" w:space="0" w:color="auto"/>
              <w:left w:val="single" w:sz="4" w:space="0" w:color="auto"/>
              <w:righ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Доля злока</w:t>
            </w:r>
            <w:r w:rsidRPr="004B0B65">
              <w:rPr>
                <w:rFonts w:ascii="Arial" w:eastAsia="Times New Roman" w:hAnsi="Arial" w:cs="Arial"/>
                <w:sz w:val="18"/>
                <w:szCs w:val="18"/>
              </w:rPr>
              <w:softHyphen/>
              <w:t>чественных опухолей, %</w:t>
            </w:r>
          </w:p>
        </w:tc>
      </w:tr>
      <w:tr w:rsidR="00F66E52" w:rsidRPr="004B0B65" w:rsidTr="0074786D">
        <w:trPr>
          <w:trHeight w:hRule="exact" w:val="744"/>
          <w:jc w:val="center"/>
        </w:trPr>
        <w:tc>
          <w:tcPr>
            <w:tcW w:w="1421" w:type="dxa"/>
            <w:tcBorders>
              <w:top w:val="single" w:sz="4" w:space="0" w:color="auto"/>
              <w:left w:val="single" w:sz="4" w:space="0" w:color="auto"/>
            </w:tcBorders>
            <w:shd w:val="clear" w:color="auto" w:fill="auto"/>
            <w:vAlign w:val="center"/>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Инсулинома</w:t>
            </w:r>
          </w:p>
        </w:tc>
        <w:tc>
          <w:tcPr>
            <w:tcW w:w="1814" w:type="dxa"/>
            <w:tcBorders>
              <w:top w:val="single" w:sz="4" w:space="0" w:color="auto"/>
              <w:left w:val="single" w:sz="4" w:space="0" w:color="auto"/>
            </w:tcBorders>
            <w:shd w:val="clear" w:color="auto" w:fill="auto"/>
            <w:vAlign w:val="bottom"/>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Тощаковый гипо</w:t>
            </w:r>
            <w:r w:rsidRPr="004B0B65">
              <w:rPr>
                <w:rFonts w:ascii="Arial" w:eastAsia="Times New Roman" w:hAnsi="Arial" w:cs="Arial"/>
                <w:sz w:val="19"/>
                <w:szCs w:val="19"/>
              </w:rPr>
              <w:softHyphen/>
              <w:t>гликемический синдром</w:t>
            </w:r>
          </w:p>
        </w:tc>
        <w:tc>
          <w:tcPr>
            <w:tcW w:w="1507" w:type="dxa"/>
            <w:tcBorders>
              <w:top w:val="single" w:sz="4" w:space="0" w:color="auto"/>
              <w:left w:val="single" w:sz="4" w:space="0" w:color="auto"/>
            </w:tcBorders>
            <w:shd w:val="clear" w:color="auto" w:fill="auto"/>
            <w:vAlign w:val="center"/>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П оджел удоч ная жедеза</w:t>
            </w:r>
          </w:p>
        </w:tc>
        <w:tc>
          <w:tcPr>
            <w:tcW w:w="1603" w:type="dxa"/>
            <w:tcBorders>
              <w:top w:val="single" w:sz="4" w:space="0" w:color="auto"/>
              <w:left w:val="single" w:sz="4" w:space="0" w:color="auto"/>
            </w:tcBorders>
            <w:shd w:val="clear" w:color="auto" w:fill="auto"/>
            <w:vAlign w:val="center"/>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Инсулин</w:t>
            </w:r>
          </w:p>
        </w:tc>
        <w:tc>
          <w:tcPr>
            <w:tcW w:w="1147" w:type="dxa"/>
            <w:tcBorders>
              <w:top w:val="single" w:sz="4" w:space="0" w:color="auto"/>
              <w:left w:val="single" w:sz="4" w:space="0" w:color="auto"/>
              <w:righ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9"/>
                <w:szCs w:val="19"/>
              </w:rPr>
            </w:pPr>
            <w:r w:rsidRPr="004B0B65">
              <w:rPr>
                <w:rFonts w:ascii="Arial" w:eastAsia="Times New Roman" w:hAnsi="Arial" w:cs="Arial"/>
                <w:sz w:val="19"/>
                <w:szCs w:val="19"/>
              </w:rPr>
              <w:t>&lt;5</w:t>
            </w:r>
          </w:p>
        </w:tc>
      </w:tr>
      <w:tr w:rsidR="00F66E52" w:rsidRPr="004B0B65" w:rsidTr="0074786D">
        <w:trPr>
          <w:trHeight w:hRule="exact" w:val="965"/>
          <w:jc w:val="center"/>
        </w:trPr>
        <w:tc>
          <w:tcPr>
            <w:tcW w:w="1421"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Гастринома (синдром Зол л ингера— Эллисона)</w:t>
            </w:r>
          </w:p>
        </w:tc>
        <w:tc>
          <w:tcPr>
            <w:tcW w:w="1814"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Гиперсекреция соляной кислоты в желудке, реци</w:t>
            </w:r>
            <w:r w:rsidRPr="004B0B65">
              <w:rPr>
                <w:rFonts w:ascii="Arial" w:eastAsia="Times New Roman" w:hAnsi="Arial" w:cs="Arial"/>
                <w:sz w:val="19"/>
                <w:szCs w:val="19"/>
              </w:rPr>
              <w:softHyphen/>
              <w:t>дивирующие язвы, понос</w:t>
            </w:r>
          </w:p>
        </w:tc>
        <w:tc>
          <w:tcPr>
            <w:tcW w:w="1507"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Поджелудочная железа, двенад</w:t>
            </w:r>
            <w:r w:rsidRPr="004B0B65">
              <w:rPr>
                <w:rFonts w:ascii="Arial" w:eastAsia="Times New Roman" w:hAnsi="Arial" w:cs="Arial"/>
                <w:sz w:val="19"/>
                <w:szCs w:val="19"/>
              </w:rPr>
              <w:softHyphen/>
              <w:t>цатиперстная кишка</w:t>
            </w:r>
          </w:p>
        </w:tc>
        <w:tc>
          <w:tcPr>
            <w:tcW w:w="1603"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Гастрин</w:t>
            </w:r>
          </w:p>
        </w:tc>
        <w:tc>
          <w:tcPr>
            <w:tcW w:w="1147" w:type="dxa"/>
            <w:tcBorders>
              <w:left w:val="single" w:sz="4" w:space="0" w:color="auto"/>
              <w:right w:val="single" w:sz="4" w:space="0" w:color="auto"/>
            </w:tcBorders>
            <w:shd w:val="clear" w:color="auto" w:fill="auto"/>
          </w:tcPr>
          <w:p w:rsidR="00F66E52" w:rsidRPr="004B0B65" w:rsidRDefault="00F66E52" w:rsidP="00DE1F06">
            <w:pPr>
              <w:ind w:firstLine="380"/>
              <w:rPr>
                <w:rFonts w:ascii="Arial" w:eastAsia="Times New Roman" w:hAnsi="Arial" w:cs="Arial"/>
                <w:sz w:val="19"/>
                <w:szCs w:val="19"/>
              </w:rPr>
            </w:pPr>
            <w:r w:rsidRPr="004B0B65">
              <w:rPr>
                <w:rFonts w:ascii="Arial" w:eastAsia="Times New Roman" w:hAnsi="Arial" w:cs="Arial"/>
                <w:sz w:val="19"/>
                <w:szCs w:val="19"/>
              </w:rPr>
              <w:t>&gt;90</w:t>
            </w:r>
          </w:p>
        </w:tc>
      </w:tr>
      <w:tr w:rsidR="00F66E52" w:rsidRPr="004B0B65" w:rsidTr="0074786D">
        <w:trPr>
          <w:trHeight w:hRule="exact" w:val="806"/>
          <w:jc w:val="center"/>
        </w:trPr>
        <w:tc>
          <w:tcPr>
            <w:tcW w:w="1421" w:type="dxa"/>
            <w:tcBorders>
              <w:left w:val="single" w:sz="4" w:space="0" w:color="auto"/>
            </w:tcBorders>
            <w:shd w:val="clear" w:color="auto" w:fill="auto"/>
            <w:vAlign w:val="bottom"/>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Випома</w:t>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(синдром Вер</w:t>
            </w:r>
            <w:r w:rsidRPr="004B0B65">
              <w:rPr>
                <w:rFonts w:ascii="Arial" w:eastAsia="Times New Roman" w:hAnsi="Arial" w:cs="Arial"/>
                <w:sz w:val="19"/>
                <w:szCs w:val="19"/>
              </w:rPr>
              <w:softHyphen/>
              <w:t>нера-Морри</w:t>
            </w:r>
            <w:r w:rsidRPr="004B0B65">
              <w:rPr>
                <w:rFonts w:ascii="Arial" w:eastAsia="Times New Roman" w:hAnsi="Arial" w:cs="Arial"/>
                <w:sz w:val="19"/>
                <w:szCs w:val="19"/>
              </w:rPr>
              <w:softHyphen/>
              <w:t>сона)</w:t>
            </w:r>
          </w:p>
        </w:tc>
        <w:tc>
          <w:tcPr>
            <w:tcW w:w="1814" w:type="dxa"/>
            <w:tcBorders>
              <w:left w:val="single" w:sz="4" w:space="0" w:color="auto"/>
            </w:tcBorders>
            <w:shd w:val="clear" w:color="auto" w:fill="auto"/>
            <w:vAlign w:val="bottom"/>
          </w:tcPr>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rPr>
              <w:t>Водянистая диарея, гипокалиемия, по</w:t>
            </w:r>
            <w:r w:rsidRPr="004B0B65">
              <w:rPr>
                <w:rFonts w:ascii="Arial" w:eastAsia="Times New Roman" w:hAnsi="Arial" w:cs="Arial"/>
                <w:sz w:val="19"/>
                <w:szCs w:val="19"/>
              </w:rPr>
              <w:softHyphen/>
              <w:t>ниженная кислот</w:t>
            </w:r>
            <w:r w:rsidRPr="004B0B65">
              <w:rPr>
                <w:rFonts w:ascii="Arial" w:eastAsia="Times New Roman" w:hAnsi="Arial" w:cs="Arial"/>
                <w:sz w:val="19"/>
                <w:szCs w:val="19"/>
              </w:rPr>
              <w:softHyphen/>
              <w:t>ность</w:t>
            </w:r>
          </w:p>
        </w:tc>
        <w:tc>
          <w:tcPr>
            <w:tcW w:w="1507"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Поджелудочная железа, симпа</w:t>
            </w:r>
            <w:r w:rsidRPr="004B0B65">
              <w:rPr>
                <w:rFonts w:ascii="Arial" w:eastAsia="Times New Roman" w:hAnsi="Arial" w:cs="Arial"/>
                <w:sz w:val="19"/>
                <w:szCs w:val="19"/>
              </w:rPr>
              <w:softHyphen/>
              <w:t>тический ствол</w:t>
            </w:r>
          </w:p>
        </w:tc>
        <w:tc>
          <w:tcPr>
            <w:tcW w:w="1603"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Вазоактивный интестинальный пептид</w:t>
            </w:r>
          </w:p>
        </w:tc>
        <w:tc>
          <w:tcPr>
            <w:tcW w:w="1147" w:type="dxa"/>
            <w:tcBorders>
              <w:left w:val="single" w:sz="4" w:space="0" w:color="auto"/>
              <w:right w:val="single" w:sz="4" w:space="0" w:color="auto"/>
            </w:tcBorders>
            <w:shd w:val="clear" w:color="auto" w:fill="auto"/>
          </w:tcPr>
          <w:p w:rsidR="00F66E52" w:rsidRPr="004B0B65" w:rsidRDefault="00F66E52" w:rsidP="00DE1F06">
            <w:pPr>
              <w:jc w:val="center"/>
              <w:rPr>
                <w:rFonts w:ascii="Arial" w:eastAsia="Times New Roman" w:hAnsi="Arial" w:cs="Arial"/>
                <w:sz w:val="19"/>
                <w:szCs w:val="19"/>
              </w:rPr>
            </w:pPr>
            <w:r w:rsidRPr="004B0B65">
              <w:rPr>
                <w:rFonts w:ascii="Arial" w:eastAsia="Times New Roman" w:hAnsi="Arial" w:cs="Arial"/>
                <w:sz w:val="19"/>
                <w:szCs w:val="19"/>
              </w:rPr>
              <w:t>&gt;75</w:t>
            </w:r>
          </w:p>
        </w:tc>
      </w:tr>
      <w:tr w:rsidR="00F66E52" w:rsidRPr="004B0B65" w:rsidTr="0074786D">
        <w:trPr>
          <w:trHeight w:hRule="exact" w:val="595"/>
          <w:jc w:val="center"/>
        </w:trPr>
        <w:tc>
          <w:tcPr>
            <w:tcW w:w="1421"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Глюкагонома</w:t>
            </w:r>
          </w:p>
        </w:tc>
        <w:tc>
          <w:tcPr>
            <w:tcW w:w="1814" w:type="dxa"/>
            <w:tcBorders>
              <w:left w:val="single" w:sz="4" w:space="0" w:color="auto"/>
            </w:tcBorders>
            <w:shd w:val="clear" w:color="auto" w:fill="auto"/>
          </w:tcPr>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rPr>
              <w:t>Некролитическая мигрирующая эри</w:t>
            </w:r>
            <w:r w:rsidRPr="004B0B65">
              <w:rPr>
                <w:rFonts w:ascii="Arial" w:eastAsia="Times New Roman" w:hAnsi="Arial" w:cs="Arial"/>
                <w:sz w:val="19"/>
                <w:szCs w:val="19"/>
              </w:rPr>
              <w:softHyphen/>
              <w:t>тема</w:t>
            </w:r>
          </w:p>
        </w:tc>
        <w:tc>
          <w:tcPr>
            <w:tcW w:w="1507"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Поджелудочная железа</w:t>
            </w:r>
          </w:p>
        </w:tc>
        <w:tc>
          <w:tcPr>
            <w:tcW w:w="1603"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Глюкагон</w:t>
            </w:r>
          </w:p>
        </w:tc>
        <w:tc>
          <w:tcPr>
            <w:tcW w:w="1147" w:type="dxa"/>
            <w:tcBorders>
              <w:left w:val="single" w:sz="4" w:space="0" w:color="auto"/>
              <w:right w:val="single" w:sz="4" w:space="0" w:color="auto"/>
            </w:tcBorders>
            <w:shd w:val="clear" w:color="auto" w:fill="auto"/>
          </w:tcPr>
          <w:p w:rsidR="00F66E52" w:rsidRPr="004B0B65" w:rsidRDefault="00F66E52" w:rsidP="00DE1F06">
            <w:pPr>
              <w:jc w:val="center"/>
              <w:rPr>
                <w:rFonts w:ascii="Arial" w:eastAsia="Times New Roman" w:hAnsi="Arial" w:cs="Arial"/>
                <w:sz w:val="19"/>
                <w:szCs w:val="19"/>
              </w:rPr>
            </w:pPr>
            <w:r w:rsidRPr="004B0B65">
              <w:rPr>
                <w:rFonts w:ascii="Arial" w:eastAsia="Times New Roman" w:hAnsi="Arial" w:cs="Arial"/>
                <w:sz w:val="19"/>
                <w:szCs w:val="19"/>
              </w:rPr>
              <w:t>&gt;50</w:t>
            </w:r>
          </w:p>
        </w:tc>
      </w:tr>
      <w:tr w:rsidR="00F66E52" w:rsidRPr="004B0B65" w:rsidTr="0074786D">
        <w:trPr>
          <w:trHeight w:hRule="exact" w:val="806"/>
          <w:jc w:val="center"/>
        </w:trPr>
        <w:tc>
          <w:tcPr>
            <w:tcW w:w="1421"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Карциноид</w:t>
            </w:r>
          </w:p>
        </w:tc>
        <w:tc>
          <w:tcPr>
            <w:tcW w:w="1814" w:type="dxa"/>
            <w:tcBorders>
              <w:left w:val="single" w:sz="4" w:space="0" w:color="auto"/>
            </w:tcBorders>
            <w:shd w:val="clear" w:color="auto" w:fill="auto"/>
          </w:tcPr>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rPr>
              <w:t>Приливы, диарея, абдомиалгии брон- хоконстри кция</w:t>
            </w:r>
          </w:p>
        </w:tc>
        <w:tc>
          <w:tcPr>
            <w:tcW w:w="1507"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Тонкая кишка</w:t>
            </w:r>
          </w:p>
        </w:tc>
        <w:tc>
          <w:tcPr>
            <w:tcW w:w="1603"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Серотонин, про</w:t>
            </w:r>
            <w:r w:rsidRPr="004B0B65">
              <w:rPr>
                <w:rFonts w:ascii="Arial" w:eastAsia="Times New Roman" w:hAnsi="Arial" w:cs="Arial"/>
                <w:sz w:val="19"/>
                <w:szCs w:val="19"/>
              </w:rPr>
              <w:softHyphen/>
              <w:t>стагландины, тахикинины, гистамин</w:t>
            </w:r>
          </w:p>
        </w:tc>
        <w:tc>
          <w:tcPr>
            <w:tcW w:w="1147" w:type="dxa"/>
            <w:tcBorders>
              <w:left w:val="single" w:sz="4" w:space="0" w:color="auto"/>
              <w:right w:val="single" w:sz="4" w:space="0" w:color="auto"/>
            </w:tcBorders>
            <w:shd w:val="clear" w:color="auto" w:fill="auto"/>
          </w:tcPr>
          <w:p w:rsidR="00F66E52" w:rsidRPr="004B0B65" w:rsidRDefault="00F66E52" w:rsidP="00DE1F06">
            <w:pPr>
              <w:jc w:val="center"/>
              <w:rPr>
                <w:rFonts w:ascii="Arial" w:eastAsia="Times New Roman" w:hAnsi="Arial" w:cs="Arial"/>
                <w:sz w:val="19"/>
                <w:szCs w:val="19"/>
              </w:rPr>
            </w:pPr>
            <w:r w:rsidRPr="004B0B65">
              <w:rPr>
                <w:rFonts w:ascii="Arial" w:eastAsia="Times New Roman" w:hAnsi="Arial" w:cs="Arial"/>
                <w:sz w:val="19"/>
                <w:szCs w:val="19"/>
              </w:rPr>
              <w:t>100</w:t>
            </w:r>
          </w:p>
        </w:tc>
      </w:tr>
      <w:tr w:rsidR="00F66E52" w:rsidRPr="004B0B65" w:rsidTr="0074786D">
        <w:trPr>
          <w:trHeight w:hRule="exact" w:val="710"/>
          <w:jc w:val="center"/>
        </w:trPr>
        <w:tc>
          <w:tcPr>
            <w:tcW w:w="1421" w:type="dxa"/>
            <w:tcBorders>
              <w:left w:val="single" w:sz="4" w:space="0" w:color="auto"/>
              <w:bottom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Функциональ</w:t>
            </w:r>
            <w:r w:rsidRPr="004B0B65">
              <w:rPr>
                <w:rFonts w:ascii="Arial" w:eastAsia="Times New Roman" w:hAnsi="Arial" w:cs="Arial"/>
                <w:sz w:val="19"/>
                <w:szCs w:val="19"/>
              </w:rPr>
              <w:softHyphen/>
              <w:t>но неактивные опухоли</w:t>
            </w:r>
          </w:p>
        </w:tc>
        <w:tc>
          <w:tcPr>
            <w:tcW w:w="1814" w:type="dxa"/>
            <w:tcBorders>
              <w:left w:val="single" w:sz="4" w:space="0" w:color="auto"/>
              <w:bottom w:val="single" w:sz="4" w:space="0" w:color="auto"/>
            </w:tcBorders>
            <w:shd w:val="clear" w:color="auto" w:fill="auto"/>
          </w:tcPr>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rPr>
              <w:t>Отсутствуют</w:t>
            </w:r>
          </w:p>
        </w:tc>
        <w:tc>
          <w:tcPr>
            <w:tcW w:w="1507" w:type="dxa"/>
            <w:tcBorders>
              <w:left w:val="single" w:sz="4" w:space="0" w:color="auto"/>
              <w:bottom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Поджелудочная железа, тонкая кишка</w:t>
            </w:r>
          </w:p>
        </w:tc>
        <w:tc>
          <w:tcPr>
            <w:tcW w:w="1603" w:type="dxa"/>
            <w:tcBorders>
              <w:left w:val="single" w:sz="4" w:space="0" w:color="auto"/>
              <w:bottom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Отсутствуют</w:t>
            </w:r>
          </w:p>
        </w:tc>
        <w:tc>
          <w:tcPr>
            <w:tcW w:w="1147" w:type="dxa"/>
            <w:tcBorders>
              <w:left w:val="single" w:sz="4" w:space="0" w:color="auto"/>
              <w:bottom w:val="single" w:sz="4" w:space="0" w:color="auto"/>
              <w:right w:val="single" w:sz="4" w:space="0" w:color="auto"/>
            </w:tcBorders>
            <w:shd w:val="clear" w:color="auto" w:fill="auto"/>
          </w:tcPr>
          <w:p w:rsidR="00F66E52" w:rsidRPr="004B0B65" w:rsidRDefault="00F66E52" w:rsidP="00DE1F06">
            <w:pPr>
              <w:jc w:val="center"/>
              <w:rPr>
                <w:rFonts w:ascii="Arial" w:eastAsia="Times New Roman" w:hAnsi="Arial" w:cs="Arial"/>
                <w:sz w:val="19"/>
                <w:szCs w:val="19"/>
              </w:rPr>
            </w:pPr>
            <w:r w:rsidRPr="004B0B65">
              <w:rPr>
                <w:rFonts w:ascii="Arial" w:eastAsia="Times New Roman" w:hAnsi="Arial" w:cs="Arial"/>
                <w:sz w:val="19"/>
                <w:szCs w:val="19"/>
              </w:rPr>
              <w:t>&gt;90</w:t>
            </w:r>
          </w:p>
        </w:tc>
      </w:tr>
    </w:tbl>
    <w:p w:rsidR="00F66E52" w:rsidRPr="004B0B65" w:rsidRDefault="00F66E52" w:rsidP="00DE1F06">
      <w:pPr>
        <w:pStyle w:val="1"/>
        <w:ind w:firstLine="420"/>
        <w:jc w:val="both"/>
        <w:rPr>
          <w:rFonts w:ascii="Arial" w:hAnsi="Arial" w:cs="Arial"/>
        </w:rPr>
      </w:pPr>
      <w:r w:rsidRPr="004B0B65">
        <w:rPr>
          <w:rFonts w:ascii="Arial" w:hAnsi="Arial" w:cs="Arial"/>
        </w:rPr>
        <w:t>При световой микроскопии эндокринные опухоли ЖКТ и ПЖЖ рас</w:t>
      </w:r>
      <w:r w:rsidRPr="004B0B65">
        <w:rPr>
          <w:rFonts w:ascii="Arial" w:hAnsi="Arial" w:cs="Arial"/>
        </w:rPr>
        <w:softHyphen/>
        <w:t>познаются благодаря типичному солидному или трабекулярному строению, а также по мономорфным, мелким, круглым клеткам с одинаковыми ядра</w:t>
      </w:r>
      <w:r w:rsidRPr="004B0B65">
        <w:rPr>
          <w:rFonts w:ascii="Arial" w:hAnsi="Arial" w:cs="Arial"/>
        </w:rPr>
        <w:softHyphen/>
        <w:t>ми. Идентификация продуктов опухолевой секреции осуществляется имму</w:t>
      </w:r>
      <w:r w:rsidRPr="004B0B65">
        <w:rPr>
          <w:rFonts w:ascii="Arial" w:hAnsi="Arial" w:cs="Arial"/>
        </w:rPr>
        <w:softHyphen/>
        <w:t xml:space="preserve">ногистохимически. Все опухоли, в том числе и функционально неактивные (не производящие клеточно-специфические </w:t>
      </w:r>
      <w:r w:rsidRPr="004B0B65">
        <w:rPr>
          <w:rFonts w:ascii="Arial" w:hAnsi="Arial" w:cs="Arial"/>
        </w:rPr>
        <w:lastRenderedPageBreak/>
        <w:t>продукты), могут быть отнесе</w:t>
      </w:r>
      <w:r w:rsidRPr="004B0B65">
        <w:rPr>
          <w:rFonts w:ascii="Arial" w:hAnsi="Arial" w:cs="Arial"/>
        </w:rPr>
        <w:softHyphen/>
        <w:t xml:space="preserve">ны к этой группе при выявлении цитозольных маркеров АПУД-системы — хромо гран ина, нейронспецифической энолазы </w:t>
      </w:r>
      <w:r w:rsidRPr="004B0B65">
        <w:rPr>
          <w:rFonts w:ascii="Arial" w:hAnsi="Arial" w:cs="Arial"/>
          <w:lang w:bidi="en-US"/>
        </w:rPr>
        <w:t>(</w:t>
      </w:r>
      <w:r w:rsidRPr="004B0B65">
        <w:rPr>
          <w:rFonts w:ascii="Arial" w:hAnsi="Arial" w:cs="Arial"/>
          <w:lang w:val="en-US" w:bidi="en-US"/>
        </w:rPr>
        <w:t>NSE</w:t>
      </w:r>
      <w:r w:rsidRPr="004B0B65">
        <w:rPr>
          <w:rFonts w:ascii="Arial" w:hAnsi="Arial" w:cs="Arial"/>
          <w:lang w:bidi="en-US"/>
        </w:rPr>
        <w:t xml:space="preserve">), </w:t>
      </w:r>
      <w:r w:rsidRPr="004B0B65">
        <w:rPr>
          <w:rFonts w:ascii="Arial" w:hAnsi="Arial" w:cs="Arial"/>
        </w:rPr>
        <w:t>синаптофизина. В настоящее время чаще пользуются гистологической классификацией эн</w:t>
      </w:r>
      <w:r w:rsidRPr="004B0B65">
        <w:rPr>
          <w:rFonts w:ascii="Arial" w:hAnsi="Arial" w:cs="Arial"/>
        </w:rPr>
        <w:softHyphen/>
        <w:t>докринных опухолей ПЖЖ, в которой учтены величина опухоли, функцио</w:t>
      </w:r>
      <w:r w:rsidRPr="004B0B65">
        <w:rPr>
          <w:rFonts w:ascii="Arial" w:hAnsi="Arial" w:cs="Arial"/>
        </w:rPr>
        <w:softHyphen/>
        <w:t>нальная активность (гормонсекретирующая способность), наличие сосу</w:t>
      </w:r>
      <w:r w:rsidRPr="004B0B65">
        <w:rPr>
          <w:rFonts w:ascii="Arial" w:hAnsi="Arial" w:cs="Arial"/>
        </w:rPr>
        <w:softHyphen/>
        <w:t>дистой инвазии и степень дифференцировки (табл. 13.6). Опухоли, размер которых превышает 2 см, имеют метастазы в 60 % случаев.</w:t>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 xml:space="preserve">Таблица 13.6. </w:t>
      </w:r>
      <w:r w:rsidRPr="004B0B65">
        <w:rPr>
          <w:rFonts w:ascii="Arial" w:eastAsia="Times New Roman" w:hAnsi="Arial" w:cs="Arial"/>
          <w:b/>
          <w:bCs/>
          <w:sz w:val="19"/>
          <w:szCs w:val="19"/>
        </w:rPr>
        <w:t xml:space="preserve">Гистологическая классификация эндокринных опухолей ПЖЖ </w:t>
      </w:r>
      <w:r w:rsidRPr="004B0B65">
        <w:rPr>
          <w:rFonts w:ascii="Arial" w:eastAsia="Times New Roman" w:hAnsi="Arial" w:cs="Arial"/>
          <w:b/>
          <w:bCs/>
          <w:sz w:val="19"/>
          <w:szCs w:val="19"/>
          <w:lang w:eastAsia="en-US" w:bidi="en-US"/>
        </w:rPr>
        <w:t>[</w:t>
      </w:r>
      <w:r w:rsidRPr="004B0B65">
        <w:rPr>
          <w:rFonts w:ascii="Arial" w:eastAsia="Times New Roman" w:hAnsi="Arial" w:cs="Arial"/>
          <w:b/>
          <w:bCs/>
          <w:sz w:val="19"/>
          <w:szCs w:val="19"/>
          <w:lang w:val="en-US" w:eastAsia="en-US" w:bidi="en-US"/>
        </w:rPr>
        <w:t>Capella</w:t>
      </w:r>
      <w:r w:rsidRPr="004B0B65">
        <w:rPr>
          <w:rFonts w:ascii="Arial" w:eastAsia="Times New Roman" w:hAnsi="Arial" w:cs="Arial"/>
          <w:b/>
          <w:bCs/>
          <w:sz w:val="19"/>
          <w:szCs w:val="19"/>
          <w:lang w:eastAsia="en-US" w:bidi="en-US"/>
        </w:rPr>
        <w:t xml:space="preserve"> </w:t>
      </w:r>
      <w:r w:rsidRPr="004B0B65">
        <w:rPr>
          <w:rFonts w:ascii="Arial" w:eastAsia="Times New Roman" w:hAnsi="Arial" w:cs="Arial"/>
          <w:b/>
          <w:bCs/>
          <w:sz w:val="19"/>
          <w:szCs w:val="19"/>
        </w:rPr>
        <w:t>С„ 1994]</w:t>
      </w:r>
    </w:p>
    <w:tbl>
      <w:tblPr>
        <w:tblOverlap w:val="never"/>
        <w:tblW w:w="0" w:type="auto"/>
        <w:jc w:val="center"/>
        <w:tblLayout w:type="fixed"/>
        <w:tblCellMar>
          <w:left w:w="10" w:type="dxa"/>
          <w:right w:w="10" w:type="dxa"/>
        </w:tblCellMar>
        <w:tblLook w:val="0000" w:firstRow="0" w:lastRow="0" w:firstColumn="0" w:lastColumn="0" w:noHBand="0" w:noVBand="0"/>
      </w:tblPr>
      <w:tblGrid>
        <w:gridCol w:w="1363"/>
        <w:gridCol w:w="4219"/>
        <w:gridCol w:w="1896"/>
      </w:tblGrid>
      <w:tr w:rsidR="00F66E52" w:rsidRPr="004B0B65" w:rsidTr="0074786D">
        <w:trPr>
          <w:trHeight w:hRule="exact" w:val="691"/>
          <w:jc w:val="center"/>
        </w:trPr>
        <w:tc>
          <w:tcPr>
            <w:tcW w:w="1363" w:type="dxa"/>
            <w:tcBorders>
              <w:top w:val="single" w:sz="4" w:space="0" w:color="auto"/>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Клинико-мор</w:t>
            </w:r>
            <w:r w:rsidRPr="004B0B65">
              <w:rPr>
                <w:rFonts w:ascii="Arial" w:eastAsia="Times New Roman" w:hAnsi="Arial" w:cs="Arial"/>
                <w:sz w:val="18"/>
                <w:szCs w:val="18"/>
              </w:rPr>
              <w:softHyphen/>
              <w:t>фологическая характеристика</w:t>
            </w:r>
          </w:p>
        </w:tc>
        <w:tc>
          <w:tcPr>
            <w:tcW w:w="4219" w:type="dxa"/>
            <w:tcBorders>
              <w:top w:val="single" w:sz="4" w:space="0" w:color="auto"/>
              <w:left w:val="single" w:sz="4" w:space="0" w:color="auto"/>
            </w:tcBorders>
            <w:shd w:val="clear" w:color="auto" w:fill="auto"/>
            <w:vAlign w:val="center"/>
          </w:tcPr>
          <w:p w:rsidR="00F66E52" w:rsidRPr="004B0B65" w:rsidRDefault="00F66E52" w:rsidP="00DE1F06">
            <w:pPr>
              <w:jc w:val="center"/>
              <w:rPr>
                <w:rFonts w:ascii="Arial" w:eastAsia="Times New Roman" w:hAnsi="Arial" w:cs="Arial"/>
                <w:sz w:val="18"/>
                <w:szCs w:val="18"/>
              </w:rPr>
            </w:pPr>
            <w:r w:rsidRPr="004B0B65">
              <w:rPr>
                <w:rFonts w:ascii="Arial" w:eastAsia="Times New Roman" w:hAnsi="Arial" w:cs="Arial"/>
                <w:sz w:val="18"/>
                <w:szCs w:val="18"/>
              </w:rPr>
              <w:t>Функциональная активность, инвазия в сосуды</w:t>
            </w:r>
          </w:p>
        </w:tc>
        <w:tc>
          <w:tcPr>
            <w:tcW w:w="1896" w:type="dxa"/>
            <w:tcBorders>
              <w:top w:val="single" w:sz="4" w:space="0" w:color="auto"/>
              <w:left w:val="single" w:sz="4" w:space="0" w:color="auto"/>
              <w:right w:val="single" w:sz="4" w:space="0" w:color="auto"/>
            </w:tcBorders>
            <w:shd w:val="clear" w:color="auto" w:fill="auto"/>
            <w:vAlign w:val="center"/>
          </w:tcPr>
          <w:p w:rsidR="00F66E52" w:rsidRPr="004B0B65" w:rsidRDefault="00F66E52" w:rsidP="00DE1F06">
            <w:pPr>
              <w:ind w:firstLine="640"/>
              <w:rPr>
                <w:rFonts w:ascii="Arial" w:eastAsia="Times New Roman" w:hAnsi="Arial" w:cs="Arial"/>
                <w:sz w:val="18"/>
                <w:szCs w:val="18"/>
              </w:rPr>
            </w:pPr>
            <w:r w:rsidRPr="004B0B65">
              <w:rPr>
                <w:rFonts w:ascii="Arial" w:eastAsia="Times New Roman" w:hAnsi="Arial" w:cs="Arial"/>
                <w:sz w:val="18"/>
                <w:szCs w:val="18"/>
              </w:rPr>
              <w:t>Размер</w:t>
            </w:r>
          </w:p>
        </w:tc>
      </w:tr>
      <w:tr w:rsidR="00F66E52" w:rsidRPr="004B0B65" w:rsidTr="0074786D">
        <w:trPr>
          <w:trHeight w:hRule="exact" w:val="3816"/>
          <w:jc w:val="center"/>
        </w:trPr>
        <w:tc>
          <w:tcPr>
            <w:tcW w:w="1363" w:type="dxa"/>
            <w:tcBorders>
              <w:top w:val="single" w:sz="4" w:space="0" w:color="auto"/>
              <w:left w:val="single" w:sz="4" w:space="0" w:color="auto"/>
              <w:bottom w:val="single" w:sz="4" w:space="0" w:color="auto"/>
            </w:tcBorders>
            <w:shd w:val="clear" w:color="auto" w:fill="auto"/>
            <w:vAlign w:val="center"/>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Добро</w:t>
            </w:r>
            <w:r w:rsidRPr="004B0B65">
              <w:rPr>
                <w:rFonts w:ascii="Arial" w:eastAsia="Times New Roman" w:hAnsi="Arial" w:cs="Arial"/>
                <w:sz w:val="19"/>
                <w:szCs w:val="19"/>
              </w:rPr>
              <w:softHyphen/>
              <w:t>качественная</w:t>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Доброкачест</w:t>
            </w:r>
            <w:r w:rsidRPr="004B0B65">
              <w:rPr>
                <w:rFonts w:ascii="Arial" w:eastAsia="Times New Roman" w:hAnsi="Arial" w:cs="Arial"/>
                <w:sz w:val="19"/>
                <w:szCs w:val="19"/>
              </w:rPr>
              <w:softHyphen/>
              <w:t>венная или низкозлока</w:t>
            </w:r>
            <w:r w:rsidRPr="004B0B65">
              <w:rPr>
                <w:rFonts w:ascii="Arial" w:eastAsia="Times New Roman" w:hAnsi="Arial" w:cs="Arial"/>
                <w:sz w:val="19"/>
                <w:szCs w:val="19"/>
              </w:rPr>
              <w:softHyphen/>
              <w:t>чественная</w:t>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Низкозлока</w:t>
            </w:r>
            <w:r w:rsidRPr="004B0B65">
              <w:rPr>
                <w:rFonts w:ascii="Arial" w:eastAsia="Times New Roman" w:hAnsi="Arial" w:cs="Arial"/>
                <w:sz w:val="19"/>
                <w:szCs w:val="19"/>
              </w:rPr>
              <w:softHyphen/>
              <w:t>чественная</w:t>
            </w:r>
            <w:r w:rsidRPr="004B0B65">
              <w:rPr>
                <w:rFonts w:ascii="Arial" w:eastAsia="Times New Roman" w:hAnsi="Arial" w:cs="Arial"/>
                <w:sz w:val="19"/>
                <w:szCs w:val="19"/>
                <w:vertAlign w:val="superscript"/>
              </w:rPr>
              <w:t>1</w:t>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Высокозлока</w:t>
            </w:r>
            <w:r w:rsidRPr="004B0B65">
              <w:rPr>
                <w:rFonts w:ascii="Arial" w:eastAsia="Times New Roman" w:hAnsi="Arial" w:cs="Arial"/>
                <w:sz w:val="19"/>
                <w:szCs w:val="19"/>
              </w:rPr>
              <w:softHyphen/>
              <w:t>чественная</w:t>
            </w:r>
          </w:p>
        </w:tc>
        <w:tc>
          <w:tcPr>
            <w:tcW w:w="4219" w:type="dxa"/>
            <w:tcBorders>
              <w:top w:val="single" w:sz="4" w:space="0" w:color="auto"/>
              <w:left w:val="single" w:sz="4" w:space="0" w:color="auto"/>
              <w:bottom w:val="single" w:sz="4" w:space="0" w:color="auto"/>
            </w:tcBorders>
            <w:shd w:val="clear" w:color="auto" w:fill="auto"/>
            <w:vAlign w:val="center"/>
          </w:tcPr>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rPr>
              <w:t>Функционально активная, хорошо дифферен</w:t>
            </w:r>
            <w:r w:rsidRPr="004B0B65">
              <w:rPr>
                <w:rFonts w:ascii="Arial" w:eastAsia="Times New Roman" w:hAnsi="Arial" w:cs="Arial"/>
                <w:sz w:val="19"/>
                <w:szCs w:val="19"/>
              </w:rPr>
              <w:softHyphen/>
              <w:t>цированная опухоль без прорастания в сосуды Функционально неактивная, хорошо диффе</w:t>
            </w:r>
            <w:r w:rsidRPr="004B0B65">
              <w:rPr>
                <w:rFonts w:ascii="Arial" w:eastAsia="Times New Roman" w:hAnsi="Arial" w:cs="Arial"/>
                <w:sz w:val="19"/>
                <w:szCs w:val="19"/>
              </w:rPr>
              <w:softHyphen/>
              <w:t>ренцированная опухоль без прорастания в со</w:t>
            </w:r>
            <w:r w:rsidRPr="004B0B65">
              <w:rPr>
                <w:rFonts w:ascii="Arial" w:eastAsia="Times New Roman" w:hAnsi="Arial" w:cs="Arial"/>
                <w:sz w:val="19"/>
                <w:szCs w:val="19"/>
              </w:rPr>
              <w:softHyphen/>
              <w:t>суды</w:t>
            </w:r>
          </w:p>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rPr>
              <w:t>Функционально активная, хорошо дифферен</w:t>
            </w:r>
            <w:r w:rsidRPr="004B0B65">
              <w:rPr>
                <w:rFonts w:ascii="Arial" w:eastAsia="Times New Roman" w:hAnsi="Arial" w:cs="Arial"/>
                <w:sz w:val="19"/>
                <w:szCs w:val="19"/>
              </w:rPr>
              <w:softHyphen/>
              <w:t>цированная опухоль без прорастания в сосуды Функционально неактивные, хорошо диффе</w:t>
            </w:r>
            <w:r w:rsidRPr="004B0B65">
              <w:rPr>
                <w:rFonts w:ascii="Arial" w:eastAsia="Times New Roman" w:hAnsi="Arial" w:cs="Arial"/>
                <w:sz w:val="19"/>
                <w:szCs w:val="19"/>
              </w:rPr>
              <w:softHyphen/>
              <w:t>ренцированные опухоли без прорастания в сосуды</w:t>
            </w:r>
          </w:p>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rPr>
              <w:t>Функционально активные опухоли с прораста</w:t>
            </w:r>
            <w:r w:rsidRPr="004B0B65">
              <w:rPr>
                <w:rFonts w:ascii="Arial" w:eastAsia="Times New Roman" w:hAnsi="Arial" w:cs="Arial"/>
                <w:sz w:val="19"/>
                <w:szCs w:val="19"/>
              </w:rPr>
              <w:softHyphen/>
              <w:t>нием в сосуды</w:t>
            </w:r>
          </w:p>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rPr>
              <w:t>Функционально неактивные опухоли с прорас</w:t>
            </w:r>
            <w:r w:rsidRPr="004B0B65">
              <w:rPr>
                <w:rFonts w:ascii="Arial" w:eastAsia="Times New Roman" w:hAnsi="Arial" w:cs="Arial"/>
                <w:sz w:val="19"/>
                <w:szCs w:val="19"/>
              </w:rPr>
              <w:softHyphen/>
              <w:t>танием в сосуды</w:t>
            </w:r>
          </w:p>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sz w:val="19"/>
                <w:szCs w:val="19"/>
              </w:rPr>
              <w:t>Функционально активные и неактивные, низ</w:t>
            </w:r>
            <w:r w:rsidRPr="004B0B65">
              <w:rPr>
                <w:rFonts w:ascii="Arial" w:eastAsia="Times New Roman" w:hAnsi="Arial" w:cs="Arial"/>
                <w:sz w:val="19"/>
                <w:szCs w:val="19"/>
              </w:rPr>
              <w:softHyphen/>
              <w:t>ко дифференцированные или мелкоклеточные опухоли</w:t>
            </w:r>
          </w:p>
        </w:tc>
        <w:tc>
          <w:tcPr>
            <w:tcW w:w="1896" w:type="dxa"/>
            <w:tcBorders>
              <w:top w:val="single" w:sz="4" w:space="0" w:color="auto"/>
              <w:left w:val="single" w:sz="4" w:space="0" w:color="auto"/>
              <w:bottom w:val="single" w:sz="4" w:space="0" w:color="auto"/>
              <w:righ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 xml:space="preserve">Инсулинома </w:t>
            </w:r>
            <w:r w:rsidRPr="004B0B65">
              <w:rPr>
                <w:rFonts w:ascii="Arial" w:eastAsia="Times New Roman" w:hAnsi="Arial" w:cs="Arial"/>
                <w:b/>
                <w:bCs/>
                <w:i/>
                <w:iCs/>
                <w:sz w:val="19"/>
                <w:szCs w:val="19"/>
              </w:rPr>
              <w:t>&lt;2</w:t>
            </w:r>
            <w:r w:rsidRPr="004B0B65">
              <w:rPr>
                <w:rFonts w:ascii="Arial" w:eastAsia="Times New Roman" w:hAnsi="Arial" w:cs="Arial"/>
                <w:sz w:val="19"/>
                <w:szCs w:val="19"/>
              </w:rPr>
              <w:t xml:space="preserve"> см</w:t>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Другие</w:t>
            </w:r>
            <w:r w:rsidRPr="004B0B65">
              <w:rPr>
                <w:rFonts w:ascii="Arial" w:eastAsia="Times New Roman" w:hAnsi="Arial" w:cs="Arial"/>
                <w:sz w:val="19"/>
                <w:szCs w:val="19"/>
                <w:vertAlign w:val="superscript"/>
              </w:rPr>
              <w:t>1</w:t>
            </w:r>
            <w:r w:rsidRPr="004B0B65">
              <w:rPr>
                <w:rFonts w:ascii="Arial" w:eastAsia="Times New Roman" w:hAnsi="Arial" w:cs="Arial"/>
                <w:sz w:val="19"/>
                <w:szCs w:val="19"/>
              </w:rPr>
              <w:t xml:space="preserve"> &lt;1 см</w:t>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&lt;2 см</w:t>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Инсулинома 2—3 см</w:t>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Другие</w:t>
            </w:r>
            <w:r w:rsidRPr="004B0B65">
              <w:rPr>
                <w:rFonts w:ascii="Arial" w:eastAsia="Times New Roman" w:hAnsi="Arial" w:cs="Arial"/>
                <w:sz w:val="19"/>
                <w:szCs w:val="19"/>
                <w:vertAlign w:val="superscript"/>
              </w:rPr>
              <w:t>1</w:t>
            </w:r>
            <w:r w:rsidRPr="004B0B65">
              <w:rPr>
                <w:rFonts w:ascii="Arial" w:eastAsia="Times New Roman" w:hAnsi="Arial" w:cs="Arial"/>
                <w:sz w:val="19"/>
                <w:szCs w:val="19"/>
              </w:rPr>
              <w:t xml:space="preserve"> 1—2 см 2—3 см</w:t>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Инсулинома &gt;3 см</w:t>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Другие</w:t>
            </w:r>
            <w:r w:rsidRPr="004B0B65">
              <w:rPr>
                <w:rFonts w:ascii="Arial" w:eastAsia="Times New Roman" w:hAnsi="Arial" w:cs="Arial"/>
                <w:sz w:val="19"/>
                <w:szCs w:val="19"/>
                <w:vertAlign w:val="superscript"/>
              </w:rPr>
              <w:t>1</w:t>
            </w:r>
            <w:r w:rsidRPr="004B0B65">
              <w:rPr>
                <w:rFonts w:ascii="Arial" w:eastAsia="Times New Roman" w:hAnsi="Arial" w:cs="Arial"/>
                <w:sz w:val="19"/>
                <w:szCs w:val="19"/>
              </w:rPr>
              <w:t xml:space="preserve"> &gt;2 см</w:t>
            </w:r>
          </w:p>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&gt;3 см</w:t>
            </w:r>
          </w:p>
        </w:tc>
      </w:tr>
    </w:tbl>
    <w:p w:rsidR="00F66E52" w:rsidRPr="004B0B65" w:rsidRDefault="00F66E52" w:rsidP="00DE1F06">
      <w:pPr>
        <w:rPr>
          <w:rFonts w:ascii="Arial" w:eastAsia="Times New Roman" w:hAnsi="Arial" w:cs="Arial"/>
          <w:sz w:val="18"/>
          <w:szCs w:val="18"/>
        </w:rPr>
      </w:pPr>
      <w:r w:rsidRPr="004B0B65">
        <w:rPr>
          <w:rFonts w:ascii="Arial" w:eastAsia="Times New Roman" w:hAnsi="Arial" w:cs="Arial"/>
          <w:sz w:val="18"/>
          <w:szCs w:val="18"/>
        </w:rPr>
        <w:t>'Другие функционально активные опухоли (гастринома, випома, глюкагонома, карциноид и , ДР-)-</w:t>
      </w:r>
    </w:p>
    <w:p w:rsidR="00F66E52" w:rsidRPr="004B0B65" w:rsidRDefault="00F66E52" w:rsidP="00DE1F06">
      <w:pPr>
        <w:jc w:val="both"/>
        <w:rPr>
          <w:rFonts w:ascii="Arial" w:eastAsia="Times New Roman" w:hAnsi="Arial" w:cs="Arial"/>
          <w:sz w:val="18"/>
          <w:szCs w:val="18"/>
        </w:rPr>
      </w:pPr>
      <w:r w:rsidRPr="004B0B65">
        <w:rPr>
          <w:rFonts w:ascii="Arial" w:eastAsia="Times New Roman" w:hAnsi="Arial" w:cs="Arial"/>
          <w:sz w:val="18"/>
          <w:szCs w:val="18"/>
        </w:rPr>
        <w:t>При наличии метастазов или инвазивного роста речь идет о низкозлокачественных нейро</w:t>
      </w:r>
      <w:r w:rsidRPr="004B0B65">
        <w:rPr>
          <w:rFonts w:ascii="Arial" w:eastAsia="Times New Roman" w:hAnsi="Arial" w:cs="Arial"/>
          <w:sz w:val="18"/>
          <w:szCs w:val="18"/>
        </w:rPr>
        <w:softHyphen/>
        <w:t>эндокринных карциномах.</w:t>
      </w:r>
    </w:p>
    <w:p w:rsidR="00F66E52" w:rsidRPr="004B0B65" w:rsidRDefault="00F66E52" w:rsidP="00DE1F06">
      <w:pPr>
        <w:rPr>
          <w:rFonts w:ascii="Arial" w:hAnsi="Arial" w:cs="Arial"/>
        </w:rPr>
      </w:pPr>
    </w:p>
    <w:p w:rsidR="00F66E52" w:rsidRPr="004B0B65" w:rsidRDefault="00F66E52"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Этиология спорадических эндокринных опухолей ПЖЖ и ЖКТ неиз</w:t>
      </w:r>
      <w:r w:rsidRPr="004B0B65">
        <w:rPr>
          <w:rFonts w:ascii="Arial" w:eastAsia="Times New Roman" w:hAnsi="Arial" w:cs="Arial"/>
          <w:sz w:val="22"/>
          <w:szCs w:val="22"/>
        </w:rPr>
        <w:softHyphen/>
        <w:t>вестна. Для ряда опухолей, встречающихся при синдромах множественных эндокринных неоплазий (см. далее), выявлены специфические генетичес</w:t>
      </w:r>
      <w:r w:rsidRPr="004B0B65">
        <w:rPr>
          <w:rFonts w:ascii="Arial" w:eastAsia="Times New Roman" w:hAnsi="Arial" w:cs="Arial"/>
          <w:sz w:val="22"/>
          <w:szCs w:val="22"/>
        </w:rPr>
        <w:softHyphen/>
        <w:t>кие маркеры.</w:t>
      </w:r>
    </w:p>
    <w:p w:rsidR="00F66E52" w:rsidRPr="004B0B65" w:rsidRDefault="00F66E52"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Несмотря на то что эндокринные опухоли ПЖЖ и ЖКТ на основании морфологических свойств и происхождения объединены в одну группу, их клиническая картина будет существенно различаться. Клиническая картина панкреатических и кишечных эндокринных опухолей будет определяться:</w:t>
      </w:r>
    </w:p>
    <w:p w:rsidR="00F66E52" w:rsidRPr="004B0B65" w:rsidRDefault="00F66E52" w:rsidP="00DE1F06">
      <w:pPr>
        <w:numPr>
          <w:ilvl w:val="0"/>
          <w:numId w:val="3"/>
        </w:numPr>
        <w:tabs>
          <w:tab w:val="left" w:pos="733"/>
        </w:tabs>
        <w:jc w:val="both"/>
        <w:rPr>
          <w:rFonts w:ascii="Arial" w:eastAsia="Times New Roman" w:hAnsi="Arial" w:cs="Arial"/>
          <w:sz w:val="22"/>
          <w:szCs w:val="22"/>
        </w:rPr>
      </w:pPr>
      <w:r w:rsidRPr="004B0B65">
        <w:rPr>
          <w:rFonts w:ascii="Arial" w:eastAsia="Times New Roman" w:hAnsi="Arial" w:cs="Arial"/>
          <w:sz w:val="22"/>
          <w:szCs w:val="22"/>
        </w:rPr>
        <w:t>бесконтрольной (автономной) гиперсекрецией синтезируемых гор</w:t>
      </w:r>
      <w:r w:rsidRPr="004B0B65">
        <w:rPr>
          <w:rFonts w:ascii="Arial" w:eastAsia="Times New Roman" w:hAnsi="Arial" w:cs="Arial"/>
          <w:sz w:val="22"/>
          <w:szCs w:val="22"/>
        </w:rPr>
        <w:softHyphen/>
        <w:t>монов,</w:t>
      </w:r>
    </w:p>
    <w:p w:rsidR="00F66E52" w:rsidRPr="004B0B65" w:rsidRDefault="00F66E52" w:rsidP="00DE1F06">
      <w:pPr>
        <w:numPr>
          <w:ilvl w:val="0"/>
          <w:numId w:val="3"/>
        </w:numPr>
        <w:tabs>
          <w:tab w:val="left" w:pos="708"/>
        </w:tabs>
        <w:jc w:val="both"/>
        <w:rPr>
          <w:rFonts w:ascii="Arial" w:eastAsia="Times New Roman" w:hAnsi="Arial" w:cs="Arial"/>
          <w:sz w:val="22"/>
          <w:szCs w:val="22"/>
        </w:rPr>
      </w:pPr>
      <w:r w:rsidRPr="004B0B65">
        <w:rPr>
          <w:rFonts w:ascii="Arial" w:eastAsia="Times New Roman" w:hAnsi="Arial" w:cs="Arial"/>
          <w:sz w:val="22"/>
          <w:szCs w:val="22"/>
        </w:rPr>
        <w:t>инвазивным ростом и метастазированием.</w:t>
      </w:r>
    </w:p>
    <w:p w:rsidR="00F66E52" w:rsidRPr="004B0B65" w:rsidRDefault="00F66E52" w:rsidP="00DE1F06">
      <w:pPr>
        <w:pStyle w:val="1"/>
        <w:ind w:firstLine="420"/>
        <w:jc w:val="both"/>
        <w:rPr>
          <w:rFonts w:ascii="Arial" w:hAnsi="Arial" w:cs="Arial"/>
        </w:rPr>
      </w:pPr>
      <w:r w:rsidRPr="004B0B65">
        <w:rPr>
          <w:rFonts w:ascii="Arial" w:hAnsi="Arial" w:cs="Arial"/>
        </w:rPr>
        <w:t>Различия клинической картины определяются синдромом гиперсекре</w:t>
      </w:r>
      <w:r w:rsidRPr="004B0B65">
        <w:rPr>
          <w:rFonts w:ascii="Arial" w:hAnsi="Arial" w:cs="Arial"/>
        </w:rPr>
        <w:softHyphen/>
        <w:t>ции того или иного гормона. Так, для инсулиномы характерен гипоглике</w:t>
      </w:r>
      <w:r w:rsidRPr="004B0B65">
        <w:rPr>
          <w:rFonts w:ascii="Arial" w:hAnsi="Arial" w:cs="Arial"/>
        </w:rPr>
        <w:softHyphen/>
        <w:t>мический синдром, для гастриномы — рецидивирующие язвы, для карци</w:t>
      </w:r>
      <w:r w:rsidRPr="004B0B65">
        <w:rPr>
          <w:rFonts w:ascii="Arial" w:hAnsi="Arial" w:cs="Arial"/>
        </w:rPr>
        <w:softHyphen/>
        <w:t>ноидного синдрома — диарея, приливы, бронхообструктивный синдром. Таким образом, на основании данных клинической картины может быть заподозрен синдром гиперпродукции того или иного гормона (инсулина, гастрина и пр.). Следующим этапом является лабораторное подтверждение наличия этого синдрома. Так, при тощаковом гипогликемическом синдро</w:t>
      </w:r>
      <w:r w:rsidRPr="004B0B65">
        <w:rPr>
          <w:rFonts w:ascii="Arial" w:hAnsi="Arial" w:cs="Arial"/>
        </w:rPr>
        <w:softHyphen/>
        <w:t>ме для подтверждения диагноза органического гиперинсулинизма проводят пробу с голоданием, при рецидивирующих язвах исследуют кислотность желудочного сока и уровень гастрина, при подозрении на карциноидный синдром исследуют уровень суточной экскреции с мочой 5-гидроксииндол- уксусной кислоты (5-ГИУК). После лабораторного подтверждения нали</w:t>
      </w:r>
      <w:r w:rsidRPr="004B0B65">
        <w:rPr>
          <w:rFonts w:ascii="Arial" w:hAnsi="Arial" w:cs="Arial"/>
        </w:rPr>
        <w:softHyphen/>
        <w:t>чия гиперпродукции того или иного гормона проводят топическую диа</w:t>
      </w:r>
      <w:r w:rsidRPr="004B0B65">
        <w:rPr>
          <w:rFonts w:ascii="Arial" w:hAnsi="Arial" w:cs="Arial"/>
        </w:rPr>
        <w:softHyphen/>
        <w:t>гностику опухоли (схема 13.1). В ряде случаев диагноз эндокринных опу</w:t>
      </w:r>
      <w:r w:rsidRPr="004B0B65">
        <w:rPr>
          <w:rFonts w:ascii="Arial" w:hAnsi="Arial" w:cs="Arial"/>
        </w:rPr>
        <w:softHyphen/>
        <w:t>холей ПЖЖ и ЖКТ устанавливается при скрининговом обследовании для выявления синдрома множественных эндокринных неоплазий (МЭН). Так, при установлении диагноза первичного гиперпаратиреоза пациенту показано активное обследование для исключения островково-клеточных опухолей, феохромоцитомы, медуллярного рака щитовидной железы. В ря</w:t>
      </w:r>
      <w:r w:rsidRPr="004B0B65">
        <w:rPr>
          <w:rFonts w:ascii="Arial" w:hAnsi="Arial" w:cs="Arial"/>
        </w:rPr>
        <w:softHyphen/>
        <w:t xml:space="preserve">де случаев на первый план в клинической картине выступают симптомы метастазирования и инвазивного роста опухоли. В первую </w:t>
      </w:r>
      <w:r w:rsidRPr="004B0B65">
        <w:rPr>
          <w:rFonts w:ascii="Arial" w:hAnsi="Arial" w:cs="Arial"/>
        </w:rPr>
        <w:lastRenderedPageBreak/>
        <w:t>очередь это ха</w:t>
      </w:r>
      <w:r w:rsidRPr="004B0B65">
        <w:rPr>
          <w:rFonts w:ascii="Arial" w:hAnsi="Arial" w:cs="Arial"/>
        </w:rPr>
        <w:softHyphen/>
        <w:t>рактерно для функционально неактивных опухолей, которые клинически проявляются как аденокарциномы и другие опухоли органов брюшной полости. В данном случае диагноз эндокринной опухоли, как правило, устанавливается ретроспективно или при гистологическом исследовании биоптата.</w:t>
      </w:r>
    </w:p>
    <w:p w:rsidR="00F66E52" w:rsidRPr="004B0B65" w:rsidRDefault="00F66E52"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Топическая диагностика эндокринных опухолей ПЖЖ и ЖКТ строит</w:t>
      </w:r>
      <w:r w:rsidRPr="004B0B65">
        <w:rPr>
          <w:rFonts w:ascii="Arial" w:eastAsia="Times New Roman" w:hAnsi="Arial" w:cs="Arial"/>
          <w:sz w:val="22"/>
          <w:szCs w:val="22"/>
        </w:rPr>
        <w:softHyphen/>
        <w:t>ся на единых принципах. Ее задачей является не только определение лока</w:t>
      </w:r>
      <w:r w:rsidRPr="004B0B65">
        <w:rPr>
          <w:rFonts w:ascii="Arial" w:eastAsia="Times New Roman" w:hAnsi="Arial" w:cs="Arial"/>
          <w:sz w:val="22"/>
          <w:szCs w:val="22"/>
        </w:rPr>
        <w:softHyphen/>
        <w:t>лизации, но и выявление характера, стадии и темпов прогрессирования опухолевого процесса. На сегодняшний день имеются следующие методы топической диагностики.</w:t>
      </w:r>
    </w:p>
    <w:p w:rsidR="00F66E52" w:rsidRPr="004B0B65" w:rsidRDefault="00F66E52" w:rsidP="00DE1F06">
      <w:pPr>
        <w:numPr>
          <w:ilvl w:val="0"/>
          <w:numId w:val="3"/>
        </w:numPr>
        <w:tabs>
          <w:tab w:val="left" w:pos="658"/>
        </w:tabs>
        <w:jc w:val="both"/>
        <w:rPr>
          <w:rFonts w:ascii="Arial" w:eastAsia="Times New Roman" w:hAnsi="Arial" w:cs="Arial"/>
          <w:sz w:val="22"/>
          <w:szCs w:val="22"/>
        </w:rPr>
      </w:pPr>
      <w:r w:rsidRPr="004B0B65">
        <w:rPr>
          <w:rFonts w:ascii="Arial" w:eastAsia="Times New Roman" w:hAnsi="Arial" w:cs="Arial"/>
          <w:sz w:val="22"/>
          <w:szCs w:val="22"/>
        </w:rPr>
        <w:t>Ультразвуковое исследование:</w:t>
      </w:r>
    </w:p>
    <w:p w:rsidR="00F66E52" w:rsidRPr="004B0B65" w:rsidRDefault="00F66E52" w:rsidP="00DE1F06">
      <w:pPr>
        <w:numPr>
          <w:ilvl w:val="0"/>
          <w:numId w:val="4"/>
        </w:numPr>
        <w:tabs>
          <w:tab w:val="left" w:pos="928"/>
        </w:tabs>
        <w:jc w:val="both"/>
        <w:rPr>
          <w:rFonts w:ascii="Arial" w:eastAsia="Times New Roman" w:hAnsi="Arial" w:cs="Arial"/>
          <w:sz w:val="22"/>
          <w:szCs w:val="22"/>
        </w:rPr>
      </w:pPr>
      <w:r w:rsidRPr="004B0B65">
        <w:rPr>
          <w:rFonts w:ascii="Arial" w:eastAsia="Times New Roman" w:hAnsi="Arial" w:cs="Arial"/>
          <w:sz w:val="22"/>
          <w:szCs w:val="22"/>
        </w:rPr>
        <w:t>трансабдоминальное (стандартное),</w:t>
      </w:r>
    </w:p>
    <w:p w:rsidR="00F66E52" w:rsidRPr="004B0B65" w:rsidRDefault="00F66E52" w:rsidP="00DE1F06">
      <w:pPr>
        <w:numPr>
          <w:ilvl w:val="0"/>
          <w:numId w:val="4"/>
        </w:numPr>
        <w:tabs>
          <w:tab w:val="left" w:pos="928"/>
        </w:tabs>
        <w:jc w:val="both"/>
        <w:rPr>
          <w:rFonts w:ascii="Arial" w:eastAsia="Times New Roman" w:hAnsi="Arial" w:cs="Arial"/>
          <w:sz w:val="22"/>
          <w:szCs w:val="22"/>
        </w:rPr>
      </w:pPr>
      <w:r w:rsidRPr="004B0B65">
        <w:rPr>
          <w:rFonts w:ascii="Arial" w:eastAsia="Times New Roman" w:hAnsi="Arial" w:cs="Arial"/>
          <w:sz w:val="22"/>
          <w:szCs w:val="22"/>
        </w:rPr>
        <w:t>эндоскопическое (датчик устанавливается на эндоскоп), — интраоперационное (датчик устанавливается по ПЖЖ).</w:t>
      </w:r>
    </w:p>
    <w:p w:rsidR="00F66E52" w:rsidRPr="004B0B65" w:rsidRDefault="00F66E52" w:rsidP="00DE1F06">
      <w:pPr>
        <w:ind w:left="620" w:hanging="200"/>
        <w:jc w:val="both"/>
        <w:rPr>
          <w:rFonts w:ascii="Arial" w:eastAsia="Times New Roman" w:hAnsi="Arial" w:cs="Arial"/>
          <w:sz w:val="22"/>
          <w:szCs w:val="22"/>
        </w:rPr>
      </w:pPr>
      <w:r w:rsidRPr="004B0B65">
        <w:rPr>
          <w:rFonts w:ascii="Arial" w:eastAsia="Times New Roman" w:hAnsi="Arial" w:cs="Arial"/>
          <w:sz w:val="22"/>
          <w:szCs w:val="22"/>
        </w:rPr>
        <w:t>• Томографическое исследование органов брюшной полости: — компьютерная томография (КТ),</w:t>
      </w:r>
    </w:p>
    <w:p w:rsidR="00F66E52" w:rsidRPr="004B0B65" w:rsidRDefault="00F66E52" w:rsidP="00DE1F06">
      <w:pPr>
        <w:ind w:firstLine="620"/>
        <w:jc w:val="both"/>
        <w:rPr>
          <w:rFonts w:ascii="Arial" w:eastAsia="Times New Roman" w:hAnsi="Arial" w:cs="Arial"/>
          <w:sz w:val="22"/>
          <w:szCs w:val="22"/>
        </w:rPr>
      </w:pPr>
      <w:r w:rsidRPr="004B0B65">
        <w:rPr>
          <w:rFonts w:ascii="Arial" w:eastAsia="Times New Roman" w:hAnsi="Arial" w:cs="Arial"/>
          <w:sz w:val="22"/>
          <w:szCs w:val="22"/>
        </w:rPr>
        <w:t>— магнитно-резонансная томография (МРТ).</w:t>
      </w:r>
    </w:p>
    <w:p w:rsidR="00F66E52" w:rsidRPr="004B0B65" w:rsidRDefault="00F66E52" w:rsidP="00DE1F06">
      <w:pPr>
        <w:ind w:firstLine="400"/>
        <w:jc w:val="both"/>
        <w:rPr>
          <w:rFonts w:ascii="Arial" w:eastAsia="Times New Roman" w:hAnsi="Arial" w:cs="Arial"/>
          <w:sz w:val="22"/>
          <w:szCs w:val="22"/>
        </w:rPr>
      </w:pPr>
      <w:r w:rsidRPr="004B0B65">
        <w:rPr>
          <w:rFonts w:ascii="Arial" w:eastAsia="Times New Roman" w:hAnsi="Arial" w:cs="Arial"/>
          <w:sz w:val="22"/>
          <w:szCs w:val="22"/>
        </w:rPr>
        <w:t>• Эндоваскулярные методы:</w:t>
      </w:r>
    </w:p>
    <w:p w:rsidR="00F66E52" w:rsidRPr="004B0B65" w:rsidRDefault="00F66E52" w:rsidP="00DE1F06">
      <w:pPr>
        <w:numPr>
          <w:ilvl w:val="0"/>
          <w:numId w:val="5"/>
        </w:numPr>
        <w:tabs>
          <w:tab w:val="left" w:pos="928"/>
        </w:tabs>
        <w:jc w:val="both"/>
        <w:rPr>
          <w:rFonts w:ascii="Arial" w:eastAsia="Times New Roman" w:hAnsi="Arial" w:cs="Arial"/>
          <w:sz w:val="22"/>
          <w:szCs w:val="22"/>
        </w:rPr>
      </w:pPr>
      <w:r w:rsidRPr="004B0B65">
        <w:rPr>
          <w:rFonts w:ascii="Arial" w:eastAsia="Times New Roman" w:hAnsi="Arial" w:cs="Arial"/>
          <w:sz w:val="22"/>
          <w:szCs w:val="22"/>
        </w:rPr>
        <w:t>ангиография,</w:t>
      </w:r>
    </w:p>
    <w:p w:rsidR="00F66E52" w:rsidRPr="004B0B65" w:rsidRDefault="00F66E52" w:rsidP="00DE1F06">
      <w:pPr>
        <w:numPr>
          <w:ilvl w:val="0"/>
          <w:numId w:val="5"/>
        </w:numPr>
        <w:tabs>
          <w:tab w:val="left" w:pos="933"/>
        </w:tabs>
        <w:jc w:val="both"/>
        <w:rPr>
          <w:rFonts w:ascii="Arial" w:eastAsia="Times New Roman" w:hAnsi="Arial" w:cs="Arial"/>
          <w:sz w:val="22"/>
          <w:szCs w:val="22"/>
        </w:rPr>
      </w:pPr>
      <w:r w:rsidRPr="004B0B65">
        <w:rPr>
          <w:rFonts w:ascii="Arial" w:eastAsia="Times New Roman" w:hAnsi="Arial" w:cs="Arial"/>
          <w:sz w:val="22"/>
          <w:szCs w:val="22"/>
        </w:rPr>
        <w:t>исследование проб портальной венозной крови для определения градиента концентрации гормонов.</w:t>
      </w:r>
    </w:p>
    <w:p w:rsidR="00F66E52" w:rsidRPr="004B0B65" w:rsidRDefault="00F66E52" w:rsidP="00DE1F06">
      <w:pPr>
        <w:ind w:firstLine="400"/>
        <w:jc w:val="both"/>
        <w:rPr>
          <w:rFonts w:ascii="Arial" w:eastAsia="Times New Roman" w:hAnsi="Arial" w:cs="Arial"/>
          <w:sz w:val="22"/>
          <w:szCs w:val="22"/>
        </w:rPr>
      </w:pPr>
      <w:r w:rsidRPr="004B0B65">
        <w:rPr>
          <w:rFonts w:ascii="Arial" w:eastAsia="Times New Roman" w:hAnsi="Arial" w:cs="Arial"/>
          <w:sz w:val="22"/>
          <w:szCs w:val="22"/>
        </w:rPr>
        <w:t>• Сцинтиграфия соматостатиновых рецепторов.</w:t>
      </w:r>
    </w:p>
    <w:p w:rsidR="00F66E52" w:rsidRPr="004B0B65" w:rsidRDefault="00F66E52" w:rsidP="008A63FC">
      <w:pPr>
        <w:pStyle w:val="a5"/>
        <w:jc w:val="both"/>
        <w:rPr>
          <w:rFonts w:ascii="Arial" w:hAnsi="Arial" w:cs="Arial"/>
          <w:lang w:bidi="ru-RU"/>
        </w:rPr>
      </w:pPr>
      <w:r w:rsidRPr="004B0B65">
        <w:rPr>
          <w:rFonts w:ascii="Arial" w:hAnsi="Arial" w:cs="Arial"/>
        </w:rPr>
        <w:t>Очень трудны для топической диагностики мелкие опухоли, диаметром 1 см и менее. Чаще всего в данном случае речь идет об инсулиномах и га</w:t>
      </w:r>
      <w:r w:rsidRPr="004B0B65">
        <w:rPr>
          <w:rFonts w:ascii="Arial" w:hAnsi="Arial" w:cs="Arial"/>
        </w:rPr>
        <w:softHyphen/>
        <w:t>стриномах. Ценность стандартного УЗИ поджелудочной железы в диагнос</w:t>
      </w:r>
      <w:r w:rsidRPr="004B0B65">
        <w:rPr>
          <w:rFonts w:ascii="Arial" w:hAnsi="Arial" w:cs="Arial"/>
        </w:rPr>
        <w:softHyphen/>
        <w:t>тике этих опухолей очень низка, что связано с недостаточной интенсивнос</w:t>
      </w:r>
      <w:r w:rsidRPr="004B0B65">
        <w:rPr>
          <w:rFonts w:ascii="Arial" w:hAnsi="Arial" w:cs="Arial"/>
          <w:sz w:val="22"/>
          <w:szCs w:val="22"/>
        </w:rPr>
        <w:t xml:space="preserve"> </w:t>
      </w:r>
      <w:r w:rsidRPr="004B0B65">
        <w:rPr>
          <w:rFonts w:ascii="Arial" w:hAnsi="Arial" w:cs="Arial"/>
          <w:lang w:bidi="ru-RU"/>
        </w:rPr>
        <w:t>тью внутреннего эхосигнала от опухоли. Несколько больше она для КТ и МРТ. Чувствительность эндоваскулярных методов определенно больше, но их явным недостатком является инвазивность (табл. 13.7).</w:t>
      </w:r>
    </w:p>
    <w:p w:rsidR="00F66E52" w:rsidRPr="004B0B65" w:rsidRDefault="00F66E52" w:rsidP="008A63FC">
      <w:pPr>
        <w:pStyle w:val="a5"/>
        <w:jc w:val="both"/>
        <w:rPr>
          <w:rFonts w:ascii="Arial" w:hAnsi="Arial" w:cs="Arial"/>
          <w:lang w:bidi="ru-RU"/>
        </w:rPr>
      </w:pPr>
      <w:r w:rsidRPr="004B0B65">
        <w:rPr>
          <w:rFonts w:ascii="Arial" w:hAnsi="Arial" w:cs="Arial"/>
          <w:lang w:bidi="ru-RU"/>
        </w:rPr>
        <w:t>Ангиографический метод основан на выявлении гиперваскуляриза</w:t>
      </w:r>
      <w:r w:rsidRPr="004B0B65">
        <w:rPr>
          <w:rFonts w:ascii="Arial" w:hAnsi="Arial" w:cs="Arial"/>
          <w:lang w:bidi="ru-RU"/>
        </w:rPr>
        <w:softHyphen/>
        <w:t>ции новообразований и их метастазов. В артериальной фазе на ангио</w:t>
      </w:r>
      <w:r w:rsidRPr="004B0B65">
        <w:rPr>
          <w:rFonts w:ascii="Arial" w:hAnsi="Arial" w:cs="Arial"/>
          <w:lang w:bidi="ru-RU"/>
        </w:rPr>
        <w:softHyphen/>
        <w:t>грамме опухоли определяются гипертрофированная артерия, питающая опухоль, и тонкая сеть сосудов в области очага поражения. Капиллярная фаза характеризуется локальным скоплением контрастного вещества в об</w:t>
      </w:r>
      <w:r w:rsidRPr="004B0B65">
        <w:rPr>
          <w:rFonts w:ascii="Arial" w:hAnsi="Arial" w:cs="Arial"/>
          <w:lang w:bidi="ru-RU"/>
        </w:rPr>
        <w:softHyphen/>
        <w:t>ласти новообразования. В венозной фазе выявляется вена, дренирующая опухоль.</w:t>
      </w:r>
    </w:p>
    <w:p w:rsidR="00F66E52" w:rsidRPr="004B0B65" w:rsidRDefault="00F66E52" w:rsidP="00217E0A">
      <w:pPr>
        <w:pStyle w:val="a5"/>
        <w:jc w:val="both"/>
        <w:rPr>
          <w:rFonts w:ascii="Arial" w:hAnsi="Arial" w:cs="Arial"/>
        </w:rPr>
      </w:pPr>
      <w:r w:rsidRPr="004B0B65">
        <w:rPr>
          <w:rFonts w:ascii="Arial" w:hAnsi="Arial" w:cs="Arial"/>
        </w:rPr>
        <w:t xml:space="preserve"> </w:t>
      </w:r>
    </w:p>
    <w:p w:rsidR="00F66E52" w:rsidRPr="004B0B65" w:rsidRDefault="00F66E52" w:rsidP="00DE1F06">
      <w:pPr>
        <w:pStyle w:val="a5"/>
        <w:jc w:val="center"/>
        <w:rPr>
          <w:rFonts w:ascii="Arial" w:hAnsi="Arial" w:cs="Arial"/>
        </w:rPr>
      </w:pPr>
    </w:p>
    <w:p w:rsidR="00F66E52" w:rsidRPr="004B0B65" w:rsidRDefault="00F66E52" w:rsidP="00DE1F06">
      <w:pPr>
        <w:pStyle w:val="a5"/>
        <w:jc w:val="center"/>
        <w:rPr>
          <w:rFonts w:ascii="Arial" w:hAnsi="Arial" w:cs="Arial"/>
        </w:rPr>
      </w:pPr>
      <w:r w:rsidRPr="004B0B65">
        <w:rPr>
          <w:rFonts w:ascii="Arial" w:hAnsi="Arial" w:cs="Arial"/>
        </w:rPr>
        <w:t xml:space="preserve">Схема 13.1. </w:t>
      </w:r>
      <w:r w:rsidRPr="004B0B65">
        <w:rPr>
          <w:rFonts w:ascii="Arial" w:hAnsi="Arial" w:cs="Arial"/>
          <w:b/>
          <w:bCs/>
        </w:rPr>
        <w:t>Алгоритм диагностики эндокринных опухолей поджелудочной железы и желудочно-кишечного тракта</w:t>
      </w:r>
    </w:p>
    <w:p w:rsidR="00F66E52" w:rsidRPr="004B0B65" w:rsidRDefault="00F66E52" w:rsidP="00DE1F06">
      <w:pPr>
        <w:rPr>
          <w:rFonts w:ascii="Arial" w:hAnsi="Arial" w:cs="Arial"/>
          <w:sz w:val="2"/>
          <w:szCs w:val="2"/>
        </w:rPr>
      </w:pPr>
      <w:r w:rsidRPr="004B0B65">
        <w:rPr>
          <w:rFonts w:ascii="Arial" w:hAnsi="Arial" w:cs="Arial"/>
          <w:noProof/>
          <w:lang w:bidi="ar-SA"/>
        </w:rPr>
        <w:drawing>
          <wp:inline distT="0" distB="0" distL="0" distR="0" wp14:anchorId="6AA13762" wp14:editId="45D6A316">
            <wp:extent cx="4358640" cy="3462655"/>
            <wp:effectExtent l="0" t="0" r="0" b="0"/>
            <wp:docPr id="1200" name="Picutre 1200"/>
            <wp:cNvGraphicFramePr/>
            <a:graphic xmlns:a="http://schemas.openxmlformats.org/drawingml/2006/main">
              <a:graphicData uri="http://schemas.openxmlformats.org/drawingml/2006/picture">
                <pic:pic xmlns:pic="http://schemas.openxmlformats.org/drawingml/2006/picture">
                  <pic:nvPicPr>
                    <pic:cNvPr id="1200" name="Picture 1200"/>
                    <pic:cNvPicPr/>
                  </pic:nvPicPr>
                  <pic:blipFill>
                    <a:blip r:embed="rId9"/>
                    <a:stretch/>
                  </pic:blipFill>
                  <pic:spPr>
                    <a:xfrm>
                      <a:off x="0" y="0"/>
                      <a:ext cx="4358640" cy="3462655"/>
                    </a:xfrm>
                    <a:prstGeom prst="rect">
                      <a:avLst/>
                    </a:prstGeom>
                  </pic:spPr>
                </pic:pic>
              </a:graphicData>
            </a:graphic>
          </wp:inline>
        </w:drawing>
      </w:r>
    </w:p>
    <w:p w:rsidR="00F66E52" w:rsidRPr="004B0B65" w:rsidRDefault="00F66E52" w:rsidP="00DE1F06">
      <w:pPr>
        <w:rPr>
          <w:rFonts w:ascii="Arial" w:hAnsi="Arial" w:cs="Arial"/>
        </w:rPr>
      </w:pPr>
    </w:p>
    <w:p w:rsidR="00217E0A" w:rsidRDefault="00217E0A" w:rsidP="00DE1F06">
      <w:pPr>
        <w:rPr>
          <w:rFonts w:ascii="Arial" w:eastAsia="Times New Roman" w:hAnsi="Arial" w:cs="Arial"/>
          <w:sz w:val="19"/>
          <w:szCs w:val="19"/>
        </w:rPr>
      </w:pPr>
    </w:p>
    <w:p w:rsidR="00F66E52" w:rsidRPr="004B0B65" w:rsidRDefault="00F66E52" w:rsidP="00DE1F06">
      <w:pPr>
        <w:rPr>
          <w:rFonts w:ascii="Arial" w:eastAsia="Times New Roman" w:hAnsi="Arial" w:cs="Arial"/>
          <w:b/>
          <w:bCs/>
          <w:sz w:val="19"/>
          <w:szCs w:val="19"/>
        </w:rPr>
      </w:pPr>
      <w:r w:rsidRPr="004B0B65">
        <w:rPr>
          <w:rFonts w:ascii="Arial" w:eastAsia="Times New Roman" w:hAnsi="Arial" w:cs="Arial"/>
          <w:sz w:val="19"/>
          <w:szCs w:val="19"/>
        </w:rPr>
        <w:t xml:space="preserve">Таблица 13.7. </w:t>
      </w:r>
      <w:r w:rsidRPr="004B0B65">
        <w:rPr>
          <w:rFonts w:ascii="Arial" w:eastAsia="Times New Roman" w:hAnsi="Arial" w:cs="Arial"/>
          <w:b/>
          <w:bCs/>
          <w:sz w:val="19"/>
          <w:szCs w:val="19"/>
        </w:rPr>
        <w:t>Чувствительность различных методов топической диагностики инсулином</w:t>
      </w:r>
    </w:p>
    <w:p w:rsidR="00F66E52" w:rsidRPr="004B0B65" w:rsidRDefault="00F66E52" w:rsidP="00DE1F06">
      <w:pPr>
        <w:rPr>
          <w:rFonts w:ascii="Arial" w:eastAsia="Times New Roman" w:hAnsi="Arial" w:cs="Arial"/>
          <w:b/>
          <w:bCs/>
          <w:sz w:val="19"/>
          <w:szCs w:val="19"/>
        </w:rPr>
      </w:pPr>
    </w:p>
    <w:tbl>
      <w:tblPr>
        <w:tblpPr w:leftFromText="180" w:rightFromText="180" w:vertAnchor="text" w:horzAnchor="margin" w:tblpXSpec="center" w:tblpY="-15"/>
        <w:tblOverlap w:val="never"/>
        <w:tblW w:w="0" w:type="auto"/>
        <w:tblLayout w:type="fixed"/>
        <w:tblCellMar>
          <w:left w:w="10" w:type="dxa"/>
          <w:right w:w="10" w:type="dxa"/>
        </w:tblCellMar>
        <w:tblLook w:val="0000" w:firstRow="0" w:lastRow="0" w:firstColumn="0" w:lastColumn="0" w:noHBand="0" w:noVBand="0"/>
      </w:tblPr>
      <w:tblGrid>
        <w:gridCol w:w="4675"/>
        <w:gridCol w:w="2813"/>
      </w:tblGrid>
      <w:tr w:rsidR="00F66E52" w:rsidRPr="004B0B65" w:rsidTr="00F66E52">
        <w:trPr>
          <w:trHeight w:hRule="exact" w:val="336"/>
        </w:trPr>
        <w:tc>
          <w:tcPr>
            <w:tcW w:w="4675" w:type="dxa"/>
            <w:tcBorders>
              <w:top w:val="single" w:sz="4" w:space="0" w:color="auto"/>
              <w:left w:val="single" w:sz="4" w:space="0" w:color="auto"/>
            </w:tcBorders>
            <w:shd w:val="clear" w:color="auto" w:fill="auto"/>
          </w:tcPr>
          <w:p w:rsidR="00F66E52" w:rsidRPr="004B0B65" w:rsidRDefault="00F66E52" w:rsidP="00DE1F06">
            <w:pPr>
              <w:jc w:val="center"/>
              <w:rPr>
                <w:rFonts w:ascii="Arial" w:eastAsia="Times New Roman" w:hAnsi="Arial" w:cs="Arial"/>
                <w:sz w:val="19"/>
                <w:szCs w:val="19"/>
              </w:rPr>
            </w:pPr>
            <w:r w:rsidRPr="004B0B65">
              <w:rPr>
                <w:rFonts w:ascii="Arial" w:eastAsia="Times New Roman" w:hAnsi="Arial" w:cs="Arial"/>
                <w:sz w:val="19"/>
                <w:szCs w:val="19"/>
              </w:rPr>
              <w:t>Метод</w:t>
            </w:r>
          </w:p>
        </w:tc>
        <w:tc>
          <w:tcPr>
            <w:tcW w:w="2813" w:type="dxa"/>
            <w:tcBorders>
              <w:top w:val="single" w:sz="4" w:space="0" w:color="auto"/>
              <w:left w:val="single" w:sz="4" w:space="0" w:color="auto"/>
              <w:right w:val="single" w:sz="4" w:space="0" w:color="auto"/>
            </w:tcBorders>
            <w:shd w:val="clear" w:color="auto" w:fill="auto"/>
          </w:tcPr>
          <w:p w:rsidR="00F66E52" w:rsidRPr="004B0B65" w:rsidRDefault="00F66E52" w:rsidP="00DE1F06">
            <w:pPr>
              <w:jc w:val="center"/>
              <w:rPr>
                <w:rFonts w:ascii="Arial" w:eastAsia="Times New Roman" w:hAnsi="Arial" w:cs="Arial"/>
                <w:sz w:val="19"/>
                <w:szCs w:val="19"/>
              </w:rPr>
            </w:pPr>
            <w:r w:rsidRPr="004B0B65">
              <w:rPr>
                <w:rFonts w:ascii="Arial" w:eastAsia="Times New Roman" w:hAnsi="Arial" w:cs="Arial"/>
                <w:sz w:val="19"/>
                <w:szCs w:val="19"/>
              </w:rPr>
              <w:t>Чувствительность, %</w:t>
            </w:r>
          </w:p>
        </w:tc>
      </w:tr>
      <w:tr w:rsidR="00F66E52" w:rsidRPr="004B0B65" w:rsidTr="00F66E52">
        <w:trPr>
          <w:trHeight w:hRule="exact" w:val="398"/>
        </w:trPr>
        <w:tc>
          <w:tcPr>
            <w:tcW w:w="4675" w:type="dxa"/>
            <w:tcBorders>
              <w:top w:val="single" w:sz="4" w:space="0" w:color="auto"/>
              <w:left w:val="single" w:sz="4" w:space="0" w:color="auto"/>
            </w:tcBorders>
            <w:shd w:val="clear" w:color="auto" w:fill="auto"/>
            <w:vAlign w:val="bottom"/>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Трансабдоминальное УЗИ</w:t>
            </w:r>
          </w:p>
        </w:tc>
        <w:tc>
          <w:tcPr>
            <w:tcW w:w="2813" w:type="dxa"/>
            <w:tcBorders>
              <w:top w:val="single" w:sz="4" w:space="0" w:color="auto"/>
              <w:left w:val="single" w:sz="4" w:space="0" w:color="auto"/>
              <w:right w:val="single" w:sz="4" w:space="0" w:color="auto"/>
            </w:tcBorders>
            <w:shd w:val="clear" w:color="auto" w:fill="auto"/>
            <w:vAlign w:val="bottom"/>
          </w:tcPr>
          <w:p w:rsidR="00F66E52" w:rsidRPr="004B0B65" w:rsidRDefault="00F66E52" w:rsidP="00DE1F06">
            <w:pPr>
              <w:jc w:val="center"/>
              <w:rPr>
                <w:rFonts w:ascii="Arial" w:eastAsia="Times New Roman" w:hAnsi="Arial" w:cs="Arial"/>
                <w:sz w:val="19"/>
                <w:szCs w:val="19"/>
              </w:rPr>
            </w:pPr>
            <w:r w:rsidRPr="004B0B65">
              <w:rPr>
                <w:rFonts w:ascii="Arial" w:eastAsia="Times New Roman" w:hAnsi="Arial" w:cs="Arial"/>
                <w:sz w:val="19"/>
                <w:szCs w:val="19"/>
              </w:rPr>
              <w:t>10-20</w:t>
            </w:r>
          </w:p>
        </w:tc>
      </w:tr>
      <w:tr w:rsidR="00F66E52" w:rsidRPr="004B0B65" w:rsidTr="00F66E52">
        <w:trPr>
          <w:trHeight w:hRule="exact" w:val="259"/>
        </w:trPr>
        <w:tc>
          <w:tcPr>
            <w:tcW w:w="4675"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Компьютерная томография</w:t>
            </w:r>
          </w:p>
        </w:tc>
        <w:tc>
          <w:tcPr>
            <w:tcW w:w="2813" w:type="dxa"/>
            <w:tcBorders>
              <w:left w:val="single" w:sz="4" w:space="0" w:color="auto"/>
              <w:right w:val="single" w:sz="4" w:space="0" w:color="auto"/>
            </w:tcBorders>
            <w:shd w:val="clear" w:color="auto" w:fill="auto"/>
          </w:tcPr>
          <w:p w:rsidR="00F66E52" w:rsidRPr="004B0B65" w:rsidRDefault="00F66E52" w:rsidP="00DE1F06">
            <w:pPr>
              <w:jc w:val="center"/>
              <w:rPr>
                <w:rFonts w:ascii="Arial" w:eastAsia="Times New Roman" w:hAnsi="Arial" w:cs="Arial"/>
                <w:sz w:val="19"/>
                <w:szCs w:val="19"/>
              </w:rPr>
            </w:pPr>
            <w:r w:rsidRPr="004B0B65">
              <w:rPr>
                <w:rFonts w:ascii="Arial" w:eastAsia="Times New Roman" w:hAnsi="Arial" w:cs="Arial"/>
                <w:sz w:val="19"/>
                <w:szCs w:val="19"/>
              </w:rPr>
              <w:t>20-40</w:t>
            </w:r>
          </w:p>
        </w:tc>
      </w:tr>
      <w:tr w:rsidR="00F66E52" w:rsidRPr="004B0B65" w:rsidTr="00F66E52">
        <w:trPr>
          <w:trHeight w:hRule="exact" w:val="259"/>
        </w:trPr>
        <w:tc>
          <w:tcPr>
            <w:tcW w:w="4675"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Селективная ангиография</w:t>
            </w:r>
          </w:p>
        </w:tc>
        <w:tc>
          <w:tcPr>
            <w:tcW w:w="2813" w:type="dxa"/>
            <w:tcBorders>
              <w:left w:val="single" w:sz="4" w:space="0" w:color="auto"/>
              <w:right w:val="single" w:sz="4" w:space="0" w:color="auto"/>
            </w:tcBorders>
            <w:shd w:val="clear" w:color="auto" w:fill="auto"/>
          </w:tcPr>
          <w:p w:rsidR="00F66E52" w:rsidRPr="004B0B65" w:rsidRDefault="00F66E52" w:rsidP="00DE1F06">
            <w:pPr>
              <w:jc w:val="center"/>
              <w:rPr>
                <w:rFonts w:ascii="Arial" w:eastAsia="Times New Roman" w:hAnsi="Arial" w:cs="Arial"/>
                <w:sz w:val="19"/>
                <w:szCs w:val="19"/>
              </w:rPr>
            </w:pPr>
            <w:r w:rsidRPr="004B0B65">
              <w:rPr>
                <w:rFonts w:ascii="Arial" w:eastAsia="Times New Roman" w:hAnsi="Arial" w:cs="Arial"/>
                <w:sz w:val="19"/>
                <w:szCs w:val="19"/>
              </w:rPr>
              <w:t>80-90</w:t>
            </w:r>
          </w:p>
        </w:tc>
      </w:tr>
      <w:tr w:rsidR="00F66E52" w:rsidRPr="004B0B65" w:rsidTr="00F66E52">
        <w:trPr>
          <w:trHeight w:hRule="exact" w:val="254"/>
        </w:trPr>
        <w:tc>
          <w:tcPr>
            <w:tcW w:w="4675" w:type="dxa"/>
            <w:tcBorders>
              <w:left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Исследование проб портальной венозной крови</w:t>
            </w:r>
          </w:p>
        </w:tc>
        <w:tc>
          <w:tcPr>
            <w:tcW w:w="2813" w:type="dxa"/>
            <w:tcBorders>
              <w:left w:val="single" w:sz="4" w:space="0" w:color="auto"/>
              <w:right w:val="single" w:sz="4" w:space="0" w:color="auto"/>
            </w:tcBorders>
            <w:shd w:val="clear" w:color="auto" w:fill="auto"/>
          </w:tcPr>
          <w:p w:rsidR="00F66E52" w:rsidRPr="004B0B65" w:rsidRDefault="00F66E52" w:rsidP="00DE1F06">
            <w:pPr>
              <w:jc w:val="center"/>
              <w:rPr>
                <w:rFonts w:ascii="Arial" w:eastAsia="Times New Roman" w:hAnsi="Arial" w:cs="Arial"/>
                <w:sz w:val="19"/>
                <w:szCs w:val="19"/>
              </w:rPr>
            </w:pPr>
            <w:r w:rsidRPr="004B0B65">
              <w:rPr>
                <w:rFonts w:ascii="Arial" w:eastAsia="Times New Roman" w:hAnsi="Arial" w:cs="Arial"/>
                <w:sz w:val="19"/>
                <w:szCs w:val="19"/>
              </w:rPr>
              <w:t>80-90</w:t>
            </w:r>
          </w:p>
        </w:tc>
      </w:tr>
      <w:tr w:rsidR="00F66E52" w:rsidRPr="004B0B65" w:rsidTr="00F66E52">
        <w:trPr>
          <w:trHeight w:hRule="exact" w:val="336"/>
        </w:trPr>
        <w:tc>
          <w:tcPr>
            <w:tcW w:w="4675" w:type="dxa"/>
            <w:tcBorders>
              <w:left w:val="single" w:sz="4" w:space="0" w:color="auto"/>
              <w:bottom w:val="single" w:sz="4" w:space="0" w:color="auto"/>
            </w:tcBorders>
            <w:shd w:val="clear" w:color="auto" w:fill="auto"/>
          </w:tcPr>
          <w:p w:rsidR="00F66E52" w:rsidRPr="004B0B65" w:rsidRDefault="00F66E52" w:rsidP="00DE1F06">
            <w:pPr>
              <w:rPr>
                <w:rFonts w:ascii="Arial" w:eastAsia="Times New Roman" w:hAnsi="Arial" w:cs="Arial"/>
                <w:sz w:val="19"/>
                <w:szCs w:val="19"/>
              </w:rPr>
            </w:pPr>
            <w:r w:rsidRPr="004B0B65">
              <w:rPr>
                <w:rFonts w:ascii="Arial" w:eastAsia="Times New Roman" w:hAnsi="Arial" w:cs="Arial"/>
                <w:sz w:val="19"/>
                <w:szCs w:val="19"/>
              </w:rPr>
              <w:t>Интраоперационное УЗИ</w:t>
            </w:r>
          </w:p>
        </w:tc>
        <w:tc>
          <w:tcPr>
            <w:tcW w:w="2813" w:type="dxa"/>
            <w:tcBorders>
              <w:left w:val="single" w:sz="4" w:space="0" w:color="auto"/>
              <w:bottom w:val="single" w:sz="4" w:space="0" w:color="auto"/>
              <w:right w:val="single" w:sz="4" w:space="0" w:color="auto"/>
            </w:tcBorders>
            <w:shd w:val="clear" w:color="auto" w:fill="auto"/>
          </w:tcPr>
          <w:p w:rsidR="00F66E52" w:rsidRPr="004B0B65" w:rsidRDefault="00F66E52" w:rsidP="00DE1F06">
            <w:pPr>
              <w:jc w:val="center"/>
              <w:rPr>
                <w:rFonts w:ascii="Arial" w:eastAsia="Times New Roman" w:hAnsi="Arial" w:cs="Arial"/>
                <w:sz w:val="19"/>
                <w:szCs w:val="19"/>
              </w:rPr>
            </w:pPr>
            <w:r w:rsidRPr="004B0B65">
              <w:rPr>
                <w:rFonts w:ascii="Arial" w:eastAsia="Times New Roman" w:hAnsi="Arial" w:cs="Arial"/>
                <w:sz w:val="19"/>
                <w:szCs w:val="19"/>
              </w:rPr>
              <w:t>90</w:t>
            </w:r>
          </w:p>
        </w:tc>
      </w:tr>
    </w:tbl>
    <w:p w:rsidR="00F66E52" w:rsidRPr="004B0B65" w:rsidRDefault="00F66E52" w:rsidP="00DE1F06">
      <w:pPr>
        <w:rPr>
          <w:rFonts w:ascii="Arial" w:eastAsia="Times New Roman" w:hAnsi="Arial" w:cs="Arial"/>
          <w:b/>
          <w:bCs/>
          <w:sz w:val="19"/>
          <w:szCs w:val="19"/>
        </w:rPr>
      </w:pPr>
    </w:p>
    <w:p w:rsidR="00F66E52" w:rsidRPr="004B0B65" w:rsidRDefault="00F66E52" w:rsidP="00DE1F06">
      <w:pPr>
        <w:rPr>
          <w:rFonts w:ascii="Arial" w:eastAsia="Times New Roman" w:hAnsi="Arial" w:cs="Arial"/>
          <w:b/>
          <w:bCs/>
          <w:sz w:val="19"/>
          <w:szCs w:val="19"/>
        </w:rPr>
      </w:pPr>
    </w:p>
    <w:p w:rsidR="00F66E52" w:rsidRPr="004B0B65" w:rsidRDefault="00F66E52" w:rsidP="00DE1F06">
      <w:pPr>
        <w:rPr>
          <w:rFonts w:ascii="Arial" w:eastAsia="Times New Roman" w:hAnsi="Arial" w:cs="Arial"/>
          <w:b/>
          <w:bCs/>
          <w:sz w:val="19"/>
          <w:szCs w:val="19"/>
        </w:rPr>
      </w:pPr>
    </w:p>
    <w:p w:rsidR="00F66E52" w:rsidRPr="004B0B65" w:rsidRDefault="00F66E52" w:rsidP="00DE1F06">
      <w:pPr>
        <w:rPr>
          <w:rFonts w:ascii="Arial" w:eastAsia="Times New Roman" w:hAnsi="Arial" w:cs="Arial"/>
          <w:b/>
          <w:bCs/>
          <w:sz w:val="19"/>
          <w:szCs w:val="19"/>
        </w:rPr>
      </w:pPr>
    </w:p>
    <w:p w:rsidR="00F66E52" w:rsidRPr="004B0B65" w:rsidRDefault="00F66E52" w:rsidP="00DE1F06">
      <w:pPr>
        <w:rPr>
          <w:rFonts w:ascii="Arial" w:eastAsia="Times New Roman" w:hAnsi="Arial" w:cs="Arial"/>
          <w:b/>
          <w:bCs/>
          <w:sz w:val="19"/>
          <w:szCs w:val="19"/>
        </w:rPr>
      </w:pPr>
    </w:p>
    <w:p w:rsidR="00F66E52" w:rsidRPr="004B0B65" w:rsidRDefault="00F66E52" w:rsidP="00DE1F06">
      <w:pPr>
        <w:rPr>
          <w:rFonts w:ascii="Arial" w:eastAsia="Times New Roman" w:hAnsi="Arial" w:cs="Arial"/>
          <w:b/>
          <w:bCs/>
          <w:sz w:val="19"/>
          <w:szCs w:val="19"/>
        </w:rPr>
      </w:pPr>
    </w:p>
    <w:p w:rsidR="00F66E52" w:rsidRPr="004B0B65" w:rsidRDefault="00F66E52" w:rsidP="00DE1F06">
      <w:pPr>
        <w:rPr>
          <w:rFonts w:ascii="Arial" w:eastAsia="Times New Roman" w:hAnsi="Arial" w:cs="Arial"/>
          <w:b/>
          <w:bCs/>
          <w:sz w:val="19"/>
          <w:szCs w:val="19"/>
        </w:rPr>
      </w:pPr>
    </w:p>
    <w:p w:rsidR="00F66E52" w:rsidRPr="004B0B65" w:rsidRDefault="00F66E52" w:rsidP="00DE1F06">
      <w:pPr>
        <w:rPr>
          <w:rFonts w:ascii="Arial" w:eastAsia="Times New Roman" w:hAnsi="Arial" w:cs="Arial"/>
          <w:b/>
          <w:bCs/>
          <w:sz w:val="19"/>
          <w:szCs w:val="19"/>
        </w:rPr>
      </w:pPr>
    </w:p>
    <w:p w:rsidR="00F66E52" w:rsidRPr="004B0B65" w:rsidRDefault="00F66E52" w:rsidP="00DE1F06">
      <w:pPr>
        <w:rPr>
          <w:rFonts w:ascii="Arial" w:eastAsia="Times New Roman" w:hAnsi="Arial" w:cs="Arial"/>
          <w:b/>
          <w:bCs/>
          <w:sz w:val="19"/>
          <w:szCs w:val="19"/>
        </w:rPr>
      </w:pPr>
    </w:p>
    <w:p w:rsidR="00F66E52" w:rsidRPr="004B0B65" w:rsidRDefault="00F66E52" w:rsidP="00DE1F06">
      <w:pPr>
        <w:rPr>
          <w:rFonts w:ascii="Arial" w:eastAsia="Times New Roman" w:hAnsi="Arial" w:cs="Arial"/>
          <w:b/>
          <w:bCs/>
          <w:sz w:val="19"/>
          <w:szCs w:val="19"/>
        </w:rPr>
      </w:pPr>
    </w:p>
    <w:p w:rsidR="00F66E52" w:rsidRPr="004B0B65" w:rsidRDefault="00F66E52" w:rsidP="00DE1F06">
      <w:pPr>
        <w:rPr>
          <w:rFonts w:ascii="Arial" w:eastAsia="Times New Roman" w:hAnsi="Arial" w:cs="Arial"/>
          <w:b/>
          <w:bCs/>
          <w:sz w:val="19"/>
          <w:szCs w:val="19"/>
        </w:rPr>
      </w:pPr>
    </w:p>
    <w:p w:rsidR="00F66E52" w:rsidRPr="004B0B65" w:rsidRDefault="00F66E52" w:rsidP="00DE1F06">
      <w:pPr>
        <w:rPr>
          <w:rFonts w:ascii="Arial" w:eastAsia="Times New Roman" w:hAnsi="Arial" w:cs="Arial"/>
          <w:b/>
          <w:bCs/>
          <w:sz w:val="19"/>
          <w:szCs w:val="19"/>
        </w:rPr>
      </w:pPr>
    </w:p>
    <w:p w:rsidR="00F66E52" w:rsidRPr="004B0B65" w:rsidRDefault="00F66E52" w:rsidP="00DE1F06">
      <w:pPr>
        <w:rPr>
          <w:rFonts w:ascii="Arial" w:eastAsia="Times New Roman" w:hAnsi="Arial" w:cs="Arial"/>
          <w:sz w:val="19"/>
          <w:szCs w:val="19"/>
        </w:rPr>
      </w:pPr>
    </w:p>
    <w:p w:rsidR="00F66E52" w:rsidRPr="004B0B65" w:rsidRDefault="00F66E52" w:rsidP="00DE1F06">
      <w:pPr>
        <w:jc w:val="center"/>
        <w:rPr>
          <w:rFonts w:ascii="Arial" w:hAnsi="Arial" w:cs="Arial"/>
          <w:sz w:val="2"/>
          <w:szCs w:val="2"/>
        </w:rPr>
      </w:pPr>
      <w:r w:rsidRPr="004B0B65">
        <w:rPr>
          <w:rFonts w:ascii="Arial" w:hAnsi="Arial" w:cs="Arial"/>
          <w:noProof/>
          <w:lang w:bidi="ar-SA"/>
        </w:rPr>
        <w:drawing>
          <wp:inline distT="0" distB="0" distL="0" distR="0" wp14:anchorId="2CA38780" wp14:editId="1891F3F2">
            <wp:extent cx="4468495" cy="3334385"/>
            <wp:effectExtent l="0" t="0" r="0" b="0"/>
            <wp:docPr id="1201" name="Picutre 1201"/>
            <wp:cNvGraphicFramePr/>
            <a:graphic xmlns:a="http://schemas.openxmlformats.org/drawingml/2006/main">
              <a:graphicData uri="http://schemas.openxmlformats.org/drawingml/2006/picture">
                <pic:pic xmlns:pic="http://schemas.openxmlformats.org/drawingml/2006/picture">
                  <pic:nvPicPr>
                    <pic:cNvPr id="1201" name="Picture 1201"/>
                    <pic:cNvPicPr/>
                  </pic:nvPicPr>
                  <pic:blipFill>
                    <a:blip r:embed="rId10"/>
                    <a:stretch/>
                  </pic:blipFill>
                  <pic:spPr>
                    <a:xfrm>
                      <a:off x="0" y="0"/>
                      <a:ext cx="4468495" cy="3334385"/>
                    </a:xfrm>
                    <a:prstGeom prst="rect">
                      <a:avLst/>
                    </a:prstGeom>
                  </pic:spPr>
                </pic:pic>
              </a:graphicData>
            </a:graphic>
          </wp:inline>
        </w:drawing>
      </w:r>
    </w:p>
    <w:p w:rsidR="00F66E52" w:rsidRPr="004B0B65" w:rsidRDefault="00F66E52" w:rsidP="00DE1F06">
      <w:pPr>
        <w:jc w:val="both"/>
        <w:rPr>
          <w:rFonts w:ascii="Arial" w:eastAsia="Times New Roman" w:hAnsi="Arial" w:cs="Arial"/>
          <w:sz w:val="19"/>
          <w:szCs w:val="19"/>
        </w:rPr>
      </w:pPr>
      <w:r w:rsidRPr="004B0B65">
        <w:rPr>
          <w:rFonts w:ascii="Arial" w:eastAsia="Times New Roman" w:hAnsi="Arial" w:cs="Arial"/>
          <w:b/>
          <w:bCs/>
          <w:sz w:val="19"/>
          <w:szCs w:val="19"/>
        </w:rPr>
        <w:t xml:space="preserve">Рис. 13.2. </w:t>
      </w:r>
      <w:r w:rsidRPr="004B0B65">
        <w:rPr>
          <w:rFonts w:ascii="Arial" w:eastAsia="Times New Roman" w:hAnsi="Arial" w:cs="Arial"/>
          <w:sz w:val="19"/>
          <w:szCs w:val="19"/>
        </w:rPr>
        <w:t>Чрескожная чреспеченочная портография с селективным забором ве</w:t>
      </w:r>
      <w:r w:rsidRPr="004B0B65">
        <w:rPr>
          <w:rFonts w:ascii="Arial" w:eastAsia="Times New Roman" w:hAnsi="Arial" w:cs="Arial"/>
          <w:sz w:val="19"/>
          <w:szCs w:val="19"/>
        </w:rPr>
        <w:softHyphen/>
        <w:t>нозной крови для определения уровня инсулина в топической диагностике инсу</w:t>
      </w:r>
      <w:r w:rsidRPr="004B0B65">
        <w:rPr>
          <w:rFonts w:ascii="Arial" w:eastAsia="Times New Roman" w:hAnsi="Arial" w:cs="Arial"/>
          <w:sz w:val="19"/>
          <w:szCs w:val="19"/>
        </w:rPr>
        <w:softHyphen/>
        <w:t xml:space="preserve">линомы </w:t>
      </w:r>
      <w:r w:rsidRPr="004B0B65">
        <w:rPr>
          <w:rFonts w:ascii="Arial" w:eastAsia="Times New Roman" w:hAnsi="Arial" w:cs="Arial"/>
          <w:sz w:val="19"/>
          <w:szCs w:val="19"/>
          <w:lang w:eastAsia="en-US" w:bidi="en-US"/>
        </w:rPr>
        <w:t>[</w:t>
      </w:r>
      <w:r w:rsidRPr="004B0B65">
        <w:rPr>
          <w:rFonts w:ascii="Arial" w:eastAsia="Times New Roman" w:hAnsi="Arial" w:cs="Arial"/>
          <w:sz w:val="19"/>
          <w:szCs w:val="19"/>
          <w:lang w:val="en-US" w:eastAsia="en-US" w:bidi="en-US"/>
        </w:rPr>
        <w:t>Ruckert</w:t>
      </w:r>
      <w:r w:rsidRPr="004B0B65">
        <w:rPr>
          <w:rFonts w:ascii="Arial" w:eastAsia="Times New Roman" w:hAnsi="Arial" w:cs="Arial"/>
          <w:sz w:val="19"/>
          <w:szCs w:val="19"/>
          <w:lang w:eastAsia="en-US" w:bidi="en-US"/>
        </w:rPr>
        <w:t xml:space="preserve"> </w:t>
      </w:r>
      <w:r w:rsidRPr="004B0B65">
        <w:rPr>
          <w:rFonts w:ascii="Arial" w:eastAsia="Times New Roman" w:hAnsi="Arial" w:cs="Arial"/>
          <w:sz w:val="19"/>
          <w:szCs w:val="19"/>
        </w:rPr>
        <w:t>К., 1987, с изменениями].</w:t>
      </w:r>
    </w:p>
    <w:p w:rsidR="00F66E52" w:rsidRPr="004B0B65" w:rsidRDefault="00F66E52" w:rsidP="00DE1F06">
      <w:pPr>
        <w:rPr>
          <w:rFonts w:ascii="Arial" w:hAnsi="Arial" w:cs="Arial"/>
        </w:rPr>
      </w:pPr>
    </w:p>
    <w:p w:rsidR="00F66E52" w:rsidRPr="004B0B65" w:rsidRDefault="00F66E52" w:rsidP="00DE1F06">
      <w:pPr>
        <w:jc w:val="both"/>
        <w:rPr>
          <w:rFonts w:ascii="Arial" w:eastAsia="Times New Roman" w:hAnsi="Arial" w:cs="Arial"/>
          <w:sz w:val="18"/>
          <w:szCs w:val="18"/>
        </w:rPr>
      </w:pPr>
      <w:r w:rsidRPr="004B0B65">
        <w:rPr>
          <w:rFonts w:ascii="Arial" w:eastAsia="Times New Roman" w:hAnsi="Arial" w:cs="Arial"/>
          <w:sz w:val="18"/>
          <w:szCs w:val="18"/>
        </w:rPr>
        <w:t>а — схема портальной системы с указанием точек селективного забора проб крови; б — уро</w:t>
      </w:r>
      <w:r w:rsidRPr="004B0B65">
        <w:rPr>
          <w:rFonts w:ascii="Arial" w:eastAsia="Times New Roman" w:hAnsi="Arial" w:cs="Arial"/>
          <w:sz w:val="18"/>
          <w:szCs w:val="18"/>
        </w:rPr>
        <w:softHyphen/>
        <w:t>вень инсулина в соответствующих точках; в — наиболее вероятная локализация инсулино</w:t>
      </w:r>
      <w:r w:rsidRPr="004B0B65">
        <w:rPr>
          <w:rFonts w:ascii="Arial" w:eastAsia="Times New Roman" w:hAnsi="Arial" w:cs="Arial"/>
          <w:sz w:val="18"/>
          <w:szCs w:val="18"/>
        </w:rPr>
        <w:softHyphen/>
        <w:t>мы — головка поджелудочной железы в области крючковидного отростка.</w:t>
      </w:r>
    </w:p>
    <w:p w:rsidR="00F66E52" w:rsidRPr="004B0B65" w:rsidRDefault="00F66E52"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Методика исследования проб портальной венозной крови заключает</w:t>
      </w:r>
      <w:r w:rsidRPr="004B0B65">
        <w:rPr>
          <w:rFonts w:ascii="Arial" w:eastAsia="Times New Roman" w:hAnsi="Arial" w:cs="Arial"/>
          <w:sz w:val="22"/>
          <w:szCs w:val="22"/>
        </w:rPr>
        <w:softHyphen/>
        <w:t>ся в катетеризации портальной системы, при этом, если уровень гормона в пробе крови из отдельного региона превысит системный на 50 %, это сви</w:t>
      </w:r>
      <w:r w:rsidRPr="004B0B65">
        <w:rPr>
          <w:rFonts w:ascii="Arial" w:eastAsia="Times New Roman" w:hAnsi="Arial" w:cs="Arial"/>
          <w:sz w:val="22"/>
          <w:szCs w:val="22"/>
        </w:rPr>
        <w:softHyphen/>
        <w:t>детельствует о соответствующей локализации опухоли (рис. 13.2). Самыми чувствительными из неинвазивных методов топической диагностики эндо</w:t>
      </w:r>
      <w:r w:rsidRPr="004B0B65">
        <w:rPr>
          <w:rFonts w:ascii="Arial" w:eastAsia="Times New Roman" w:hAnsi="Arial" w:cs="Arial"/>
          <w:sz w:val="22"/>
          <w:szCs w:val="22"/>
        </w:rPr>
        <w:softHyphen/>
        <w:t>кринных опухолей ПЖЖ и ЖКТ на сегодняшний день являются эндоско</w:t>
      </w:r>
      <w:r w:rsidRPr="004B0B65">
        <w:rPr>
          <w:rFonts w:ascii="Arial" w:eastAsia="Times New Roman" w:hAnsi="Arial" w:cs="Arial"/>
          <w:sz w:val="22"/>
          <w:szCs w:val="22"/>
        </w:rPr>
        <w:softHyphen/>
        <w:t>пическое УЗИ и сцинтиграфия соматостатиновых рецепторов. При первой методике датчик ультразвукового аппарата помещается на эндоскоп и ис</w:t>
      </w:r>
      <w:r w:rsidRPr="004B0B65">
        <w:rPr>
          <w:rFonts w:ascii="Arial" w:eastAsia="Times New Roman" w:hAnsi="Arial" w:cs="Arial"/>
          <w:sz w:val="22"/>
          <w:szCs w:val="22"/>
        </w:rPr>
        <w:softHyphen/>
        <w:t>следование производится непосредственно через кишечную стенку. Чувст</w:t>
      </w:r>
      <w:r w:rsidRPr="004B0B65">
        <w:rPr>
          <w:rFonts w:ascii="Arial" w:eastAsia="Times New Roman" w:hAnsi="Arial" w:cs="Arial"/>
          <w:sz w:val="22"/>
          <w:szCs w:val="22"/>
        </w:rPr>
        <w:softHyphen/>
        <w:t>вительность эндоскопического УЗИ в топической диагностике опухолей, которые не удалось локализовать с помощью трансабдоминального УЗИ и КТ, составляет 80 % (по сравнению с 30 % для ангиографии).</w:t>
      </w:r>
    </w:p>
    <w:p w:rsidR="00471C76" w:rsidRPr="004B0B65" w:rsidRDefault="00F66E52" w:rsidP="00DE1F06">
      <w:pPr>
        <w:pStyle w:val="20"/>
        <w:spacing w:after="0" w:line="240" w:lineRule="auto"/>
        <w:ind w:left="0"/>
        <w:jc w:val="both"/>
        <w:rPr>
          <w:rFonts w:ascii="Arial" w:hAnsi="Arial" w:cs="Arial"/>
        </w:rPr>
      </w:pPr>
      <w:r w:rsidRPr="004B0B65">
        <w:rPr>
          <w:rFonts w:ascii="Arial" w:hAnsi="Arial" w:cs="Arial"/>
          <w:sz w:val="22"/>
          <w:szCs w:val="22"/>
        </w:rPr>
        <w:t>Большинство эндокринных опухолей ПЖЖ и ЖКТ имеет соматостати</w:t>
      </w:r>
      <w:r w:rsidRPr="004B0B65">
        <w:rPr>
          <w:rFonts w:ascii="Arial" w:hAnsi="Arial" w:cs="Arial"/>
          <w:sz w:val="22"/>
          <w:szCs w:val="22"/>
        </w:rPr>
        <w:softHyphen/>
        <w:t xml:space="preserve">новые рецепторы, на чем базируется метод сцинтиграфии соматостатиновых рецепторов. В данном случае радиоактивная метка (индий-111) вводится в аналог соматостатина длительного действия октреотид. Радиофармпрепарат накапливается в опухолях, содержащих соматостатиновые рецепторы, что позволяет использовать этот метод для топической диагностики первичных опухолей и их метастазов, послеоперационного контроля за </w:t>
      </w:r>
      <w:r w:rsidRPr="004B0B65">
        <w:rPr>
          <w:rFonts w:ascii="Arial" w:hAnsi="Arial" w:cs="Arial"/>
          <w:sz w:val="22"/>
          <w:szCs w:val="22"/>
        </w:rPr>
        <w:lastRenderedPageBreak/>
        <w:t>радикальностью</w:t>
      </w:r>
      <w:r w:rsidR="00471C76" w:rsidRPr="004B0B65">
        <w:rPr>
          <w:rFonts w:ascii="Arial" w:hAnsi="Arial" w:cs="Arial"/>
          <w:sz w:val="22"/>
          <w:szCs w:val="22"/>
        </w:rPr>
        <w:t xml:space="preserve"> </w:t>
      </w:r>
      <w:r w:rsidR="00471C76" w:rsidRPr="004B0B65">
        <w:rPr>
          <w:rFonts w:ascii="Arial" w:hAnsi="Arial" w:cs="Arial"/>
          <w:noProof/>
          <w:lang w:eastAsia="ru-RU"/>
        </w:rPr>
        <w:drawing>
          <wp:anchor distT="177800" distB="177800" distL="177800" distR="177800" simplePos="0" relativeHeight="251661312" behindDoc="0" locked="0" layoutInCell="1" allowOverlap="1" wp14:anchorId="4F1371C3" wp14:editId="38003662">
            <wp:simplePos x="0" y="0"/>
            <wp:positionH relativeFrom="page">
              <wp:posOffset>1446530</wp:posOffset>
            </wp:positionH>
            <wp:positionV relativeFrom="margin">
              <wp:posOffset>117475</wp:posOffset>
            </wp:positionV>
            <wp:extent cx="1779905" cy="4096385"/>
            <wp:effectExtent l="0" t="0" r="0" b="0"/>
            <wp:wrapSquare wrapText="bothSides"/>
            <wp:docPr id="1202" name="Shape 1202"/>
            <wp:cNvGraphicFramePr/>
            <a:graphic xmlns:a="http://schemas.openxmlformats.org/drawingml/2006/main">
              <a:graphicData uri="http://schemas.openxmlformats.org/drawingml/2006/picture">
                <pic:pic xmlns:pic="http://schemas.openxmlformats.org/drawingml/2006/picture">
                  <pic:nvPicPr>
                    <pic:cNvPr id="1203" name="Picture box 1203"/>
                    <pic:cNvPicPr/>
                  </pic:nvPicPr>
                  <pic:blipFill>
                    <a:blip r:embed="rId11"/>
                    <a:stretch/>
                  </pic:blipFill>
                  <pic:spPr>
                    <a:xfrm>
                      <a:off x="0" y="0"/>
                      <a:ext cx="1779905" cy="4096385"/>
                    </a:xfrm>
                    <a:prstGeom prst="rect">
                      <a:avLst/>
                    </a:prstGeom>
                  </pic:spPr>
                </pic:pic>
              </a:graphicData>
            </a:graphic>
          </wp:anchor>
        </w:drawing>
      </w:r>
      <w:r w:rsidR="00471C76" w:rsidRPr="004B0B65">
        <w:rPr>
          <w:rFonts w:ascii="Arial" w:hAnsi="Arial" w:cs="Arial"/>
          <w:b/>
          <w:bCs/>
        </w:rPr>
        <w:t xml:space="preserve">Рис. 13.3. </w:t>
      </w:r>
      <w:r w:rsidR="00471C76" w:rsidRPr="004B0B65">
        <w:rPr>
          <w:rFonts w:ascii="Arial" w:hAnsi="Arial" w:cs="Arial"/>
        </w:rPr>
        <w:t>Сцинтиграмма соматостатиновых ре</w:t>
      </w:r>
      <w:r w:rsidR="00471C76" w:rsidRPr="004B0B65">
        <w:rPr>
          <w:rFonts w:ascii="Arial" w:hAnsi="Arial" w:cs="Arial"/>
        </w:rPr>
        <w:softHyphen/>
        <w:t>цепторов с помощью октреотида, маркирован</w:t>
      </w:r>
      <w:r w:rsidR="00471C76" w:rsidRPr="004B0B65">
        <w:rPr>
          <w:rFonts w:ascii="Arial" w:hAnsi="Arial" w:cs="Arial"/>
        </w:rPr>
        <w:softHyphen/>
        <w:t>ного индием-111. На сцинтиграмме (вид спере</w:t>
      </w:r>
      <w:r w:rsidR="00471C76" w:rsidRPr="004B0B65">
        <w:rPr>
          <w:rFonts w:ascii="Arial" w:hAnsi="Arial" w:cs="Arial"/>
        </w:rPr>
        <w:softHyphen/>
        <w:t>ди) видны рецепторпозитивные образования, соответствующие локализации первичной опу</w:t>
      </w:r>
      <w:r w:rsidR="00471C76" w:rsidRPr="004B0B65">
        <w:rPr>
          <w:rFonts w:ascii="Arial" w:hAnsi="Arial" w:cs="Arial"/>
        </w:rPr>
        <w:softHyphen/>
        <w:t>холи и ее метастазов.</w:t>
      </w:r>
    </w:p>
    <w:p w:rsidR="00471C76" w:rsidRPr="004B0B65" w:rsidRDefault="00471C76" w:rsidP="00DE1F06">
      <w:pPr>
        <w:jc w:val="both"/>
        <w:rPr>
          <w:rFonts w:ascii="Arial" w:eastAsia="Times New Roman" w:hAnsi="Arial" w:cs="Arial"/>
          <w:sz w:val="18"/>
          <w:szCs w:val="18"/>
        </w:rPr>
      </w:pPr>
      <w:r w:rsidRPr="004B0B65">
        <w:rPr>
          <w:rFonts w:ascii="Arial" w:eastAsia="Times New Roman" w:hAnsi="Arial" w:cs="Arial"/>
          <w:sz w:val="18"/>
          <w:szCs w:val="18"/>
        </w:rPr>
        <w:t>П — печень, С — селезенка, О — предполагаемая ло</w:t>
      </w:r>
      <w:r w:rsidRPr="004B0B65">
        <w:rPr>
          <w:rFonts w:ascii="Arial" w:eastAsia="Times New Roman" w:hAnsi="Arial" w:cs="Arial"/>
          <w:sz w:val="18"/>
          <w:szCs w:val="18"/>
        </w:rPr>
        <w:softHyphen/>
        <w:t>кализация первичной опухоли в панкреатодуоденаль</w:t>
      </w:r>
      <w:r w:rsidRPr="004B0B65">
        <w:rPr>
          <w:rFonts w:ascii="Arial" w:eastAsia="Times New Roman" w:hAnsi="Arial" w:cs="Arial"/>
          <w:sz w:val="18"/>
          <w:szCs w:val="18"/>
        </w:rPr>
        <w:softHyphen/>
        <w:t>ном регионе.</w:t>
      </w:r>
    </w:p>
    <w:p w:rsidR="00471C76" w:rsidRPr="004B0B65" w:rsidRDefault="00471C76" w:rsidP="00DE1F06">
      <w:pPr>
        <w:jc w:val="both"/>
        <w:rPr>
          <w:rFonts w:ascii="Arial" w:eastAsia="Times New Roman" w:hAnsi="Arial" w:cs="Arial"/>
          <w:sz w:val="22"/>
          <w:szCs w:val="22"/>
        </w:rPr>
      </w:pPr>
      <w:r w:rsidRPr="004B0B65">
        <w:rPr>
          <w:rFonts w:ascii="Arial" w:eastAsia="Times New Roman" w:hAnsi="Arial" w:cs="Arial"/>
          <w:sz w:val="22"/>
          <w:szCs w:val="22"/>
        </w:rPr>
        <w:t>вмешательства, а также для дифференциаль</w:t>
      </w:r>
      <w:r w:rsidRPr="004B0B65">
        <w:rPr>
          <w:rFonts w:ascii="Arial" w:eastAsia="Times New Roman" w:hAnsi="Arial" w:cs="Arial"/>
          <w:sz w:val="22"/>
          <w:szCs w:val="22"/>
        </w:rPr>
        <w:softHyphen/>
        <w:t>ной диагностики эндокринных и неэндо</w:t>
      </w:r>
      <w:r w:rsidRPr="004B0B65">
        <w:rPr>
          <w:rFonts w:ascii="Arial" w:eastAsia="Times New Roman" w:hAnsi="Arial" w:cs="Arial"/>
          <w:sz w:val="22"/>
          <w:szCs w:val="22"/>
        </w:rPr>
        <w:softHyphen/>
        <w:t>кринных опухолей, которые были выявлены другими методами (рис. 13.3).</w:t>
      </w:r>
    </w:p>
    <w:p w:rsidR="00470A5D" w:rsidRPr="004B0B65" w:rsidRDefault="00471C76" w:rsidP="00DE1F06">
      <w:pPr>
        <w:pStyle w:val="1"/>
        <w:ind w:firstLine="0"/>
        <w:jc w:val="both"/>
        <w:rPr>
          <w:rFonts w:ascii="Arial" w:hAnsi="Arial" w:cs="Arial"/>
          <w:b/>
          <w:bCs/>
          <w:i/>
          <w:iCs/>
        </w:rPr>
      </w:pPr>
      <w:r w:rsidRPr="004B0B65">
        <w:rPr>
          <w:rFonts w:ascii="Arial" w:hAnsi="Arial" w:cs="Arial"/>
          <w:noProof/>
          <w:lang w:eastAsia="ru-RU"/>
        </w:rPr>
        <mc:AlternateContent>
          <mc:Choice Requires="wps">
            <w:drawing>
              <wp:anchor distT="0" distB="215900" distL="114300" distR="114300" simplePos="0" relativeHeight="251662336" behindDoc="0" locked="0" layoutInCell="1" allowOverlap="1" wp14:anchorId="7B3320B2" wp14:editId="737A375C">
                <wp:simplePos x="0" y="0"/>
                <wp:positionH relativeFrom="page">
                  <wp:posOffset>3439795</wp:posOffset>
                </wp:positionH>
                <wp:positionV relativeFrom="margin">
                  <wp:posOffset>2199005</wp:posOffset>
                </wp:positionV>
                <wp:extent cx="2788920" cy="2042160"/>
                <wp:effectExtent l="0" t="0" r="0" b="0"/>
                <wp:wrapTopAndBottom/>
                <wp:docPr id="1204" name="Shape 1204"/>
                <wp:cNvGraphicFramePr/>
                <a:graphic xmlns:a="http://schemas.openxmlformats.org/drawingml/2006/main">
                  <a:graphicData uri="http://schemas.microsoft.com/office/word/2010/wordprocessingShape">
                    <wps:wsp>
                      <wps:cNvSpPr txBox="1"/>
                      <wps:spPr>
                        <a:xfrm>
                          <a:off x="0" y="0"/>
                          <a:ext cx="2788920" cy="2042160"/>
                        </a:xfrm>
                        <a:prstGeom prst="rect">
                          <a:avLst/>
                        </a:prstGeom>
                        <a:noFill/>
                      </wps:spPr>
                      <wps:txbx>
                        <w:txbxContent>
                          <w:tbl>
                            <w:tblPr>
                              <w:tblOverlap w:val="never"/>
                              <w:tblW w:w="0" w:type="auto"/>
                              <w:tblLayout w:type="fixed"/>
                              <w:tblCellMar>
                                <w:left w:w="10" w:type="dxa"/>
                                <w:right w:w="10" w:type="dxa"/>
                              </w:tblCellMar>
                              <w:tblLook w:val="0000" w:firstRow="0" w:lastRow="0" w:firstColumn="0" w:lastColumn="0" w:noHBand="0" w:noVBand="0"/>
                            </w:tblPr>
                            <w:tblGrid>
                              <w:gridCol w:w="3139"/>
                              <w:gridCol w:w="1253"/>
                            </w:tblGrid>
                            <w:tr w:rsidR="001B23C7">
                              <w:trPr>
                                <w:trHeight w:hRule="exact" w:val="830"/>
                                <w:tblHeader/>
                              </w:trPr>
                              <w:tc>
                                <w:tcPr>
                                  <w:tcW w:w="4392" w:type="dxa"/>
                                  <w:gridSpan w:val="2"/>
                                  <w:tcBorders>
                                    <w:top w:val="single" w:sz="4" w:space="0" w:color="auto"/>
                                    <w:left w:val="single" w:sz="4" w:space="0" w:color="auto"/>
                                    <w:right w:val="single" w:sz="4" w:space="0" w:color="auto"/>
                                  </w:tcBorders>
                                  <w:shd w:val="clear" w:color="auto" w:fill="auto"/>
                                  <w:vAlign w:val="center"/>
                                </w:tcPr>
                                <w:p w:rsidR="001B23C7" w:rsidRDefault="001B23C7">
                                  <w:pPr>
                                    <w:pStyle w:val="a7"/>
                                    <w:spacing w:line="197" w:lineRule="auto"/>
                                    <w:ind w:firstLine="0"/>
                                    <w:jc w:val="center"/>
                                    <w:rPr>
                                      <w:sz w:val="19"/>
                                      <w:szCs w:val="19"/>
                                    </w:rPr>
                                  </w:pPr>
                                  <w:r>
                                    <w:rPr>
                                      <w:b/>
                                      <w:bCs/>
                                      <w:sz w:val="19"/>
                                      <w:szCs w:val="19"/>
                                    </w:rPr>
                                    <w:t>Чувствительность сцинтиграфии соматостати</w:t>
                                  </w:r>
                                  <w:r>
                                    <w:rPr>
                                      <w:b/>
                                      <w:bCs/>
                                      <w:sz w:val="19"/>
                                      <w:szCs w:val="19"/>
                                    </w:rPr>
                                    <w:softHyphen/>
                                    <w:t>новых рецепторов при топической диагностике эндокринных опухолей ПЖЖ и ЖКТ</w:t>
                                  </w:r>
                                </w:p>
                              </w:tc>
                            </w:tr>
                            <w:tr w:rsidR="001B23C7">
                              <w:trPr>
                                <w:trHeight w:hRule="exact" w:val="514"/>
                              </w:trPr>
                              <w:tc>
                                <w:tcPr>
                                  <w:tcW w:w="3139" w:type="dxa"/>
                                  <w:tcBorders>
                                    <w:top w:val="single" w:sz="4" w:space="0" w:color="auto"/>
                                    <w:left w:val="single" w:sz="4" w:space="0" w:color="auto"/>
                                  </w:tcBorders>
                                  <w:shd w:val="clear" w:color="auto" w:fill="auto"/>
                                  <w:vAlign w:val="center"/>
                                </w:tcPr>
                                <w:p w:rsidR="001B23C7" w:rsidRDefault="001B23C7">
                                  <w:pPr>
                                    <w:pStyle w:val="a7"/>
                                    <w:ind w:firstLine="0"/>
                                    <w:jc w:val="center"/>
                                    <w:rPr>
                                      <w:sz w:val="17"/>
                                      <w:szCs w:val="17"/>
                                    </w:rPr>
                                  </w:pPr>
                                  <w:r>
                                    <w:rPr>
                                      <w:i/>
                                      <w:iCs/>
                                      <w:sz w:val="17"/>
                                      <w:szCs w:val="17"/>
                                    </w:rPr>
                                    <w:t>Опухоль</w:t>
                                  </w:r>
                                </w:p>
                              </w:tc>
                              <w:tc>
                                <w:tcPr>
                                  <w:tcW w:w="1253" w:type="dxa"/>
                                  <w:tcBorders>
                                    <w:top w:val="single" w:sz="4" w:space="0" w:color="auto"/>
                                    <w:left w:val="single" w:sz="4" w:space="0" w:color="auto"/>
                                    <w:right w:val="single" w:sz="4" w:space="0" w:color="auto"/>
                                  </w:tcBorders>
                                  <w:shd w:val="clear" w:color="auto" w:fill="auto"/>
                                  <w:vAlign w:val="center"/>
                                </w:tcPr>
                                <w:p w:rsidR="001B23C7" w:rsidRDefault="001B23C7">
                                  <w:pPr>
                                    <w:pStyle w:val="a7"/>
                                    <w:spacing w:line="214" w:lineRule="auto"/>
                                    <w:ind w:firstLine="0"/>
                                    <w:jc w:val="center"/>
                                    <w:rPr>
                                      <w:sz w:val="17"/>
                                      <w:szCs w:val="17"/>
                                    </w:rPr>
                                  </w:pPr>
                                  <w:r>
                                    <w:rPr>
                                      <w:i/>
                                      <w:iCs/>
                                      <w:sz w:val="17"/>
                                      <w:szCs w:val="17"/>
                                    </w:rPr>
                                    <w:t>Чувствитель</w:t>
                                  </w:r>
                                  <w:r>
                                    <w:rPr>
                                      <w:i/>
                                      <w:iCs/>
                                      <w:sz w:val="17"/>
                                      <w:szCs w:val="17"/>
                                    </w:rPr>
                                    <w:softHyphen/>
                                    <w:t>ность, %</w:t>
                                  </w:r>
                                </w:p>
                              </w:tc>
                            </w:tr>
                            <w:tr w:rsidR="001B23C7">
                              <w:trPr>
                                <w:trHeight w:hRule="exact" w:val="403"/>
                              </w:trPr>
                              <w:tc>
                                <w:tcPr>
                                  <w:tcW w:w="3139" w:type="dxa"/>
                                  <w:tcBorders>
                                    <w:top w:val="single" w:sz="4" w:space="0" w:color="auto"/>
                                    <w:left w:val="single" w:sz="4" w:space="0" w:color="auto"/>
                                  </w:tcBorders>
                                  <w:shd w:val="clear" w:color="auto" w:fill="auto"/>
                                  <w:vAlign w:val="bottom"/>
                                </w:tcPr>
                                <w:p w:rsidR="001B23C7" w:rsidRDefault="001B23C7">
                                  <w:pPr>
                                    <w:pStyle w:val="a7"/>
                                    <w:ind w:firstLine="0"/>
                                    <w:rPr>
                                      <w:sz w:val="19"/>
                                      <w:szCs w:val="19"/>
                                    </w:rPr>
                                  </w:pPr>
                                  <w:r>
                                    <w:rPr>
                                      <w:sz w:val="19"/>
                                      <w:szCs w:val="19"/>
                                    </w:rPr>
                                    <w:t>Карциноидные опухоли</w:t>
                                  </w:r>
                                </w:p>
                              </w:tc>
                              <w:tc>
                                <w:tcPr>
                                  <w:tcW w:w="1253" w:type="dxa"/>
                                  <w:tcBorders>
                                    <w:top w:val="single" w:sz="4" w:space="0" w:color="auto"/>
                                    <w:left w:val="single" w:sz="4" w:space="0" w:color="auto"/>
                                    <w:right w:val="single" w:sz="4" w:space="0" w:color="auto"/>
                                  </w:tcBorders>
                                  <w:shd w:val="clear" w:color="auto" w:fill="auto"/>
                                  <w:vAlign w:val="bottom"/>
                                </w:tcPr>
                                <w:p w:rsidR="001B23C7" w:rsidRDefault="001B23C7">
                                  <w:pPr>
                                    <w:pStyle w:val="a7"/>
                                    <w:ind w:firstLine="0"/>
                                    <w:jc w:val="center"/>
                                    <w:rPr>
                                      <w:sz w:val="19"/>
                                      <w:szCs w:val="19"/>
                                    </w:rPr>
                                  </w:pPr>
                                  <w:r>
                                    <w:rPr>
                                      <w:sz w:val="19"/>
                                      <w:szCs w:val="19"/>
                                    </w:rPr>
                                    <w:t>95</w:t>
                                  </w:r>
                                </w:p>
                              </w:tc>
                            </w:tr>
                            <w:tr w:rsidR="001B23C7">
                              <w:trPr>
                                <w:trHeight w:hRule="exact" w:val="437"/>
                              </w:trPr>
                              <w:tc>
                                <w:tcPr>
                                  <w:tcW w:w="3139" w:type="dxa"/>
                                  <w:tcBorders>
                                    <w:left w:val="single" w:sz="4" w:space="0" w:color="auto"/>
                                  </w:tcBorders>
                                  <w:shd w:val="clear" w:color="auto" w:fill="auto"/>
                                </w:tcPr>
                                <w:p w:rsidR="001B23C7" w:rsidRDefault="001B23C7">
                                  <w:pPr>
                                    <w:pStyle w:val="a7"/>
                                    <w:spacing w:line="202" w:lineRule="auto"/>
                                    <w:ind w:firstLine="0"/>
                                    <w:rPr>
                                      <w:sz w:val="19"/>
                                      <w:szCs w:val="19"/>
                                    </w:rPr>
                                  </w:pPr>
                                  <w:r>
                                    <w:rPr>
                                      <w:sz w:val="19"/>
                                      <w:szCs w:val="19"/>
                                    </w:rPr>
                                    <w:t>Функционально неактивные эн</w:t>
                                  </w:r>
                                  <w:r>
                                    <w:rPr>
                                      <w:sz w:val="19"/>
                                      <w:szCs w:val="19"/>
                                    </w:rPr>
                                    <w:softHyphen/>
                                    <w:t>докринные опухоли ПЖЖ и ЖКТ</w:t>
                                  </w:r>
                                </w:p>
                              </w:tc>
                              <w:tc>
                                <w:tcPr>
                                  <w:tcW w:w="1253" w:type="dxa"/>
                                  <w:tcBorders>
                                    <w:left w:val="single" w:sz="4" w:space="0" w:color="auto"/>
                                    <w:right w:val="single" w:sz="4" w:space="0" w:color="auto"/>
                                  </w:tcBorders>
                                  <w:shd w:val="clear" w:color="auto" w:fill="auto"/>
                                </w:tcPr>
                                <w:p w:rsidR="001B23C7" w:rsidRDefault="001B23C7">
                                  <w:pPr>
                                    <w:pStyle w:val="a7"/>
                                    <w:ind w:firstLine="0"/>
                                    <w:jc w:val="center"/>
                                    <w:rPr>
                                      <w:sz w:val="19"/>
                                      <w:szCs w:val="19"/>
                                    </w:rPr>
                                  </w:pPr>
                                  <w:r>
                                    <w:rPr>
                                      <w:sz w:val="19"/>
                                      <w:szCs w:val="19"/>
                                    </w:rPr>
                                    <w:t>90</w:t>
                                  </w:r>
                                </w:p>
                              </w:tc>
                            </w:tr>
                            <w:tr w:rsidR="001B23C7">
                              <w:trPr>
                                <w:trHeight w:hRule="exact" w:val="259"/>
                              </w:trPr>
                              <w:tc>
                                <w:tcPr>
                                  <w:tcW w:w="3139" w:type="dxa"/>
                                  <w:tcBorders>
                                    <w:left w:val="single" w:sz="4" w:space="0" w:color="auto"/>
                                  </w:tcBorders>
                                  <w:shd w:val="clear" w:color="auto" w:fill="auto"/>
                                </w:tcPr>
                                <w:p w:rsidR="001B23C7" w:rsidRDefault="001B23C7">
                                  <w:pPr>
                                    <w:pStyle w:val="a7"/>
                                    <w:ind w:firstLine="0"/>
                                    <w:rPr>
                                      <w:sz w:val="19"/>
                                      <w:szCs w:val="19"/>
                                    </w:rPr>
                                  </w:pPr>
                                  <w:r>
                                    <w:rPr>
                                      <w:sz w:val="19"/>
                                      <w:szCs w:val="19"/>
                                    </w:rPr>
                                    <w:t>Гастринома</w:t>
                                  </w:r>
                                </w:p>
                              </w:tc>
                              <w:tc>
                                <w:tcPr>
                                  <w:tcW w:w="1253" w:type="dxa"/>
                                  <w:tcBorders>
                                    <w:left w:val="single" w:sz="4" w:space="0" w:color="auto"/>
                                    <w:right w:val="single" w:sz="4" w:space="0" w:color="auto"/>
                                  </w:tcBorders>
                                  <w:shd w:val="clear" w:color="auto" w:fill="auto"/>
                                </w:tcPr>
                                <w:p w:rsidR="001B23C7" w:rsidRDefault="001B23C7">
                                  <w:pPr>
                                    <w:pStyle w:val="a7"/>
                                    <w:ind w:firstLine="0"/>
                                    <w:jc w:val="center"/>
                                    <w:rPr>
                                      <w:sz w:val="19"/>
                                      <w:szCs w:val="19"/>
                                    </w:rPr>
                                  </w:pPr>
                                  <w:r>
                                    <w:rPr>
                                      <w:sz w:val="19"/>
                                      <w:szCs w:val="19"/>
                                    </w:rPr>
                                    <w:t>90</w:t>
                                  </w:r>
                                </w:p>
                              </w:tc>
                            </w:tr>
                            <w:tr w:rsidR="001B23C7">
                              <w:trPr>
                                <w:trHeight w:hRule="exact" w:val="259"/>
                              </w:trPr>
                              <w:tc>
                                <w:tcPr>
                                  <w:tcW w:w="3139" w:type="dxa"/>
                                  <w:tcBorders>
                                    <w:left w:val="single" w:sz="4" w:space="0" w:color="auto"/>
                                  </w:tcBorders>
                                  <w:shd w:val="clear" w:color="auto" w:fill="auto"/>
                                </w:tcPr>
                                <w:p w:rsidR="001B23C7" w:rsidRDefault="001B23C7">
                                  <w:pPr>
                                    <w:pStyle w:val="a7"/>
                                    <w:ind w:firstLine="0"/>
                                    <w:rPr>
                                      <w:sz w:val="19"/>
                                      <w:szCs w:val="19"/>
                                    </w:rPr>
                                  </w:pPr>
                                  <w:r>
                                    <w:rPr>
                                      <w:sz w:val="19"/>
                                      <w:szCs w:val="19"/>
                                    </w:rPr>
                                    <w:t>Инсулинома</w:t>
                                  </w:r>
                                </w:p>
                              </w:tc>
                              <w:tc>
                                <w:tcPr>
                                  <w:tcW w:w="1253" w:type="dxa"/>
                                  <w:tcBorders>
                                    <w:left w:val="single" w:sz="4" w:space="0" w:color="auto"/>
                                    <w:right w:val="single" w:sz="4" w:space="0" w:color="auto"/>
                                  </w:tcBorders>
                                  <w:shd w:val="clear" w:color="auto" w:fill="auto"/>
                                </w:tcPr>
                                <w:p w:rsidR="001B23C7" w:rsidRDefault="001B23C7">
                                  <w:pPr>
                                    <w:pStyle w:val="a7"/>
                                    <w:ind w:firstLine="0"/>
                                    <w:jc w:val="center"/>
                                    <w:rPr>
                                      <w:sz w:val="19"/>
                                      <w:szCs w:val="19"/>
                                    </w:rPr>
                                  </w:pPr>
                                  <w:r>
                                    <w:rPr>
                                      <w:sz w:val="19"/>
                                      <w:szCs w:val="19"/>
                                    </w:rPr>
                                    <w:t>60</w:t>
                                  </w:r>
                                </w:p>
                              </w:tc>
                            </w:tr>
                            <w:tr w:rsidR="001B23C7">
                              <w:trPr>
                                <w:trHeight w:hRule="exact" w:val="514"/>
                              </w:trPr>
                              <w:tc>
                                <w:tcPr>
                                  <w:tcW w:w="3139" w:type="dxa"/>
                                  <w:tcBorders>
                                    <w:left w:val="single" w:sz="4" w:space="0" w:color="auto"/>
                                    <w:bottom w:val="single" w:sz="4" w:space="0" w:color="auto"/>
                                  </w:tcBorders>
                                  <w:shd w:val="clear" w:color="auto" w:fill="auto"/>
                                </w:tcPr>
                                <w:p w:rsidR="001B23C7" w:rsidRDefault="001B23C7">
                                  <w:pPr>
                                    <w:pStyle w:val="a7"/>
                                    <w:spacing w:line="202" w:lineRule="auto"/>
                                    <w:ind w:firstLine="0"/>
                                    <w:rPr>
                                      <w:sz w:val="19"/>
                                      <w:szCs w:val="19"/>
                                    </w:rPr>
                                  </w:pPr>
                                  <w:r>
                                    <w:rPr>
                                      <w:sz w:val="19"/>
                                      <w:szCs w:val="19"/>
                                    </w:rPr>
                                    <w:t>Недифференцированные эндо</w:t>
                                  </w:r>
                                  <w:r>
                                    <w:rPr>
                                      <w:sz w:val="19"/>
                                      <w:szCs w:val="19"/>
                                    </w:rPr>
                                    <w:softHyphen/>
                                    <w:t>кринные опухоли</w:t>
                                  </w:r>
                                </w:p>
                              </w:tc>
                              <w:tc>
                                <w:tcPr>
                                  <w:tcW w:w="1253" w:type="dxa"/>
                                  <w:tcBorders>
                                    <w:left w:val="single" w:sz="4" w:space="0" w:color="auto"/>
                                    <w:bottom w:val="single" w:sz="4" w:space="0" w:color="auto"/>
                                    <w:right w:val="single" w:sz="4" w:space="0" w:color="auto"/>
                                  </w:tcBorders>
                                  <w:shd w:val="clear" w:color="auto" w:fill="auto"/>
                                </w:tcPr>
                                <w:p w:rsidR="001B23C7" w:rsidRDefault="001B23C7">
                                  <w:pPr>
                                    <w:pStyle w:val="a7"/>
                                    <w:ind w:firstLine="0"/>
                                    <w:jc w:val="center"/>
                                    <w:rPr>
                                      <w:sz w:val="19"/>
                                      <w:szCs w:val="19"/>
                                    </w:rPr>
                                  </w:pPr>
                                  <w:r>
                                    <w:rPr>
                                      <w:sz w:val="19"/>
                                      <w:szCs w:val="19"/>
                                    </w:rPr>
                                    <w:t>75</w:t>
                                  </w:r>
                                </w:p>
                              </w:tc>
                            </w:tr>
                          </w:tbl>
                          <w:p w:rsidR="001B23C7" w:rsidRDefault="001B23C7" w:rsidP="00471C76">
                            <w:pPr>
                              <w:spacing w:line="1" w:lineRule="exact"/>
                            </w:pPr>
                          </w:p>
                        </w:txbxContent>
                      </wps:txbx>
                      <wps:bodyPr lIns="0" tIns="0" rIns="0" bIns="0"/>
                    </wps:wsp>
                  </a:graphicData>
                </a:graphic>
              </wp:anchor>
            </w:drawing>
          </mc:Choice>
          <mc:Fallback>
            <w:pict>
              <v:shapetype w14:anchorId="7B3320B2" id="_x0000_t202" coordsize="21600,21600" o:spt="202" path="m,l,21600r21600,l21600,xe">
                <v:stroke joinstyle="miter"/>
                <v:path gradientshapeok="t" o:connecttype="rect"/>
              </v:shapetype>
              <v:shape id="Shape 1204" o:spid="_x0000_s1027" type="#_x0000_t202" style="position:absolute;left:0;text-align:left;margin-left:270.85pt;margin-top:173.15pt;width:219.6pt;height:160.8pt;z-index:251662336;visibility:visible;mso-wrap-style:square;mso-wrap-distance-left:9pt;mso-wrap-distance-top:0;mso-wrap-distance-right:9pt;mso-wrap-distance-bottom:17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XRGhQEAAAoDAAAOAAAAZHJzL2Uyb0RvYy54bWysUlFLwzAQfhf8DyHvrl2ROcu6gYyJICpM&#10;f0CaJmugyYUkrt2/95Ktm+ib+JJe7q7fd993WawG3ZG9cF6Bqeh0klMiDIdGmV1FP943N3NKfGCm&#10;YR0YUdGD8HS1vL5a9LYUBbTQNcIRBDG+7G1F2xBsmWWet0IzPwErDBYlOM0CXt0uaxzrEV13WZHn&#10;s6wH11gHXHiP2fWxSJcJX0rBw6uUXgTSVRRnC+l06azjmS0XrNw5ZlvFT2OwP0yhmTJIeoZas8DI&#10;p1O/oLTiDjzIMOGgM5BScZE0oJpp/kPNtmVWJC1ojrdnm/z/wfKX/ZsjqsHdFfktJYZp3FIiJimD&#10;BvXWl9i3tdgZhgcYsDkaF/Mek1H3IJ2OX1REsI5WH872iiEQjsnibj6/L7DEsYZsxXSWFpBdfrfO&#10;h0cBmsSgog73l2xl+2cfkBJbx5bIZmCjui7mL7PEKAz1cBQ1zllDc8DxuyeD5sWHMAZuDOpTMKKh&#10;4Ynv9DjiRr/fE+flCS+/AAAA//8DAFBLAwQUAAYACAAAACEAO3P/x+EAAAALAQAADwAAAGRycy9k&#10;b3ducmV2LnhtbEyPwU7DMBBE70j8g7VI3KhdWtImjVNVCE5IiDQcenTibWI1XofYbcPfY05wXM3T&#10;zNt8O9meXXD0xpGE+UwAQ2qcNtRK+KxeH9bAfFCkVe8IJXyjh21xe5OrTLsrlXjZh5bFEvKZktCF&#10;MGSc+6ZDq/zMDUgxO7rRqhDPseV6VNdYbnv+KETCrTIUFzo14HOHzWl/thJ2BypfzNd7/VEeS1NV&#10;qaC35CTl/d202wALOIU/GH71ozoU0al2Z9Ke9RKelvNVRCUslskCWCTStUiB1RKSZJUCL3L+/4fi&#10;BwAA//8DAFBLAQItABQABgAIAAAAIQC2gziS/gAAAOEBAAATAAAAAAAAAAAAAAAAAAAAAABbQ29u&#10;dGVudF9UeXBlc10ueG1sUEsBAi0AFAAGAAgAAAAhADj9If/WAAAAlAEAAAsAAAAAAAAAAAAAAAAA&#10;LwEAAF9yZWxzLy5yZWxzUEsBAi0AFAAGAAgAAAAhAI6NdEaFAQAACgMAAA4AAAAAAAAAAAAAAAAA&#10;LgIAAGRycy9lMm9Eb2MueG1sUEsBAi0AFAAGAAgAAAAhADtz/8fhAAAACwEAAA8AAAAAAAAAAAAA&#10;AAAA3wMAAGRycy9kb3ducmV2LnhtbFBLBQYAAAAABAAEAPMAAADtBAAAAAA=&#10;" filled="f" stroked="f">
                <v:textbox inset="0,0,0,0">
                  <w:txbxContent>
                    <w:tbl>
                      <w:tblPr>
                        <w:tblOverlap w:val="never"/>
                        <w:tblW w:w="0" w:type="auto"/>
                        <w:tblLayout w:type="fixed"/>
                        <w:tblCellMar>
                          <w:left w:w="10" w:type="dxa"/>
                          <w:right w:w="10" w:type="dxa"/>
                        </w:tblCellMar>
                        <w:tblLook w:val="0000" w:firstRow="0" w:lastRow="0" w:firstColumn="0" w:lastColumn="0" w:noHBand="0" w:noVBand="0"/>
                      </w:tblPr>
                      <w:tblGrid>
                        <w:gridCol w:w="3139"/>
                        <w:gridCol w:w="1253"/>
                      </w:tblGrid>
                      <w:tr w:rsidR="001B23C7">
                        <w:trPr>
                          <w:trHeight w:hRule="exact" w:val="830"/>
                          <w:tblHeader/>
                        </w:trPr>
                        <w:tc>
                          <w:tcPr>
                            <w:tcW w:w="4392" w:type="dxa"/>
                            <w:gridSpan w:val="2"/>
                            <w:tcBorders>
                              <w:top w:val="single" w:sz="4" w:space="0" w:color="auto"/>
                              <w:left w:val="single" w:sz="4" w:space="0" w:color="auto"/>
                              <w:right w:val="single" w:sz="4" w:space="0" w:color="auto"/>
                            </w:tcBorders>
                            <w:shd w:val="clear" w:color="auto" w:fill="auto"/>
                            <w:vAlign w:val="center"/>
                          </w:tcPr>
                          <w:p w:rsidR="001B23C7" w:rsidRDefault="001B23C7">
                            <w:pPr>
                              <w:pStyle w:val="a7"/>
                              <w:spacing w:line="197" w:lineRule="auto"/>
                              <w:ind w:firstLine="0"/>
                              <w:jc w:val="center"/>
                              <w:rPr>
                                <w:sz w:val="19"/>
                                <w:szCs w:val="19"/>
                              </w:rPr>
                            </w:pPr>
                            <w:r>
                              <w:rPr>
                                <w:b/>
                                <w:bCs/>
                                <w:sz w:val="19"/>
                                <w:szCs w:val="19"/>
                              </w:rPr>
                              <w:t>Чувствительность сцинтиграфии соматостати</w:t>
                            </w:r>
                            <w:r>
                              <w:rPr>
                                <w:b/>
                                <w:bCs/>
                                <w:sz w:val="19"/>
                                <w:szCs w:val="19"/>
                              </w:rPr>
                              <w:softHyphen/>
                              <w:t>новых рецепторов при топической диагностике эндокринных опухолей ПЖЖ и ЖКТ</w:t>
                            </w:r>
                          </w:p>
                        </w:tc>
                      </w:tr>
                      <w:tr w:rsidR="001B23C7">
                        <w:trPr>
                          <w:trHeight w:hRule="exact" w:val="514"/>
                        </w:trPr>
                        <w:tc>
                          <w:tcPr>
                            <w:tcW w:w="3139" w:type="dxa"/>
                            <w:tcBorders>
                              <w:top w:val="single" w:sz="4" w:space="0" w:color="auto"/>
                              <w:left w:val="single" w:sz="4" w:space="0" w:color="auto"/>
                            </w:tcBorders>
                            <w:shd w:val="clear" w:color="auto" w:fill="auto"/>
                            <w:vAlign w:val="center"/>
                          </w:tcPr>
                          <w:p w:rsidR="001B23C7" w:rsidRDefault="001B23C7">
                            <w:pPr>
                              <w:pStyle w:val="a7"/>
                              <w:ind w:firstLine="0"/>
                              <w:jc w:val="center"/>
                              <w:rPr>
                                <w:sz w:val="17"/>
                                <w:szCs w:val="17"/>
                              </w:rPr>
                            </w:pPr>
                            <w:r>
                              <w:rPr>
                                <w:i/>
                                <w:iCs/>
                                <w:sz w:val="17"/>
                                <w:szCs w:val="17"/>
                              </w:rPr>
                              <w:t>Опухоль</w:t>
                            </w:r>
                          </w:p>
                        </w:tc>
                        <w:tc>
                          <w:tcPr>
                            <w:tcW w:w="1253" w:type="dxa"/>
                            <w:tcBorders>
                              <w:top w:val="single" w:sz="4" w:space="0" w:color="auto"/>
                              <w:left w:val="single" w:sz="4" w:space="0" w:color="auto"/>
                              <w:right w:val="single" w:sz="4" w:space="0" w:color="auto"/>
                            </w:tcBorders>
                            <w:shd w:val="clear" w:color="auto" w:fill="auto"/>
                            <w:vAlign w:val="center"/>
                          </w:tcPr>
                          <w:p w:rsidR="001B23C7" w:rsidRDefault="001B23C7">
                            <w:pPr>
                              <w:pStyle w:val="a7"/>
                              <w:spacing w:line="214" w:lineRule="auto"/>
                              <w:ind w:firstLine="0"/>
                              <w:jc w:val="center"/>
                              <w:rPr>
                                <w:sz w:val="17"/>
                                <w:szCs w:val="17"/>
                              </w:rPr>
                            </w:pPr>
                            <w:r>
                              <w:rPr>
                                <w:i/>
                                <w:iCs/>
                                <w:sz w:val="17"/>
                                <w:szCs w:val="17"/>
                              </w:rPr>
                              <w:t>Чувствитель</w:t>
                            </w:r>
                            <w:r>
                              <w:rPr>
                                <w:i/>
                                <w:iCs/>
                                <w:sz w:val="17"/>
                                <w:szCs w:val="17"/>
                              </w:rPr>
                              <w:softHyphen/>
                              <w:t>ность, %</w:t>
                            </w:r>
                          </w:p>
                        </w:tc>
                      </w:tr>
                      <w:tr w:rsidR="001B23C7">
                        <w:trPr>
                          <w:trHeight w:hRule="exact" w:val="403"/>
                        </w:trPr>
                        <w:tc>
                          <w:tcPr>
                            <w:tcW w:w="3139" w:type="dxa"/>
                            <w:tcBorders>
                              <w:top w:val="single" w:sz="4" w:space="0" w:color="auto"/>
                              <w:left w:val="single" w:sz="4" w:space="0" w:color="auto"/>
                            </w:tcBorders>
                            <w:shd w:val="clear" w:color="auto" w:fill="auto"/>
                            <w:vAlign w:val="bottom"/>
                          </w:tcPr>
                          <w:p w:rsidR="001B23C7" w:rsidRDefault="001B23C7">
                            <w:pPr>
                              <w:pStyle w:val="a7"/>
                              <w:ind w:firstLine="0"/>
                              <w:rPr>
                                <w:sz w:val="19"/>
                                <w:szCs w:val="19"/>
                              </w:rPr>
                            </w:pPr>
                            <w:r>
                              <w:rPr>
                                <w:sz w:val="19"/>
                                <w:szCs w:val="19"/>
                              </w:rPr>
                              <w:t>Карциноидные опухоли</w:t>
                            </w:r>
                          </w:p>
                        </w:tc>
                        <w:tc>
                          <w:tcPr>
                            <w:tcW w:w="1253" w:type="dxa"/>
                            <w:tcBorders>
                              <w:top w:val="single" w:sz="4" w:space="0" w:color="auto"/>
                              <w:left w:val="single" w:sz="4" w:space="0" w:color="auto"/>
                              <w:right w:val="single" w:sz="4" w:space="0" w:color="auto"/>
                            </w:tcBorders>
                            <w:shd w:val="clear" w:color="auto" w:fill="auto"/>
                            <w:vAlign w:val="bottom"/>
                          </w:tcPr>
                          <w:p w:rsidR="001B23C7" w:rsidRDefault="001B23C7">
                            <w:pPr>
                              <w:pStyle w:val="a7"/>
                              <w:ind w:firstLine="0"/>
                              <w:jc w:val="center"/>
                              <w:rPr>
                                <w:sz w:val="19"/>
                                <w:szCs w:val="19"/>
                              </w:rPr>
                            </w:pPr>
                            <w:r>
                              <w:rPr>
                                <w:sz w:val="19"/>
                                <w:szCs w:val="19"/>
                              </w:rPr>
                              <w:t>95</w:t>
                            </w:r>
                          </w:p>
                        </w:tc>
                      </w:tr>
                      <w:tr w:rsidR="001B23C7">
                        <w:trPr>
                          <w:trHeight w:hRule="exact" w:val="437"/>
                        </w:trPr>
                        <w:tc>
                          <w:tcPr>
                            <w:tcW w:w="3139" w:type="dxa"/>
                            <w:tcBorders>
                              <w:left w:val="single" w:sz="4" w:space="0" w:color="auto"/>
                            </w:tcBorders>
                            <w:shd w:val="clear" w:color="auto" w:fill="auto"/>
                          </w:tcPr>
                          <w:p w:rsidR="001B23C7" w:rsidRDefault="001B23C7">
                            <w:pPr>
                              <w:pStyle w:val="a7"/>
                              <w:spacing w:line="202" w:lineRule="auto"/>
                              <w:ind w:firstLine="0"/>
                              <w:rPr>
                                <w:sz w:val="19"/>
                                <w:szCs w:val="19"/>
                              </w:rPr>
                            </w:pPr>
                            <w:r>
                              <w:rPr>
                                <w:sz w:val="19"/>
                                <w:szCs w:val="19"/>
                              </w:rPr>
                              <w:t>Функционально неактивные эн</w:t>
                            </w:r>
                            <w:r>
                              <w:rPr>
                                <w:sz w:val="19"/>
                                <w:szCs w:val="19"/>
                              </w:rPr>
                              <w:softHyphen/>
                              <w:t>докринные опухоли ПЖЖ и ЖКТ</w:t>
                            </w:r>
                          </w:p>
                        </w:tc>
                        <w:tc>
                          <w:tcPr>
                            <w:tcW w:w="1253" w:type="dxa"/>
                            <w:tcBorders>
                              <w:left w:val="single" w:sz="4" w:space="0" w:color="auto"/>
                              <w:right w:val="single" w:sz="4" w:space="0" w:color="auto"/>
                            </w:tcBorders>
                            <w:shd w:val="clear" w:color="auto" w:fill="auto"/>
                          </w:tcPr>
                          <w:p w:rsidR="001B23C7" w:rsidRDefault="001B23C7">
                            <w:pPr>
                              <w:pStyle w:val="a7"/>
                              <w:ind w:firstLine="0"/>
                              <w:jc w:val="center"/>
                              <w:rPr>
                                <w:sz w:val="19"/>
                                <w:szCs w:val="19"/>
                              </w:rPr>
                            </w:pPr>
                            <w:r>
                              <w:rPr>
                                <w:sz w:val="19"/>
                                <w:szCs w:val="19"/>
                              </w:rPr>
                              <w:t>90</w:t>
                            </w:r>
                          </w:p>
                        </w:tc>
                      </w:tr>
                      <w:tr w:rsidR="001B23C7">
                        <w:trPr>
                          <w:trHeight w:hRule="exact" w:val="259"/>
                        </w:trPr>
                        <w:tc>
                          <w:tcPr>
                            <w:tcW w:w="3139" w:type="dxa"/>
                            <w:tcBorders>
                              <w:left w:val="single" w:sz="4" w:space="0" w:color="auto"/>
                            </w:tcBorders>
                            <w:shd w:val="clear" w:color="auto" w:fill="auto"/>
                          </w:tcPr>
                          <w:p w:rsidR="001B23C7" w:rsidRDefault="001B23C7">
                            <w:pPr>
                              <w:pStyle w:val="a7"/>
                              <w:ind w:firstLine="0"/>
                              <w:rPr>
                                <w:sz w:val="19"/>
                                <w:szCs w:val="19"/>
                              </w:rPr>
                            </w:pPr>
                            <w:r>
                              <w:rPr>
                                <w:sz w:val="19"/>
                                <w:szCs w:val="19"/>
                              </w:rPr>
                              <w:t>Гастринома</w:t>
                            </w:r>
                          </w:p>
                        </w:tc>
                        <w:tc>
                          <w:tcPr>
                            <w:tcW w:w="1253" w:type="dxa"/>
                            <w:tcBorders>
                              <w:left w:val="single" w:sz="4" w:space="0" w:color="auto"/>
                              <w:right w:val="single" w:sz="4" w:space="0" w:color="auto"/>
                            </w:tcBorders>
                            <w:shd w:val="clear" w:color="auto" w:fill="auto"/>
                          </w:tcPr>
                          <w:p w:rsidR="001B23C7" w:rsidRDefault="001B23C7">
                            <w:pPr>
                              <w:pStyle w:val="a7"/>
                              <w:ind w:firstLine="0"/>
                              <w:jc w:val="center"/>
                              <w:rPr>
                                <w:sz w:val="19"/>
                                <w:szCs w:val="19"/>
                              </w:rPr>
                            </w:pPr>
                            <w:r>
                              <w:rPr>
                                <w:sz w:val="19"/>
                                <w:szCs w:val="19"/>
                              </w:rPr>
                              <w:t>90</w:t>
                            </w:r>
                          </w:p>
                        </w:tc>
                      </w:tr>
                      <w:tr w:rsidR="001B23C7">
                        <w:trPr>
                          <w:trHeight w:hRule="exact" w:val="259"/>
                        </w:trPr>
                        <w:tc>
                          <w:tcPr>
                            <w:tcW w:w="3139" w:type="dxa"/>
                            <w:tcBorders>
                              <w:left w:val="single" w:sz="4" w:space="0" w:color="auto"/>
                            </w:tcBorders>
                            <w:shd w:val="clear" w:color="auto" w:fill="auto"/>
                          </w:tcPr>
                          <w:p w:rsidR="001B23C7" w:rsidRDefault="001B23C7">
                            <w:pPr>
                              <w:pStyle w:val="a7"/>
                              <w:ind w:firstLine="0"/>
                              <w:rPr>
                                <w:sz w:val="19"/>
                                <w:szCs w:val="19"/>
                              </w:rPr>
                            </w:pPr>
                            <w:r>
                              <w:rPr>
                                <w:sz w:val="19"/>
                                <w:szCs w:val="19"/>
                              </w:rPr>
                              <w:t>Инсулинома</w:t>
                            </w:r>
                          </w:p>
                        </w:tc>
                        <w:tc>
                          <w:tcPr>
                            <w:tcW w:w="1253" w:type="dxa"/>
                            <w:tcBorders>
                              <w:left w:val="single" w:sz="4" w:space="0" w:color="auto"/>
                              <w:right w:val="single" w:sz="4" w:space="0" w:color="auto"/>
                            </w:tcBorders>
                            <w:shd w:val="clear" w:color="auto" w:fill="auto"/>
                          </w:tcPr>
                          <w:p w:rsidR="001B23C7" w:rsidRDefault="001B23C7">
                            <w:pPr>
                              <w:pStyle w:val="a7"/>
                              <w:ind w:firstLine="0"/>
                              <w:jc w:val="center"/>
                              <w:rPr>
                                <w:sz w:val="19"/>
                                <w:szCs w:val="19"/>
                              </w:rPr>
                            </w:pPr>
                            <w:r>
                              <w:rPr>
                                <w:sz w:val="19"/>
                                <w:szCs w:val="19"/>
                              </w:rPr>
                              <w:t>60</w:t>
                            </w:r>
                          </w:p>
                        </w:tc>
                      </w:tr>
                      <w:tr w:rsidR="001B23C7">
                        <w:trPr>
                          <w:trHeight w:hRule="exact" w:val="514"/>
                        </w:trPr>
                        <w:tc>
                          <w:tcPr>
                            <w:tcW w:w="3139" w:type="dxa"/>
                            <w:tcBorders>
                              <w:left w:val="single" w:sz="4" w:space="0" w:color="auto"/>
                              <w:bottom w:val="single" w:sz="4" w:space="0" w:color="auto"/>
                            </w:tcBorders>
                            <w:shd w:val="clear" w:color="auto" w:fill="auto"/>
                          </w:tcPr>
                          <w:p w:rsidR="001B23C7" w:rsidRDefault="001B23C7">
                            <w:pPr>
                              <w:pStyle w:val="a7"/>
                              <w:spacing w:line="202" w:lineRule="auto"/>
                              <w:ind w:firstLine="0"/>
                              <w:rPr>
                                <w:sz w:val="19"/>
                                <w:szCs w:val="19"/>
                              </w:rPr>
                            </w:pPr>
                            <w:r>
                              <w:rPr>
                                <w:sz w:val="19"/>
                                <w:szCs w:val="19"/>
                              </w:rPr>
                              <w:t>Недифференцированные эндо</w:t>
                            </w:r>
                            <w:r>
                              <w:rPr>
                                <w:sz w:val="19"/>
                                <w:szCs w:val="19"/>
                              </w:rPr>
                              <w:softHyphen/>
                              <w:t>кринные опухоли</w:t>
                            </w:r>
                          </w:p>
                        </w:tc>
                        <w:tc>
                          <w:tcPr>
                            <w:tcW w:w="1253" w:type="dxa"/>
                            <w:tcBorders>
                              <w:left w:val="single" w:sz="4" w:space="0" w:color="auto"/>
                              <w:bottom w:val="single" w:sz="4" w:space="0" w:color="auto"/>
                              <w:right w:val="single" w:sz="4" w:space="0" w:color="auto"/>
                            </w:tcBorders>
                            <w:shd w:val="clear" w:color="auto" w:fill="auto"/>
                          </w:tcPr>
                          <w:p w:rsidR="001B23C7" w:rsidRDefault="001B23C7">
                            <w:pPr>
                              <w:pStyle w:val="a7"/>
                              <w:ind w:firstLine="0"/>
                              <w:jc w:val="center"/>
                              <w:rPr>
                                <w:sz w:val="19"/>
                                <w:szCs w:val="19"/>
                              </w:rPr>
                            </w:pPr>
                            <w:r>
                              <w:rPr>
                                <w:sz w:val="19"/>
                                <w:szCs w:val="19"/>
                              </w:rPr>
                              <w:t>75</w:t>
                            </w:r>
                          </w:p>
                        </w:tc>
                      </w:tr>
                    </w:tbl>
                    <w:p w:rsidR="001B23C7" w:rsidRDefault="001B23C7" w:rsidP="00471C76">
                      <w:pPr>
                        <w:spacing w:line="1" w:lineRule="exact"/>
                      </w:pPr>
                    </w:p>
                  </w:txbxContent>
                </v:textbox>
                <w10:wrap type="topAndBottom" anchorx="page" anchory="margin"/>
              </v:shape>
            </w:pict>
          </mc:Fallback>
        </mc:AlternateContent>
      </w:r>
      <w:r w:rsidRPr="004B0B65">
        <w:rPr>
          <w:rFonts w:ascii="Arial" w:hAnsi="Arial" w:cs="Arial"/>
        </w:rPr>
        <w:t>Топическая диагностика кишечных и панкреатических эндокринных опухолей должна быть комплексной, индивидуальной, при необходимости можно использовать любые из перечисленных методов.</w:t>
      </w:r>
      <w:r w:rsidR="00470A5D" w:rsidRPr="004B0B65">
        <w:rPr>
          <w:rFonts w:ascii="Arial" w:hAnsi="Arial" w:cs="Arial"/>
          <w:b/>
          <w:bCs/>
          <w:i/>
          <w:iCs/>
        </w:rPr>
        <w:t xml:space="preserve"> </w:t>
      </w:r>
    </w:p>
    <w:p w:rsidR="00470A5D" w:rsidRPr="004B0B65" w:rsidRDefault="00470A5D" w:rsidP="00DE1F06">
      <w:pPr>
        <w:pStyle w:val="1"/>
        <w:ind w:firstLine="0"/>
        <w:jc w:val="both"/>
        <w:rPr>
          <w:rFonts w:ascii="Arial" w:hAnsi="Arial" w:cs="Arial"/>
        </w:rPr>
      </w:pPr>
      <w:r w:rsidRPr="004B0B65">
        <w:rPr>
          <w:rFonts w:ascii="Arial" w:hAnsi="Arial" w:cs="Arial"/>
          <w:b/>
          <w:bCs/>
          <w:i/>
          <w:iCs/>
        </w:rPr>
        <w:t>13.3.1. Инсулинома</w:t>
      </w:r>
    </w:p>
    <w:p w:rsidR="00470A5D" w:rsidRPr="004B0B65" w:rsidRDefault="00470A5D" w:rsidP="00DE1F06">
      <w:pPr>
        <w:jc w:val="both"/>
        <w:rPr>
          <w:rFonts w:ascii="Arial" w:eastAsia="Times New Roman" w:hAnsi="Arial" w:cs="Arial"/>
          <w:sz w:val="22"/>
          <w:szCs w:val="22"/>
        </w:rPr>
      </w:pPr>
      <w:r w:rsidRPr="004B0B65">
        <w:rPr>
          <w:rFonts w:ascii="Arial" w:eastAsia="Times New Roman" w:hAnsi="Arial" w:cs="Arial"/>
          <w:sz w:val="22"/>
          <w:szCs w:val="22"/>
        </w:rPr>
        <w:t>Инсулинома — инсулинпродуцирующая опухоль, происходящая из остров</w:t>
      </w:r>
      <w:r w:rsidRPr="004B0B65">
        <w:rPr>
          <w:rFonts w:ascii="Arial" w:eastAsia="Times New Roman" w:hAnsi="Arial" w:cs="Arial"/>
          <w:sz w:val="22"/>
          <w:szCs w:val="22"/>
        </w:rPr>
        <w:softHyphen/>
        <w:t>ков Лангерганса, обусловливающая развитие тощакового гипогликемичес</w:t>
      </w:r>
      <w:r w:rsidRPr="004B0B65">
        <w:rPr>
          <w:rFonts w:ascii="Arial" w:eastAsia="Times New Roman" w:hAnsi="Arial" w:cs="Arial"/>
          <w:sz w:val="22"/>
          <w:szCs w:val="22"/>
        </w:rPr>
        <w:softHyphen/>
        <w:t>кого синдрома.</w:t>
      </w:r>
    </w:p>
    <w:p w:rsidR="00470A5D" w:rsidRPr="004B0B65" w:rsidRDefault="00470A5D" w:rsidP="00DE1F06">
      <w:pPr>
        <w:ind w:firstLine="460"/>
        <w:jc w:val="both"/>
        <w:rPr>
          <w:rFonts w:ascii="Arial" w:eastAsia="Times New Roman" w:hAnsi="Arial" w:cs="Arial"/>
          <w:sz w:val="22"/>
          <w:szCs w:val="22"/>
        </w:rPr>
      </w:pPr>
      <w:r w:rsidRPr="004B0B65">
        <w:rPr>
          <w:rFonts w:ascii="Arial" w:eastAsia="Times New Roman" w:hAnsi="Arial" w:cs="Arial"/>
          <w:sz w:val="22"/>
          <w:szCs w:val="22"/>
        </w:rPr>
        <w:t>Инсулинома — редкое заболевание, частота новых случаев составляет I на 1 млн человек в год. Наиболее часто инсулинома диагностируется в воз</w:t>
      </w:r>
      <w:r w:rsidRPr="004B0B65">
        <w:rPr>
          <w:rFonts w:ascii="Arial" w:eastAsia="Times New Roman" w:hAnsi="Arial" w:cs="Arial"/>
          <w:sz w:val="22"/>
          <w:szCs w:val="22"/>
        </w:rPr>
        <w:softHyphen/>
        <w:t>расте от 25 до 55 лет. У детей наблюдается лишь 5 % от общего числа ин</w:t>
      </w:r>
      <w:r w:rsidRPr="004B0B65">
        <w:rPr>
          <w:rFonts w:ascii="Arial" w:eastAsia="Times New Roman" w:hAnsi="Arial" w:cs="Arial"/>
          <w:sz w:val="22"/>
          <w:szCs w:val="22"/>
        </w:rPr>
        <w:softHyphen/>
        <w:t>сулином. В 85—90 % случаев инсулиномы доброкачественны. Озлокачест- вление прямо связано с размерами опухоли. Согласно классификации Ка</w:t>
      </w:r>
      <w:r w:rsidRPr="004B0B65">
        <w:rPr>
          <w:rFonts w:ascii="Arial" w:eastAsia="Times New Roman" w:hAnsi="Arial" w:cs="Arial"/>
          <w:sz w:val="22"/>
          <w:szCs w:val="22"/>
        </w:rPr>
        <w:softHyphen/>
        <w:t>пеллы (см. раздел 13.2), опухоли диаметром более 2—3 см, как правило, злокачественны. В литературе имеются описания инсулином размерами от 0,5 до 15 см в диаметре. Подавляющее число опухолей менее 1 см в диамет</w:t>
      </w:r>
      <w:r w:rsidRPr="004B0B65">
        <w:rPr>
          <w:rFonts w:ascii="Arial" w:eastAsia="Times New Roman" w:hAnsi="Arial" w:cs="Arial"/>
          <w:sz w:val="22"/>
          <w:szCs w:val="22"/>
        </w:rPr>
        <w:softHyphen/>
        <w:t>ре и с одинаковой частотой встречается в головке, теле и хвосте ПЖЖ. В 10—15 % случаев опухоли множественные и крайне редко (1 %) располо</w:t>
      </w:r>
      <w:r w:rsidRPr="004B0B65">
        <w:rPr>
          <w:rFonts w:ascii="Arial" w:eastAsia="Times New Roman" w:hAnsi="Arial" w:cs="Arial"/>
          <w:sz w:val="22"/>
          <w:szCs w:val="22"/>
        </w:rPr>
        <w:softHyphen/>
        <w:t>жены эктопически (ворота селезенки, печень, стенка двенадцатиперстной кишки). Морфологически различить доброкачественную и злокачественную инсулиному трудно: относительными критериями являются размеры опухо</w:t>
      </w:r>
      <w:r w:rsidRPr="004B0B65">
        <w:rPr>
          <w:rFonts w:ascii="Arial" w:eastAsia="Times New Roman" w:hAnsi="Arial" w:cs="Arial"/>
          <w:sz w:val="22"/>
          <w:szCs w:val="22"/>
        </w:rPr>
        <w:softHyphen/>
        <w:t>ли и наличие сосудистой инвазии, абсолютным — наличие метастазов.</w:t>
      </w:r>
    </w:p>
    <w:p w:rsidR="00470A5D" w:rsidRPr="004B0B65" w:rsidRDefault="00470A5D" w:rsidP="00DE1F06">
      <w:pPr>
        <w:ind w:firstLine="460"/>
        <w:jc w:val="both"/>
        <w:rPr>
          <w:rFonts w:ascii="Arial" w:eastAsia="Times New Roman" w:hAnsi="Arial" w:cs="Arial"/>
          <w:sz w:val="22"/>
          <w:szCs w:val="22"/>
        </w:rPr>
      </w:pPr>
      <w:r w:rsidRPr="004B0B65">
        <w:rPr>
          <w:rFonts w:ascii="Arial" w:eastAsia="Times New Roman" w:hAnsi="Arial" w:cs="Arial"/>
          <w:sz w:val="22"/>
          <w:szCs w:val="22"/>
        </w:rPr>
        <w:t xml:space="preserve">Патогенез. Ультраструктурно в инсулиноме различают несколько типов опухолевых [3-клеток </w:t>
      </w:r>
      <w:r w:rsidRPr="004B0B65">
        <w:rPr>
          <w:rFonts w:ascii="Arial" w:eastAsia="Times New Roman" w:hAnsi="Arial" w:cs="Arial"/>
          <w:sz w:val="22"/>
          <w:szCs w:val="22"/>
          <w:lang w:eastAsia="en-US" w:bidi="en-US"/>
        </w:rPr>
        <w:t>{</w:t>
      </w:r>
      <w:r w:rsidRPr="004B0B65">
        <w:rPr>
          <w:rFonts w:ascii="Arial" w:eastAsia="Times New Roman" w:hAnsi="Arial" w:cs="Arial"/>
          <w:sz w:val="22"/>
          <w:szCs w:val="22"/>
          <w:lang w:val="en-US" w:eastAsia="en-US" w:bidi="en-US"/>
        </w:rPr>
        <w:t>Creutzfeld</w:t>
      </w:r>
      <w:r w:rsidRPr="004B0B65">
        <w:rPr>
          <w:rFonts w:ascii="Arial" w:eastAsia="Times New Roman" w:hAnsi="Arial" w:cs="Arial"/>
          <w:sz w:val="22"/>
          <w:szCs w:val="22"/>
          <w:lang w:eastAsia="en-US" w:bidi="en-US"/>
        </w:rPr>
        <w:t xml:space="preserve"> </w:t>
      </w:r>
      <w:r w:rsidRPr="004B0B65">
        <w:rPr>
          <w:rFonts w:ascii="Arial" w:eastAsia="Times New Roman" w:hAnsi="Arial" w:cs="Arial"/>
          <w:sz w:val="22"/>
          <w:szCs w:val="22"/>
          <w:lang w:val="en-US" w:eastAsia="en-US" w:bidi="en-US"/>
        </w:rPr>
        <w:t>W</w:t>
      </w:r>
      <w:r w:rsidRPr="004B0B65">
        <w:rPr>
          <w:rFonts w:ascii="Arial" w:eastAsia="Times New Roman" w:hAnsi="Arial" w:cs="Arial"/>
          <w:sz w:val="22"/>
          <w:szCs w:val="22"/>
          <w:lang w:eastAsia="en-US" w:bidi="en-US"/>
        </w:rPr>
        <w:t xml:space="preserve">., </w:t>
      </w:r>
      <w:r w:rsidRPr="004B0B65">
        <w:rPr>
          <w:rFonts w:ascii="Arial" w:eastAsia="Times New Roman" w:hAnsi="Arial" w:cs="Arial"/>
          <w:sz w:val="22"/>
          <w:szCs w:val="22"/>
        </w:rPr>
        <w:t>1985]:</w:t>
      </w:r>
    </w:p>
    <w:p w:rsidR="00470A5D" w:rsidRPr="004B0B65" w:rsidRDefault="00470A5D" w:rsidP="00DE1F06">
      <w:pPr>
        <w:ind w:firstLine="620"/>
        <w:jc w:val="both"/>
        <w:rPr>
          <w:rFonts w:ascii="Arial" w:eastAsia="Times New Roman" w:hAnsi="Arial" w:cs="Arial"/>
          <w:sz w:val="22"/>
          <w:szCs w:val="22"/>
        </w:rPr>
      </w:pPr>
      <w:r w:rsidRPr="004B0B65">
        <w:rPr>
          <w:rFonts w:ascii="Arial" w:eastAsia="Times New Roman" w:hAnsi="Arial" w:cs="Arial"/>
          <w:sz w:val="22"/>
          <w:szCs w:val="22"/>
        </w:rPr>
        <w:t>I тип — с типичными гранулами р-клеток,</w:t>
      </w:r>
    </w:p>
    <w:p w:rsidR="00470A5D" w:rsidRPr="004B0B65" w:rsidRDefault="00470A5D" w:rsidP="00DE1F06">
      <w:pPr>
        <w:ind w:firstLine="520"/>
        <w:jc w:val="both"/>
        <w:rPr>
          <w:rFonts w:ascii="Arial" w:eastAsia="Times New Roman" w:hAnsi="Arial" w:cs="Arial"/>
          <w:sz w:val="22"/>
          <w:szCs w:val="22"/>
        </w:rPr>
      </w:pPr>
      <w:r w:rsidRPr="004B0B65">
        <w:rPr>
          <w:rFonts w:ascii="Arial" w:eastAsia="Times New Roman" w:hAnsi="Arial" w:cs="Arial"/>
          <w:sz w:val="22"/>
          <w:szCs w:val="22"/>
        </w:rPr>
        <w:t>II тип — с типичными и атипичными гранулами,</w:t>
      </w:r>
    </w:p>
    <w:p w:rsidR="00470A5D" w:rsidRPr="004B0B65" w:rsidRDefault="00470A5D" w:rsidP="00DE1F06">
      <w:pPr>
        <w:ind w:firstLine="460"/>
        <w:jc w:val="both"/>
        <w:rPr>
          <w:rFonts w:ascii="Arial" w:eastAsia="Times New Roman" w:hAnsi="Arial" w:cs="Arial"/>
          <w:sz w:val="22"/>
          <w:szCs w:val="22"/>
        </w:rPr>
      </w:pPr>
      <w:r w:rsidRPr="004B0B65">
        <w:rPr>
          <w:rFonts w:ascii="Arial" w:eastAsia="Times New Roman" w:hAnsi="Arial" w:cs="Arial"/>
          <w:sz w:val="22"/>
          <w:szCs w:val="22"/>
        </w:rPr>
        <w:t>III тип — с атипичными гранулами,</w:t>
      </w:r>
    </w:p>
    <w:p w:rsidR="00470A5D" w:rsidRPr="004B0B65" w:rsidRDefault="00470A5D" w:rsidP="00DE1F06">
      <w:pPr>
        <w:ind w:firstLine="460"/>
        <w:jc w:val="both"/>
        <w:rPr>
          <w:rFonts w:ascii="Arial" w:eastAsia="Times New Roman" w:hAnsi="Arial" w:cs="Arial"/>
          <w:sz w:val="22"/>
          <w:szCs w:val="22"/>
        </w:rPr>
      </w:pPr>
      <w:r w:rsidRPr="004B0B65">
        <w:rPr>
          <w:rFonts w:ascii="Arial" w:eastAsia="Times New Roman" w:hAnsi="Arial" w:cs="Arial"/>
          <w:sz w:val="22"/>
          <w:szCs w:val="22"/>
        </w:rPr>
        <w:t>IV тип — агранулоцитарные инсулинпродуцирующие клетки.</w:t>
      </w:r>
    </w:p>
    <w:p w:rsidR="00470A5D" w:rsidRPr="004B0B65" w:rsidRDefault="00470A5D" w:rsidP="00DE1F06">
      <w:pPr>
        <w:ind w:firstLine="460"/>
        <w:jc w:val="both"/>
        <w:rPr>
          <w:rFonts w:ascii="Arial" w:eastAsia="Times New Roman" w:hAnsi="Arial" w:cs="Arial"/>
          <w:sz w:val="22"/>
          <w:szCs w:val="22"/>
        </w:rPr>
      </w:pPr>
      <w:r w:rsidRPr="004B0B65">
        <w:rPr>
          <w:rFonts w:ascii="Arial" w:eastAsia="Times New Roman" w:hAnsi="Arial" w:cs="Arial"/>
          <w:sz w:val="22"/>
          <w:szCs w:val="22"/>
        </w:rPr>
        <w:t>В опухолевой р-клетке всегда содержится меньше инсулина, чем в нор- мальной. Его содержание в опухолевых клетках уменьшается от I до IV типа, и соответственно увеличивается содержание предшественников инсу</w:t>
      </w:r>
      <w:r w:rsidRPr="004B0B65">
        <w:rPr>
          <w:rFonts w:ascii="Arial" w:eastAsia="Times New Roman" w:hAnsi="Arial" w:cs="Arial"/>
          <w:sz w:val="22"/>
          <w:szCs w:val="22"/>
        </w:rPr>
        <w:softHyphen/>
        <w:t>лина (проинсулин, препроинсулин). Было показано, что в качестве симпто</w:t>
      </w:r>
      <w:r w:rsidRPr="004B0B65">
        <w:rPr>
          <w:rFonts w:ascii="Arial" w:eastAsia="Times New Roman" w:hAnsi="Arial" w:cs="Arial"/>
          <w:sz w:val="22"/>
          <w:szCs w:val="22"/>
        </w:rPr>
        <w:softHyphen/>
        <w:t>матической терапии диазоксид оказывается эффективным только при ин</w:t>
      </w:r>
      <w:r w:rsidRPr="004B0B65">
        <w:rPr>
          <w:rFonts w:ascii="Arial" w:eastAsia="Times New Roman" w:hAnsi="Arial" w:cs="Arial"/>
          <w:sz w:val="22"/>
          <w:szCs w:val="22"/>
        </w:rPr>
        <w:softHyphen/>
        <w:t xml:space="preserve">сулиномах с гранулами I типа, поскольку механизм его </w:t>
      </w:r>
      <w:r w:rsidRPr="004B0B65">
        <w:rPr>
          <w:rFonts w:ascii="Arial" w:eastAsia="Times New Roman" w:hAnsi="Arial" w:cs="Arial"/>
          <w:sz w:val="22"/>
          <w:szCs w:val="22"/>
        </w:rPr>
        <w:lastRenderedPageBreak/>
        <w:t>действия подразу</w:t>
      </w:r>
      <w:r w:rsidRPr="004B0B65">
        <w:rPr>
          <w:rFonts w:ascii="Arial" w:eastAsia="Times New Roman" w:hAnsi="Arial" w:cs="Arial"/>
          <w:sz w:val="22"/>
          <w:szCs w:val="22"/>
        </w:rPr>
        <w:softHyphen/>
        <w:t>мевает воздействие на нормальную гранулу. Таким образом, патогенез ги</w:t>
      </w:r>
      <w:r w:rsidRPr="004B0B65">
        <w:rPr>
          <w:rFonts w:ascii="Arial" w:eastAsia="Times New Roman" w:hAnsi="Arial" w:cs="Arial"/>
          <w:sz w:val="22"/>
          <w:szCs w:val="22"/>
        </w:rPr>
        <w:softHyphen/>
        <w:t>погликемического синдрома при инсулиноме определяется не только авто</w:t>
      </w:r>
      <w:r w:rsidRPr="004B0B65">
        <w:rPr>
          <w:rFonts w:ascii="Arial" w:eastAsia="Times New Roman" w:hAnsi="Arial" w:cs="Arial"/>
          <w:sz w:val="22"/>
          <w:szCs w:val="22"/>
        </w:rPr>
        <w:softHyphen/>
        <w:t>номной гиперпродукцией инсулина, но и нарушением механизма его внут</w:t>
      </w:r>
      <w:r w:rsidRPr="004B0B65">
        <w:rPr>
          <w:rFonts w:ascii="Arial" w:eastAsia="Times New Roman" w:hAnsi="Arial" w:cs="Arial"/>
          <w:sz w:val="22"/>
          <w:szCs w:val="22"/>
        </w:rPr>
        <w:softHyphen/>
        <w:t>риклеточного запасания.</w:t>
      </w:r>
    </w:p>
    <w:p w:rsidR="00470A5D" w:rsidRPr="004B0B65" w:rsidRDefault="00470A5D" w:rsidP="00DE1F06">
      <w:pPr>
        <w:ind w:firstLine="460"/>
        <w:jc w:val="both"/>
        <w:rPr>
          <w:rFonts w:ascii="Arial" w:eastAsia="Times New Roman" w:hAnsi="Arial" w:cs="Arial"/>
          <w:sz w:val="22"/>
          <w:szCs w:val="22"/>
        </w:rPr>
      </w:pPr>
      <w:r w:rsidRPr="004B0B65">
        <w:rPr>
          <w:rFonts w:ascii="Arial" w:eastAsia="Times New Roman" w:hAnsi="Arial" w:cs="Arial"/>
          <w:sz w:val="22"/>
          <w:szCs w:val="22"/>
        </w:rPr>
        <w:t>Клиническая картина. Клинически для гипогликемического синдрома вообще (см. также главу 10) и для инсулиномы в частности ха</w:t>
      </w:r>
      <w:r w:rsidRPr="004B0B65">
        <w:rPr>
          <w:rFonts w:ascii="Arial" w:eastAsia="Times New Roman" w:hAnsi="Arial" w:cs="Arial"/>
          <w:sz w:val="22"/>
          <w:szCs w:val="22"/>
        </w:rPr>
        <w:softHyphen/>
        <w:t>рактерны две группы симптомов: адренергические (дрожь, тахикардия, хо</w:t>
      </w:r>
      <w:r w:rsidRPr="004B0B65">
        <w:rPr>
          <w:rFonts w:ascii="Arial" w:eastAsia="Times New Roman" w:hAnsi="Arial" w:cs="Arial"/>
          <w:sz w:val="22"/>
          <w:szCs w:val="22"/>
        </w:rPr>
        <w:softHyphen/>
        <w:t>лодный пот, голод, страх, парестезии), являющиеся результатом компенса</w:t>
      </w:r>
      <w:r w:rsidRPr="004B0B65">
        <w:rPr>
          <w:rFonts w:ascii="Arial" w:eastAsia="Times New Roman" w:hAnsi="Arial" w:cs="Arial"/>
          <w:sz w:val="22"/>
          <w:szCs w:val="22"/>
        </w:rPr>
        <w:softHyphen/>
        <w:t>торной активации симпатического отдела вегетативной нервной системы, и нейрогликопенические (астения, речевые, зрительные, поведенческие на</w:t>
      </w:r>
      <w:r w:rsidRPr="004B0B65">
        <w:rPr>
          <w:rFonts w:ascii="Arial" w:eastAsia="Times New Roman" w:hAnsi="Arial" w:cs="Arial"/>
          <w:sz w:val="22"/>
          <w:szCs w:val="22"/>
        </w:rPr>
        <w:softHyphen/>
        <w:t>рушения, амнезия, снижение концентрации внимания, головная боль, со- мноленция, судороги, параличи, кома), являющиеся результатом дисфунк</w:t>
      </w:r>
      <w:r w:rsidRPr="004B0B65">
        <w:rPr>
          <w:rFonts w:ascii="Arial" w:eastAsia="Times New Roman" w:hAnsi="Arial" w:cs="Arial"/>
          <w:sz w:val="22"/>
          <w:szCs w:val="22"/>
        </w:rPr>
        <w:softHyphen/>
        <w:t>ции ЦНС при недостаточном поступлении ее основного энергетического субстрата. Набор и выраженность перечисленных симптомов в отдельно взятых случаях значительно варьируют. Это могут быть только адренерги</w:t>
      </w:r>
      <w:r w:rsidRPr="004B0B65">
        <w:rPr>
          <w:rFonts w:ascii="Arial" w:eastAsia="Times New Roman" w:hAnsi="Arial" w:cs="Arial"/>
          <w:sz w:val="22"/>
          <w:szCs w:val="22"/>
        </w:rPr>
        <w:softHyphen/>
        <w:t>ческие или только нейрогликопенические симптомы, причем четкая зави</w:t>
      </w:r>
      <w:r w:rsidRPr="004B0B65">
        <w:rPr>
          <w:rFonts w:ascii="Arial" w:eastAsia="Times New Roman" w:hAnsi="Arial" w:cs="Arial"/>
          <w:sz w:val="22"/>
          <w:szCs w:val="22"/>
        </w:rPr>
        <w:softHyphen/>
        <w:t>симость их выраженности и последовательности развития по мере утяжеле</w:t>
      </w:r>
      <w:r w:rsidRPr="004B0B65">
        <w:rPr>
          <w:rFonts w:ascii="Arial" w:eastAsia="Times New Roman" w:hAnsi="Arial" w:cs="Arial"/>
          <w:sz w:val="22"/>
          <w:szCs w:val="22"/>
        </w:rPr>
        <w:softHyphen/>
        <w:t>ния гипогликемии есть не всегда. Быстрое и значительное падение уровня гликемии сопровождается гипогликемическим шоком, который характери</w:t>
      </w:r>
      <w:r w:rsidRPr="004B0B65">
        <w:rPr>
          <w:rFonts w:ascii="Arial" w:eastAsia="Times New Roman" w:hAnsi="Arial" w:cs="Arial"/>
          <w:sz w:val="22"/>
          <w:szCs w:val="22"/>
        </w:rPr>
        <w:softHyphen/>
        <w:t>зуется выраженной адренергической симптоматикой и прогрессирующим нарушением сознания. Длительная гипогликемия и/или ее частые эпизоды</w:t>
      </w:r>
      <w:r w:rsidR="00DE1F06">
        <w:rPr>
          <w:rFonts w:ascii="Arial" w:eastAsia="Times New Roman" w:hAnsi="Arial" w:cs="Arial"/>
          <w:sz w:val="22"/>
          <w:szCs w:val="22"/>
        </w:rPr>
        <w:t xml:space="preserve"> </w:t>
      </w:r>
      <w:r w:rsidRPr="004B0B65">
        <w:rPr>
          <w:rFonts w:ascii="Arial" w:eastAsia="Times New Roman" w:hAnsi="Arial" w:cs="Arial"/>
          <w:sz w:val="22"/>
          <w:szCs w:val="22"/>
        </w:rPr>
        <w:t>приводят к необратимым изменениям в ЦНС, прежде всего в коре больших полушарий, проявления которых значительно варьируют от делириозных и галлюцинаторно-параноидных эпизодов, до часто описываемых типичных эпилептических припадков, неизбежным исходом которых является стой</w:t>
      </w:r>
      <w:r w:rsidRPr="004B0B65">
        <w:rPr>
          <w:rFonts w:ascii="Arial" w:eastAsia="Times New Roman" w:hAnsi="Arial" w:cs="Arial"/>
          <w:sz w:val="22"/>
          <w:szCs w:val="22"/>
        </w:rPr>
        <w:softHyphen/>
        <w:t>кое слабоумие. Ни один из перечисленных симптомов или их сочетаний не являются специфичными для гипогликемического синдрома. Выражен</w:t>
      </w:r>
      <w:r w:rsidRPr="004B0B65">
        <w:rPr>
          <w:rFonts w:ascii="Arial" w:eastAsia="Times New Roman" w:hAnsi="Arial" w:cs="Arial"/>
          <w:sz w:val="22"/>
          <w:szCs w:val="22"/>
        </w:rPr>
        <w:softHyphen/>
        <w:t>ность клинической картины у каждого больного является отражением его индивидуальной чувствительности к инсулину и недостатку глюкозы в крови.</w:t>
      </w:r>
    </w:p>
    <w:p w:rsidR="00470A5D" w:rsidRPr="004B0B65" w:rsidRDefault="00470A5D"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Выделяют несколько вариантов клинического течения инсулиномы. При первом отмечается острое галопирующее начало болезни при типич</w:t>
      </w:r>
      <w:r w:rsidRPr="004B0B65">
        <w:rPr>
          <w:rFonts w:ascii="Arial" w:eastAsia="Times New Roman" w:hAnsi="Arial" w:cs="Arial"/>
          <w:sz w:val="22"/>
          <w:szCs w:val="22"/>
        </w:rPr>
        <w:softHyphen/>
        <w:t>ной клинической картине гипогликемического синдрома с частыми и все усиливающимися приступами. Интенсивные и быстро наступающие при этом поражения нервной системы через 6—12 мес могут принять необрати</w:t>
      </w:r>
      <w:r w:rsidRPr="004B0B65">
        <w:rPr>
          <w:rFonts w:ascii="Arial" w:eastAsia="Times New Roman" w:hAnsi="Arial" w:cs="Arial"/>
          <w:sz w:val="22"/>
          <w:szCs w:val="22"/>
        </w:rPr>
        <w:softHyphen/>
        <w:t>мый характер. Второй тип клинического течения инсулиномы характеризу</w:t>
      </w:r>
      <w:r w:rsidRPr="004B0B65">
        <w:rPr>
          <w:rFonts w:ascii="Arial" w:eastAsia="Times New Roman" w:hAnsi="Arial" w:cs="Arial"/>
          <w:sz w:val="22"/>
          <w:szCs w:val="22"/>
        </w:rPr>
        <w:softHyphen/>
        <w:t>ется внезапным клинически выраженным приступом гипогликемии, после которого длительное время (до 1 года и более) отмечается латентный пери</w:t>
      </w:r>
      <w:r w:rsidRPr="004B0B65">
        <w:rPr>
          <w:rFonts w:ascii="Arial" w:eastAsia="Times New Roman" w:hAnsi="Arial" w:cs="Arial"/>
          <w:sz w:val="22"/>
          <w:szCs w:val="22"/>
        </w:rPr>
        <w:softHyphen/>
        <w:t>од. В последующем гипогликемические приступы учащаются. Третий тип течения характеризуется продолжительным периодом предвестников забо</w:t>
      </w:r>
      <w:r w:rsidRPr="004B0B65">
        <w:rPr>
          <w:rFonts w:ascii="Arial" w:eastAsia="Times New Roman" w:hAnsi="Arial" w:cs="Arial"/>
          <w:sz w:val="22"/>
          <w:szCs w:val="22"/>
        </w:rPr>
        <w:softHyphen/>
        <w:t>левания (жалобы на легкую утомляемость, головокружения, головные боли), которые заканчиваются типичным приступом гипогликемии.</w:t>
      </w:r>
    </w:p>
    <w:p w:rsidR="00470A5D" w:rsidRPr="004B0B65" w:rsidRDefault="00470A5D"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Все симптомы, возникающие при инсулиноме, можно подразделить на симптомы латентного периода и периода выраженной гипогликемии. Кли</w:t>
      </w:r>
      <w:r w:rsidRPr="004B0B65">
        <w:rPr>
          <w:rFonts w:ascii="Arial" w:eastAsia="Times New Roman" w:hAnsi="Arial" w:cs="Arial"/>
          <w:sz w:val="22"/>
          <w:szCs w:val="22"/>
        </w:rPr>
        <w:softHyphen/>
        <w:t>ническая картина гипогликемического состояния в большинстве случаев сводится к психическим расстройствам. Чаще всего приступы развиваются в ранние утренние часы, что связано с длительным перерывом в приеме пищи. Обычно больные просыпаются утром с трудом. Сознание к ним воз</w:t>
      </w:r>
      <w:r w:rsidRPr="004B0B65">
        <w:rPr>
          <w:rFonts w:ascii="Arial" w:eastAsia="Times New Roman" w:hAnsi="Arial" w:cs="Arial"/>
          <w:sz w:val="22"/>
          <w:szCs w:val="22"/>
        </w:rPr>
        <w:softHyphen/>
        <w:t>вращается медленно, длительное время они остаются дезориентированы, суетливы, действуют, «как во сне», односложно или невпопад отвечают на вопросы. Эпилептиформные припадки, возникающие у этих больных, от</w:t>
      </w:r>
      <w:r w:rsidRPr="004B0B65">
        <w:rPr>
          <w:rFonts w:ascii="Arial" w:eastAsia="Times New Roman" w:hAnsi="Arial" w:cs="Arial"/>
          <w:sz w:val="22"/>
          <w:szCs w:val="22"/>
        </w:rPr>
        <w:softHyphen/>
        <w:t>личаются от истинных большей продолжительностью, хореиформными су</w:t>
      </w:r>
      <w:r w:rsidRPr="004B0B65">
        <w:rPr>
          <w:rFonts w:ascii="Arial" w:eastAsia="Times New Roman" w:hAnsi="Arial" w:cs="Arial"/>
          <w:sz w:val="22"/>
          <w:szCs w:val="22"/>
        </w:rPr>
        <w:softHyphen/>
        <w:t>дорожными подергиваниями, гиперкинезами. Несмотря на длительное те</w:t>
      </w:r>
      <w:r w:rsidRPr="004B0B65">
        <w:rPr>
          <w:rFonts w:ascii="Arial" w:eastAsia="Times New Roman" w:hAnsi="Arial" w:cs="Arial"/>
          <w:sz w:val="22"/>
          <w:szCs w:val="22"/>
        </w:rPr>
        <w:softHyphen/>
        <w:t>чение заболевания, при инсулиноме у больных не наступает характерологи</w:t>
      </w:r>
      <w:r w:rsidRPr="004B0B65">
        <w:rPr>
          <w:rFonts w:ascii="Arial" w:eastAsia="Times New Roman" w:hAnsi="Arial" w:cs="Arial"/>
          <w:sz w:val="22"/>
          <w:szCs w:val="22"/>
        </w:rPr>
        <w:softHyphen/>
        <w:t>ческих изменений личности, типичных для больных эпилепсией. Иногда гипогликемические состояния проявляются приступами психомоторного возбуждения: одни больные мечутся, что-то выкрикивая, кому-то угрожая, с выражением страха и испуга на лице, другие поют и танцуют, производя впечатление опьяневших. Приступ чаще всего заканчивается глубоким рас</w:t>
      </w:r>
      <w:r w:rsidRPr="004B0B65">
        <w:rPr>
          <w:rFonts w:ascii="Arial" w:eastAsia="Times New Roman" w:hAnsi="Arial" w:cs="Arial"/>
          <w:sz w:val="22"/>
          <w:szCs w:val="22"/>
        </w:rPr>
        <w:softHyphen/>
        <w:t>стройством сознания, который купируется внутривенным вливанием рас</w:t>
      </w:r>
      <w:r w:rsidRPr="004B0B65">
        <w:rPr>
          <w:rFonts w:ascii="Arial" w:eastAsia="Times New Roman" w:hAnsi="Arial" w:cs="Arial"/>
          <w:sz w:val="22"/>
          <w:szCs w:val="22"/>
        </w:rPr>
        <w:softHyphen/>
        <w:t>твора глюкозы. Несмотря на огромное разнообразие клинических проявле</w:t>
      </w:r>
      <w:r w:rsidRPr="004B0B65">
        <w:rPr>
          <w:rFonts w:ascii="Arial" w:eastAsia="Times New Roman" w:hAnsi="Arial" w:cs="Arial"/>
          <w:sz w:val="22"/>
          <w:szCs w:val="22"/>
        </w:rPr>
        <w:softHyphen/>
        <w:t>ний гипогликемического состояния, все же удается выделить основной симптом — нарастание сонливости на протяжении всего приступа.</w:t>
      </w:r>
    </w:p>
    <w:p w:rsidR="00470A5D" w:rsidRPr="004B0B65" w:rsidRDefault="00470A5D" w:rsidP="00DE1F06">
      <w:pPr>
        <w:ind w:firstLine="420"/>
        <w:jc w:val="both"/>
        <w:rPr>
          <w:rFonts w:ascii="Arial" w:eastAsia="Times New Roman" w:hAnsi="Arial" w:cs="Arial"/>
          <w:sz w:val="22"/>
          <w:szCs w:val="22"/>
        </w:rPr>
      </w:pPr>
      <w:r w:rsidRPr="004B0B65">
        <w:rPr>
          <w:rFonts w:ascii="Arial" w:eastAsia="Times New Roman" w:hAnsi="Arial" w:cs="Arial"/>
          <w:sz w:val="22"/>
          <w:szCs w:val="22"/>
        </w:rPr>
        <w:lastRenderedPageBreak/>
        <w:t>Симптомы межприступного периода обусловлены нарушением функ</w:t>
      </w:r>
      <w:r w:rsidRPr="004B0B65">
        <w:rPr>
          <w:rFonts w:ascii="Arial" w:eastAsia="Times New Roman" w:hAnsi="Arial" w:cs="Arial"/>
          <w:sz w:val="22"/>
          <w:szCs w:val="22"/>
        </w:rPr>
        <w:softHyphen/>
        <w:t>ции центральной и вегетативной нервной системы в связи с хронической гипогликемией. Отмечаются признаки недостаточности VII и IX пар череп</w:t>
      </w:r>
      <w:r w:rsidRPr="004B0B65">
        <w:rPr>
          <w:rFonts w:ascii="Arial" w:eastAsia="Times New Roman" w:hAnsi="Arial" w:cs="Arial"/>
          <w:sz w:val="22"/>
          <w:szCs w:val="22"/>
        </w:rPr>
        <w:softHyphen/>
        <w:t>ных нервов по центральному типу, асимметрия сухожильных и периосталь</w:t>
      </w:r>
      <w:r w:rsidRPr="004B0B65">
        <w:rPr>
          <w:rFonts w:ascii="Arial" w:eastAsia="Times New Roman" w:hAnsi="Arial" w:cs="Arial"/>
          <w:sz w:val="22"/>
          <w:szCs w:val="22"/>
        </w:rPr>
        <w:softHyphen/>
        <w:t>ных рефлексов. Иногда появляются патологические рефлексы Бабинского, Россолимо. У некоторых больных имеются симптомы пирамидной недоста</w:t>
      </w:r>
      <w:r w:rsidRPr="004B0B65">
        <w:rPr>
          <w:rFonts w:ascii="Arial" w:eastAsia="Times New Roman" w:hAnsi="Arial" w:cs="Arial"/>
          <w:sz w:val="22"/>
          <w:szCs w:val="22"/>
        </w:rPr>
        <w:softHyphen/>
        <w:t>точности без патологических рефлексов. Нарушения высшей нервной дея</w:t>
      </w:r>
      <w:r w:rsidRPr="004B0B65">
        <w:rPr>
          <w:rFonts w:ascii="Arial" w:eastAsia="Times New Roman" w:hAnsi="Arial" w:cs="Arial"/>
          <w:sz w:val="22"/>
          <w:szCs w:val="22"/>
        </w:rPr>
        <w:softHyphen/>
        <w:t>тельности в межприступном периоде выражаются в снижении памяти и ин</w:t>
      </w:r>
      <w:r w:rsidRPr="004B0B65">
        <w:rPr>
          <w:rFonts w:ascii="Arial" w:eastAsia="Times New Roman" w:hAnsi="Arial" w:cs="Arial"/>
          <w:sz w:val="22"/>
          <w:szCs w:val="22"/>
        </w:rPr>
        <w:softHyphen/>
        <w:t>теллекта, безразличии к окружающему, потере профессиональных навыков.</w:t>
      </w:r>
    </w:p>
    <w:p w:rsidR="00470A5D" w:rsidRPr="004B0B65" w:rsidRDefault="00470A5D"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Распространенное представление о повышенном аппетите у больных с инсулиномой не всегда соответствует действительности. Обычно сами 572</w:t>
      </w:r>
    </w:p>
    <w:p w:rsidR="00470A5D" w:rsidRPr="004B0B65" w:rsidRDefault="00470A5D" w:rsidP="00DE1F06">
      <w:pPr>
        <w:jc w:val="both"/>
        <w:rPr>
          <w:rFonts w:ascii="Arial" w:eastAsia="Times New Roman" w:hAnsi="Arial" w:cs="Arial"/>
          <w:sz w:val="22"/>
          <w:szCs w:val="22"/>
        </w:rPr>
      </w:pPr>
      <w:r w:rsidRPr="004B0B65">
        <w:rPr>
          <w:rFonts w:ascii="Arial" w:eastAsia="Times New Roman" w:hAnsi="Arial" w:cs="Arial"/>
          <w:sz w:val="22"/>
          <w:szCs w:val="22"/>
        </w:rPr>
        <w:t>больные обнаруживают быстрый и выраженный эффект от приема пищи для предупреждения или купирования едва начавшегося приступа. Поэтому больные носят с собой мучное или сласти в качестве «лекарства», хотя осо</w:t>
      </w:r>
      <w:r w:rsidRPr="004B0B65">
        <w:rPr>
          <w:rFonts w:ascii="Arial" w:eastAsia="Times New Roman" w:hAnsi="Arial" w:cs="Arial"/>
          <w:sz w:val="22"/>
          <w:szCs w:val="22"/>
        </w:rPr>
        <w:softHyphen/>
        <w:t>бой потребности в пище не ощущают. У большинства пациентов с инсули</w:t>
      </w:r>
      <w:r w:rsidRPr="004B0B65">
        <w:rPr>
          <w:rFonts w:ascii="Arial" w:eastAsia="Times New Roman" w:hAnsi="Arial" w:cs="Arial"/>
          <w:sz w:val="22"/>
          <w:szCs w:val="22"/>
        </w:rPr>
        <w:softHyphen/>
        <w:t>номой за время заболевания прибавляется масса тела, и нередко значитель</w:t>
      </w:r>
      <w:r w:rsidRPr="004B0B65">
        <w:rPr>
          <w:rFonts w:ascii="Arial" w:eastAsia="Times New Roman" w:hAnsi="Arial" w:cs="Arial"/>
          <w:sz w:val="22"/>
          <w:szCs w:val="22"/>
        </w:rPr>
        <w:softHyphen/>
        <w:t>но (до 15—40 кг).</w:t>
      </w:r>
    </w:p>
    <w:p w:rsidR="00470A5D" w:rsidRPr="004B0B65" w:rsidRDefault="00470A5D" w:rsidP="00DE1F06">
      <w:pPr>
        <w:ind w:firstLine="400"/>
        <w:jc w:val="both"/>
        <w:rPr>
          <w:rFonts w:ascii="Arial" w:eastAsia="Times New Roman" w:hAnsi="Arial" w:cs="Arial"/>
          <w:sz w:val="22"/>
          <w:szCs w:val="22"/>
        </w:rPr>
      </w:pPr>
      <w:r w:rsidRPr="004B0B65">
        <w:rPr>
          <w:rFonts w:ascii="Arial" w:eastAsia="Times New Roman" w:hAnsi="Arial" w:cs="Arial"/>
          <w:sz w:val="22"/>
          <w:szCs w:val="22"/>
        </w:rPr>
        <w:t>Дополнительными симптомами, более характерными для злокачествен</w:t>
      </w:r>
      <w:r w:rsidRPr="004B0B65">
        <w:rPr>
          <w:rFonts w:ascii="Arial" w:eastAsia="Times New Roman" w:hAnsi="Arial" w:cs="Arial"/>
          <w:sz w:val="22"/>
          <w:szCs w:val="22"/>
        </w:rPr>
        <w:softHyphen/>
        <w:t>ных инсулином (островково-клеточных карцином), являются похудание, диарея, боли в животе, парезы.</w:t>
      </w:r>
    </w:p>
    <w:p w:rsidR="00470A5D" w:rsidRPr="004B0B65" w:rsidRDefault="00470A5D" w:rsidP="00DE1F06">
      <w:pPr>
        <w:ind w:firstLine="400"/>
        <w:jc w:val="both"/>
        <w:rPr>
          <w:rFonts w:ascii="Arial" w:eastAsia="Times New Roman" w:hAnsi="Arial" w:cs="Arial"/>
          <w:sz w:val="22"/>
          <w:szCs w:val="22"/>
        </w:rPr>
      </w:pPr>
      <w:r w:rsidRPr="004B0B65">
        <w:rPr>
          <w:rFonts w:ascii="Arial" w:eastAsia="Times New Roman" w:hAnsi="Arial" w:cs="Arial"/>
          <w:sz w:val="22"/>
          <w:szCs w:val="22"/>
        </w:rPr>
        <w:t>Клинические проявления органического гиперинсулинизма очень ин</w:t>
      </w:r>
      <w:r w:rsidRPr="004B0B65">
        <w:rPr>
          <w:rFonts w:ascii="Arial" w:eastAsia="Times New Roman" w:hAnsi="Arial" w:cs="Arial"/>
          <w:sz w:val="22"/>
          <w:szCs w:val="22"/>
        </w:rPr>
        <w:softHyphen/>
        <w:t>дивидуальны, и в 70 % случаев полный набор классических симптомов то- щакового гипогликемического синдрома отсутствует. В результате проме</w:t>
      </w:r>
      <w:r w:rsidRPr="004B0B65">
        <w:rPr>
          <w:rFonts w:ascii="Arial" w:eastAsia="Times New Roman" w:hAnsi="Arial" w:cs="Arial"/>
          <w:sz w:val="22"/>
          <w:szCs w:val="22"/>
        </w:rPr>
        <w:softHyphen/>
        <w:t>жуток времени от клинической манифестации до постановки диагноза ко</w:t>
      </w:r>
      <w:r w:rsidRPr="004B0B65">
        <w:rPr>
          <w:rFonts w:ascii="Arial" w:eastAsia="Times New Roman" w:hAnsi="Arial" w:cs="Arial"/>
          <w:sz w:val="22"/>
          <w:szCs w:val="22"/>
        </w:rPr>
        <w:softHyphen/>
        <w:t>леблется от 1,5 до 30 лет.</w:t>
      </w:r>
    </w:p>
    <w:p w:rsidR="00470A5D" w:rsidRPr="004B0B65" w:rsidRDefault="00470A5D" w:rsidP="00DE1F06">
      <w:pPr>
        <w:ind w:firstLine="400"/>
        <w:jc w:val="both"/>
        <w:rPr>
          <w:rFonts w:ascii="Arial" w:eastAsia="Times New Roman" w:hAnsi="Arial" w:cs="Arial"/>
          <w:sz w:val="22"/>
          <w:szCs w:val="22"/>
        </w:rPr>
      </w:pPr>
      <w:r w:rsidRPr="004B0B65">
        <w:rPr>
          <w:rFonts w:ascii="Arial" w:eastAsia="Times New Roman" w:hAnsi="Arial" w:cs="Arial"/>
          <w:sz w:val="22"/>
          <w:szCs w:val="22"/>
        </w:rPr>
        <w:t>Диагностика. Физические методы исследования в диагностике инсулиномы неинформативны, но их можно использовать для исключения симптоматической гипогликемии. С их помощью могут быть выявлены различные заболевания желудочно-кишечного тракта, печени, а также вне- панкреатические новообразования, сопровождающиеся гипогликемией.</w:t>
      </w:r>
    </w:p>
    <w:p w:rsidR="00470A5D" w:rsidRPr="004B0B65" w:rsidRDefault="00470A5D" w:rsidP="00DE1F06">
      <w:pPr>
        <w:ind w:firstLine="400"/>
        <w:jc w:val="both"/>
        <w:rPr>
          <w:rFonts w:ascii="Arial" w:eastAsia="Times New Roman" w:hAnsi="Arial" w:cs="Arial"/>
          <w:sz w:val="22"/>
          <w:szCs w:val="22"/>
        </w:rPr>
      </w:pPr>
      <w:r w:rsidRPr="004B0B65">
        <w:rPr>
          <w:rFonts w:ascii="Arial" w:eastAsia="Times New Roman" w:hAnsi="Arial" w:cs="Arial"/>
          <w:sz w:val="22"/>
          <w:szCs w:val="22"/>
        </w:rPr>
        <w:t>Диагностика инсулиномы базируется на выявлении классической и па</w:t>
      </w:r>
      <w:r w:rsidRPr="004B0B65">
        <w:rPr>
          <w:rFonts w:ascii="Arial" w:eastAsia="Times New Roman" w:hAnsi="Arial" w:cs="Arial"/>
          <w:sz w:val="22"/>
          <w:szCs w:val="22"/>
        </w:rPr>
        <w:softHyphen/>
        <w:t>тогномоничной для нее триады Уиппла:</w:t>
      </w:r>
    </w:p>
    <w:p w:rsidR="00470A5D" w:rsidRPr="004B0B65" w:rsidRDefault="00470A5D" w:rsidP="00DE1F06">
      <w:pPr>
        <w:numPr>
          <w:ilvl w:val="0"/>
          <w:numId w:val="6"/>
        </w:numPr>
        <w:tabs>
          <w:tab w:val="left" w:pos="694"/>
        </w:tabs>
        <w:jc w:val="both"/>
        <w:rPr>
          <w:rFonts w:ascii="Arial" w:eastAsia="Times New Roman" w:hAnsi="Arial" w:cs="Arial"/>
          <w:sz w:val="22"/>
          <w:szCs w:val="22"/>
        </w:rPr>
      </w:pPr>
      <w:r w:rsidRPr="004B0B65">
        <w:rPr>
          <w:rFonts w:ascii="Arial" w:eastAsia="Times New Roman" w:hAnsi="Arial" w:cs="Arial"/>
          <w:sz w:val="22"/>
          <w:szCs w:val="22"/>
        </w:rPr>
        <w:t>возникновение приступов спонтанной гипогликемии натощак;</w:t>
      </w:r>
    </w:p>
    <w:p w:rsidR="00470A5D" w:rsidRPr="004B0B65" w:rsidRDefault="00470A5D" w:rsidP="00DE1F06">
      <w:pPr>
        <w:numPr>
          <w:ilvl w:val="0"/>
          <w:numId w:val="6"/>
        </w:numPr>
        <w:tabs>
          <w:tab w:val="left" w:pos="703"/>
        </w:tabs>
        <w:jc w:val="both"/>
        <w:rPr>
          <w:rFonts w:ascii="Arial" w:eastAsia="Times New Roman" w:hAnsi="Arial" w:cs="Arial"/>
          <w:sz w:val="22"/>
          <w:szCs w:val="22"/>
        </w:rPr>
      </w:pPr>
      <w:r w:rsidRPr="004B0B65">
        <w:rPr>
          <w:rFonts w:ascii="Arial" w:eastAsia="Times New Roman" w:hAnsi="Arial" w:cs="Arial"/>
          <w:sz w:val="22"/>
          <w:szCs w:val="22"/>
        </w:rPr>
        <w:t>падение уровня глюкозы в крови ниже 2,5 ммоль/л во время приступа;</w:t>
      </w:r>
    </w:p>
    <w:p w:rsidR="00470A5D" w:rsidRPr="004B0B65" w:rsidRDefault="00470A5D" w:rsidP="00DE1F06">
      <w:pPr>
        <w:numPr>
          <w:ilvl w:val="0"/>
          <w:numId w:val="6"/>
        </w:numPr>
        <w:tabs>
          <w:tab w:val="left" w:pos="706"/>
        </w:tabs>
        <w:jc w:val="both"/>
        <w:rPr>
          <w:rFonts w:ascii="Arial" w:eastAsia="Times New Roman" w:hAnsi="Arial" w:cs="Arial"/>
          <w:sz w:val="22"/>
          <w:szCs w:val="22"/>
        </w:rPr>
      </w:pPr>
      <w:r w:rsidRPr="004B0B65">
        <w:rPr>
          <w:rFonts w:ascii="Arial" w:eastAsia="Times New Roman" w:hAnsi="Arial" w:cs="Arial"/>
          <w:sz w:val="22"/>
          <w:szCs w:val="22"/>
        </w:rPr>
        <w:t>купирование приступа внутривенным введением глюкозы или при</w:t>
      </w:r>
      <w:r w:rsidRPr="004B0B65">
        <w:rPr>
          <w:rFonts w:ascii="Arial" w:eastAsia="Times New Roman" w:hAnsi="Arial" w:cs="Arial"/>
          <w:sz w:val="22"/>
          <w:szCs w:val="22"/>
        </w:rPr>
        <w:softHyphen/>
        <w:t xml:space="preserve">емом сахара </w:t>
      </w:r>
      <w:r w:rsidRPr="004B0B65">
        <w:rPr>
          <w:rFonts w:ascii="Arial" w:eastAsia="Times New Roman" w:hAnsi="Arial" w:cs="Arial"/>
          <w:sz w:val="22"/>
          <w:szCs w:val="22"/>
          <w:lang w:val="en-US" w:eastAsia="en-US" w:bidi="en-US"/>
        </w:rPr>
        <w:t>per</w:t>
      </w:r>
      <w:r w:rsidRPr="004B0B65">
        <w:rPr>
          <w:rFonts w:ascii="Arial" w:eastAsia="Times New Roman" w:hAnsi="Arial" w:cs="Arial"/>
          <w:sz w:val="22"/>
          <w:szCs w:val="22"/>
          <w:lang w:eastAsia="en-US" w:bidi="en-US"/>
        </w:rPr>
        <w:t xml:space="preserve"> </w:t>
      </w:r>
      <w:r w:rsidRPr="004B0B65">
        <w:rPr>
          <w:rFonts w:ascii="Arial" w:eastAsia="Times New Roman" w:hAnsi="Arial" w:cs="Arial"/>
          <w:sz w:val="22"/>
          <w:szCs w:val="22"/>
          <w:lang w:val="en-US" w:eastAsia="en-US" w:bidi="en-US"/>
        </w:rPr>
        <w:t>os</w:t>
      </w:r>
      <w:r w:rsidRPr="004B0B65">
        <w:rPr>
          <w:rFonts w:ascii="Arial" w:eastAsia="Times New Roman" w:hAnsi="Arial" w:cs="Arial"/>
          <w:sz w:val="22"/>
          <w:szCs w:val="22"/>
          <w:lang w:eastAsia="en-US" w:bidi="en-US"/>
        </w:rPr>
        <w:t>.</w:t>
      </w:r>
    </w:p>
    <w:p w:rsidR="00470A5D" w:rsidRPr="004B0B65" w:rsidRDefault="00470A5D" w:rsidP="00DE1F06">
      <w:pPr>
        <w:ind w:firstLine="400"/>
        <w:jc w:val="both"/>
        <w:rPr>
          <w:rFonts w:ascii="Arial" w:eastAsia="Times New Roman" w:hAnsi="Arial" w:cs="Arial"/>
          <w:sz w:val="22"/>
          <w:szCs w:val="22"/>
        </w:rPr>
      </w:pPr>
      <w:r w:rsidRPr="004B0B65">
        <w:rPr>
          <w:rFonts w:ascii="Arial" w:eastAsia="Times New Roman" w:hAnsi="Arial" w:cs="Arial"/>
          <w:sz w:val="22"/>
          <w:szCs w:val="22"/>
        </w:rPr>
        <w:t>У здорового человека 24—48-часовое голодание приводит к снижению уровня глюкозы в крови до нижней границы нормы. При этом отмечается характерное резкое снижение содержания инсулина в плазме крови вплоть до его полного исчезновения. У больных с инсулиномами гликогенолиз по</w:t>
      </w:r>
      <w:r w:rsidRPr="004B0B65">
        <w:rPr>
          <w:rFonts w:ascii="Arial" w:eastAsia="Times New Roman" w:hAnsi="Arial" w:cs="Arial"/>
          <w:sz w:val="22"/>
          <w:szCs w:val="22"/>
        </w:rPr>
        <w:softHyphen/>
        <w:t>давлен опухолевым инсулином, и, когда прекращается поступление глюко</w:t>
      </w:r>
      <w:r w:rsidRPr="004B0B65">
        <w:rPr>
          <w:rFonts w:ascii="Arial" w:eastAsia="Times New Roman" w:hAnsi="Arial" w:cs="Arial"/>
          <w:sz w:val="22"/>
          <w:szCs w:val="22"/>
        </w:rPr>
        <w:softHyphen/>
        <w:t>зы из ЖКТ в кровяное русло, создаются условия для развития гипоглике</w:t>
      </w:r>
      <w:r w:rsidRPr="004B0B65">
        <w:rPr>
          <w:rFonts w:ascii="Arial" w:eastAsia="Times New Roman" w:hAnsi="Arial" w:cs="Arial"/>
          <w:sz w:val="22"/>
          <w:szCs w:val="22"/>
        </w:rPr>
        <w:softHyphen/>
        <w:t>мического приступа.</w:t>
      </w:r>
    </w:p>
    <w:p w:rsidR="001B23C7" w:rsidRPr="001B23C7" w:rsidRDefault="00470A5D" w:rsidP="00DE1F06">
      <w:pPr>
        <w:pStyle w:val="1"/>
        <w:ind w:firstLine="0"/>
        <w:jc w:val="both"/>
        <w:rPr>
          <w:rFonts w:ascii="Arial" w:hAnsi="Arial" w:cs="Arial"/>
        </w:rPr>
      </w:pPr>
      <w:r w:rsidRPr="001B23C7">
        <w:rPr>
          <w:rFonts w:ascii="Arial" w:hAnsi="Arial" w:cs="Arial"/>
        </w:rPr>
        <w:t>«Золотым стандартом» в диагностике инсулином является проба с трех</w:t>
      </w:r>
      <w:r w:rsidRPr="001B23C7">
        <w:rPr>
          <w:rFonts w:ascii="Arial" w:hAnsi="Arial" w:cs="Arial"/>
        </w:rPr>
        <w:softHyphen/>
        <w:t>дневным (72-часовым) голоданием, по сути провоцирующая триаду Уип</w:t>
      </w:r>
      <w:r w:rsidRPr="001B23C7">
        <w:rPr>
          <w:rFonts w:ascii="Arial" w:hAnsi="Arial" w:cs="Arial"/>
        </w:rPr>
        <w:softHyphen/>
        <w:t>пла. Проба проводится следующим образом. Время начала голодания отме</w:t>
      </w:r>
      <w:r w:rsidRPr="001B23C7">
        <w:rPr>
          <w:rFonts w:ascii="Arial" w:hAnsi="Arial" w:cs="Arial"/>
        </w:rPr>
        <w:softHyphen/>
        <w:t>чается как время последнего приема пищи. Допускается только употребле</w:t>
      </w:r>
      <w:r w:rsidRPr="001B23C7">
        <w:rPr>
          <w:rFonts w:ascii="Arial" w:hAnsi="Arial" w:cs="Arial"/>
        </w:rPr>
        <w:softHyphen/>
        <w:t>ние бескалорийных напитков, не содержащих кофеина. Кроме того, необ</w:t>
      </w:r>
      <w:r w:rsidRPr="001B23C7">
        <w:rPr>
          <w:rFonts w:ascii="Arial" w:hAnsi="Arial" w:cs="Arial"/>
        </w:rPr>
        <w:softHyphen/>
        <w:t>ходимо отменить все медикаменты, кроме назначенных по абсолютным по</w:t>
      </w:r>
      <w:r w:rsidRPr="001B23C7">
        <w:rPr>
          <w:rFonts w:ascii="Arial" w:hAnsi="Arial" w:cs="Arial"/>
        </w:rPr>
        <w:softHyphen/>
        <w:t>казаниям. Во время бодрствования пациент должен сохранять обычную физическую активность. Исследование содержания глюкозы в крови, инсу</w:t>
      </w:r>
      <w:r w:rsidRPr="001B23C7">
        <w:rPr>
          <w:rFonts w:ascii="Arial" w:hAnsi="Arial" w:cs="Arial"/>
        </w:rPr>
        <w:softHyphen/>
        <w:t>лина и С-пептида производится каждый раз одним и тем же методом. При</w:t>
      </w:r>
      <w:r w:rsidRPr="001B23C7">
        <w:rPr>
          <w:rFonts w:ascii="Arial" w:hAnsi="Arial" w:cs="Arial"/>
        </w:rPr>
        <w:softHyphen/>
        <w:t>нято считать, что более достоверно определение глюкозы в лабораторных условиях по сравнению с экспресс-методом при помощи глюкометра. Пробы крови (желательно полученные по катетеру, введенному в локтевую вену) берутся каждые 6 ч, а при снижении уровня глюкозы ниже 3,4 ммоль/л этот интервал сокращается до 30—60 мин. Голодание прекращается в том случае, если уровень глюкозы падает ниже 2,5 ммоль/л и при этом имеются симптомы гипогликемии, которые в дальнейшем купируются внутривен</w:t>
      </w:r>
      <w:r w:rsidRPr="001B23C7">
        <w:rPr>
          <w:rFonts w:ascii="Arial" w:hAnsi="Arial" w:cs="Arial"/>
        </w:rPr>
        <w:softHyphen/>
        <w:t xml:space="preserve">ным введением глюкозы. </w:t>
      </w:r>
    </w:p>
    <w:p w:rsidR="00470A5D" w:rsidRPr="004B0B65" w:rsidRDefault="00470A5D" w:rsidP="00DE1F06">
      <w:pPr>
        <w:pStyle w:val="1"/>
        <w:ind w:firstLine="0"/>
        <w:jc w:val="both"/>
        <w:rPr>
          <w:rFonts w:ascii="Arial" w:hAnsi="Arial" w:cs="Arial"/>
        </w:rPr>
      </w:pPr>
      <w:r w:rsidRPr="001B23C7">
        <w:rPr>
          <w:rFonts w:ascii="Arial" w:hAnsi="Arial" w:cs="Arial"/>
        </w:rPr>
        <w:t>Прекращение теста только при наличии низкого уровня глюкозы в крови при отсутствии гипогликемической симптоматики неправомерно и снижает диагностическую ценность пробы. Если у пациен</w:t>
      </w:r>
      <w:r w:rsidRPr="001B23C7">
        <w:rPr>
          <w:rFonts w:ascii="Arial" w:hAnsi="Arial" w:cs="Arial"/>
        </w:rPr>
        <w:softHyphen/>
        <w:t xml:space="preserve">та в течение 72 ч отсутствуют симптомы гипогликемии и снижение </w:t>
      </w:r>
      <w:r w:rsidRPr="001B23C7">
        <w:rPr>
          <w:rFonts w:ascii="Arial" w:hAnsi="Arial" w:cs="Arial"/>
        </w:rPr>
        <w:lastRenderedPageBreak/>
        <w:t>гликемии ниже 2,5 ммоль/л, проба прекращается и ее результаты расцениваются как отрицательные. В большинстве случаев у больных с инсулиномой ги</w:t>
      </w:r>
      <w:r w:rsidRPr="001B23C7">
        <w:rPr>
          <w:rFonts w:ascii="Arial" w:hAnsi="Arial" w:cs="Arial"/>
        </w:rPr>
        <w:softHyphen/>
        <w:t>погликемическое состояние с падением уровня глюкозы ниже 2,5 ммоль/л наблюдалось через 12—18 ч от начала теста (рис. 13.4). Как видно на рисун</w:t>
      </w:r>
      <w:r w:rsidRPr="001B23C7">
        <w:rPr>
          <w:rFonts w:ascii="Arial" w:hAnsi="Arial" w:cs="Arial"/>
        </w:rPr>
        <w:softHyphen/>
        <w:t>ке, в норме после 12 ч голодания произошло значительное снижение уров</w:t>
      </w:r>
      <w:r w:rsidRPr="001B23C7">
        <w:rPr>
          <w:rFonts w:ascii="Arial" w:hAnsi="Arial" w:cs="Arial"/>
        </w:rPr>
        <w:softHyphen/>
        <w:t>ня инсулина, а уровень глюкозы увеличился до 3,4 ммоль/л. При инсули</w:t>
      </w:r>
      <w:r w:rsidRPr="001B23C7">
        <w:rPr>
          <w:rFonts w:ascii="Arial" w:hAnsi="Arial" w:cs="Arial"/>
        </w:rPr>
        <w:softHyphen/>
        <w:t>номе спустя 15—18 ч голодания уровень гликемии снизился до 2 ммоль/л, однако уровень инсулина продолжал нарастать на всем протяжении пробы, несмотря на развитие гипогликемического состояния.</w:t>
      </w:r>
    </w:p>
    <w:p w:rsidR="00470A5D" w:rsidRPr="004B0B65" w:rsidRDefault="00470A5D" w:rsidP="00DE1F06">
      <w:pPr>
        <w:jc w:val="center"/>
        <w:rPr>
          <w:rFonts w:ascii="Arial" w:hAnsi="Arial" w:cs="Arial"/>
          <w:sz w:val="2"/>
          <w:szCs w:val="2"/>
        </w:rPr>
      </w:pPr>
    </w:p>
    <w:p w:rsidR="00470A5D" w:rsidRPr="004B0B65" w:rsidRDefault="00470A5D" w:rsidP="00DE1F06">
      <w:pPr>
        <w:rPr>
          <w:rFonts w:ascii="Arial" w:hAnsi="Arial" w:cs="Arial"/>
        </w:rPr>
      </w:pPr>
    </w:p>
    <w:p w:rsidR="001774BF" w:rsidRPr="004B0B65" w:rsidRDefault="001774BF" w:rsidP="00DE1F06">
      <w:pPr>
        <w:ind w:firstLine="400"/>
        <w:jc w:val="both"/>
        <w:rPr>
          <w:rFonts w:ascii="Arial" w:eastAsia="Times New Roman" w:hAnsi="Arial" w:cs="Arial"/>
          <w:sz w:val="22"/>
          <w:szCs w:val="22"/>
        </w:rPr>
      </w:pPr>
      <w:r w:rsidRPr="004B0B65">
        <w:rPr>
          <w:rFonts w:ascii="Arial" w:hAnsi="Arial" w:cs="Arial"/>
          <w:noProof/>
          <w:lang w:bidi="ar-SA"/>
        </w:rPr>
        <mc:AlternateContent>
          <mc:Choice Requires="wps">
            <w:drawing>
              <wp:anchor distT="0" distB="0" distL="73025" distR="4252595" simplePos="0" relativeHeight="251664384" behindDoc="0" locked="0" layoutInCell="1" allowOverlap="1" wp14:anchorId="340927EC" wp14:editId="5E4D6262">
                <wp:simplePos x="0" y="0"/>
                <wp:positionH relativeFrom="column">
                  <wp:posOffset>1688465</wp:posOffset>
                </wp:positionH>
                <wp:positionV relativeFrom="paragraph">
                  <wp:posOffset>1325245</wp:posOffset>
                </wp:positionV>
                <wp:extent cx="588010" cy="106680"/>
                <wp:effectExtent l="0" t="0" r="0" b="0"/>
                <wp:wrapTopAndBottom/>
                <wp:docPr id="1214" name="Shape 1214"/>
                <wp:cNvGraphicFramePr/>
                <a:graphic xmlns:a="http://schemas.openxmlformats.org/drawingml/2006/main">
                  <a:graphicData uri="http://schemas.microsoft.com/office/word/2010/wordprocessingShape">
                    <wps:wsp>
                      <wps:cNvSpPr txBox="1"/>
                      <wps:spPr>
                        <a:xfrm>
                          <a:off x="0" y="0"/>
                          <a:ext cx="588010" cy="106680"/>
                        </a:xfrm>
                        <a:prstGeom prst="rect">
                          <a:avLst/>
                        </a:prstGeom>
                        <a:noFill/>
                      </wps:spPr>
                      <wps:txbx>
                        <w:txbxContent>
                          <w:p w:rsidR="001B23C7" w:rsidRDefault="001B23C7" w:rsidP="001774BF">
                            <w:pPr>
                              <w:pStyle w:val="a5"/>
                              <w:rPr>
                                <w:sz w:val="14"/>
                                <w:szCs w:val="14"/>
                              </w:rPr>
                            </w:pPr>
                            <w:r>
                              <w:rPr>
                                <w:rFonts w:ascii="Arial" w:eastAsia="Arial" w:hAnsi="Arial" w:cs="Arial"/>
                                <w:sz w:val="14"/>
                                <w:szCs w:val="14"/>
                              </w:rPr>
                              <w:t>Время, часы</w:t>
                            </w:r>
                          </w:p>
                        </w:txbxContent>
                      </wps:txbx>
                      <wps:bodyPr lIns="0" tIns="0" rIns="0" bIns="0"/>
                    </wps:wsp>
                  </a:graphicData>
                </a:graphic>
              </wp:anchor>
            </w:drawing>
          </mc:Choice>
          <mc:Fallback>
            <w:pict>
              <v:shape w14:anchorId="340927EC" id="Shape 1214" o:spid="_x0000_s1028" type="#_x0000_t202" style="position:absolute;left:0;text-align:left;margin-left:132.95pt;margin-top:104.35pt;width:46.3pt;height:8.4pt;z-index:251664384;visibility:visible;mso-wrap-style:square;mso-wrap-distance-left:5.75pt;mso-wrap-distance-top:0;mso-wrap-distance-right:334.8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jWshAEAAAgDAAAOAAAAZHJzL2Uyb0RvYy54bWysUlFLwzAQfhf8DyHvru3QUcragYyJICpM&#10;f0CWJmugyYUkrt2/9xLXTfRNfLle7q7f3ffdLVej7slBOK/A1LSY5ZQIw6FVZl/T97fNTUmJD8y0&#10;rAcjanoUnq6a66vlYCsxhw76VjiCIMZXg61pF4KtsszzTmjmZ2CFwaQEp1nAp9tnrWMDous+m+f5&#10;IhvAtdYBF95jdP2VpE3Cl1Lw8CKlF4H0NcXZQrIu2V20WbNk1d4x2yl+GoP9YQrNlMGmZ6g1C4x8&#10;OPULSivuwIMMMw46AykVF4kDsinyH2y2HbMicUFxvD3L5P8Plj8fXh1RLe5uXtxSYpjGLaXGJEVQ&#10;oMH6Cuu2FivDeA8jFkfhYtxjMPIepdPxi4wI5lHq41leMQbCMXhXlsiREo6pIl8syiR/dvnZOh8e&#10;BGgSnZo63F4SlR2efMCGWDqVxF4GNqrvY/wySfTCuBsTpfk05Q7aIw7fPxqULp7B5LjJ2Z2cCQ3l&#10;Tv1OpxH3+f2del4OuPkEAAD//wMAUEsDBBQABgAIAAAAIQC0F2QZ4AAAAAsBAAAPAAAAZHJzL2Rv&#10;d25yZXYueG1sTI89T8MwEIZ3JP6DdUhs1CYoIQ1xqgrBhIRIw8DoxG5iNT6H2G3Dv+eY6HYfj957&#10;rtwsbmQnMwfrUcL9SgAz2HltsZfw2bze5cBCVKjV6NFI+DEBNtX1VakK7c9Ym9Mu9oxCMBRKwhDj&#10;VHAeusE4FVZ+Mki7vZ+ditTOPdezOlO4G3kiRMadskgXBjWZ58F0h93RSdh+Yf1iv9/bj3pf26ZZ&#10;C3zLDlLe3izbJ2DRLPEfhj99UoeKnFp/RB3YKCHJ0jWhVIj8ERgRD2meAmtpkqQp8Krklz9UvwAA&#10;AP//AwBQSwECLQAUAAYACAAAACEAtoM4kv4AAADhAQAAEwAAAAAAAAAAAAAAAAAAAAAAW0NvbnRl&#10;bnRfVHlwZXNdLnhtbFBLAQItABQABgAIAAAAIQA4/SH/1gAAAJQBAAALAAAAAAAAAAAAAAAAAC8B&#10;AABfcmVscy8ucmVsc1BLAQItABQABgAIAAAAIQA6hjWshAEAAAgDAAAOAAAAAAAAAAAAAAAAAC4C&#10;AABkcnMvZTJvRG9jLnhtbFBLAQItABQABgAIAAAAIQC0F2QZ4AAAAAsBAAAPAAAAAAAAAAAAAAAA&#10;AN4DAABkcnMvZG93bnJldi54bWxQSwUGAAAAAAQABADzAAAA6wQAAAAA&#10;" filled="f" stroked="f">
                <v:textbox inset="0,0,0,0">
                  <w:txbxContent>
                    <w:p w:rsidR="001B23C7" w:rsidRDefault="001B23C7" w:rsidP="001774BF">
                      <w:pPr>
                        <w:pStyle w:val="a5"/>
                        <w:rPr>
                          <w:sz w:val="14"/>
                          <w:szCs w:val="14"/>
                        </w:rPr>
                      </w:pPr>
                      <w:r>
                        <w:rPr>
                          <w:rFonts w:ascii="Arial" w:eastAsia="Arial" w:hAnsi="Arial" w:cs="Arial"/>
                          <w:sz w:val="14"/>
                          <w:szCs w:val="14"/>
                        </w:rPr>
                        <w:t>Время, часы</w:t>
                      </w:r>
                    </w:p>
                  </w:txbxContent>
                </v:textbox>
                <w10:wrap type="topAndBottom"/>
              </v:shape>
            </w:pict>
          </mc:Fallback>
        </mc:AlternateContent>
      </w:r>
      <w:r w:rsidRPr="004B0B65">
        <w:rPr>
          <w:rFonts w:ascii="Arial" w:eastAsia="Times New Roman" w:hAnsi="Arial" w:cs="Arial"/>
          <w:noProof/>
          <w:sz w:val="22"/>
          <w:szCs w:val="22"/>
          <w:lang w:bidi="ar-SA"/>
        </w:rPr>
        <w:drawing>
          <wp:inline distT="0" distB="0" distL="0" distR="0" wp14:anchorId="70B66896" wp14:editId="20D727F3">
            <wp:extent cx="3657600" cy="1231265"/>
            <wp:effectExtent l="0" t="0" r="0" b="0"/>
            <wp:docPr id="1211" name="Picutre 1211"/>
            <wp:cNvGraphicFramePr/>
            <a:graphic xmlns:a="http://schemas.openxmlformats.org/drawingml/2006/main">
              <a:graphicData uri="http://schemas.openxmlformats.org/drawingml/2006/picture">
                <pic:pic xmlns:pic="http://schemas.openxmlformats.org/drawingml/2006/picture">
                  <pic:nvPicPr>
                    <pic:cNvPr id="1211" name="Picture 1211"/>
                    <pic:cNvPicPr/>
                  </pic:nvPicPr>
                  <pic:blipFill>
                    <a:blip r:embed="rId12"/>
                    <a:stretch/>
                  </pic:blipFill>
                  <pic:spPr>
                    <a:xfrm>
                      <a:off x="0" y="0"/>
                      <a:ext cx="3657600" cy="1231265"/>
                    </a:xfrm>
                    <a:prstGeom prst="rect">
                      <a:avLst/>
                    </a:prstGeom>
                  </pic:spPr>
                </pic:pic>
              </a:graphicData>
            </a:graphic>
          </wp:inline>
        </w:drawing>
      </w:r>
    </w:p>
    <w:p w:rsidR="00620713" w:rsidRPr="004B0B65" w:rsidRDefault="00620713" w:rsidP="00DE1F06">
      <w:pPr>
        <w:ind w:firstLine="400"/>
        <w:jc w:val="both"/>
        <w:rPr>
          <w:rFonts w:ascii="Arial" w:eastAsia="Times New Roman" w:hAnsi="Arial" w:cs="Arial"/>
          <w:sz w:val="22"/>
          <w:szCs w:val="22"/>
        </w:rPr>
      </w:pPr>
    </w:p>
    <w:p w:rsidR="00470A5D" w:rsidRPr="004B0B65" w:rsidRDefault="001774BF" w:rsidP="00DE1F06">
      <w:pPr>
        <w:ind w:firstLine="400"/>
        <w:jc w:val="both"/>
        <w:rPr>
          <w:rFonts w:ascii="Arial" w:eastAsia="Times New Roman" w:hAnsi="Arial" w:cs="Arial"/>
          <w:sz w:val="22"/>
          <w:szCs w:val="22"/>
        </w:rPr>
      </w:pPr>
      <w:r w:rsidRPr="004B0B65">
        <w:rPr>
          <w:rFonts w:ascii="Arial" w:hAnsi="Arial" w:cs="Arial"/>
          <w:noProof/>
          <w:lang w:bidi="ar-SA"/>
        </w:rPr>
        <mc:AlternateContent>
          <mc:Choice Requires="wps">
            <w:drawing>
              <wp:anchor distT="0" distB="0" distL="73025" distR="4075430" simplePos="0" relativeHeight="251666432" behindDoc="0" locked="0" layoutInCell="1" allowOverlap="1" wp14:anchorId="2D0B70B7" wp14:editId="2AEFFA11">
                <wp:simplePos x="0" y="0"/>
                <wp:positionH relativeFrom="column">
                  <wp:posOffset>360045</wp:posOffset>
                </wp:positionH>
                <wp:positionV relativeFrom="paragraph">
                  <wp:posOffset>1506855</wp:posOffset>
                </wp:positionV>
                <wp:extent cx="765175" cy="311150"/>
                <wp:effectExtent l="0" t="0" r="0" b="0"/>
                <wp:wrapTopAndBottom/>
                <wp:docPr id="1212" name="Shape 1212"/>
                <wp:cNvGraphicFramePr/>
                <a:graphic xmlns:a="http://schemas.openxmlformats.org/drawingml/2006/main">
                  <a:graphicData uri="http://schemas.microsoft.com/office/word/2010/wordprocessingShape">
                    <wps:wsp>
                      <wps:cNvSpPr txBox="1"/>
                      <wps:spPr>
                        <a:xfrm>
                          <a:off x="0" y="0"/>
                          <a:ext cx="765175" cy="311150"/>
                        </a:xfrm>
                        <a:prstGeom prst="rect">
                          <a:avLst/>
                        </a:prstGeom>
                        <a:noFill/>
                      </wps:spPr>
                      <wps:txbx>
                        <w:txbxContent>
                          <w:p w:rsidR="001B23C7" w:rsidRDefault="001B23C7" w:rsidP="001774BF">
                            <w:pPr>
                              <w:pStyle w:val="a5"/>
                              <w:spacing w:after="120"/>
                              <w:jc w:val="right"/>
                              <w:rPr>
                                <w:sz w:val="14"/>
                                <w:szCs w:val="14"/>
                              </w:rPr>
                            </w:pPr>
                            <w:r>
                              <w:rPr>
                                <w:rFonts w:ascii="Arial" w:eastAsia="Arial" w:hAnsi="Arial" w:cs="Arial"/>
                                <w:sz w:val="14"/>
                                <w:szCs w:val="14"/>
                              </w:rPr>
                              <w:t>• Глюкоза</w:t>
                            </w:r>
                          </w:p>
                          <w:p w:rsidR="001B23C7" w:rsidRDefault="001B23C7" w:rsidP="001774BF">
                            <w:pPr>
                              <w:pStyle w:val="a5"/>
                              <w:jc w:val="right"/>
                              <w:rPr>
                                <w:sz w:val="14"/>
                                <w:szCs w:val="14"/>
                              </w:rPr>
                            </w:pPr>
                            <w:r>
                              <w:rPr>
                                <w:rFonts w:ascii="Arial" w:eastAsia="Arial" w:hAnsi="Arial" w:cs="Arial"/>
                                <w:sz w:val="14"/>
                                <w:szCs w:val="14"/>
                              </w:rPr>
                              <w:t>&gt;— С Инсулин</w:t>
                            </w:r>
                          </w:p>
                        </w:txbxContent>
                      </wps:txbx>
                      <wps:bodyPr lIns="0" tIns="0" rIns="0" bIns="0"/>
                    </wps:wsp>
                  </a:graphicData>
                </a:graphic>
              </wp:anchor>
            </w:drawing>
          </mc:Choice>
          <mc:Fallback>
            <w:pict>
              <v:shape w14:anchorId="2D0B70B7" id="Shape 1212" o:spid="_x0000_s1029" type="#_x0000_t202" style="position:absolute;left:0;text-align:left;margin-left:28.35pt;margin-top:118.65pt;width:60.25pt;height:24.5pt;z-index:251666432;visibility:visible;mso-wrap-style:square;mso-wrap-distance-left:5.75pt;mso-wrap-distance-top:0;mso-wrap-distance-right:320.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4+EhgEAAAgDAAAOAAAAZHJzL2Uyb0RvYy54bWysUsFOwzAMvSPxD1HurGunbahaNwlNQ0gI&#10;kIAPSNNkjdTEURLW7u9xwrohuCEurmO7z37PXm0G3ZGDcF6BqWg+mVIiDIdGmX1F3992N7eU+MBM&#10;wzowoqJH4elmfX216m0pCmiha4QjCGJ82duKtiHYMss8b4VmfgJWGExKcJoFfLp91jjWI7rusmI6&#10;XWQ9uMY64MJ7jG6/knSd8KUUPDxL6UUgXUVxtpCsS7aONluvWLl3zLaKn8Zgf5hCM2Ww6RlqywIj&#10;H079gtKKO/Agw4SDzkBKxUXigGzy6Q82ry2zInFBcbw9y+T/D5Y/HV4cUQ3ursgLSgzTuKXUmKQI&#10;CtRbX2Ldq8XKMNzBgMVRuBj3GIy8B+l0/CIjgnmU+niWVwyBcAwuF/N8OaeEY2qW5/k8yZ9dfrbO&#10;h3sBmkSnog63l0Rlh0cfsCGWjiWxl4Gd6roYv0wSvTDUQ6I0G6esoTni8N2DQeniGYyOG5365Ixo&#10;KHfqdzqNuM/v79TzcsDrTwAAAP//AwBQSwMEFAAGAAgAAAAhAHKniGjgAAAACgEAAA8AAABkcnMv&#10;ZG93bnJldi54bWxMj8FOwzAMhu9Ie4fISNxYSivaUZpOE4IT0rSuHDimjddGa5yuybby9mQnONr+&#10;9Pv7i/VsBnbByWlLAp6WETCk1ipNnYCv+uNxBcx5SUoOllDADzpYl4u7QubKXqnCy953LISQy6WA&#10;3vsx59y1PRrplnZECreDnYz0YZw6riZ5DeFm4HEUpdxITeFDL0d867E97s9GwOabqnd92ja76lDp&#10;un6J6DM9CvFwP29egXmc/R8MN/2gDmVwauyZlGODgOc0C6SAOMkSYDcgy2JgTdis0gR4WfD/Fcpf&#10;AAAA//8DAFBLAQItABQABgAIAAAAIQC2gziS/gAAAOEBAAATAAAAAAAAAAAAAAAAAAAAAABbQ29u&#10;dGVudF9UeXBlc10ueG1sUEsBAi0AFAAGAAgAAAAhADj9If/WAAAAlAEAAAsAAAAAAAAAAAAAAAAA&#10;LwEAAF9yZWxzLy5yZWxzUEsBAi0AFAAGAAgAAAAhABYzj4SGAQAACAMAAA4AAAAAAAAAAAAAAAAA&#10;LgIAAGRycy9lMm9Eb2MueG1sUEsBAi0AFAAGAAgAAAAhAHKniGjgAAAACgEAAA8AAAAAAAAAAAAA&#10;AAAA4AMAAGRycy9kb3ducmV2LnhtbFBLBQYAAAAABAAEAPMAAADtBAAAAAA=&#10;" filled="f" stroked="f">
                <v:textbox inset="0,0,0,0">
                  <w:txbxContent>
                    <w:p w:rsidR="001B23C7" w:rsidRDefault="001B23C7" w:rsidP="001774BF">
                      <w:pPr>
                        <w:pStyle w:val="a5"/>
                        <w:spacing w:after="120"/>
                        <w:jc w:val="right"/>
                        <w:rPr>
                          <w:sz w:val="14"/>
                          <w:szCs w:val="14"/>
                        </w:rPr>
                      </w:pPr>
                      <w:r>
                        <w:rPr>
                          <w:rFonts w:ascii="Arial" w:eastAsia="Arial" w:hAnsi="Arial" w:cs="Arial"/>
                          <w:sz w:val="14"/>
                          <w:szCs w:val="14"/>
                        </w:rPr>
                        <w:t>• Глюкоза</w:t>
                      </w:r>
                    </w:p>
                    <w:p w:rsidR="001B23C7" w:rsidRDefault="001B23C7" w:rsidP="001774BF">
                      <w:pPr>
                        <w:pStyle w:val="a5"/>
                        <w:jc w:val="right"/>
                        <w:rPr>
                          <w:sz w:val="14"/>
                          <w:szCs w:val="14"/>
                        </w:rPr>
                      </w:pPr>
                      <w:r>
                        <w:rPr>
                          <w:rFonts w:ascii="Arial" w:eastAsia="Arial" w:hAnsi="Arial" w:cs="Arial"/>
                          <w:sz w:val="14"/>
                          <w:szCs w:val="14"/>
                        </w:rPr>
                        <w:t>&gt;— С Инсулин</w:t>
                      </w:r>
                    </w:p>
                  </w:txbxContent>
                </v:textbox>
                <w10:wrap type="topAndBottom"/>
              </v:shape>
            </w:pict>
          </mc:Fallback>
        </mc:AlternateContent>
      </w:r>
      <w:r w:rsidRPr="004B0B65">
        <w:rPr>
          <w:rFonts w:ascii="Arial" w:eastAsia="Times New Roman" w:hAnsi="Arial" w:cs="Arial"/>
          <w:noProof/>
          <w:sz w:val="22"/>
          <w:szCs w:val="22"/>
          <w:lang w:bidi="ar-SA"/>
        </w:rPr>
        <w:drawing>
          <wp:inline distT="0" distB="0" distL="0" distR="0" wp14:anchorId="0D924D03" wp14:editId="40A121F7">
            <wp:extent cx="3523615" cy="1371600"/>
            <wp:effectExtent l="0" t="0" r="0" b="0"/>
            <wp:docPr id="1210" name="Picutre 1210"/>
            <wp:cNvGraphicFramePr/>
            <a:graphic xmlns:a="http://schemas.openxmlformats.org/drawingml/2006/main">
              <a:graphicData uri="http://schemas.openxmlformats.org/drawingml/2006/picture">
                <pic:pic xmlns:pic="http://schemas.openxmlformats.org/drawingml/2006/picture">
                  <pic:nvPicPr>
                    <pic:cNvPr id="1210" name="Picture 1210"/>
                    <pic:cNvPicPr/>
                  </pic:nvPicPr>
                  <pic:blipFill>
                    <a:blip r:embed="rId13"/>
                    <a:stretch/>
                  </pic:blipFill>
                  <pic:spPr>
                    <a:xfrm>
                      <a:off x="0" y="0"/>
                      <a:ext cx="3523615" cy="1371600"/>
                    </a:xfrm>
                    <a:prstGeom prst="rect">
                      <a:avLst/>
                    </a:prstGeom>
                  </pic:spPr>
                </pic:pic>
              </a:graphicData>
            </a:graphic>
          </wp:inline>
        </w:drawing>
      </w:r>
    </w:p>
    <w:p w:rsidR="001774BF" w:rsidRPr="004B0B65" w:rsidRDefault="001774BF" w:rsidP="00DE1F06">
      <w:pPr>
        <w:rPr>
          <w:rFonts w:ascii="Arial" w:eastAsia="Times New Roman" w:hAnsi="Arial" w:cs="Arial"/>
          <w:sz w:val="19"/>
          <w:szCs w:val="19"/>
        </w:rPr>
      </w:pPr>
      <w:r w:rsidRPr="004B0B65">
        <w:rPr>
          <w:rFonts w:ascii="Arial" w:eastAsia="Times New Roman" w:hAnsi="Arial" w:cs="Arial"/>
          <w:b/>
          <w:bCs/>
          <w:sz w:val="19"/>
          <w:szCs w:val="19"/>
        </w:rPr>
        <w:t xml:space="preserve">Рис. 13.4. </w:t>
      </w:r>
      <w:r w:rsidRPr="004B0B65">
        <w:rPr>
          <w:rFonts w:ascii="Arial" w:eastAsia="Times New Roman" w:hAnsi="Arial" w:cs="Arial"/>
          <w:sz w:val="19"/>
          <w:szCs w:val="19"/>
        </w:rPr>
        <w:t>Содержание глюкозы и инсулина в крови (проба с трехдневным голода</w:t>
      </w:r>
      <w:r w:rsidRPr="004B0B65">
        <w:rPr>
          <w:rFonts w:ascii="Arial" w:eastAsia="Times New Roman" w:hAnsi="Arial" w:cs="Arial"/>
          <w:sz w:val="19"/>
          <w:szCs w:val="19"/>
        </w:rPr>
        <w:softHyphen/>
        <w:t>нием).</w:t>
      </w:r>
    </w:p>
    <w:p w:rsidR="001774BF" w:rsidRPr="004B0B65" w:rsidRDefault="001774BF" w:rsidP="00DE1F06">
      <w:pPr>
        <w:rPr>
          <w:rFonts w:ascii="Arial" w:eastAsia="Times New Roman" w:hAnsi="Arial" w:cs="Arial"/>
          <w:sz w:val="19"/>
          <w:szCs w:val="19"/>
        </w:rPr>
      </w:pPr>
      <w:r w:rsidRPr="004B0B65">
        <w:rPr>
          <w:rFonts w:ascii="Arial" w:eastAsia="Times New Roman" w:hAnsi="Arial" w:cs="Arial"/>
          <w:sz w:val="19"/>
          <w:szCs w:val="19"/>
        </w:rPr>
        <w:t>а — в норме; б — у больного с инсулиномой.</w:t>
      </w:r>
    </w:p>
    <w:p w:rsidR="00470A5D" w:rsidRPr="004B0B65" w:rsidRDefault="00470A5D" w:rsidP="00DE1F06">
      <w:pPr>
        <w:ind w:firstLine="400"/>
        <w:jc w:val="both"/>
        <w:rPr>
          <w:rFonts w:ascii="Arial" w:hAnsi="Arial" w:cs="Arial"/>
        </w:rPr>
      </w:pPr>
    </w:p>
    <w:p w:rsidR="001774BF" w:rsidRPr="004B0B65" w:rsidRDefault="001774BF" w:rsidP="00DE1F06">
      <w:pPr>
        <w:ind w:firstLine="400"/>
        <w:jc w:val="both"/>
        <w:rPr>
          <w:rFonts w:ascii="Arial" w:eastAsia="Times New Roman" w:hAnsi="Arial" w:cs="Arial"/>
          <w:sz w:val="22"/>
          <w:szCs w:val="22"/>
        </w:rPr>
      </w:pPr>
      <w:r w:rsidRPr="004B0B65">
        <w:rPr>
          <w:rFonts w:ascii="Arial" w:eastAsia="Times New Roman" w:hAnsi="Arial" w:cs="Arial"/>
          <w:sz w:val="22"/>
          <w:szCs w:val="22"/>
        </w:rPr>
        <w:t xml:space="preserve">Достаточно информативно, хотя и громоздко ЭЭГ-исследование в условиях гипогликемии. В начальных стадиях гипогликемии учащается </w:t>
      </w:r>
      <w:r w:rsidRPr="004B0B65">
        <w:rPr>
          <w:rFonts w:ascii="Arial" w:eastAsia="Times New Roman" w:hAnsi="Arial" w:cs="Arial"/>
          <w:sz w:val="22"/>
          <w:szCs w:val="22"/>
          <w:lang w:val="en-US" w:eastAsia="en-US" w:bidi="en-US"/>
        </w:rPr>
        <w:t>a</w:t>
      </w:r>
      <w:r w:rsidRPr="004B0B65">
        <w:rPr>
          <w:rFonts w:ascii="Arial" w:eastAsia="Times New Roman" w:hAnsi="Arial" w:cs="Arial"/>
          <w:sz w:val="22"/>
          <w:szCs w:val="22"/>
        </w:rPr>
        <w:t xml:space="preserve">-ритм ЭЭГ, увеличивается амплитуда волн. По мере развития приступа, в период оглушенности, отмечаются урежение и снижение вольтажа а-волн. Появляются медленные Д-волны, свидетельствующие о снижении уровня сознания. После введения больному 40 % раствора глюкозы </w:t>
      </w:r>
      <w:r w:rsidRPr="004B0B65">
        <w:rPr>
          <w:rFonts w:ascii="Arial" w:eastAsia="Times New Roman" w:hAnsi="Arial" w:cs="Arial"/>
          <w:sz w:val="22"/>
          <w:szCs w:val="22"/>
          <w:lang w:val="en-US" w:eastAsia="en-US" w:bidi="en-US"/>
        </w:rPr>
        <w:t>a</w:t>
      </w:r>
      <w:r w:rsidRPr="004B0B65">
        <w:rPr>
          <w:rFonts w:ascii="Arial" w:eastAsia="Times New Roman" w:hAnsi="Arial" w:cs="Arial"/>
          <w:sz w:val="22"/>
          <w:szCs w:val="22"/>
        </w:rPr>
        <w:t>-ритм быстро восстанавливается.</w:t>
      </w:r>
    </w:p>
    <w:p w:rsidR="001774BF" w:rsidRPr="004B0B65" w:rsidRDefault="001774BF" w:rsidP="00DE1F06">
      <w:pPr>
        <w:pStyle w:val="1"/>
        <w:tabs>
          <w:tab w:val="left" w:pos="7570"/>
        </w:tabs>
        <w:ind w:firstLine="0"/>
        <w:rPr>
          <w:rFonts w:ascii="Arial" w:hAnsi="Arial" w:cs="Arial"/>
        </w:rPr>
      </w:pPr>
      <w:r w:rsidRPr="004B0B65">
        <w:rPr>
          <w:rFonts w:ascii="Arial" w:hAnsi="Arial" w:cs="Arial"/>
        </w:rPr>
        <w:t>Определение уровня иммунореактивного инсулина, несомненно, игра</w:t>
      </w:r>
      <w:r w:rsidRPr="004B0B65">
        <w:rPr>
          <w:rFonts w:ascii="Arial" w:hAnsi="Arial" w:cs="Arial"/>
        </w:rPr>
        <w:softHyphen/>
        <w:t>ет роль в дифференциальной диагностике гипогликемического синдрома, однако, как показала практика, далеко не во всех случаях с доказанной ин</w:t>
      </w:r>
      <w:r w:rsidRPr="004B0B65">
        <w:rPr>
          <w:rFonts w:ascii="Arial" w:hAnsi="Arial" w:cs="Arial"/>
        </w:rPr>
        <w:softHyphen/>
        <w:t xml:space="preserve">сулиномой имеется значительное увеличение уровня инсулина. Только у </w:t>
      </w:r>
      <w:r w:rsidRPr="004B0B65">
        <w:rPr>
          <w:rFonts w:ascii="Arial" w:hAnsi="Arial" w:cs="Arial"/>
          <w:vertAlign w:val="superscript"/>
        </w:rPr>
        <w:t>3</w:t>
      </w:r>
      <w:r w:rsidRPr="004B0B65">
        <w:rPr>
          <w:rFonts w:ascii="Arial" w:hAnsi="Arial" w:cs="Arial"/>
        </w:rPr>
        <w:t>/4 обследованных пациентов уровень инсулина превышает нормальные значе</w:t>
      </w:r>
      <w:r w:rsidRPr="004B0B65">
        <w:rPr>
          <w:rFonts w:ascii="Arial" w:hAnsi="Arial" w:cs="Arial"/>
        </w:rPr>
        <w:softHyphen/>
        <w:t>ния в 2—4 раза. Более того, у ряда больных обнаружено снижение уровня инсулина ниже физиологического. Значительно информативнее рассматри вать уровень инсулина совместно с соответствующим ему уровнем глюкозы в крови. На фоне пробы с голоданием можно увидеть сохранение относи</w:t>
      </w:r>
      <w:r w:rsidRPr="004B0B65">
        <w:rPr>
          <w:rFonts w:ascii="Arial" w:hAnsi="Arial" w:cs="Arial"/>
        </w:rPr>
        <w:softHyphen/>
        <w:t>тельно высокой концентрации инсулина, несмотря на снижающееся содер-., жание глюкозы.</w:t>
      </w:r>
      <w:r w:rsidRPr="004B0B65">
        <w:rPr>
          <w:rFonts w:ascii="Arial" w:hAnsi="Arial" w:cs="Arial"/>
        </w:rPr>
        <w:tab/>
        <w:t>2</w:t>
      </w:r>
    </w:p>
    <w:p w:rsidR="001774BF" w:rsidRPr="004B0B65" w:rsidRDefault="001774BF"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При положительной пробе с голоданием следующим этапом является топическая диагностика опухоли по описанным принципам (см. раздел 13.2). При дифференциальной диагностике следует учитывать, что чувстви</w:t>
      </w:r>
      <w:r w:rsidRPr="004B0B65">
        <w:rPr>
          <w:rFonts w:ascii="Arial" w:eastAsia="Times New Roman" w:hAnsi="Arial" w:cs="Arial"/>
          <w:sz w:val="22"/>
          <w:szCs w:val="22"/>
        </w:rPr>
        <w:softHyphen/>
        <w:t>тельность и специфичность правильно проведенной пробы с голоданием составляют 100 %, поэтому ее необходимо проводить при любом варианте тощакового гипогликемического синдрома. Исключив таким образом инсу</w:t>
      </w:r>
      <w:r w:rsidRPr="004B0B65">
        <w:rPr>
          <w:rFonts w:ascii="Arial" w:eastAsia="Times New Roman" w:hAnsi="Arial" w:cs="Arial"/>
          <w:sz w:val="22"/>
          <w:szCs w:val="22"/>
        </w:rPr>
        <w:softHyphen/>
        <w:t>линому (или большую опухоль с гипогликемическим синдромом), присту</w:t>
      </w:r>
      <w:r w:rsidRPr="004B0B65">
        <w:rPr>
          <w:rFonts w:ascii="Arial" w:eastAsia="Times New Roman" w:hAnsi="Arial" w:cs="Arial"/>
          <w:sz w:val="22"/>
          <w:szCs w:val="22"/>
        </w:rPr>
        <w:softHyphen/>
        <w:t xml:space="preserve">пают к дифференциальной диагностике состояний, сопровождающихся функциональной формой гипогликемического синдрома </w:t>
      </w:r>
      <w:r w:rsidRPr="004B0B65">
        <w:rPr>
          <w:rFonts w:ascii="Arial" w:eastAsia="Times New Roman" w:hAnsi="Arial" w:cs="Arial"/>
          <w:sz w:val="22"/>
          <w:szCs w:val="22"/>
        </w:rPr>
        <w:lastRenderedPageBreak/>
        <w:t>(схема 13.2).</w:t>
      </w:r>
    </w:p>
    <w:p w:rsidR="001774BF" w:rsidRPr="004B0B65" w:rsidRDefault="001774BF"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В качестве скрининга обязательно определение уровня С-пептида. Его низкий уровень (или даже полное отсутствие) характерен для артифициаль- ной гипогликемии, вызванной введением инсулина. Наиболее сложна диа</w:t>
      </w:r>
      <w:r w:rsidRPr="004B0B65">
        <w:rPr>
          <w:rFonts w:ascii="Arial" w:eastAsia="Times New Roman" w:hAnsi="Arial" w:cs="Arial"/>
          <w:sz w:val="22"/>
          <w:szCs w:val="22"/>
        </w:rPr>
        <w:softHyphen/>
        <w:t>гностика артифициального гипогликемического синдрома, вызванного приемом препаратов сульфонилмочевины, поскольку в данном случае будет определяться высокий уровень С-пептида. При этом может помочь определение метаболитов препаратов сульфонилмочевины в моче.</w:t>
      </w:r>
    </w:p>
    <w:p w:rsidR="001774BF" w:rsidRPr="004B0B65" w:rsidRDefault="001774BF" w:rsidP="00DE1F06">
      <w:pPr>
        <w:ind w:firstLine="400"/>
        <w:jc w:val="both"/>
        <w:rPr>
          <w:rFonts w:ascii="Arial" w:eastAsia="Times New Roman" w:hAnsi="Arial" w:cs="Arial"/>
          <w:sz w:val="22"/>
          <w:szCs w:val="22"/>
        </w:rPr>
      </w:pPr>
      <w:r w:rsidRPr="004B0B65">
        <w:rPr>
          <w:rFonts w:ascii="Arial" w:eastAsia="Times New Roman" w:hAnsi="Arial" w:cs="Arial"/>
          <w:sz w:val="22"/>
          <w:szCs w:val="22"/>
        </w:rPr>
        <w:t xml:space="preserve">Схема 13.2. </w:t>
      </w:r>
      <w:r w:rsidRPr="004B0B65">
        <w:rPr>
          <w:rFonts w:ascii="Arial" w:eastAsia="Times New Roman" w:hAnsi="Arial" w:cs="Arial"/>
          <w:b/>
          <w:bCs/>
          <w:sz w:val="22"/>
          <w:szCs w:val="22"/>
        </w:rPr>
        <w:t>Алгоритм диагностики инсулиномы</w:t>
      </w:r>
    </w:p>
    <w:p w:rsidR="001774BF" w:rsidRPr="004B0B65" w:rsidRDefault="001774BF" w:rsidP="00DE1F06">
      <w:pPr>
        <w:ind w:firstLine="400"/>
        <w:jc w:val="both"/>
        <w:rPr>
          <w:rFonts w:ascii="Arial" w:eastAsia="Times New Roman" w:hAnsi="Arial" w:cs="Arial"/>
          <w:sz w:val="22"/>
          <w:szCs w:val="22"/>
        </w:rPr>
      </w:pPr>
      <w:r w:rsidRPr="004B0B65">
        <w:rPr>
          <w:rFonts w:ascii="Arial" w:eastAsia="Times New Roman" w:hAnsi="Arial" w:cs="Arial"/>
          <w:noProof/>
          <w:sz w:val="22"/>
          <w:szCs w:val="22"/>
          <w:lang w:bidi="ar-SA"/>
        </w:rPr>
        <w:drawing>
          <wp:inline distT="0" distB="0" distL="0" distR="0" wp14:anchorId="1AF17E21" wp14:editId="3D80743B">
            <wp:extent cx="3176270" cy="2682240"/>
            <wp:effectExtent l="0" t="0" r="0" b="0"/>
            <wp:docPr id="1220" name="Picutre 1220"/>
            <wp:cNvGraphicFramePr/>
            <a:graphic xmlns:a="http://schemas.openxmlformats.org/drawingml/2006/main">
              <a:graphicData uri="http://schemas.openxmlformats.org/drawingml/2006/picture">
                <pic:pic xmlns:pic="http://schemas.openxmlformats.org/drawingml/2006/picture">
                  <pic:nvPicPr>
                    <pic:cNvPr id="1220" name="Picture 1220"/>
                    <pic:cNvPicPr/>
                  </pic:nvPicPr>
                  <pic:blipFill>
                    <a:blip r:embed="rId14"/>
                    <a:stretch/>
                  </pic:blipFill>
                  <pic:spPr>
                    <a:xfrm>
                      <a:off x="0" y="0"/>
                      <a:ext cx="3176270" cy="2682240"/>
                    </a:xfrm>
                    <a:prstGeom prst="rect">
                      <a:avLst/>
                    </a:prstGeom>
                  </pic:spPr>
                </pic:pic>
              </a:graphicData>
            </a:graphic>
          </wp:inline>
        </w:drawing>
      </w:r>
    </w:p>
    <w:p w:rsidR="001774BF" w:rsidRPr="004B0B65" w:rsidRDefault="001774BF" w:rsidP="00DE1F06">
      <w:pPr>
        <w:jc w:val="both"/>
        <w:rPr>
          <w:rFonts w:ascii="Arial" w:eastAsia="Times New Roman" w:hAnsi="Arial" w:cs="Arial"/>
          <w:sz w:val="22"/>
          <w:szCs w:val="22"/>
        </w:rPr>
      </w:pPr>
      <w:r w:rsidRPr="004B0B65">
        <w:rPr>
          <w:rFonts w:ascii="Arial" w:eastAsia="Times New Roman" w:hAnsi="Arial" w:cs="Arial"/>
          <w:b/>
          <w:bCs/>
          <w:i/>
          <w:iCs/>
          <w:sz w:val="22"/>
          <w:szCs w:val="22"/>
        </w:rPr>
        <w:t>Клинический пример</w:t>
      </w:r>
    </w:p>
    <w:p w:rsidR="001774BF" w:rsidRPr="004B0B65" w:rsidRDefault="001774BF" w:rsidP="00DE1F06">
      <w:pPr>
        <w:jc w:val="both"/>
        <w:rPr>
          <w:rFonts w:ascii="Arial" w:eastAsia="Times New Roman" w:hAnsi="Arial" w:cs="Arial"/>
          <w:sz w:val="22"/>
          <w:szCs w:val="22"/>
        </w:rPr>
      </w:pPr>
      <w:r w:rsidRPr="004B0B65">
        <w:rPr>
          <w:rFonts w:ascii="Arial" w:eastAsia="Times New Roman" w:hAnsi="Arial" w:cs="Arial"/>
          <w:sz w:val="22"/>
          <w:szCs w:val="22"/>
        </w:rPr>
        <w:t>Больной И., 47 лет, поступил в клинику с подозрением на инсулиному. Па</w:t>
      </w:r>
      <w:r w:rsidRPr="004B0B65">
        <w:rPr>
          <w:rFonts w:ascii="Arial" w:eastAsia="Times New Roman" w:hAnsi="Arial" w:cs="Arial"/>
          <w:sz w:val="22"/>
          <w:szCs w:val="22"/>
        </w:rPr>
        <w:softHyphen/>
        <w:t>циент по профессии физик, до 1992 г. считал себя здоровым. Начиная примерно с этого времени стал отмечать утреннюю слабость, которая проходила через не</w:t>
      </w:r>
      <w:r w:rsidRPr="004B0B65">
        <w:rPr>
          <w:rFonts w:ascii="Arial" w:eastAsia="Times New Roman" w:hAnsi="Arial" w:cs="Arial"/>
          <w:sz w:val="22"/>
          <w:szCs w:val="22"/>
        </w:rPr>
        <w:softHyphen/>
        <w:t>сколько минут после завтрака, а также эпизоды слабости, потливости, дрожи и сердцебиений в течение дня. До женитьбы в феврале 1995 г. проблема решалась частыми, на протяжении всего дня приемами пищи, в том числе поздним перед сном. По настоянию жены пациент изменил свои пищевые привычки и стал пи</w:t>
      </w:r>
      <w:r w:rsidRPr="004B0B65">
        <w:rPr>
          <w:rFonts w:ascii="Arial" w:eastAsia="Times New Roman" w:hAnsi="Arial" w:cs="Arial"/>
          <w:sz w:val="22"/>
          <w:szCs w:val="22"/>
        </w:rPr>
        <w:softHyphen/>
        <w:t>таться 3 раза в день. Во время отпуска в июле 1996 г. пациент стал раньше ло</w:t>
      </w:r>
      <w:r w:rsidRPr="004B0B65">
        <w:rPr>
          <w:rFonts w:ascii="Arial" w:eastAsia="Times New Roman" w:hAnsi="Arial" w:cs="Arial"/>
          <w:sz w:val="22"/>
          <w:szCs w:val="22"/>
        </w:rPr>
        <w:softHyphen/>
        <w:t>житься спать, после чего 4—5 раз отмечались утренние сумеречные состояния с ретроградной амнезией. Жена пациента дважды отмечала фокальные эпилепти</w:t>
      </w:r>
      <w:r w:rsidRPr="004B0B65">
        <w:rPr>
          <w:rFonts w:ascii="Arial" w:eastAsia="Times New Roman" w:hAnsi="Arial" w:cs="Arial"/>
          <w:sz w:val="22"/>
          <w:szCs w:val="22"/>
        </w:rPr>
        <w:softHyphen/>
        <w:t>ческие эпизоды с вовлечением обеих рук. На протяжении всего года больной по</w:t>
      </w:r>
      <w:r w:rsidRPr="004B0B65">
        <w:rPr>
          <w:rFonts w:ascii="Arial" w:eastAsia="Times New Roman" w:hAnsi="Arial" w:cs="Arial"/>
          <w:sz w:val="22"/>
          <w:szCs w:val="22"/>
        </w:rPr>
        <w:softHyphen/>
        <w:t>стоянно опаздывал утром на работу, перестал справляться с обычными нагрузка</w:t>
      </w:r>
      <w:r w:rsidRPr="004B0B65">
        <w:rPr>
          <w:rFonts w:ascii="Arial" w:eastAsia="Times New Roman" w:hAnsi="Arial" w:cs="Arial"/>
          <w:sz w:val="22"/>
          <w:szCs w:val="22"/>
        </w:rPr>
        <w:softHyphen/>
        <w:t>ми, стал раздражительным, плаксивым. При обследовании в поликлинике по месту жительства была заподозрена эпилепсия, и пациент был направлен на МРТ головного мозга и электроэнцефалографию, которые не выявили никаких из</w:t>
      </w:r>
      <w:r w:rsidRPr="004B0B65">
        <w:rPr>
          <w:rFonts w:ascii="Arial" w:eastAsia="Times New Roman" w:hAnsi="Arial" w:cs="Arial"/>
          <w:sz w:val="22"/>
          <w:szCs w:val="22"/>
        </w:rPr>
        <w:softHyphen/>
        <w:t>менений. При рутинном биохимическом анализе крови, который был произве</w:t>
      </w:r>
      <w:r w:rsidRPr="004B0B65">
        <w:rPr>
          <w:rFonts w:ascii="Arial" w:eastAsia="Times New Roman" w:hAnsi="Arial" w:cs="Arial"/>
          <w:sz w:val="22"/>
          <w:szCs w:val="22"/>
        </w:rPr>
        <w:softHyphen/>
        <w:t>ден через 5 ч после последнего приема пищи, была выявлена гипогликемия 2,2 ммоль/л при отсутствии у больного какой-либо симптоматики. Для дальней</w:t>
      </w:r>
      <w:r w:rsidRPr="004B0B65">
        <w:rPr>
          <w:rFonts w:ascii="Arial" w:eastAsia="Times New Roman" w:hAnsi="Arial" w:cs="Arial"/>
          <w:sz w:val="22"/>
          <w:szCs w:val="22"/>
        </w:rPr>
        <w:softHyphen/>
        <w:t xml:space="preserve">шего обследования с подозрением на инсулиному пациент поступил в клинику эндокринологии. Была выяснена прибавка массы тела на 5 кг за последние </w:t>
      </w:r>
      <w:r w:rsidRPr="004B0B65">
        <w:rPr>
          <w:rFonts w:ascii="Arial" w:eastAsia="Times New Roman" w:hAnsi="Arial" w:cs="Arial"/>
          <w:b/>
          <w:bCs/>
          <w:i/>
          <w:iCs/>
          <w:sz w:val="22"/>
          <w:szCs w:val="22"/>
        </w:rPr>
        <w:t>6</w:t>
      </w:r>
      <w:r w:rsidRPr="004B0B65">
        <w:rPr>
          <w:rFonts w:ascii="Arial" w:eastAsia="Times New Roman" w:hAnsi="Arial" w:cs="Arial"/>
          <w:sz w:val="22"/>
          <w:szCs w:val="22"/>
        </w:rPr>
        <w:t xml:space="preserve"> мес и частые эпизоды профузной потливости. Данные осмотра: без особенностей, ли</w:t>
      </w:r>
      <w:r w:rsidRPr="004B0B65">
        <w:rPr>
          <w:rFonts w:ascii="Arial" w:eastAsia="Times New Roman" w:hAnsi="Arial" w:cs="Arial"/>
          <w:sz w:val="22"/>
          <w:szCs w:val="22"/>
        </w:rPr>
        <w:softHyphen/>
        <w:t>хорадка отсутствует, общее состояние удовлетворительное, АД — 110/80 мм рт.ст., пульс ритмичный, 84 уд/мин, ЧД — 16 в минуту. Неврологический статус без из</w:t>
      </w:r>
      <w:r w:rsidRPr="004B0B65">
        <w:rPr>
          <w:rFonts w:ascii="Arial" w:eastAsia="Times New Roman" w:hAnsi="Arial" w:cs="Arial"/>
          <w:sz w:val="22"/>
          <w:szCs w:val="22"/>
        </w:rPr>
        <w:softHyphen/>
        <w:t>менений, рутинные лабораторные показатели в пределах нормы. Проба с голода</w:t>
      </w:r>
      <w:r w:rsidRPr="004B0B65">
        <w:rPr>
          <w:rFonts w:ascii="Arial" w:eastAsia="Times New Roman" w:hAnsi="Arial" w:cs="Arial"/>
          <w:sz w:val="22"/>
          <w:szCs w:val="22"/>
        </w:rPr>
        <w:softHyphen/>
        <w:t>нием начата в 7 ч утра. В 10 ч уровень глюкозы составил 4,3 ммоль/л, спустя 5,5 ч после начала теста он был 2,2 ммоль/л, однако симптоматика отсутствовала. В 21.30, т.е. через 14,5 ч после последнего приема пищи, у пациента появились отчетливые нейрогликопенические симптомы (замедление мышления, значи</w:t>
      </w:r>
      <w:r w:rsidRPr="004B0B65">
        <w:rPr>
          <w:rFonts w:ascii="Arial" w:eastAsia="Times New Roman" w:hAnsi="Arial" w:cs="Arial"/>
          <w:sz w:val="22"/>
          <w:szCs w:val="22"/>
        </w:rPr>
        <w:softHyphen/>
        <w:t>тельное замедление счета), при этом уровень глюкозы был равен 1,8 ммоль/л, одновременно измеренный уровень инсулина составил 62,9 мкЕД/мл (норма 5—20 мкЕД/мл), а С-пептида 5,6 нг/мл (норма 0,5—2 нг/мл). Указанная симпто</w:t>
      </w:r>
      <w:r w:rsidRPr="004B0B65">
        <w:rPr>
          <w:rFonts w:ascii="Arial" w:eastAsia="Times New Roman" w:hAnsi="Arial" w:cs="Arial"/>
          <w:sz w:val="22"/>
          <w:szCs w:val="22"/>
        </w:rPr>
        <w:softHyphen/>
        <w:t>матика была купирована внутривенным введением 50 мл 40 % раствора глюкозы, после этого пациента накормили. При КТ и МТР патологических изменений под</w:t>
      </w:r>
      <w:r w:rsidRPr="004B0B65">
        <w:rPr>
          <w:rFonts w:ascii="Arial" w:eastAsia="Times New Roman" w:hAnsi="Arial" w:cs="Arial"/>
          <w:sz w:val="22"/>
          <w:szCs w:val="22"/>
        </w:rPr>
        <w:softHyphen/>
        <w:t xml:space="preserve">желудочной железы </w:t>
      </w:r>
      <w:r w:rsidRPr="004B0B65">
        <w:rPr>
          <w:rFonts w:ascii="Arial" w:eastAsia="Times New Roman" w:hAnsi="Arial" w:cs="Arial"/>
          <w:sz w:val="22"/>
          <w:szCs w:val="22"/>
        </w:rPr>
        <w:lastRenderedPageBreak/>
        <w:t>и органов брюшной полости не выявлено. При эндоскопи</w:t>
      </w:r>
      <w:r w:rsidRPr="004B0B65">
        <w:rPr>
          <w:rFonts w:ascii="Arial" w:eastAsia="Times New Roman" w:hAnsi="Arial" w:cs="Arial"/>
          <w:sz w:val="22"/>
          <w:szCs w:val="22"/>
        </w:rPr>
        <w:softHyphen/>
        <w:t>ческом УЗИ обнаружено в области тела поджелудочной железы образование раз</w:t>
      </w:r>
      <w:r w:rsidRPr="004B0B65">
        <w:rPr>
          <w:rFonts w:ascii="Arial" w:eastAsia="Times New Roman" w:hAnsi="Arial" w:cs="Arial"/>
          <w:sz w:val="22"/>
          <w:szCs w:val="22"/>
        </w:rPr>
        <w:softHyphen/>
        <w:t>мером 0,</w:t>
      </w:r>
      <w:r w:rsidRPr="004B0B65">
        <w:rPr>
          <w:rFonts w:ascii="Arial" w:eastAsia="Times New Roman" w:hAnsi="Arial" w:cs="Arial"/>
          <w:sz w:val="22"/>
          <w:szCs w:val="22"/>
          <w:lang w:bidi="en-US"/>
        </w:rPr>
        <w:t>8x1,</w:t>
      </w:r>
      <w:r w:rsidRPr="004B0B65">
        <w:rPr>
          <w:rFonts w:ascii="Arial" w:eastAsia="Times New Roman" w:hAnsi="Arial" w:cs="Arial"/>
          <w:sz w:val="22"/>
          <w:szCs w:val="22"/>
        </w:rPr>
        <w:t>6 см. Пациента направили в хирургическую клинику, где была ус</w:t>
      </w:r>
      <w:r w:rsidRPr="004B0B65">
        <w:rPr>
          <w:rFonts w:ascii="Arial" w:eastAsia="Times New Roman" w:hAnsi="Arial" w:cs="Arial"/>
          <w:sz w:val="22"/>
          <w:szCs w:val="22"/>
        </w:rPr>
        <w:softHyphen/>
        <w:t>пешно произведена энуклеация инсулиномы.</w:t>
      </w:r>
    </w:p>
    <w:p w:rsidR="001774BF" w:rsidRPr="004B0B65" w:rsidRDefault="001774BF" w:rsidP="00DE1F06">
      <w:pPr>
        <w:jc w:val="both"/>
        <w:rPr>
          <w:rFonts w:ascii="Arial" w:eastAsia="Times New Roman" w:hAnsi="Arial" w:cs="Arial"/>
          <w:sz w:val="22"/>
          <w:szCs w:val="22"/>
        </w:rPr>
      </w:pPr>
      <w:r w:rsidRPr="004B0B65">
        <w:rPr>
          <w:rFonts w:ascii="Arial" w:eastAsia="Times New Roman" w:hAnsi="Arial" w:cs="Arial"/>
          <w:sz w:val="22"/>
          <w:szCs w:val="22"/>
        </w:rPr>
        <w:t>Лечение. В большинстве случаев при инсулиноме лечение сводится к удалению опухоли путем энуклеации (операция выбора), эксцизии или парциальной резекции ПЖЖ. Предоперационная подготовка направлена на обеспечение поддержания оптимального уровня гликемии. Интервал между приемами пищи не должен превышать 4—5 ч, пациента рекоменду</w:t>
      </w:r>
      <w:r w:rsidRPr="004B0B65">
        <w:rPr>
          <w:rFonts w:ascii="Arial" w:eastAsia="Times New Roman" w:hAnsi="Arial" w:cs="Arial"/>
          <w:sz w:val="22"/>
          <w:szCs w:val="22"/>
        </w:rPr>
        <w:softHyphen/>
        <w:t>ется будить и кормить 1—2 раза ночью.</w:t>
      </w:r>
    </w:p>
    <w:p w:rsidR="001774BF" w:rsidRPr="004B0B65" w:rsidRDefault="001774BF" w:rsidP="00DE1F06">
      <w:pPr>
        <w:jc w:val="both"/>
        <w:rPr>
          <w:rFonts w:ascii="Arial" w:eastAsia="Times New Roman" w:hAnsi="Arial" w:cs="Arial"/>
          <w:sz w:val="22"/>
          <w:szCs w:val="22"/>
        </w:rPr>
      </w:pPr>
      <w:r w:rsidRPr="004B0B65">
        <w:rPr>
          <w:rFonts w:ascii="Arial" w:eastAsia="Times New Roman" w:hAnsi="Arial" w:cs="Arial"/>
          <w:sz w:val="22"/>
          <w:szCs w:val="22"/>
        </w:rPr>
        <w:t>Несмотря на имеющиеся методы топической диагностики (см. раздел 13.2), нередко хирургу приходится рассчитывать лишь на свой опыт при тщательной ревизии ПЖЖ. Основанием для удаления инсулиномы путем резекции части ПЖЖ является значительный диаметр новообразования, занимающего большую часть поперечника органа, когда энуклеация узла может привести к некрозу дистальных отделов ПЖЖ. Резекции также под</w:t>
      </w:r>
      <w:r w:rsidRPr="004B0B65">
        <w:rPr>
          <w:rFonts w:ascii="Arial" w:eastAsia="Times New Roman" w:hAnsi="Arial" w:cs="Arial"/>
          <w:sz w:val="22"/>
          <w:szCs w:val="22"/>
        </w:rPr>
        <w:softHyphen/>
        <w:t>лежит участок железы, включающий новообразование с инфильтрирующим ростом. В послеоперационном периоде важное значение имеет профилак</w:t>
      </w:r>
      <w:r w:rsidRPr="004B0B65">
        <w:rPr>
          <w:rFonts w:ascii="Arial" w:eastAsia="Times New Roman" w:hAnsi="Arial" w:cs="Arial"/>
          <w:sz w:val="22"/>
          <w:szCs w:val="22"/>
        </w:rPr>
        <w:softHyphen/>
        <w:t>тика послеоперационного панкреатита, который является наиболее частым осложнением после вмешательства на ПЖЖ. Наиболее эффективным пре</w:t>
      </w:r>
      <w:r w:rsidRPr="004B0B65">
        <w:rPr>
          <w:rFonts w:ascii="Arial" w:eastAsia="Times New Roman" w:hAnsi="Arial" w:cs="Arial"/>
          <w:sz w:val="22"/>
          <w:szCs w:val="22"/>
        </w:rPr>
        <w:softHyphen/>
        <w:t>паратом является октреотид (сандостатин). Кроме того, используются ци</w:t>
      </w:r>
      <w:r w:rsidRPr="004B0B65">
        <w:rPr>
          <w:rFonts w:ascii="Arial" w:eastAsia="Times New Roman" w:hAnsi="Arial" w:cs="Arial"/>
          <w:sz w:val="22"/>
          <w:szCs w:val="22"/>
        </w:rPr>
        <w:softHyphen/>
        <w:t>тостатики (5-фторурацил) и ингибиторы протеаз (трасилол, контрикал).</w:t>
      </w:r>
    </w:p>
    <w:p w:rsidR="001774BF" w:rsidRPr="004B0B65" w:rsidRDefault="001774BF" w:rsidP="00DE1F06">
      <w:pPr>
        <w:jc w:val="both"/>
        <w:rPr>
          <w:rFonts w:ascii="Arial" w:eastAsia="Times New Roman" w:hAnsi="Arial" w:cs="Arial"/>
          <w:sz w:val="22"/>
          <w:szCs w:val="22"/>
        </w:rPr>
      </w:pPr>
      <w:r w:rsidRPr="004B0B65">
        <w:rPr>
          <w:rFonts w:ascii="Arial" w:eastAsia="Times New Roman" w:hAnsi="Arial" w:cs="Arial"/>
          <w:sz w:val="22"/>
          <w:szCs w:val="22"/>
        </w:rPr>
        <w:t>При невозможности удаления опухоли или при неэффективности опе</w:t>
      </w:r>
      <w:r w:rsidRPr="004B0B65">
        <w:rPr>
          <w:rFonts w:ascii="Arial" w:eastAsia="Times New Roman" w:hAnsi="Arial" w:cs="Arial"/>
          <w:sz w:val="22"/>
          <w:szCs w:val="22"/>
        </w:rPr>
        <w:softHyphen/>
        <w:t>ративного лечения проводится симптоматическая терапия. Последняя на</w:t>
      </w:r>
      <w:r w:rsidRPr="004B0B65">
        <w:rPr>
          <w:rFonts w:ascii="Arial" w:eastAsia="Times New Roman" w:hAnsi="Arial" w:cs="Arial"/>
          <w:sz w:val="22"/>
          <w:szCs w:val="22"/>
        </w:rPr>
        <w:softHyphen/>
        <w:t>правлена, во-первых, на купирование и профилактику гипогликемических состояний и, во-вторых, на стабилизацию роста самой опухоли и профи</w:t>
      </w:r>
      <w:r w:rsidRPr="004B0B65">
        <w:rPr>
          <w:rFonts w:ascii="Arial" w:eastAsia="Times New Roman" w:hAnsi="Arial" w:cs="Arial"/>
          <w:sz w:val="22"/>
          <w:szCs w:val="22"/>
        </w:rPr>
        <w:softHyphen/>
        <w:t>лактику метастазирования.</w:t>
      </w:r>
    </w:p>
    <w:p w:rsidR="001774BF" w:rsidRPr="004B0B65" w:rsidRDefault="001774BF" w:rsidP="00DE1F06">
      <w:pPr>
        <w:jc w:val="both"/>
        <w:rPr>
          <w:rFonts w:ascii="Arial" w:eastAsia="Times New Roman" w:hAnsi="Arial" w:cs="Arial"/>
          <w:sz w:val="22"/>
          <w:szCs w:val="22"/>
        </w:rPr>
      </w:pPr>
      <w:r w:rsidRPr="004B0B65">
        <w:rPr>
          <w:rFonts w:ascii="Arial" w:eastAsia="Times New Roman" w:hAnsi="Arial" w:cs="Arial"/>
          <w:sz w:val="22"/>
          <w:szCs w:val="22"/>
        </w:rPr>
        <w:t>Для профилактики гипогликемии в ряде случаев эффективным оказы</w:t>
      </w:r>
      <w:r w:rsidRPr="004B0B65">
        <w:rPr>
          <w:rFonts w:ascii="Arial" w:eastAsia="Times New Roman" w:hAnsi="Arial" w:cs="Arial"/>
          <w:sz w:val="22"/>
          <w:szCs w:val="22"/>
        </w:rPr>
        <w:softHyphen/>
        <w:t>вается диазоксид (прогликем, гиперстат) в дозе 100—600 мг/сут, которая распределяется на 3—4 приема. Препарат при видимом эффекте прнменя ется годами. Из-за снижения экскреции натрия и воды его применение может привести к развитию отечного синдрома, потому его рекомендуется комбинировать с мочегонными средствами. У части больных эффективным препаратом для профилактики гипогликемии оказывается октреотид (сан- достатин) — аналог соматостатина длительного действия. Показанием для его применения являются злокачественные, метастатические инсулиномы, в отношении которых он обладает антипролиферативной противоопухоле</w:t>
      </w:r>
      <w:r w:rsidRPr="004B0B65">
        <w:rPr>
          <w:rFonts w:ascii="Arial" w:eastAsia="Times New Roman" w:hAnsi="Arial" w:cs="Arial"/>
          <w:sz w:val="22"/>
          <w:szCs w:val="22"/>
        </w:rPr>
        <w:softHyphen/>
        <w:t>вой активностью. При невозможности стабилизировать рост опухоли и уро</w:t>
      </w:r>
      <w:r w:rsidRPr="004B0B65">
        <w:rPr>
          <w:rFonts w:ascii="Arial" w:eastAsia="Times New Roman" w:hAnsi="Arial" w:cs="Arial"/>
          <w:sz w:val="22"/>
          <w:szCs w:val="22"/>
        </w:rPr>
        <w:softHyphen/>
        <w:t>вень глюкозы в крови октреотидом и его комбинацией с диазоксидом па</w:t>
      </w:r>
      <w:r w:rsidRPr="004B0B65">
        <w:rPr>
          <w:rFonts w:ascii="Arial" w:eastAsia="Times New Roman" w:hAnsi="Arial" w:cs="Arial"/>
          <w:sz w:val="22"/>
          <w:szCs w:val="22"/>
        </w:rPr>
        <w:softHyphen/>
        <w:t>циенту назначают химиотерапию. Для этого используют стрептозотоцин, вызывающий избирательную деструкцию островков Лангерганса. К пре</w:t>
      </w:r>
      <w:r w:rsidRPr="004B0B65">
        <w:rPr>
          <w:rFonts w:ascii="Arial" w:eastAsia="Times New Roman" w:hAnsi="Arial" w:cs="Arial"/>
          <w:sz w:val="22"/>
          <w:szCs w:val="22"/>
        </w:rPr>
        <w:softHyphen/>
        <w:t>парату чувствительны около 60 % злокачественных инсулином. Курсовая доза составляет 30 г (по 2 г/сут внутривенно струйно). Наиболее частыми осложнениями являются поражение почек, печени, гипохромная анемия, диспепсические явления. Эффективна комбинация стрептозотоцина с до</w:t>
      </w:r>
      <w:r w:rsidRPr="004B0B65">
        <w:rPr>
          <w:rFonts w:ascii="Arial" w:eastAsia="Times New Roman" w:hAnsi="Arial" w:cs="Arial"/>
          <w:sz w:val="22"/>
          <w:szCs w:val="22"/>
        </w:rPr>
        <w:softHyphen/>
        <w:t>ксорубицином и 5-фторурацилом.</w:t>
      </w:r>
    </w:p>
    <w:p w:rsidR="001774BF" w:rsidRPr="004B0B65" w:rsidRDefault="001774BF" w:rsidP="00DE1F06">
      <w:pPr>
        <w:pStyle w:val="1"/>
        <w:numPr>
          <w:ilvl w:val="2"/>
          <w:numId w:val="7"/>
        </w:numPr>
        <w:tabs>
          <w:tab w:val="left" w:pos="802"/>
        </w:tabs>
        <w:ind w:firstLine="0"/>
        <w:rPr>
          <w:rFonts w:ascii="Arial" w:hAnsi="Arial" w:cs="Arial"/>
          <w:sz w:val="24"/>
          <w:szCs w:val="24"/>
        </w:rPr>
      </w:pPr>
      <w:r w:rsidRPr="004B0B65">
        <w:rPr>
          <w:rFonts w:ascii="Arial" w:hAnsi="Arial" w:cs="Arial"/>
          <w:b/>
          <w:bCs/>
          <w:i/>
          <w:iCs/>
          <w:sz w:val="24"/>
          <w:szCs w:val="24"/>
        </w:rPr>
        <w:t>. Гиперплазия островков поджелудочной железы</w:t>
      </w:r>
    </w:p>
    <w:p w:rsidR="001774BF" w:rsidRPr="004B0B65" w:rsidRDefault="001774BF" w:rsidP="00DE1F06">
      <w:pPr>
        <w:pStyle w:val="1"/>
        <w:ind w:firstLine="0"/>
        <w:jc w:val="both"/>
        <w:rPr>
          <w:rFonts w:ascii="Arial" w:hAnsi="Arial" w:cs="Arial"/>
        </w:rPr>
      </w:pPr>
      <w:r w:rsidRPr="004B0B65">
        <w:rPr>
          <w:rFonts w:ascii="Arial" w:hAnsi="Arial" w:cs="Arial"/>
        </w:rPr>
        <w:t>Под этим термином, как правило, понимают два клинически схожих, но пато- и морфогенетически различающихся заболевания — незидиобластоз и микроаденоматоз островков Лангерганса.</w:t>
      </w:r>
    </w:p>
    <w:p w:rsidR="001774BF" w:rsidRPr="004B0B65" w:rsidRDefault="001774BF" w:rsidP="00DE1F06">
      <w:pPr>
        <w:pStyle w:val="1"/>
        <w:ind w:firstLine="420"/>
        <w:jc w:val="both"/>
        <w:rPr>
          <w:rFonts w:ascii="Arial" w:hAnsi="Arial" w:cs="Arial"/>
        </w:rPr>
      </w:pPr>
      <w:r w:rsidRPr="004B0B65">
        <w:rPr>
          <w:rFonts w:ascii="Arial" w:hAnsi="Arial" w:cs="Arial"/>
        </w:rPr>
        <w:t>Незидиобласты представляют собой полипотентные стволовые клетки протокового эпителия ПЖЖ. Незидиобластоз — диффузная или диссеми</w:t>
      </w:r>
      <w:r w:rsidRPr="004B0B65">
        <w:rPr>
          <w:rFonts w:ascii="Arial" w:hAnsi="Arial" w:cs="Arial"/>
        </w:rPr>
        <w:softHyphen/>
        <w:t>нированная пролиферация островковых клеток с элементами трансформа</w:t>
      </w:r>
      <w:r w:rsidRPr="004B0B65">
        <w:rPr>
          <w:rFonts w:ascii="Arial" w:hAnsi="Arial" w:cs="Arial"/>
        </w:rPr>
        <w:softHyphen/>
        <w:t xml:space="preserve">ции протокового эпителия в р-клетки. Помимо гиперплазии р-клеток, при У этом часто обнаруживается увеличение числа </w:t>
      </w:r>
      <w:r w:rsidRPr="004B0B65">
        <w:rPr>
          <w:rFonts w:ascii="Arial" w:hAnsi="Arial" w:cs="Arial"/>
          <w:lang w:val="en-US" w:bidi="en-US"/>
        </w:rPr>
        <w:t>a</w:t>
      </w:r>
      <w:r w:rsidRPr="004B0B65">
        <w:rPr>
          <w:rFonts w:ascii="Arial" w:hAnsi="Arial" w:cs="Arial"/>
          <w:lang w:bidi="en-US"/>
        </w:rPr>
        <w:t xml:space="preserve">-, </w:t>
      </w:r>
      <w:r w:rsidRPr="004B0B65">
        <w:rPr>
          <w:rFonts w:ascii="Arial" w:hAnsi="Arial" w:cs="Arial"/>
          <w:lang w:val="en-US" w:bidi="en-US"/>
        </w:rPr>
        <w:t>S</w:t>
      </w:r>
      <w:r w:rsidRPr="004B0B65">
        <w:rPr>
          <w:rFonts w:ascii="Arial" w:hAnsi="Arial" w:cs="Arial"/>
          <w:lang w:bidi="en-US"/>
        </w:rPr>
        <w:t xml:space="preserve">- </w:t>
      </w:r>
      <w:r w:rsidR="00400E9E">
        <w:rPr>
          <w:rFonts w:ascii="Arial" w:hAnsi="Arial" w:cs="Arial"/>
        </w:rPr>
        <w:t>и РР-клеток. Гистоло</w:t>
      </w:r>
      <w:r w:rsidRPr="004B0B65">
        <w:rPr>
          <w:rFonts w:ascii="Arial" w:hAnsi="Arial" w:cs="Arial"/>
        </w:rPr>
        <w:t>гически незидиобластоз характеризуется:</w:t>
      </w:r>
    </w:p>
    <w:p w:rsidR="001774BF" w:rsidRPr="004B0B65" w:rsidRDefault="001774BF" w:rsidP="00DE1F06">
      <w:pPr>
        <w:pStyle w:val="1"/>
        <w:numPr>
          <w:ilvl w:val="0"/>
          <w:numId w:val="8"/>
        </w:numPr>
        <w:tabs>
          <w:tab w:val="left" w:pos="733"/>
        </w:tabs>
        <w:ind w:left="660" w:hanging="240"/>
        <w:jc w:val="both"/>
        <w:rPr>
          <w:rFonts w:ascii="Arial" w:hAnsi="Arial" w:cs="Arial"/>
        </w:rPr>
      </w:pPr>
      <w:r w:rsidRPr="004B0B65">
        <w:rPr>
          <w:rFonts w:ascii="Arial" w:hAnsi="Arial" w:cs="Arial"/>
        </w:rPr>
        <w:t>увеличением числа островковых клеток и/или их размеров вплоть до формирования гигантских островков;</w:t>
      </w:r>
    </w:p>
    <w:p w:rsidR="001774BF" w:rsidRPr="004B0B65" w:rsidRDefault="001774BF" w:rsidP="00DE1F06">
      <w:pPr>
        <w:pStyle w:val="1"/>
        <w:numPr>
          <w:ilvl w:val="0"/>
          <w:numId w:val="8"/>
        </w:numPr>
        <w:tabs>
          <w:tab w:val="left" w:pos="733"/>
        </w:tabs>
        <w:ind w:left="660" w:hanging="240"/>
        <w:jc w:val="both"/>
        <w:rPr>
          <w:rFonts w:ascii="Arial" w:hAnsi="Arial" w:cs="Arial"/>
        </w:rPr>
      </w:pPr>
      <w:r w:rsidRPr="004B0B65">
        <w:rPr>
          <w:rFonts w:ascii="Arial" w:hAnsi="Arial" w:cs="Arial"/>
        </w:rPr>
        <w:t>нечетким отграничением островков от экзокринной части железы, характеризующимся проникновением экзокринной ткани между мелкими эндокринными клеточными комплексами;</w:t>
      </w:r>
    </w:p>
    <w:p w:rsidR="001774BF" w:rsidRPr="004B0B65" w:rsidRDefault="001774BF" w:rsidP="00DE1F06">
      <w:pPr>
        <w:pStyle w:val="1"/>
        <w:numPr>
          <w:ilvl w:val="0"/>
          <w:numId w:val="8"/>
        </w:numPr>
        <w:tabs>
          <w:tab w:val="left" w:pos="733"/>
        </w:tabs>
        <w:ind w:firstLine="420"/>
        <w:rPr>
          <w:rFonts w:ascii="Arial" w:hAnsi="Arial" w:cs="Arial"/>
        </w:rPr>
      </w:pPr>
      <w:r w:rsidRPr="004B0B65">
        <w:rPr>
          <w:rFonts w:ascii="Arial" w:hAnsi="Arial" w:cs="Arial"/>
        </w:rPr>
        <w:t>дуктоинсулярной трансформацией и пролиферацией.</w:t>
      </w:r>
    </w:p>
    <w:p w:rsidR="001774BF" w:rsidRPr="004B0B65" w:rsidRDefault="001774BF" w:rsidP="00DE1F06">
      <w:pPr>
        <w:pStyle w:val="1"/>
        <w:ind w:firstLine="420"/>
        <w:jc w:val="both"/>
        <w:rPr>
          <w:rFonts w:ascii="Arial" w:hAnsi="Arial" w:cs="Arial"/>
        </w:rPr>
      </w:pPr>
      <w:r w:rsidRPr="004B0B65">
        <w:rPr>
          <w:rFonts w:ascii="Arial" w:hAnsi="Arial" w:cs="Arial"/>
        </w:rPr>
        <w:t>Этиология и патогенез. Этиология незидиобластоза неиз</w:t>
      </w:r>
      <w:r w:rsidRPr="004B0B65">
        <w:rPr>
          <w:rFonts w:ascii="Arial" w:hAnsi="Arial" w:cs="Arial"/>
        </w:rPr>
        <w:softHyphen/>
        <w:t xml:space="preserve">вестна. Предполагаются </w:t>
      </w:r>
      <w:r w:rsidRPr="004B0B65">
        <w:rPr>
          <w:rFonts w:ascii="Arial" w:hAnsi="Arial" w:cs="Arial"/>
        </w:rPr>
        <w:lastRenderedPageBreak/>
        <w:t>компенсаторные нарушения механизма деления р- клеток (например, при хроническом панкреатите, у детей, рожденных от матерей с плохо компенсировавшимся сахарным диабетом), снижение чув</w:t>
      </w:r>
      <w:r w:rsidRPr="004B0B65">
        <w:rPr>
          <w:rFonts w:ascii="Arial" w:hAnsi="Arial" w:cs="Arial"/>
        </w:rPr>
        <w:softHyphen/>
        <w:t>ствительности островковых клеток к соматостатину. В отличие от секреции при инсулиноме, секреция инсулина при незидиобластозе не полностью автономна: можно обнаружить некоторое снижение секреции С-пептида в ответ на экзогенное введение инсулина.</w:t>
      </w:r>
    </w:p>
    <w:p w:rsidR="001774BF" w:rsidRPr="004B0B65" w:rsidRDefault="001774BF" w:rsidP="00DE1F06">
      <w:pPr>
        <w:pStyle w:val="1"/>
        <w:ind w:firstLine="420"/>
        <w:jc w:val="both"/>
        <w:rPr>
          <w:rFonts w:ascii="Arial" w:hAnsi="Arial" w:cs="Arial"/>
        </w:rPr>
      </w:pPr>
      <w:r w:rsidRPr="004B0B65">
        <w:rPr>
          <w:rFonts w:ascii="Arial" w:hAnsi="Arial" w:cs="Arial"/>
        </w:rPr>
        <w:t>Незидиобластоз — крайне редкая патология — составляет не более 1,5 % случаев органического гиперинсулинизма. Встречается преимущественно у детей, описаны семейные формы. Принципиальным для диагностики фак</w:t>
      </w:r>
      <w:r w:rsidRPr="004B0B65">
        <w:rPr>
          <w:rFonts w:ascii="Arial" w:hAnsi="Arial" w:cs="Arial"/>
        </w:rPr>
        <w:softHyphen/>
        <w:t>том является то, что незидиобластоз редко встречается в изолированном виде, В большинстве случаев он сочетается с синдромом Золлингера—Элли</w:t>
      </w:r>
      <w:r w:rsidRPr="004B0B65">
        <w:rPr>
          <w:rFonts w:ascii="Arial" w:hAnsi="Arial" w:cs="Arial"/>
        </w:rPr>
        <w:softHyphen/>
        <w:t>сона, хроническим панкреатитом, кистозным фиброзом, является одним из компонентов синдрома МЭН-1.</w:t>
      </w:r>
    </w:p>
    <w:p w:rsidR="00F62419" w:rsidRPr="004B0B65" w:rsidRDefault="001774BF" w:rsidP="00DE1F06">
      <w:pPr>
        <w:pStyle w:val="1"/>
        <w:ind w:firstLine="0"/>
        <w:jc w:val="both"/>
        <w:rPr>
          <w:rFonts w:ascii="Arial" w:hAnsi="Arial" w:cs="Arial"/>
        </w:rPr>
      </w:pPr>
      <w:r w:rsidRPr="004B0B65">
        <w:rPr>
          <w:rFonts w:ascii="Arial" w:hAnsi="Arial" w:cs="Arial"/>
        </w:rPr>
        <w:t>В противоположность этому микроаденоматоз р-клеток — особая форма островково-клеточных аденом, т.</w:t>
      </w:r>
      <w:r w:rsidR="00F62419" w:rsidRPr="004B0B65">
        <w:rPr>
          <w:rFonts w:ascii="Arial" w:hAnsi="Arial" w:cs="Arial"/>
        </w:rPr>
        <w:t>е. это не дуктоинсулярная транс формация и гиперплазия, а множественные мелкие аденомы (инсулино</w:t>
      </w:r>
      <w:r w:rsidR="00F62419" w:rsidRPr="004B0B65">
        <w:rPr>
          <w:rFonts w:ascii="Arial" w:hAnsi="Arial" w:cs="Arial"/>
        </w:rPr>
        <w:softHyphen/>
        <w:t>мы). Микроаденоматоз, как правило, развивается при синдроме МЭН-1.</w:t>
      </w:r>
    </w:p>
    <w:p w:rsidR="00F62419" w:rsidRPr="004B0B65" w:rsidRDefault="00F62419" w:rsidP="00DE1F06">
      <w:pPr>
        <w:ind w:firstLine="440"/>
        <w:jc w:val="both"/>
        <w:rPr>
          <w:rFonts w:ascii="Arial" w:eastAsia="Times New Roman" w:hAnsi="Arial" w:cs="Arial"/>
          <w:sz w:val="22"/>
          <w:szCs w:val="22"/>
        </w:rPr>
      </w:pPr>
      <w:r w:rsidRPr="004B0B65">
        <w:rPr>
          <w:rFonts w:ascii="Arial" w:eastAsia="Times New Roman" w:hAnsi="Arial" w:cs="Arial"/>
          <w:sz w:val="22"/>
          <w:szCs w:val="22"/>
        </w:rPr>
        <w:t>Клиническая картина. Различить эти два заболевания можно только гистологически. Клинически они проявляются органическим, тоща- ковым гипогликемическим синдромом, который ничем не отличается от такового при инсулиноме. Предположить наличие незидиобластоза или микроаденоматоза можно при обнаружении синдрома органического гиперинсулинизма при МЭН-1.</w:t>
      </w:r>
    </w:p>
    <w:p w:rsidR="00F62419" w:rsidRPr="004B0B65" w:rsidRDefault="00F62419" w:rsidP="00DE1F06">
      <w:pPr>
        <w:ind w:firstLine="440"/>
        <w:jc w:val="both"/>
        <w:rPr>
          <w:rFonts w:ascii="Arial" w:eastAsia="Times New Roman" w:hAnsi="Arial" w:cs="Arial"/>
          <w:sz w:val="22"/>
          <w:szCs w:val="22"/>
        </w:rPr>
      </w:pPr>
      <w:r w:rsidRPr="004B0B65">
        <w:rPr>
          <w:rFonts w:ascii="Arial" w:eastAsia="Times New Roman" w:hAnsi="Arial" w:cs="Arial"/>
          <w:sz w:val="22"/>
          <w:szCs w:val="22"/>
        </w:rPr>
        <w:t>Диагностика. При доказанном органическом гиперинсулинизме в 5—15 % случаев как пред-, так и интраоперационная топическая диагнос</w:t>
      </w:r>
      <w:r w:rsidRPr="004B0B65">
        <w:rPr>
          <w:rFonts w:ascii="Arial" w:eastAsia="Times New Roman" w:hAnsi="Arial" w:cs="Arial"/>
          <w:sz w:val="22"/>
          <w:szCs w:val="22"/>
        </w:rPr>
        <w:softHyphen/>
        <w:t>тика любыми из имеющихся методов оказывается безуспешной. Косвенно о полифокальном поражении ПЖЖ может свидетельствовать одинаково высокий уровень инсулина в большинстве проб крови, оттекающей от ПЖЖ. В этой ситуации необходима биопсия ПЖЖ со срочным гистологи</w:t>
      </w:r>
      <w:r w:rsidRPr="004B0B65">
        <w:rPr>
          <w:rFonts w:ascii="Arial" w:eastAsia="Times New Roman" w:hAnsi="Arial" w:cs="Arial"/>
          <w:sz w:val="22"/>
          <w:szCs w:val="22"/>
        </w:rPr>
        <w:softHyphen/>
        <w:t>ческим исследованием материала.</w:t>
      </w:r>
    </w:p>
    <w:p w:rsidR="00F62419" w:rsidRPr="004B0B65" w:rsidRDefault="00F62419" w:rsidP="00DE1F06">
      <w:pPr>
        <w:ind w:firstLine="442"/>
        <w:jc w:val="both"/>
        <w:rPr>
          <w:rFonts w:ascii="Arial" w:eastAsia="Times New Roman" w:hAnsi="Arial" w:cs="Arial"/>
          <w:sz w:val="22"/>
          <w:szCs w:val="22"/>
        </w:rPr>
      </w:pPr>
      <w:r w:rsidRPr="004B0B65">
        <w:rPr>
          <w:rFonts w:ascii="Arial" w:eastAsia="Times New Roman" w:hAnsi="Arial" w:cs="Arial"/>
          <w:sz w:val="22"/>
          <w:szCs w:val="22"/>
        </w:rPr>
        <w:t>Лечение. При установлении в этой ситуации диагноза незидиоблас</w:t>
      </w:r>
      <w:r w:rsidRPr="004B0B65">
        <w:rPr>
          <w:rFonts w:ascii="Arial" w:eastAsia="Times New Roman" w:hAnsi="Arial" w:cs="Arial"/>
          <w:sz w:val="22"/>
          <w:szCs w:val="22"/>
        </w:rPr>
        <w:softHyphen/>
        <w:t>тоза или микроаденоматоза производится резекция 70—80 % ПЖЖ. При не- зидиобластозе у детей резецируется 95 % ПЖЖ. Закономерным следствием слепой резекции «наиболее подозрительного» участка без срочного гистоло</w:t>
      </w:r>
      <w:r w:rsidRPr="004B0B65">
        <w:rPr>
          <w:rFonts w:ascii="Arial" w:eastAsia="Times New Roman" w:hAnsi="Arial" w:cs="Arial"/>
          <w:sz w:val="22"/>
          <w:szCs w:val="22"/>
        </w:rPr>
        <w:softHyphen/>
        <w:t>гического исследования является рецидив гипогликемического синдрома. Так, имеются описания случаев, когда при незидиобластозе производилось по 3—5 повторных операции на ПЖЖ, которые сами по себе имеют высокий риск развития панкреатита. Имеются сообщения об эффективности длитель</w:t>
      </w:r>
      <w:r w:rsidRPr="004B0B65">
        <w:rPr>
          <w:rFonts w:ascii="Arial" w:eastAsia="Times New Roman" w:hAnsi="Arial" w:cs="Arial"/>
          <w:sz w:val="22"/>
          <w:szCs w:val="22"/>
        </w:rPr>
        <w:softHyphen/>
        <w:t>ного, многолетнего лечения октреотидом незидиобластоза у детей.</w:t>
      </w:r>
    </w:p>
    <w:p w:rsidR="0074786D" w:rsidRPr="004B0B65" w:rsidRDefault="0074786D" w:rsidP="00DE1F06">
      <w:pPr>
        <w:keepNext/>
        <w:keepLines/>
        <w:numPr>
          <w:ilvl w:val="1"/>
          <w:numId w:val="9"/>
        </w:numPr>
        <w:tabs>
          <w:tab w:val="left" w:pos="658"/>
        </w:tabs>
        <w:jc w:val="both"/>
        <w:outlineLvl w:val="3"/>
        <w:rPr>
          <w:rFonts w:ascii="Arial" w:eastAsia="Times New Roman" w:hAnsi="Arial" w:cs="Arial"/>
          <w:b/>
          <w:bCs/>
        </w:rPr>
      </w:pPr>
      <w:bookmarkStart w:id="1" w:name="bookmark197"/>
      <w:r w:rsidRPr="004B0B65">
        <w:rPr>
          <w:rFonts w:ascii="Arial" w:eastAsia="Times New Roman" w:hAnsi="Arial" w:cs="Arial"/>
          <w:b/>
          <w:bCs/>
        </w:rPr>
        <w:t>Гастринома (синдром Золлингера—Эллисона)</w:t>
      </w:r>
      <w:bookmarkEnd w:id="1"/>
    </w:p>
    <w:p w:rsidR="0074786D" w:rsidRPr="004B0B65" w:rsidRDefault="0074786D" w:rsidP="00DE1F06">
      <w:pPr>
        <w:jc w:val="both"/>
        <w:rPr>
          <w:rFonts w:ascii="Arial" w:eastAsia="Times New Roman" w:hAnsi="Arial" w:cs="Arial"/>
          <w:sz w:val="22"/>
          <w:szCs w:val="22"/>
        </w:rPr>
      </w:pPr>
      <w:r w:rsidRPr="004B0B65">
        <w:rPr>
          <w:rFonts w:ascii="Arial" w:eastAsia="Times New Roman" w:hAnsi="Arial" w:cs="Arial"/>
          <w:sz w:val="22"/>
          <w:szCs w:val="22"/>
        </w:rPr>
        <w:t>Гастринома — гастринпродуцирующая опухоль, клинически проявляющая</w:t>
      </w:r>
      <w:r w:rsidRPr="004B0B65">
        <w:rPr>
          <w:rFonts w:ascii="Arial" w:eastAsia="Times New Roman" w:hAnsi="Arial" w:cs="Arial"/>
          <w:sz w:val="22"/>
          <w:szCs w:val="22"/>
        </w:rPr>
        <w:softHyphen/>
        <w:t>ся триадой, описанной в 1955 г. Р. Золлингером и Е. Эллисоном:</w:t>
      </w:r>
    </w:p>
    <w:p w:rsidR="0074786D" w:rsidRPr="004B0B65" w:rsidRDefault="0074786D" w:rsidP="00DE1F06">
      <w:pPr>
        <w:numPr>
          <w:ilvl w:val="0"/>
          <w:numId w:val="10"/>
        </w:numPr>
        <w:tabs>
          <w:tab w:val="left" w:pos="656"/>
        </w:tabs>
        <w:jc w:val="both"/>
        <w:rPr>
          <w:rFonts w:ascii="Arial" w:eastAsia="Times New Roman" w:hAnsi="Arial" w:cs="Arial"/>
          <w:sz w:val="22"/>
          <w:szCs w:val="22"/>
        </w:rPr>
      </w:pPr>
      <w:r w:rsidRPr="004B0B65">
        <w:rPr>
          <w:rFonts w:ascii="Arial" w:eastAsia="Times New Roman" w:hAnsi="Arial" w:cs="Arial"/>
          <w:sz w:val="22"/>
          <w:szCs w:val="22"/>
        </w:rPr>
        <w:t>выраженная гиперсекреция соляной кислоты париетальными клетка</w:t>
      </w:r>
      <w:r w:rsidRPr="004B0B65">
        <w:rPr>
          <w:rFonts w:ascii="Arial" w:eastAsia="Times New Roman" w:hAnsi="Arial" w:cs="Arial"/>
          <w:sz w:val="22"/>
          <w:szCs w:val="22"/>
        </w:rPr>
        <w:softHyphen/>
        <w:t>ми слизистой желудка;</w:t>
      </w:r>
    </w:p>
    <w:p w:rsidR="0074786D" w:rsidRPr="004B0B65" w:rsidRDefault="0074786D" w:rsidP="00DE1F06">
      <w:pPr>
        <w:numPr>
          <w:ilvl w:val="0"/>
          <w:numId w:val="10"/>
        </w:numPr>
        <w:tabs>
          <w:tab w:val="left" w:pos="656"/>
        </w:tabs>
        <w:jc w:val="both"/>
        <w:rPr>
          <w:rFonts w:ascii="Arial" w:eastAsia="Times New Roman" w:hAnsi="Arial" w:cs="Arial"/>
          <w:sz w:val="22"/>
          <w:szCs w:val="22"/>
        </w:rPr>
      </w:pPr>
      <w:r w:rsidRPr="004B0B65">
        <w:rPr>
          <w:rFonts w:ascii="Arial" w:eastAsia="Times New Roman" w:hAnsi="Arial" w:cs="Arial"/>
          <w:sz w:val="22"/>
          <w:szCs w:val="22"/>
        </w:rPr>
        <w:t>рецидивирующие пептические язвы;</w:t>
      </w:r>
    </w:p>
    <w:p w:rsidR="0074786D" w:rsidRPr="004B0B65" w:rsidRDefault="0074786D" w:rsidP="00DE1F06">
      <w:pPr>
        <w:numPr>
          <w:ilvl w:val="0"/>
          <w:numId w:val="10"/>
        </w:numPr>
        <w:tabs>
          <w:tab w:val="left" w:pos="656"/>
        </w:tabs>
        <w:jc w:val="both"/>
        <w:rPr>
          <w:rFonts w:ascii="Arial" w:eastAsia="Times New Roman" w:hAnsi="Arial" w:cs="Arial"/>
          <w:sz w:val="22"/>
          <w:szCs w:val="22"/>
        </w:rPr>
      </w:pPr>
      <w:r w:rsidRPr="004B0B65">
        <w:rPr>
          <w:rFonts w:ascii="Arial" w:eastAsia="Times New Roman" w:hAnsi="Arial" w:cs="Arial"/>
          <w:sz w:val="22"/>
          <w:szCs w:val="22"/>
        </w:rPr>
        <w:t>неинсулинпродуцирующая опухоль ПЖЖ.</w:t>
      </w:r>
    </w:p>
    <w:p w:rsidR="0074786D" w:rsidRPr="004B0B65" w:rsidRDefault="0074786D"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Гастринома — в 90 % случаев злокачественная метастатическая опу</w:t>
      </w:r>
      <w:r w:rsidRPr="004B0B65">
        <w:rPr>
          <w:rFonts w:ascii="Arial" w:eastAsia="Times New Roman" w:hAnsi="Arial" w:cs="Arial"/>
          <w:sz w:val="22"/>
          <w:szCs w:val="22"/>
        </w:rPr>
        <w:softHyphen/>
        <w:t>холь, чаще (80 %) расположена в ПЖЖ, значительно реже — в стенке две</w:t>
      </w:r>
      <w:r w:rsidRPr="004B0B65">
        <w:rPr>
          <w:rFonts w:ascii="Arial" w:eastAsia="Times New Roman" w:hAnsi="Arial" w:cs="Arial"/>
          <w:sz w:val="22"/>
          <w:szCs w:val="22"/>
        </w:rPr>
        <w:softHyphen/>
        <w:t>надцатиперстной кишки (15 %) и антральном отделе желудка, крайне редко (5 %) — экстраинтестинально (сальник, яичники, билиарная система). Га</w:t>
      </w:r>
      <w:r w:rsidRPr="004B0B65">
        <w:rPr>
          <w:rFonts w:ascii="Arial" w:eastAsia="Times New Roman" w:hAnsi="Arial" w:cs="Arial"/>
          <w:sz w:val="22"/>
          <w:szCs w:val="22"/>
        </w:rPr>
        <w:softHyphen/>
        <w:t xml:space="preserve">стринома — редкое заболевание, встречается </w:t>
      </w:r>
      <w:r w:rsidRPr="004B0B65">
        <w:rPr>
          <w:rFonts w:ascii="Arial" w:eastAsia="Times New Roman" w:hAnsi="Arial" w:cs="Arial"/>
          <w:b/>
          <w:bCs/>
          <w:i/>
          <w:iCs/>
          <w:sz w:val="22"/>
          <w:szCs w:val="22"/>
        </w:rPr>
        <w:t>у</w:t>
      </w:r>
      <w:r w:rsidRPr="004B0B65">
        <w:rPr>
          <w:rFonts w:ascii="Arial" w:eastAsia="Times New Roman" w:hAnsi="Arial" w:cs="Arial"/>
          <w:sz w:val="22"/>
          <w:szCs w:val="22"/>
        </w:rPr>
        <w:t xml:space="preserve"> 1 % больных с пептичес</w:t>
      </w:r>
      <w:r w:rsidRPr="004B0B65">
        <w:rPr>
          <w:rFonts w:ascii="Arial" w:eastAsia="Times New Roman" w:hAnsi="Arial" w:cs="Arial"/>
          <w:sz w:val="22"/>
          <w:szCs w:val="22"/>
        </w:rPr>
        <w:softHyphen/>
        <w:t>кими язвами. Частота новых случаев составляет 0,5 на 1 млн в год, чаще (в 60 % случаев) страдают мужчины. В 25 % случаев гастринома встречается в рамках синдрома МЭН-1. Гистологически гастриномы классифицируют</w:t>
      </w:r>
      <w:r w:rsidRPr="004B0B65">
        <w:rPr>
          <w:rFonts w:ascii="Arial" w:eastAsia="Times New Roman" w:hAnsi="Arial" w:cs="Arial"/>
          <w:sz w:val="22"/>
          <w:szCs w:val="22"/>
        </w:rPr>
        <w:softHyphen/>
        <w:t xml:space="preserve">ся по Капелле (см. раздел 13.2). Иммуногистохимически было показано, что </w:t>
      </w:r>
      <w:r w:rsidRPr="004B0B65">
        <w:rPr>
          <w:rFonts w:ascii="Arial" w:eastAsia="Times New Roman" w:hAnsi="Arial" w:cs="Arial"/>
          <w:sz w:val="22"/>
          <w:szCs w:val="22"/>
          <w:lang w:val="en-US" w:eastAsia="en-US" w:bidi="en-US"/>
        </w:rPr>
        <w:t>V</w:t>
      </w:r>
      <w:r w:rsidRPr="004B0B65">
        <w:rPr>
          <w:rFonts w:ascii="Arial" w:eastAsia="Times New Roman" w:hAnsi="Arial" w:cs="Arial"/>
          <w:sz w:val="22"/>
          <w:szCs w:val="22"/>
          <w:lang w:eastAsia="en-US" w:bidi="en-US"/>
        </w:rPr>
        <w:t xml:space="preserve">3 </w:t>
      </w:r>
      <w:r w:rsidRPr="004B0B65">
        <w:rPr>
          <w:rFonts w:ascii="Arial" w:eastAsia="Times New Roman" w:hAnsi="Arial" w:cs="Arial"/>
          <w:sz w:val="22"/>
          <w:szCs w:val="22"/>
        </w:rPr>
        <w:t>гастрином обладает мультигормональной секрецией (панкреатичес</w:t>
      </w:r>
      <w:r w:rsidRPr="004B0B65">
        <w:rPr>
          <w:rFonts w:ascii="Arial" w:eastAsia="Times New Roman" w:hAnsi="Arial" w:cs="Arial"/>
          <w:sz w:val="22"/>
          <w:szCs w:val="22"/>
        </w:rPr>
        <w:softHyphen/>
        <w:t>кий полипептид, инсулин, глюкагон).</w:t>
      </w:r>
    </w:p>
    <w:p w:rsidR="001774BF" w:rsidRPr="004B0B65" w:rsidRDefault="0074786D"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Патогенез. В основе патогенеза синдрома Золлингера—Эллисона лежит неконтролируемая продукция гастрина опухолью. Опухолевые га- стринпродуцирующие клетки отличаются от нормальных антральных от</w:t>
      </w:r>
      <w:r w:rsidRPr="004B0B65">
        <w:rPr>
          <w:rFonts w:ascii="Arial" w:eastAsia="Times New Roman" w:hAnsi="Arial" w:cs="Arial"/>
          <w:sz w:val="22"/>
          <w:szCs w:val="22"/>
        </w:rPr>
        <w:softHyphen/>
        <w:t xml:space="preserve">сутствием способности накапливать синтезируемый гормон. Гастриномы редко имеют массу более 1 г, что значительно меньше суммарного объема антральных гастрин продуцирующих клеток. Базальный </w:t>
      </w:r>
      <w:r w:rsidRPr="004B0B65">
        <w:rPr>
          <w:rFonts w:ascii="Arial" w:eastAsia="Times New Roman" w:hAnsi="Arial" w:cs="Arial"/>
          <w:sz w:val="22"/>
          <w:szCs w:val="22"/>
        </w:rPr>
        <w:lastRenderedPageBreak/>
        <w:t>уровень гастрина у пациентов с синдромом Золлингера—Эллисона превышает таковой у здо</w:t>
      </w:r>
      <w:r w:rsidRPr="004B0B65">
        <w:rPr>
          <w:rFonts w:ascii="Arial" w:eastAsia="Times New Roman" w:hAnsi="Arial" w:cs="Arial"/>
          <w:sz w:val="22"/>
          <w:szCs w:val="22"/>
        </w:rPr>
        <w:softHyphen/>
        <w:t>ровых людей и больных язвенной болезнью в тысячи раз. Гипергастрине- мия приводит к гиперстимуляции, гиперплазии париетальных клеток и зна</w:t>
      </w:r>
      <w:r w:rsidRPr="004B0B65">
        <w:rPr>
          <w:rFonts w:ascii="Arial" w:eastAsia="Times New Roman" w:hAnsi="Arial" w:cs="Arial"/>
          <w:sz w:val="22"/>
          <w:szCs w:val="22"/>
        </w:rPr>
        <w:softHyphen/>
        <w:t>чительному увеличению продукции соляной кислоты, которая обусловли</w:t>
      </w:r>
      <w:r w:rsidRPr="004B0B65">
        <w:rPr>
          <w:rFonts w:ascii="Arial" w:eastAsia="Times New Roman" w:hAnsi="Arial" w:cs="Arial"/>
          <w:sz w:val="22"/>
          <w:szCs w:val="22"/>
        </w:rPr>
        <w:softHyphen/>
        <w:t>вает появление большинства симптомов (схема 13.3).</w:t>
      </w:r>
    </w:p>
    <w:p w:rsidR="0074786D" w:rsidRPr="004B0B65" w:rsidRDefault="0074786D" w:rsidP="00DE1F06">
      <w:pPr>
        <w:rPr>
          <w:rFonts w:ascii="Arial" w:eastAsia="Times New Roman" w:hAnsi="Arial" w:cs="Arial"/>
          <w:b/>
          <w:bCs/>
          <w:sz w:val="19"/>
          <w:szCs w:val="19"/>
        </w:rPr>
      </w:pPr>
    </w:p>
    <w:p w:rsidR="0074786D" w:rsidRPr="004B0B65" w:rsidRDefault="0074786D" w:rsidP="00DE1F06">
      <w:pPr>
        <w:jc w:val="center"/>
        <w:rPr>
          <w:rFonts w:ascii="Arial" w:eastAsia="Times New Roman" w:hAnsi="Arial" w:cs="Arial"/>
          <w:sz w:val="19"/>
          <w:szCs w:val="19"/>
        </w:rPr>
      </w:pPr>
      <w:r w:rsidRPr="004B0B65">
        <w:rPr>
          <w:rFonts w:ascii="Arial" w:eastAsia="Times New Roman" w:hAnsi="Arial" w:cs="Arial"/>
          <w:b/>
          <w:bCs/>
          <w:sz w:val="19"/>
          <w:szCs w:val="19"/>
        </w:rPr>
        <w:t>Схема 13.3. Патогенез клинических проявлений гастриномы</w:t>
      </w:r>
    </w:p>
    <w:p w:rsidR="001774BF" w:rsidRPr="004B0B65" w:rsidRDefault="001774BF" w:rsidP="00DE1F06">
      <w:pPr>
        <w:ind w:firstLine="400"/>
        <w:jc w:val="both"/>
        <w:rPr>
          <w:rFonts w:ascii="Arial" w:hAnsi="Arial" w:cs="Arial"/>
        </w:rPr>
      </w:pPr>
    </w:p>
    <w:p w:rsidR="0074786D" w:rsidRPr="004B0B65" w:rsidRDefault="0074786D" w:rsidP="00DE1F06">
      <w:pPr>
        <w:ind w:firstLine="400"/>
        <w:jc w:val="both"/>
        <w:rPr>
          <w:rFonts w:ascii="Arial" w:hAnsi="Arial" w:cs="Arial"/>
        </w:rPr>
      </w:pPr>
    </w:p>
    <w:p w:rsidR="0074786D" w:rsidRPr="004B0B65" w:rsidRDefault="0074786D" w:rsidP="00DE1F06">
      <w:pPr>
        <w:ind w:firstLine="400"/>
        <w:jc w:val="both"/>
        <w:rPr>
          <w:rFonts w:ascii="Arial" w:hAnsi="Arial" w:cs="Arial"/>
        </w:rPr>
      </w:pPr>
    </w:p>
    <w:p w:rsidR="0074786D" w:rsidRPr="004B0B65" w:rsidRDefault="0074786D" w:rsidP="00DE1F06">
      <w:pPr>
        <w:ind w:firstLine="400"/>
        <w:jc w:val="both"/>
        <w:rPr>
          <w:rFonts w:ascii="Arial" w:hAnsi="Arial" w:cs="Arial"/>
        </w:rPr>
      </w:pPr>
    </w:p>
    <w:p w:rsidR="0074786D" w:rsidRPr="004B0B65" w:rsidRDefault="0074786D" w:rsidP="00DE1F06">
      <w:pPr>
        <w:ind w:firstLine="400"/>
        <w:jc w:val="both"/>
        <w:rPr>
          <w:rFonts w:ascii="Arial" w:eastAsia="Times New Roman" w:hAnsi="Arial" w:cs="Arial"/>
          <w:sz w:val="22"/>
          <w:szCs w:val="22"/>
        </w:rPr>
      </w:pPr>
      <w:r w:rsidRPr="004B0B65">
        <w:rPr>
          <w:rFonts w:ascii="Arial" w:eastAsia="Times New Roman" w:hAnsi="Arial" w:cs="Arial"/>
          <w:sz w:val="22"/>
          <w:szCs w:val="22"/>
        </w:rPr>
        <w:t>Клиническая картина. В 93 % случаев на первый план в кли</w:t>
      </w:r>
      <w:r w:rsidRPr="004B0B65">
        <w:rPr>
          <w:rFonts w:ascii="Arial" w:eastAsia="Times New Roman" w:hAnsi="Arial" w:cs="Arial"/>
          <w:sz w:val="22"/>
          <w:szCs w:val="22"/>
        </w:rPr>
        <w:softHyphen/>
        <w:t>нической картине выступает пептическая язва, рефрактерная к обычной те</w:t>
      </w:r>
      <w:r w:rsidRPr="004B0B65">
        <w:rPr>
          <w:rFonts w:ascii="Arial" w:eastAsia="Times New Roman" w:hAnsi="Arial" w:cs="Arial"/>
          <w:sz w:val="22"/>
          <w:szCs w:val="22"/>
        </w:rPr>
        <w:softHyphen/>
        <w:t>рапии. При этом только в 26 % случаев она локализуется атипично (кардия, дистальный отдел двенадцатиперстной кишки, проксимальная часть тощей кишки). В большинстве случаев язва располагается в типичном месте — в луковице двенадцатиперстной кишки. В 10 % случаев язвы множественные. Диарея и стеаторея встречаются примерно в 50 % случаев. Поскольку каж- дая 4-я гастринома встречается при синдроме МЭН-1, необходимо исклк?- чать синдром Золлингера—Эллисона у пациентов с гиперпаратиреозом. Следует иметь в виду, что при последнем также встречаются пептические язвы, но гипергастринемия отсутствует.</w:t>
      </w:r>
    </w:p>
    <w:p w:rsidR="0074786D" w:rsidRPr="004B0B65" w:rsidRDefault="0074786D" w:rsidP="00DE1F06">
      <w:pPr>
        <w:ind w:firstLine="400"/>
        <w:jc w:val="both"/>
        <w:rPr>
          <w:rFonts w:ascii="Arial" w:eastAsia="Times New Roman" w:hAnsi="Arial" w:cs="Arial"/>
          <w:sz w:val="22"/>
          <w:szCs w:val="22"/>
        </w:rPr>
      </w:pPr>
      <w:r w:rsidRPr="004B0B65">
        <w:rPr>
          <w:rFonts w:ascii="Arial" w:eastAsia="Times New Roman" w:hAnsi="Arial" w:cs="Arial"/>
          <w:sz w:val="22"/>
          <w:szCs w:val="22"/>
        </w:rPr>
        <w:t>Диагностика. Основным диагностическим критерием гастрино</w:t>
      </w:r>
      <w:r w:rsidRPr="004B0B65">
        <w:rPr>
          <w:rFonts w:ascii="Arial" w:eastAsia="Times New Roman" w:hAnsi="Arial" w:cs="Arial"/>
          <w:sz w:val="22"/>
          <w:szCs w:val="22"/>
        </w:rPr>
        <w:softHyphen/>
        <w:t>мы является повышенный как минимум в 3 раза (норма &lt;60 пг/мл) уровень гастрина, который должен исследоваться в разные дни. Гипергастринемия определяется также у пациентов с хроническим атрофическим гастритом, после резекции желудка с сохранением антрального отдела, после вагото</w:t>
      </w:r>
      <w:r w:rsidRPr="004B0B65">
        <w:rPr>
          <w:rFonts w:ascii="Arial" w:eastAsia="Times New Roman" w:hAnsi="Arial" w:cs="Arial"/>
          <w:sz w:val="22"/>
          <w:szCs w:val="22"/>
        </w:rPr>
        <w:softHyphen/>
        <w:t>мии, при стенозе привратника, почечной недостаточности, медикаментоз</w:t>
      </w:r>
      <w:r w:rsidRPr="004B0B65">
        <w:rPr>
          <w:rFonts w:ascii="Arial" w:eastAsia="Times New Roman" w:hAnsi="Arial" w:cs="Arial"/>
          <w:sz w:val="22"/>
          <w:szCs w:val="22"/>
        </w:rPr>
        <w:softHyphen/>
        <w:t>ном подавлении секреции желудка. Диагноз гастриномы подтверждается при позитивных результатах теста с секретином, при котором уровень га</w:t>
      </w:r>
      <w:r w:rsidRPr="004B0B65">
        <w:rPr>
          <w:rFonts w:ascii="Arial" w:eastAsia="Times New Roman" w:hAnsi="Arial" w:cs="Arial"/>
          <w:sz w:val="22"/>
          <w:szCs w:val="22"/>
        </w:rPr>
        <w:softHyphen/>
        <w:t>стрина повышается более чем на 50 % или более 200 пг/мл после внутри</w:t>
      </w:r>
      <w:r w:rsidRPr="004B0B65">
        <w:rPr>
          <w:rFonts w:ascii="Arial" w:eastAsia="Times New Roman" w:hAnsi="Arial" w:cs="Arial"/>
          <w:sz w:val="22"/>
          <w:szCs w:val="22"/>
        </w:rPr>
        <w:softHyphen/>
        <w:t>венного введения серотонина в дозе 2 ЕД/кг. Анализ желудочной секреции является обязательным. Повышение базального уровня секреции соляной кислоты при интактном желудке более 15 ммоль/ч, а при резецированном более 5 ммоль/ч является серьезным признаком гастриномы. Ингибиторы протонной помпы (омепразол) должны отменяться за 7 дней до анализа же</w:t>
      </w:r>
      <w:r w:rsidRPr="004B0B65">
        <w:rPr>
          <w:rFonts w:ascii="Arial" w:eastAsia="Times New Roman" w:hAnsi="Arial" w:cs="Arial"/>
          <w:sz w:val="22"/>
          <w:szCs w:val="22"/>
        </w:rPr>
        <w:softHyphen/>
        <w:t>лудочной секреции, заменяясь короткодействующими блокаторами Н</w:t>
      </w:r>
      <w:r w:rsidRPr="004B0B65">
        <w:rPr>
          <w:rFonts w:ascii="Arial" w:eastAsia="Times New Roman" w:hAnsi="Arial" w:cs="Arial"/>
          <w:sz w:val="22"/>
          <w:szCs w:val="22"/>
          <w:vertAlign w:val="subscript"/>
        </w:rPr>
        <w:t>2</w:t>
      </w:r>
      <w:r w:rsidRPr="004B0B65">
        <w:rPr>
          <w:rFonts w:ascii="Arial" w:eastAsia="Times New Roman" w:hAnsi="Arial" w:cs="Arial"/>
          <w:sz w:val="22"/>
          <w:szCs w:val="22"/>
        </w:rPr>
        <w:t>-гис- таминовых рецепторов, которые отменяются за 12 ч до проведения теста (схема 13.4).</w:t>
      </w:r>
    </w:p>
    <w:p w:rsidR="0074786D" w:rsidRPr="004B0B65" w:rsidRDefault="0074786D" w:rsidP="00DE1F06">
      <w:pPr>
        <w:ind w:firstLine="400"/>
        <w:jc w:val="both"/>
        <w:rPr>
          <w:rFonts w:ascii="Arial" w:eastAsia="Times New Roman" w:hAnsi="Arial" w:cs="Arial"/>
          <w:sz w:val="22"/>
          <w:szCs w:val="22"/>
        </w:rPr>
      </w:pPr>
      <w:r w:rsidRPr="004B0B65">
        <w:rPr>
          <w:rFonts w:ascii="Arial" w:eastAsia="Times New Roman" w:hAnsi="Arial" w:cs="Arial"/>
          <w:sz w:val="22"/>
          <w:szCs w:val="22"/>
        </w:rPr>
        <w:t>Топическая диагностика опухоли построена на принципах, описанных в разделе 13.2.</w:t>
      </w:r>
    </w:p>
    <w:p w:rsidR="0074786D" w:rsidRPr="004B0B65" w:rsidRDefault="0074786D" w:rsidP="00DE1F06">
      <w:pPr>
        <w:ind w:firstLine="400"/>
        <w:jc w:val="both"/>
        <w:rPr>
          <w:rFonts w:ascii="Arial" w:eastAsia="Times New Roman" w:hAnsi="Arial" w:cs="Arial"/>
          <w:sz w:val="22"/>
          <w:szCs w:val="22"/>
        </w:rPr>
      </w:pPr>
      <w:r w:rsidRPr="004B0B65">
        <w:rPr>
          <w:rFonts w:ascii="Arial" w:eastAsia="Times New Roman" w:hAnsi="Arial" w:cs="Arial"/>
          <w:sz w:val="22"/>
          <w:szCs w:val="22"/>
        </w:rPr>
        <w:t>Лечение. При солитарной доброкачественной гастриноме показана энуклеация опухоли. При гастриномах, встречающихся спорадически, мак</w:t>
      </w:r>
      <w:r w:rsidRPr="004B0B65">
        <w:rPr>
          <w:rFonts w:ascii="Arial" w:eastAsia="Times New Roman" w:hAnsi="Arial" w:cs="Arial"/>
          <w:sz w:val="22"/>
          <w:szCs w:val="22"/>
        </w:rPr>
        <w:softHyphen/>
        <w:t>симально возможное число радикальных операций составляет около 30 %.</w:t>
      </w:r>
    </w:p>
    <w:p w:rsidR="0074786D" w:rsidRPr="004B0B65" w:rsidRDefault="0074786D" w:rsidP="00DE1F06">
      <w:pPr>
        <w:ind w:firstLine="403"/>
        <w:jc w:val="both"/>
        <w:rPr>
          <w:rFonts w:ascii="Arial" w:hAnsi="Arial" w:cs="Arial"/>
        </w:rPr>
      </w:pPr>
      <w:r w:rsidRPr="004B0B65">
        <w:rPr>
          <w:rFonts w:ascii="Arial" w:hAnsi="Arial" w:cs="Arial"/>
          <w:noProof/>
          <w:lang w:bidi="ar-SA"/>
        </w:rPr>
        <w:drawing>
          <wp:inline distT="0" distB="0" distL="0" distR="0" wp14:anchorId="12D09C27" wp14:editId="68033B17">
            <wp:extent cx="4761230" cy="2096770"/>
            <wp:effectExtent l="0" t="0" r="0" b="0"/>
            <wp:docPr id="1245" name="Picutre 1245"/>
            <wp:cNvGraphicFramePr/>
            <a:graphic xmlns:a="http://schemas.openxmlformats.org/drawingml/2006/main">
              <a:graphicData uri="http://schemas.openxmlformats.org/drawingml/2006/picture">
                <pic:pic xmlns:pic="http://schemas.openxmlformats.org/drawingml/2006/picture">
                  <pic:nvPicPr>
                    <pic:cNvPr id="1245" name="Picture 1245"/>
                    <pic:cNvPicPr/>
                  </pic:nvPicPr>
                  <pic:blipFill>
                    <a:blip r:embed="rId15"/>
                    <a:stretch/>
                  </pic:blipFill>
                  <pic:spPr>
                    <a:xfrm>
                      <a:off x="0" y="0"/>
                      <a:ext cx="4761230" cy="2096770"/>
                    </a:xfrm>
                    <a:prstGeom prst="rect">
                      <a:avLst/>
                    </a:prstGeom>
                  </pic:spPr>
                </pic:pic>
              </a:graphicData>
            </a:graphic>
          </wp:inline>
        </w:drawing>
      </w:r>
    </w:p>
    <w:p w:rsidR="0074786D" w:rsidRPr="004B0B65" w:rsidRDefault="0074786D" w:rsidP="00DE1F06">
      <w:pPr>
        <w:ind w:firstLine="403"/>
        <w:jc w:val="both"/>
        <w:rPr>
          <w:rFonts w:ascii="Arial" w:hAnsi="Arial" w:cs="Arial"/>
        </w:rPr>
      </w:pPr>
    </w:p>
    <w:p w:rsidR="0074786D" w:rsidRPr="004B0B65" w:rsidRDefault="0074786D" w:rsidP="00DE1F06">
      <w:pPr>
        <w:jc w:val="both"/>
        <w:rPr>
          <w:rFonts w:ascii="Arial" w:eastAsia="Times New Roman" w:hAnsi="Arial" w:cs="Arial"/>
          <w:sz w:val="22"/>
          <w:szCs w:val="22"/>
        </w:rPr>
      </w:pPr>
      <w:r w:rsidRPr="004B0B65">
        <w:rPr>
          <w:rFonts w:ascii="Arial" w:eastAsia="Times New Roman" w:hAnsi="Arial" w:cs="Arial"/>
          <w:sz w:val="22"/>
          <w:szCs w:val="22"/>
        </w:rPr>
        <w:t>При гастриномах в рамках синдрома МЭН-1 эта цифра еще меньше. Сред</w:t>
      </w:r>
      <w:r w:rsidRPr="004B0B65">
        <w:rPr>
          <w:rFonts w:ascii="Arial" w:eastAsia="Times New Roman" w:hAnsi="Arial" w:cs="Arial"/>
          <w:sz w:val="22"/>
          <w:szCs w:val="22"/>
        </w:rPr>
        <w:softHyphen/>
        <w:t>няя 5-летняя выживаемость среди пациентов с радикально резецированны</w:t>
      </w:r>
      <w:r w:rsidRPr="004B0B65">
        <w:rPr>
          <w:rFonts w:ascii="Arial" w:eastAsia="Times New Roman" w:hAnsi="Arial" w:cs="Arial"/>
          <w:sz w:val="22"/>
          <w:szCs w:val="22"/>
        </w:rPr>
        <w:softHyphen/>
        <w:t xml:space="preserve">ми гастриномами </w:t>
      </w:r>
      <w:r w:rsidRPr="004B0B65">
        <w:rPr>
          <w:rFonts w:ascii="Arial" w:eastAsia="Times New Roman" w:hAnsi="Arial" w:cs="Arial"/>
          <w:sz w:val="22"/>
          <w:szCs w:val="22"/>
        </w:rPr>
        <w:lastRenderedPageBreak/>
        <w:t>составляет 90 %, 5-летняя выживаемость всех больных с гастриномами в среднем составляет от 62 до 75 %, 10-летняя — 47—53 %. При обнаружении метастазов 5-летняя выживаемость снижается до 20 %. Причиной смерти в 57 % случаев является опухолевая прогрессия. Соглас</w:t>
      </w:r>
      <w:r w:rsidRPr="004B0B65">
        <w:rPr>
          <w:rFonts w:ascii="Arial" w:eastAsia="Times New Roman" w:hAnsi="Arial" w:cs="Arial"/>
          <w:sz w:val="22"/>
          <w:szCs w:val="22"/>
        </w:rPr>
        <w:softHyphen/>
        <w:t>но последним исследованиям, лучший прогноз оперативного излечения (по сравнению с панкреатическими гастриномами) имеют неметастазировав</w:t>
      </w:r>
      <w:r w:rsidRPr="004B0B65">
        <w:rPr>
          <w:rFonts w:ascii="Arial" w:eastAsia="Times New Roman" w:hAnsi="Arial" w:cs="Arial"/>
          <w:sz w:val="22"/>
          <w:szCs w:val="22"/>
        </w:rPr>
        <w:softHyphen/>
        <w:t>шие гастриномы, локализованные в стенке двенадцатиперстной кишки. Экстрапанкреатические опухоли часто обнаруживаются только во время операции. При неоперабельных опухолях вмешательства с целью панкреа</w:t>
      </w:r>
      <w:r w:rsidRPr="004B0B65">
        <w:rPr>
          <w:rFonts w:ascii="Arial" w:eastAsia="Times New Roman" w:hAnsi="Arial" w:cs="Arial"/>
          <w:sz w:val="22"/>
          <w:szCs w:val="22"/>
        </w:rPr>
        <w:softHyphen/>
        <w:t>тодуоденальной резекции не производится. Слепая дистальная резекция ПЖЖ при подозрении на гастриному не показана, поскольку 70—80 % га</w:t>
      </w:r>
      <w:r w:rsidRPr="004B0B65">
        <w:rPr>
          <w:rFonts w:ascii="Arial" w:eastAsia="Times New Roman" w:hAnsi="Arial" w:cs="Arial"/>
          <w:sz w:val="22"/>
          <w:szCs w:val="22"/>
        </w:rPr>
        <w:softHyphen/>
        <w:t>стрином локализовано либо в головке ПЖЖ, либо экстрапанкреатически. Если после тщательного интраоперационного обследования, включая ин</w:t>
      </w:r>
      <w:r w:rsidRPr="004B0B65">
        <w:rPr>
          <w:rFonts w:ascii="Arial" w:eastAsia="Times New Roman" w:hAnsi="Arial" w:cs="Arial"/>
          <w:sz w:val="22"/>
          <w:szCs w:val="22"/>
        </w:rPr>
        <w:softHyphen/>
        <w:t>траоперационное УЗИ и диафаноскопию двенадцатиперстной кишки, об</w:t>
      </w:r>
      <w:r w:rsidRPr="004B0B65">
        <w:rPr>
          <w:rFonts w:ascii="Arial" w:eastAsia="Times New Roman" w:hAnsi="Arial" w:cs="Arial"/>
          <w:sz w:val="22"/>
          <w:szCs w:val="22"/>
        </w:rPr>
        <w:softHyphen/>
        <w:t>наружить опухоль все-таки не удается, больному показано только медика</w:t>
      </w:r>
      <w:r w:rsidRPr="004B0B65">
        <w:rPr>
          <w:rFonts w:ascii="Arial" w:eastAsia="Times New Roman" w:hAnsi="Arial" w:cs="Arial"/>
          <w:sz w:val="22"/>
          <w:szCs w:val="22"/>
        </w:rPr>
        <w:softHyphen/>
        <w:t>ментозное лечение.</w:t>
      </w:r>
    </w:p>
    <w:p w:rsidR="0074786D" w:rsidRPr="004B0B65" w:rsidRDefault="0074786D"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Препаратом выбора антипролиферативной терапии при злокачествен</w:t>
      </w:r>
      <w:r w:rsidRPr="004B0B65">
        <w:rPr>
          <w:rFonts w:ascii="Arial" w:eastAsia="Times New Roman" w:hAnsi="Arial" w:cs="Arial"/>
          <w:sz w:val="22"/>
          <w:szCs w:val="22"/>
        </w:rPr>
        <w:softHyphen/>
        <w:t>ных гастриномах является октреотид. При неэффективности монотерапии дополнительно назначается а-интерферон (интрон). При невозможности контролировать опухолевый рост этой комбинацией назначают химиоте</w:t>
      </w:r>
      <w:r w:rsidRPr="004B0B65">
        <w:rPr>
          <w:rFonts w:ascii="Arial" w:eastAsia="Times New Roman" w:hAnsi="Arial" w:cs="Arial"/>
          <w:sz w:val="22"/>
          <w:szCs w:val="22"/>
        </w:rPr>
        <w:softHyphen/>
        <w:t>рапию (стрептозотоцин, доксорубицин и 5-фторурацил). Для симптомати</w:t>
      </w:r>
      <w:r w:rsidRPr="004B0B65">
        <w:rPr>
          <w:rFonts w:ascii="Arial" w:eastAsia="Times New Roman" w:hAnsi="Arial" w:cs="Arial"/>
          <w:sz w:val="22"/>
          <w:szCs w:val="22"/>
        </w:rPr>
        <w:softHyphen/>
        <w:t>ческой терапии при язвах и диарее эффективны сильные, подавляющие кислотопродукцию препараты, такие как блокаторы протонной помпы (омепразол) и Н</w:t>
      </w:r>
      <w:r w:rsidRPr="004B0B65">
        <w:rPr>
          <w:rFonts w:ascii="Arial" w:eastAsia="Times New Roman" w:hAnsi="Arial" w:cs="Arial"/>
          <w:sz w:val="22"/>
          <w:szCs w:val="22"/>
          <w:vertAlign w:val="subscript"/>
        </w:rPr>
        <w:t>2</w:t>
      </w:r>
      <w:r w:rsidRPr="004B0B65">
        <w:rPr>
          <w:rFonts w:ascii="Arial" w:eastAsia="Times New Roman" w:hAnsi="Arial" w:cs="Arial"/>
          <w:sz w:val="22"/>
          <w:szCs w:val="22"/>
        </w:rPr>
        <w:t>-гистаминовых рецепторов (ранитидин, фамотидин). С введением в практику омепразола отпала необходимость выполнения тотальной гастрэктомии, применявшейся ранее. Доза омепразола должна быть подобрана таким образом, чтобы перед очередным приемом пре</w:t>
      </w:r>
      <w:r w:rsidRPr="004B0B65">
        <w:rPr>
          <w:rFonts w:ascii="Arial" w:eastAsia="Times New Roman" w:hAnsi="Arial" w:cs="Arial"/>
          <w:sz w:val="22"/>
          <w:szCs w:val="22"/>
        </w:rPr>
        <w:softHyphen/>
        <w:t>парата базальный уровень секреции составлял у пациентов с интактным желудком не более 10 ммоль/ч, а у пациентов с частично резецированным желудком — ниже 5 ммоль/ч. Этого можно достичь одноразовым утрен</w:t>
      </w:r>
      <w:r w:rsidRPr="004B0B65">
        <w:rPr>
          <w:rFonts w:ascii="Arial" w:eastAsia="Times New Roman" w:hAnsi="Arial" w:cs="Arial"/>
          <w:sz w:val="22"/>
          <w:szCs w:val="22"/>
        </w:rPr>
        <w:softHyphen/>
        <w:t>ним назначением омепразола в дозе 40—80 мг. Реже приходится назначать препарат 2 раза в день.</w:t>
      </w:r>
    </w:p>
    <w:p w:rsidR="0074786D" w:rsidRPr="004B0B65" w:rsidRDefault="0074786D" w:rsidP="00DE1F06">
      <w:pPr>
        <w:keepNext/>
        <w:keepLines/>
        <w:numPr>
          <w:ilvl w:val="1"/>
          <w:numId w:val="9"/>
        </w:numPr>
        <w:tabs>
          <w:tab w:val="left" w:pos="649"/>
        </w:tabs>
        <w:jc w:val="both"/>
        <w:outlineLvl w:val="3"/>
        <w:rPr>
          <w:rFonts w:ascii="Arial" w:eastAsia="Times New Roman" w:hAnsi="Arial" w:cs="Arial"/>
          <w:b/>
          <w:bCs/>
        </w:rPr>
      </w:pPr>
      <w:bookmarkStart w:id="2" w:name="bookmark199"/>
      <w:r w:rsidRPr="004B0B65">
        <w:rPr>
          <w:rFonts w:ascii="Arial" w:eastAsia="Times New Roman" w:hAnsi="Arial" w:cs="Arial"/>
          <w:b/>
          <w:bCs/>
        </w:rPr>
        <w:t>Глюкагонома</w:t>
      </w:r>
      <w:bookmarkEnd w:id="2"/>
    </w:p>
    <w:p w:rsidR="0074786D" w:rsidRPr="004B0B65" w:rsidRDefault="0074786D" w:rsidP="00DE1F06">
      <w:pPr>
        <w:jc w:val="both"/>
        <w:rPr>
          <w:rFonts w:ascii="Arial" w:eastAsia="Times New Roman" w:hAnsi="Arial" w:cs="Arial"/>
          <w:sz w:val="22"/>
          <w:szCs w:val="22"/>
        </w:rPr>
      </w:pPr>
      <w:r w:rsidRPr="004B0B65">
        <w:rPr>
          <w:rFonts w:ascii="Arial" w:eastAsia="Times New Roman" w:hAnsi="Arial" w:cs="Arial"/>
          <w:sz w:val="22"/>
          <w:szCs w:val="22"/>
        </w:rPr>
        <w:t>Глюкагонома — редкая островково-клеточная опухоль, локализующаяся, как правило, в хвосте ПЖЖ. В противоположность инсулиномам, на мо</w:t>
      </w:r>
      <w:r w:rsidRPr="004B0B65">
        <w:rPr>
          <w:rFonts w:ascii="Arial" w:eastAsia="Times New Roman" w:hAnsi="Arial" w:cs="Arial"/>
          <w:sz w:val="22"/>
          <w:szCs w:val="22"/>
        </w:rPr>
        <w:softHyphen/>
        <w:t>мент диагностики глюкагономы, как правило, превышают в диаметре 5 см, при этом в 80 % случаев имеются метастазы. Таким образом, больших про</w:t>
      </w:r>
      <w:r w:rsidRPr="004B0B65">
        <w:rPr>
          <w:rFonts w:ascii="Arial" w:eastAsia="Times New Roman" w:hAnsi="Arial" w:cs="Arial"/>
          <w:sz w:val="22"/>
          <w:szCs w:val="22"/>
        </w:rPr>
        <w:softHyphen/>
        <w:t>блем при топической диагностике глюкагоном, как правило, не бывает. Мультицентрические опухоли обнаруживаются в 10—12 % случаев.</w:t>
      </w:r>
    </w:p>
    <w:p w:rsidR="0074786D" w:rsidRPr="004B0B65" w:rsidRDefault="0074786D" w:rsidP="00DE1F06">
      <w:pPr>
        <w:ind w:firstLine="460"/>
        <w:jc w:val="both"/>
        <w:rPr>
          <w:rFonts w:ascii="Arial" w:eastAsia="Times New Roman" w:hAnsi="Arial" w:cs="Arial"/>
          <w:sz w:val="22"/>
          <w:szCs w:val="22"/>
        </w:rPr>
      </w:pPr>
      <w:r w:rsidRPr="004B0B65">
        <w:rPr>
          <w:rFonts w:ascii="Arial" w:eastAsia="Times New Roman" w:hAnsi="Arial" w:cs="Arial"/>
          <w:sz w:val="22"/>
          <w:szCs w:val="22"/>
        </w:rPr>
        <w:t>Клиническая картина. Примерно в 60 % случаев при глюкаго</w:t>
      </w:r>
      <w:r w:rsidRPr="004B0B65">
        <w:rPr>
          <w:rFonts w:ascii="Arial" w:eastAsia="Times New Roman" w:hAnsi="Arial" w:cs="Arial"/>
          <w:sz w:val="22"/>
          <w:szCs w:val="22"/>
        </w:rPr>
        <w:softHyphen/>
        <w:t>номе имеется типичная симптоматика (глюкагонома-синдром). Основными симптомами являются некролитическая мигрирующая эритема со вторич</w:t>
      </w:r>
      <w:r w:rsidRPr="004B0B65">
        <w:rPr>
          <w:rFonts w:ascii="Arial" w:eastAsia="Times New Roman" w:hAnsi="Arial" w:cs="Arial"/>
          <w:sz w:val="22"/>
          <w:szCs w:val="22"/>
        </w:rPr>
        <w:softHyphen/>
        <w:t>ным буллезным дерматитом, нарушение толерантности к глюкозе или сахар</w:t>
      </w:r>
      <w:r w:rsidRPr="004B0B65">
        <w:rPr>
          <w:rFonts w:ascii="Arial" w:eastAsia="Times New Roman" w:hAnsi="Arial" w:cs="Arial"/>
          <w:sz w:val="22"/>
          <w:szCs w:val="22"/>
        </w:rPr>
        <w:softHyphen/>
        <w:t>ный диабет, анемия и потеря массы тела. Гипергликемия — результат уси</w:t>
      </w:r>
      <w:r w:rsidRPr="004B0B65">
        <w:rPr>
          <w:rFonts w:ascii="Arial" w:eastAsia="Times New Roman" w:hAnsi="Arial" w:cs="Arial"/>
          <w:sz w:val="22"/>
          <w:szCs w:val="22"/>
        </w:rPr>
        <w:softHyphen/>
        <w:t xml:space="preserve">ленного печеночного глюконеогенеза и гликолиза. Развитие некролитичес- кой мигрирующей эритемы связывают с нарушением обмена аминокислот. Анорексия как ведущий симптом встречается </w:t>
      </w:r>
      <w:r w:rsidRPr="004B0B65">
        <w:rPr>
          <w:rFonts w:ascii="Arial" w:eastAsia="Times New Roman" w:hAnsi="Arial" w:cs="Arial"/>
          <w:i/>
          <w:iCs/>
          <w:sz w:val="22"/>
          <w:szCs w:val="22"/>
        </w:rPr>
        <w:t>у</w:t>
      </w:r>
      <w:r w:rsidRPr="004B0B65">
        <w:rPr>
          <w:rFonts w:ascii="Arial" w:eastAsia="Times New Roman" w:hAnsi="Arial" w:cs="Arial"/>
          <w:sz w:val="22"/>
          <w:szCs w:val="22"/>
        </w:rPr>
        <w:t xml:space="preserve"> 60—90 % пациентов незави</w:t>
      </w:r>
      <w:r w:rsidRPr="004B0B65">
        <w:rPr>
          <w:rFonts w:ascii="Arial" w:eastAsia="Times New Roman" w:hAnsi="Arial" w:cs="Arial"/>
          <w:sz w:val="22"/>
          <w:szCs w:val="22"/>
        </w:rPr>
        <w:softHyphen/>
        <w:t>симо от величины опухоли и наличия метастазов. У трети больных развива</w:t>
      </w:r>
      <w:r w:rsidRPr="004B0B65">
        <w:rPr>
          <w:rFonts w:ascii="Arial" w:eastAsia="Times New Roman" w:hAnsi="Arial" w:cs="Arial"/>
          <w:sz w:val="22"/>
          <w:szCs w:val="22"/>
        </w:rPr>
        <w:softHyphen/>
        <w:t>ются тромбоэмболические осложнения с образованием венозных тромбов (20 %) илегочной эмболией (12 %). В 60 % случаев наблюдается нормоцитар</w:t>
      </w:r>
      <w:r w:rsidRPr="004B0B65">
        <w:rPr>
          <w:rFonts w:ascii="Arial" w:eastAsia="Times New Roman" w:hAnsi="Arial" w:cs="Arial"/>
          <w:sz w:val="22"/>
          <w:szCs w:val="22"/>
        </w:rPr>
        <w:softHyphen/>
        <w:t>ная, нормохромная анемия. В противоположность другим эндокринным опухолям ПЖЖ и ЖКТ, боли в животе и диарея встречаются редко — при</w:t>
      </w:r>
      <w:r w:rsidRPr="004B0B65">
        <w:rPr>
          <w:rFonts w:ascii="Arial" w:eastAsia="Times New Roman" w:hAnsi="Arial" w:cs="Arial"/>
          <w:sz w:val="22"/>
          <w:szCs w:val="22"/>
        </w:rPr>
        <w:softHyphen/>
        <w:t>мерно в 10 % случаев. Около половины (40—50 %) глюкагонпродуцирующих опухолей протекает бессимптомно и обнаруживается при целенаправленном обследовании больных с подозрением на наличие синдрома МЭН-1.</w:t>
      </w:r>
    </w:p>
    <w:p w:rsidR="0074786D" w:rsidRPr="004B0B65" w:rsidRDefault="0074786D" w:rsidP="00DE1F06">
      <w:pPr>
        <w:ind w:firstLine="460"/>
        <w:jc w:val="both"/>
        <w:rPr>
          <w:rFonts w:ascii="Arial" w:eastAsia="Times New Roman" w:hAnsi="Arial" w:cs="Arial"/>
          <w:sz w:val="22"/>
          <w:szCs w:val="22"/>
        </w:rPr>
      </w:pPr>
      <w:r w:rsidRPr="004B0B65">
        <w:rPr>
          <w:rFonts w:ascii="Arial" w:eastAsia="Times New Roman" w:hAnsi="Arial" w:cs="Arial"/>
          <w:sz w:val="22"/>
          <w:szCs w:val="22"/>
        </w:rPr>
        <w:t>Глюкагоному следует предполагать у пациентов, страдающих инсулин- независимым сахарным диабетом с относительно легким течением, теряю</w:t>
      </w:r>
      <w:r w:rsidRPr="004B0B65">
        <w:rPr>
          <w:rFonts w:ascii="Arial" w:eastAsia="Times New Roman" w:hAnsi="Arial" w:cs="Arial"/>
          <w:sz w:val="22"/>
          <w:szCs w:val="22"/>
        </w:rPr>
        <w:softHyphen/>
        <w:t>щих, несмотря на это, массу тела и имеющих дерматит. При УЗИ или КТ у них определяется опухоль ПЖЖ и/или ее печеночные метастазы.</w:t>
      </w:r>
    </w:p>
    <w:p w:rsidR="0074786D" w:rsidRPr="004B0B65" w:rsidRDefault="0074786D" w:rsidP="00DE1F06">
      <w:pPr>
        <w:ind w:firstLine="460"/>
        <w:jc w:val="both"/>
        <w:rPr>
          <w:rFonts w:ascii="Arial" w:eastAsia="Times New Roman" w:hAnsi="Arial" w:cs="Arial"/>
          <w:sz w:val="22"/>
          <w:szCs w:val="22"/>
        </w:rPr>
      </w:pPr>
      <w:r w:rsidRPr="004B0B65">
        <w:rPr>
          <w:rFonts w:ascii="Arial" w:eastAsia="Times New Roman" w:hAnsi="Arial" w:cs="Arial"/>
          <w:sz w:val="22"/>
          <w:szCs w:val="22"/>
        </w:rPr>
        <w:t>При лабораторном исследовании у 80 % пациентов плазменный уро</w:t>
      </w:r>
      <w:r w:rsidRPr="004B0B65">
        <w:rPr>
          <w:rFonts w:ascii="Arial" w:eastAsia="Times New Roman" w:hAnsi="Arial" w:cs="Arial"/>
          <w:sz w:val="22"/>
          <w:szCs w:val="22"/>
        </w:rPr>
        <w:softHyphen/>
        <w:t>вень глюкагона превышают норму в 5—10 раз. Уровень глюкагона более 1000 пг/мл (норма &lt;200 пг/мл) считается патогномоничным для глюка</w:t>
      </w:r>
      <w:r w:rsidRPr="004B0B65">
        <w:rPr>
          <w:rFonts w:ascii="Arial" w:eastAsia="Times New Roman" w:hAnsi="Arial" w:cs="Arial"/>
          <w:sz w:val="22"/>
          <w:szCs w:val="22"/>
        </w:rPr>
        <w:softHyphen/>
        <w:t xml:space="preserve">гономы. В 80 % случаев при глюкагонома-синдроме при лабораторном исследовании определяется гипоаминоацидемия. При </w:t>
      </w:r>
      <w:r w:rsidRPr="004B0B65">
        <w:rPr>
          <w:rFonts w:ascii="Arial" w:eastAsia="Times New Roman" w:hAnsi="Arial" w:cs="Arial"/>
          <w:sz w:val="22"/>
          <w:szCs w:val="22"/>
        </w:rPr>
        <w:lastRenderedPageBreak/>
        <w:t>дифференциальной диагностике следует учесть, что повышение уровня глюкагона до 400 пг/мл наблюдается при хронической почечной и печеночной недостаточности, остром панкреатите, сепсисе, акромегалии, синдроме Кушинга, длитель</w:t>
      </w:r>
      <w:r w:rsidRPr="004B0B65">
        <w:rPr>
          <w:rFonts w:ascii="Arial" w:eastAsia="Times New Roman" w:hAnsi="Arial" w:cs="Arial"/>
          <w:sz w:val="22"/>
          <w:szCs w:val="22"/>
        </w:rPr>
        <w:softHyphen/>
        <w:t>ном голодании и семейной форме доброкачественной гиперглюкагонемии.</w:t>
      </w:r>
    </w:p>
    <w:p w:rsidR="0074786D" w:rsidRPr="004B0B65" w:rsidRDefault="0074786D" w:rsidP="00DE1F06">
      <w:pPr>
        <w:ind w:firstLine="460"/>
        <w:jc w:val="both"/>
        <w:rPr>
          <w:rFonts w:ascii="Arial" w:eastAsia="Times New Roman" w:hAnsi="Arial" w:cs="Arial"/>
          <w:sz w:val="22"/>
          <w:szCs w:val="22"/>
        </w:rPr>
      </w:pPr>
      <w:r w:rsidRPr="004B0B65">
        <w:rPr>
          <w:rFonts w:ascii="Arial" w:eastAsia="Times New Roman" w:hAnsi="Arial" w:cs="Arial"/>
          <w:sz w:val="22"/>
          <w:szCs w:val="22"/>
        </w:rPr>
        <w:t>Лечение. На момент диагностики развернутого глюкагонома-син- дрома радикальное оперативное вмешательство, как правило, уже невоз</w:t>
      </w:r>
      <w:r w:rsidRPr="004B0B65">
        <w:rPr>
          <w:rFonts w:ascii="Arial" w:eastAsia="Times New Roman" w:hAnsi="Arial" w:cs="Arial"/>
          <w:sz w:val="22"/>
          <w:szCs w:val="22"/>
        </w:rPr>
        <w:softHyphen/>
        <w:t>можно. Антипролиферативная терапия, как и при карциноидном синдроме (см. далее), строится по ступенчатому принципу. На первом этапе назнача</w:t>
      </w:r>
      <w:r w:rsidRPr="004B0B65">
        <w:rPr>
          <w:rFonts w:ascii="Arial" w:eastAsia="Times New Roman" w:hAnsi="Arial" w:cs="Arial"/>
          <w:sz w:val="22"/>
          <w:szCs w:val="22"/>
        </w:rPr>
        <w:softHyphen/>
        <w:t>ется октреотид (сандостатин), при недостаточном эффекте к нему добавля</w:t>
      </w:r>
      <w:r w:rsidRPr="004B0B65">
        <w:rPr>
          <w:rFonts w:ascii="Arial" w:eastAsia="Times New Roman" w:hAnsi="Arial" w:cs="Arial"/>
          <w:sz w:val="22"/>
          <w:szCs w:val="22"/>
        </w:rPr>
        <w:softHyphen/>
        <w:t>ется а-интерферон (интрон). При дальнейшем прогрессировании опухоле</w:t>
      </w:r>
      <w:r w:rsidRPr="004B0B65">
        <w:rPr>
          <w:rFonts w:ascii="Arial" w:eastAsia="Times New Roman" w:hAnsi="Arial" w:cs="Arial"/>
          <w:sz w:val="22"/>
          <w:szCs w:val="22"/>
        </w:rPr>
        <w:softHyphen/>
        <w:t>вого процесса назначается полихимиотерапия. Подавления опухолевой ги</w:t>
      </w:r>
      <w:r w:rsidRPr="004B0B65">
        <w:rPr>
          <w:rFonts w:ascii="Arial" w:eastAsia="Times New Roman" w:hAnsi="Arial" w:cs="Arial"/>
          <w:sz w:val="22"/>
          <w:szCs w:val="22"/>
        </w:rPr>
        <w:softHyphen/>
        <w:t>персекреции глюкагона удается достичь при назначении октреотида.</w:t>
      </w:r>
    </w:p>
    <w:p w:rsidR="0074786D" w:rsidRPr="004B0B65" w:rsidRDefault="0074786D" w:rsidP="00DE1F06">
      <w:pPr>
        <w:keepNext/>
        <w:keepLines/>
        <w:numPr>
          <w:ilvl w:val="1"/>
          <w:numId w:val="9"/>
        </w:numPr>
        <w:tabs>
          <w:tab w:val="left" w:pos="658"/>
        </w:tabs>
        <w:jc w:val="both"/>
        <w:outlineLvl w:val="3"/>
        <w:rPr>
          <w:rFonts w:ascii="Arial" w:eastAsia="Times New Roman" w:hAnsi="Arial" w:cs="Arial"/>
          <w:b/>
          <w:bCs/>
        </w:rPr>
      </w:pPr>
      <w:bookmarkStart w:id="3" w:name="bookmark201"/>
      <w:r w:rsidRPr="004B0B65">
        <w:rPr>
          <w:rFonts w:ascii="Arial" w:eastAsia="Times New Roman" w:hAnsi="Arial" w:cs="Arial"/>
          <w:b/>
          <w:bCs/>
        </w:rPr>
        <w:t>Випома (синдром Вернера—Моррисона)</w:t>
      </w:r>
      <w:bookmarkEnd w:id="3"/>
    </w:p>
    <w:p w:rsidR="0074786D" w:rsidRPr="004B0B65" w:rsidRDefault="0074786D" w:rsidP="00DE1F06">
      <w:pPr>
        <w:jc w:val="both"/>
        <w:rPr>
          <w:rFonts w:ascii="Arial" w:eastAsia="Times New Roman" w:hAnsi="Arial" w:cs="Arial"/>
          <w:sz w:val="22"/>
          <w:szCs w:val="22"/>
        </w:rPr>
      </w:pPr>
      <w:r w:rsidRPr="004B0B65">
        <w:rPr>
          <w:rFonts w:ascii="Arial" w:eastAsia="Times New Roman" w:hAnsi="Arial" w:cs="Arial"/>
          <w:sz w:val="22"/>
          <w:szCs w:val="22"/>
        </w:rPr>
        <w:t xml:space="preserve">Синдром Вернера—Моррисона (син.: </w:t>
      </w:r>
      <w:r w:rsidRPr="004B0B65">
        <w:rPr>
          <w:rFonts w:ascii="Arial" w:eastAsia="Times New Roman" w:hAnsi="Arial" w:cs="Arial"/>
          <w:sz w:val="22"/>
          <w:szCs w:val="22"/>
          <w:lang w:val="en-US" w:eastAsia="en-US" w:bidi="en-US"/>
        </w:rPr>
        <w:t>WDHH</w:t>
      </w:r>
      <w:r w:rsidRPr="004B0B65">
        <w:rPr>
          <w:rFonts w:ascii="Arial" w:eastAsia="Times New Roman" w:hAnsi="Arial" w:cs="Arial"/>
          <w:sz w:val="22"/>
          <w:szCs w:val="22"/>
        </w:rPr>
        <w:t xml:space="preserve">-синдром от англ, </w:t>
      </w:r>
      <w:r w:rsidRPr="004B0B65">
        <w:rPr>
          <w:rFonts w:ascii="Arial" w:eastAsia="Times New Roman" w:hAnsi="Arial" w:cs="Arial"/>
          <w:sz w:val="22"/>
          <w:szCs w:val="22"/>
          <w:lang w:val="en-US" w:eastAsia="en-US" w:bidi="en-US"/>
        </w:rPr>
        <w:t>watery</w:t>
      </w:r>
      <w:r w:rsidRPr="004B0B65">
        <w:rPr>
          <w:rFonts w:ascii="Arial" w:eastAsia="Times New Roman" w:hAnsi="Arial" w:cs="Arial"/>
          <w:sz w:val="22"/>
          <w:szCs w:val="22"/>
          <w:lang w:eastAsia="en-US" w:bidi="en-US"/>
        </w:rPr>
        <w:t xml:space="preserve"> </w:t>
      </w:r>
      <w:r w:rsidRPr="004B0B65">
        <w:rPr>
          <w:rFonts w:ascii="Arial" w:eastAsia="Times New Roman" w:hAnsi="Arial" w:cs="Arial"/>
          <w:sz w:val="22"/>
          <w:szCs w:val="22"/>
          <w:lang w:val="en-US" w:eastAsia="en-US" w:bidi="en-US"/>
        </w:rPr>
        <w:t>di</w:t>
      </w:r>
      <w:r w:rsidRPr="004B0B65">
        <w:rPr>
          <w:rFonts w:ascii="Arial" w:eastAsia="Times New Roman" w:hAnsi="Arial" w:cs="Arial"/>
          <w:sz w:val="22"/>
          <w:szCs w:val="22"/>
          <w:lang w:eastAsia="en-US" w:bidi="en-US"/>
        </w:rPr>
        <w:softHyphen/>
      </w:r>
      <w:r w:rsidRPr="004B0B65">
        <w:rPr>
          <w:rFonts w:ascii="Arial" w:eastAsia="Times New Roman" w:hAnsi="Arial" w:cs="Arial"/>
          <w:sz w:val="22"/>
          <w:szCs w:val="22"/>
          <w:lang w:val="en-US" w:eastAsia="en-US" w:bidi="en-US"/>
        </w:rPr>
        <w:t>arrhea</w:t>
      </w:r>
      <w:r w:rsidRPr="004B0B65">
        <w:rPr>
          <w:rFonts w:ascii="Arial" w:eastAsia="Times New Roman" w:hAnsi="Arial" w:cs="Arial"/>
          <w:sz w:val="22"/>
          <w:szCs w:val="22"/>
          <w:lang w:eastAsia="en-US" w:bidi="en-US"/>
        </w:rPr>
        <w:t xml:space="preserve">, </w:t>
      </w:r>
      <w:r w:rsidRPr="004B0B65">
        <w:rPr>
          <w:rFonts w:ascii="Arial" w:eastAsia="Times New Roman" w:hAnsi="Arial" w:cs="Arial"/>
          <w:sz w:val="22"/>
          <w:szCs w:val="22"/>
          <w:lang w:val="en-US" w:eastAsia="en-US" w:bidi="en-US"/>
        </w:rPr>
        <w:t>hypokalemia</w:t>
      </w:r>
      <w:r w:rsidRPr="004B0B65">
        <w:rPr>
          <w:rFonts w:ascii="Arial" w:eastAsia="Times New Roman" w:hAnsi="Arial" w:cs="Arial"/>
          <w:sz w:val="22"/>
          <w:szCs w:val="22"/>
          <w:lang w:eastAsia="en-US" w:bidi="en-US"/>
        </w:rPr>
        <w:t xml:space="preserve">, </w:t>
      </w:r>
      <w:r w:rsidRPr="004B0B65">
        <w:rPr>
          <w:rFonts w:ascii="Arial" w:eastAsia="Times New Roman" w:hAnsi="Arial" w:cs="Arial"/>
          <w:sz w:val="22"/>
          <w:szCs w:val="22"/>
          <w:lang w:val="en-US" w:eastAsia="en-US" w:bidi="en-US"/>
        </w:rPr>
        <w:t>hypochlorhydria</w:t>
      </w:r>
      <w:r w:rsidRPr="004B0B65">
        <w:rPr>
          <w:rFonts w:ascii="Arial" w:eastAsia="Times New Roman" w:hAnsi="Arial" w:cs="Arial"/>
          <w:sz w:val="22"/>
          <w:szCs w:val="22"/>
          <w:lang w:eastAsia="en-US" w:bidi="en-US"/>
        </w:rPr>
        <w:t xml:space="preserve">; </w:t>
      </w:r>
      <w:r w:rsidRPr="004B0B65">
        <w:rPr>
          <w:rFonts w:ascii="Arial" w:eastAsia="Times New Roman" w:hAnsi="Arial" w:cs="Arial"/>
          <w:sz w:val="22"/>
          <w:szCs w:val="22"/>
        </w:rPr>
        <w:t>синдром панкреатической холеры) обусловлен гиперсекрецией вазоактивного интенстинального пептида (ВИП) эндокринными опухолями поджелудочной железы (90 %) или ган- глионейробластомами (10 %). Випомы, как правило, представляют собой солитарные, крупные опухоли, чаще располагающиеся в хвосте поджелу</w:t>
      </w:r>
      <w:r w:rsidRPr="004B0B65">
        <w:rPr>
          <w:rFonts w:ascii="Arial" w:eastAsia="Times New Roman" w:hAnsi="Arial" w:cs="Arial"/>
          <w:sz w:val="22"/>
          <w:szCs w:val="22"/>
        </w:rPr>
        <w:softHyphen/>
        <w:t>дочной железы. На момент диагностики в 60—80 % случаев они уже имеют метастазы.</w:t>
      </w:r>
    </w:p>
    <w:p w:rsidR="0074786D" w:rsidRPr="004B0B65" w:rsidRDefault="0074786D" w:rsidP="00DE1F06">
      <w:pPr>
        <w:pStyle w:val="1"/>
        <w:ind w:firstLine="440"/>
        <w:jc w:val="both"/>
        <w:rPr>
          <w:rFonts w:ascii="Arial" w:hAnsi="Arial" w:cs="Arial"/>
        </w:rPr>
      </w:pPr>
      <w:r w:rsidRPr="004B0B65">
        <w:rPr>
          <w:rFonts w:ascii="Arial" w:hAnsi="Arial" w:cs="Arial"/>
        </w:rPr>
        <w:t>Клиническая картина. ВИП стимулирует интестинальную секрецию электролитов и жидкости, имеет вазодилататорный эффект, ин</w:t>
      </w:r>
      <w:r w:rsidRPr="004B0B65">
        <w:rPr>
          <w:rFonts w:ascii="Arial" w:hAnsi="Arial" w:cs="Arial"/>
        </w:rPr>
        <w:softHyphen/>
        <w:t>гибирует секрецию соляной кислоты в желудке. Випома клинически мани</w:t>
      </w:r>
      <w:r w:rsidRPr="004B0B65">
        <w:rPr>
          <w:rFonts w:ascii="Arial" w:hAnsi="Arial" w:cs="Arial"/>
        </w:rPr>
        <w:softHyphen/>
        <w:t>фестирует сочетанием облигатных симптомов: тяжелой секреторной диа</w:t>
      </w:r>
      <w:r w:rsidRPr="004B0B65">
        <w:rPr>
          <w:rFonts w:ascii="Arial" w:hAnsi="Arial" w:cs="Arial"/>
        </w:rPr>
        <w:softHyphen/>
        <w:t>реей, гипокалиемией, гипо- или ахлоргидрией, дегидратацией и потерей массы тела. Диарея носит угрожающий для жизни характер (панкреатичес</w:t>
      </w:r>
      <w:r w:rsidRPr="004B0B65">
        <w:rPr>
          <w:rFonts w:ascii="Arial" w:hAnsi="Arial" w:cs="Arial"/>
        </w:rPr>
        <w:softHyphen/>
        <w:t>кая холера). Объем стула менее 700 г в день практически исключает диагноз синдрома Вернера—Моррисона. Половина пациентов сообщают о схватко</w:t>
      </w:r>
      <w:r w:rsidRPr="004B0B65">
        <w:rPr>
          <w:rFonts w:ascii="Arial" w:hAnsi="Arial" w:cs="Arial"/>
        </w:rPr>
        <w:softHyphen/>
        <w:t>образных болях в животе, в 20 % случаев отмечаются приливы в области лица и верхней половины туловища, аналогичные таковым при карциноид</w:t>
      </w:r>
      <w:r w:rsidRPr="004B0B65">
        <w:rPr>
          <w:rFonts w:ascii="Arial" w:hAnsi="Arial" w:cs="Arial"/>
        </w:rPr>
        <w:softHyphen/>
        <w:t>ном синдроме.</w:t>
      </w:r>
    </w:p>
    <w:p w:rsidR="0074786D" w:rsidRPr="004B0B65" w:rsidRDefault="0074786D" w:rsidP="00DE1F06">
      <w:pPr>
        <w:ind w:firstLine="440"/>
        <w:jc w:val="both"/>
        <w:rPr>
          <w:rFonts w:ascii="Arial" w:eastAsia="Times New Roman" w:hAnsi="Arial" w:cs="Arial"/>
          <w:sz w:val="22"/>
          <w:szCs w:val="22"/>
        </w:rPr>
      </w:pPr>
      <w:r w:rsidRPr="004B0B65">
        <w:rPr>
          <w:rFonts w:ascii="Arial" w:eastAsia="Times New Roman" w:hAnsi="Arial" w:cs="Arial"/>
          <w:sz w:val="22"/>
          <w:szCs w:val="22"/>
        </w:rPr>
        <w:t>Топическая диагностика, так же как и в случае глюкагономы, больших сложностей не представляет.</w:t>
      </w:r>
    </w:p>
    <w:p w:rsidR="0074786D" w:rsidRPr="004B0B65" w:rsidRDefault="0074786D" w:rsidP="00DE1F06">
      <w:pPr>
        <w:ind w:firstLine="440"/>
        <w:jc w:val="both"/>
        <w:rPr>
          <w:rFonts w:ascii="Arial" w:eastAsia="Times New Roman" w:hAnsi="Arial" w:cs="Arial"/>
          <w:sz w:val="22"/>
          <w:szCs w:val="22"/>
        </w:rPr>
      </w:pPr>
      <w:r w:rsidRPr="004B0B65">
        <w:rPr>
          <w:rFonts w:ascii="Arial" w:eastAsia="Times New Roman" w:hAnsi="Arial" w:cs="Arial"/>
          <w:sz w:val="22"/>
          <w:szCs w:val="22"/>
        </w:rPr>
        <w:t>Лечение. Радикальное оперативное лечение, как правило, невоз</w:t>
      </w:r>
      <w:r w:rsidRPr="004B0B65">
        <w:rPr>
          <w:rFonts w:ascii="Arial" w:eastAsia="Times New Roman" w:hAnsi="Arial" w:cs="Arial"/>
          <w:sz w:val="22"/>
          <w:szCs w:val="22"/>
        </w:rPr>
        <w:softHyphen/>
        <w:t>можно. Противоопухолевая терапия строится по тем же принципам, что и при глюкагономе и карциноидном синдроме (октреотид, а-интерферон, химиотерапия). Уменьшения диареи ранее в какой-то степени удавалось добиться с помощью карбоната лития и индометацина. В настоящее время наиболее эффективным средством антипролиферативной терапии является октреотид, который оказывает тормозящее действие как на опухолевую секрецию, так непосредственно на интестинальную секрецию воды и электролитов.</w:t>
      </w:r>
    </w:p>
    <w:p w:rsidR="0074786D" w:rsidRPr="004B0B65" w:rsidRDefault="0074786D" w:rsidP="00DE1F06">
      <w:pPr>
        <w:keepNext/>
        <w:keepLines/>
        <w:numPr>
          <w:ilvl w:val="1"/>
          <w:numId w:val="9"/>
        </w:numPr>
        <w:tabs>
          <w:tab w:val="left" w:pos="658"/>
        </w:tabs>
        <w:jc w:val="both"/>
        <w:outlineLvl w:val="3"/>
        <w:rPr>
          <w:rFonts w:ascii="Arial" w:eastAsia="Times New Roman" w:hAnsi="Arial" w:cs="Arial"/>
          <w:b/>
          <w:bCs/>
        </w:rPr>
      </w:pPr>
      <w:bookmarkStart w:id="4" w:name="bookmark203"/>
      <w:r w:rsidRPr="004B0B65">
        <w:rPr>
          <w:rFonts w:ascii="Arial" w:eastAsia="Times New Roman" w:hAnsi="Arial" w:cs="Arial"/>
          <w:b/>
          <w:bCs/>
        </w:rPr>
        <w:t>Карциноидный синдром</w:t>
      </w:r>
      <w:bookmarkEnd w:id="4"/>
    </w:p>
    <w:p w:rsidR="0074786D" w:rsidRPr="004B0B65" w:rsidRDefault="0074786D" w:rsidP="00DE1F06">
      <w:pPr>
        <w:jc w:val="both"/>
        <w:rPr>
          <w:rFonts w:ascii="Arial" w:eastAsia="Times New Roman" w:hAnsi="Arial" w:cs="Arial"/>
          <w:sz w:val="22"/>
          <w:szCs w:val="22"/>
        </w:rPr>
      </w:pPr>
      <w:r w:rsidRPr="004B0B65">
        <w:rPr>
          <w:rFonts w:ascii="Arial" w:eastAsia="Times New Roman" w:hAnsi="Arial" w:cs="Arial"/>
          <w:sz w:val="22"/>
          <w:szCs w:val="22"/>
        </w:rPr>
        <w:t>Карциноидный синдром — клинический симптомокомплекс, связанный с ростом и гормонопродукцией опухолей, происходящих из энтерохромаф</w:t>
      </w:r>
      <w:r w:rsidRPr="004B0B65">
        <w:rPr>
          <w:rFonts w:ascii="Arial" w:eastAsia="Times New Roman" w:hAnsi="Arial" w:cs="Arial"/>
          <w:sz w:val="22"/>
          <w:szCs w:val="22"/>
        </w:rPr>
        <w:softHyphen/>
        <w:t xml:space="preserve">финных клеток. Следует различать понятия «карциноидный синдром» и «карциноид». Термин «карциноид» (от </w:t>
      </w:r>
      <w:r w:rsidRPr="004B0B65">
        <w:rPr>
          <w:rFonts w:ascii="Arial" w:eastAsia="Times New Roman" w:hAnsi="Arial" w:cs="Arial"/>
          <w:sz w:val="22"/>
          <w:szCs w:val="22"/>
          <w:lang w:val="en-US" w:eastAsia="en-US" w:bidi="en-US"/>
        </w:rPr>
        <w:t>carcino</w:t>
      </w:r>
      <w:r w:rsidRPr="004B0B65">
        <w:rPr>
          <w:rFonts w:ascii="Arial" w:eastAsia="Times New Roman" w:hAnsi="Arial" w:cs="Arial"/>
          <w:sz w:val="22"/>
          <w:szCs w:val="22"/>
          <w:lang w:eastAsia="en-US" w:bidi="en-US"/>
        </w:rPr>
        <w:t xml:space="preserve"> </w:t>
      </w:r>
      <w:r w:rsidRPr="004B0B65">
        <w:rPr>
          <w:rFonts w:ascii="Arial" w:eastAsia="Times New Roman" w:hAnsi="Arial" w:cs="Arial"/>
          <w:sz w:val="22"/>
          <w:szCs w:val="22"/>
        </w:rPr>
        <w:t xml:space="preserve">— раковый, </w:t>
      </w:r>
      <w:r w:rsidRPr="004B0B65">
        <w:rPr>
          <w:rFonts w:ascii="Arial" w:eastAsia="Times New Roman" w:hAnsi="Arial" w:cs="Arial"/>
          <w:sz w:val="22"/>
          <w:szCs w:val="22"/>
          <w:lang w:val="en-US" w:eastAsia="en-US" w:bidi="en-US"/>
        </w:rPr>
        <w:t>aid</w:t>
      </w:r>
      <w:r w:rsidRPr="004B0B65">
        <w:rPr>
          <w:rFonts w:ascii="Arial" w:eastAsia="Times New Roman" w:hAnsi="Arial" w:cs="Arial"/>
          <w:sz w:val="22"/>
          <w:szCs w:val="22"/>
          <w:lang w:eastAsia="en-US" w:bidi="en-US"/>
        </w:rPr>
        <w:t xml:space="preserve"> </w:t>
      </w:r>
      <w:r w:rsidRPr="004B0B65">
        <w:rPr>
          <w:rFonts w:ascii="Arial" w:eastAsia="Times New Roman" w:hAnsi="Arial" w:cs="Arial"/>
          <w:sz w:val="22"/>
          <w:szCs w:val="22"/>
        </w:rPr>
        <w:t>— мелкий, подобный) впервые был предложен в 1907 г. С.Оберндорфером для обозна</w:t>
      </w:r>
      <w:r w:rsidRPr="004B0B65">
        <w:rPr>
          <w:rFonts w:ascii="Arial" w:eastAsia="Times New Roman" w:hAnsi="Arial" w:cs="Arial"/>
          <w:sz w:val="22"/>
          <w:szCs w:val="22"/>
        </w:rPr>
        <w:softHyphen/>
        <w:t>чения хорошо дифференцированных, «полузлокачественных» опухолей эн</w:t>
      </w:r>
      <w:r w:rsidRPr="004B0B65">
        <w:rPr>
          <w:rFonts w:ascii="Arial" w:eastAsia="Times New Roman" w:hAnsi="Arial" w:cs="Arial"/>
          <w:sz w:val="22"/>
          <w:szCs w:val="22"/>
        </w:rPr>
        <w:softHyphen/>
        <w:t>терохромаффинной ткани в отличие от агрессивно растущих аденокарци</w:t>
      </w:r>
      <w:r w:rsidRPr="004B0B65">
        <w:rPr>
          <w:rFonts w:ascii="Arial" w:eastAsia="Times New Roman" w:hAnsi="Arial" w:cs="Arial"/>
          <w:sz w:val="22"/>
          <w:szCs w:val="22"/>
        </w:rPr>
        <w:softHyphen/>
        <w:t>ном. В широком смысле под карциноидами понимают все эндокринные опухоли ПЖЖ и ЖКТ (апудомы), как функционально активные (инсули</w:t>
      </w:r>
      <w:r w:rsidRPr="004B0B65">
        <w:rPr>
          <w:rFonts w:ascii="Arial" w:eastAsia="Times New Roman" w:hAnsi="Arial" w:cs="Arial"/>
          <w:sz w:val="22"/>
          <w:szCs w:val="22"/>
        </w:rPr>
        <w:softHyphen/>
        <w:t>нома, глюкагонома, випома и др.), так и протекающие без синдрома гипер</w:t>
      </w:r>
      <w:r w:rsidRPr="004B0B65">
        <w:rPr>
          <w:rFonts w:ascii="Arial" w:eastAsia="Times New Roman" w:hAnsi="Arial" w:cs="Arial"/>
          <w:sz w:val="22"/>
          <w:szCs w:val="22"/>
        </w:rPr>
        <w:softHyphen/>
        <w:t>секреции гормонов. В отечественной литературе распространена более узкая и удобная трактовка этого понятия (которой мы будем придерживать</w:t>
      </w:r>
      <w:r w:rsidRPr="004B0B65">
        <w:rPr>
          <w:rFonts w:ascii="Arial" w:eastAsia="Times New Roman" w:hAnsi="Arial" w:cs="Arial"/>
          <w:sz w:val="22"/>
          <w:szCs w:val="22"/>
        </w:rPr>
        <w:softHyphen/>
        <w:t>ся в дальнейшем): карциноид — опухоль, вызывающая карциноидный син</w:t>
      </w:r>
      <w:r w:rsidRPr="004B0B65">
        <w:rPr>
          <w:rFonts w:ascii="Arial" w:eastAsia="Times New Roman" w:hAnsi="Arial" w:cs="Arial"/>
          <w:sz w:val="22"/>
          <w:szCs w:val="22"/>
        </w:rPr>
        <w:softHyphen/>
        <w:t>дром.</w:t>
      </w:r>
    </w:p>
    <w:p w:rsidR="0074786D" w:rsidRPr="004B0B65" w:rsidRDefault="0074786D" w:rsidP="00DE1F06">
      <w:pPr>
        <w:ind w:firstLine="440"/>
        <w:jc w:val="both"/>
        <w:rPr>
          <w:rFonts w:ascii="Arial" w:eastAsia="Times New Roman" w:hAnsi="Arial" w:cs="Arial"/>
          <w:sz w:val="22"/>
          <w:szCs w:val="22"/>
        </w:rPr>
      </w:pPr>
      <w:r w:rsidRPr="004B0B65">
        <w:rPr>
          <w:rFonts w:ascii="Arial" w:eastAsia="Times New Roman" w:hAnsi="Arial" w:cs="Arial"/>
          <w:sz w:val="22"/>
          <w:szCs w:val="22"/>
        </w:rPr>
        <w:t>Классификация. Гистологически, а также по набору продуци</w:t>
      </w:r>
      <w:r w:rsidRPr="004B0B65">
        <w:rPr>
          <w:rFonts w:ascii="Arial" w:eastAsia="Times New Roman" w:hAnsi="Arial" w:cs="Arial"/>
          <w:sz w:val="22"/>
          <w:szCs w:val="22"/>
        </w:rPr>
        <w:softHyphen/>
        <w:t>руемых гормонов и степени злокачественности карциноидные опухоли зна</w:t>
      </w:r>
      <w:r w:rsidRPr="004B0B65">
        <w:rPr>
          <w:rFonts w:ascii="Arial" w:eastAsia="Times New Roman" w:hAnsi="Arial" w:cs="Arial"/>
          <w:sz w:val="22"/>
          <w:szCs w:val="22"/>
        </w:rPr>
        <w:softHyphen/>
        <w:t>чительно варьируют в зависимости от их локализации. В связи с этим опре</w:t>
      </w:r>
      <w:r w:rsidRPr="004B0B65">
        <w:rPr>
          <w:rFonts w:ascii="Arial" w:eastAsia="Times New Roman" w:hAnsi="Arial" w:cs="Arial"/>
          <w:sz w:val="22"/>
          <w:szCs w:val="22"/>
        </w:rPr>
        <w:softHyphen/>
        <w:t>деленное клиническое значение имеет морфогенетическая классификация, согласно которой карциноидные опухоли подразделяются на происходя</w:t>
      </w:r>
      <w:r w:rsidRPr="004B0B65">
        <w:rPr>
          <w:rFonts w:ascii="Arial" w:eastAsia="Times New Roman" w:hAnsi="Arial" w:cs="Arial"/>
          <w:sz w:val="22"/>
          <w:szCs w:val="22"/>
        </w:rPr>
        <w:softHyphen/>
        <w:t>щие из переднего, среднего и заднего отделов первичной эмбриональной кишки (табл. 13.8).</w:t>
      </w:r>
    </w:p>
    <w:p w:rsidR="0074786D" w:rsidRPr="004B0B65" w:rsidRDefault="0074786D" w:rsidP="00DE1F06">
      <w:pPr>
        <w:ind w:firstLine="420"/>
        <w:jc w:val="both"/>
        <w:rPr>
          <w:rFonts w:ascii="Arial" w:eastAsia="Times New Roman" w:hAnsi="Arial" w:cs="Arial"/>
          <w:sz w:val="22"/>
          <w:szCs w:val="22"/>
        </w:rPr>
      </w:pPr>
      <w:r w:rsidRPr="004B0B65">
        <w:rPr>
          <w:rFonts w:ascii="Arial" w:eastAsia="Times New Roman" w:hAnsi="Arial" w:cs="Arial"/>
          <w:sz w:val="22"/>
          <w:szCs w:val="22"/>
        </w:rPr>
        <w:lastRenderedPageBreak/>
        <w:t>Для морфологической характеристики карциноидов, кроме того, широ</w:t>
      </w:r>
      <w:r w:rsidRPr="004B0B65">
        <w:rPr>
          <w:rFonts w:ascii="Arial" w:eastAsia="Times New Roman" w:hAnsi="Arial" w:cs="Arial"/>
          <w:sz w:val="22"/>
          <w:szCs w:val="22"/>
        </w:rPr>
        <w:softHyphen/>
        <w:t>ко применяется классификация Капеллы (см. раздел 13.2).</w:t>
      </w:r>
    </w:p>
    <w:p w:rsidR="008A3CFF" w:rsidRPr="008A3CFF" w:rsidRDefault="008A3CFF" w:rsidP="00DE1F06">
      <w:pPr>
        <w:rPr>
          <w:rFonts w:ascii="Arial" w:eastAsia="Times New Roman" w:hAnsi="Arial" w:cs="Arial"/>
          <w:sz w:val="22"/>
          <w:szCs w:val="19"/>
        </w:rPr>
      </w:pPr>
      <w:r w:rsidRPr="008A3CFF">
        <w:rPr>
          <w:rFonts w:ascii="Arial" w:eastAsia="Times New Roman" w:hAnsi="Arial" w:cs="Arial"/>
          <w:sz w:val="22"/>
          <w:szCs w:val="19"/>
        </w:rPr>
        <w:t xml:space="preserve">Таблица 13.8. </w:t>
      </w:r>
      <w:r w:rsidRPr="008A3CFF">
        <w:rPr>
          <w:rFonts w:ascii="Arial" w:eastAsia="Times New Roman" w:hAnsi="Arial" w:cs="Arial"/>
          <w:b/>
          <w:bCs/>
          <w:sz w:val="22"/>
          <w:szCs w:val="19"/>
        </w:rPr>
        <w:t xml:space="preserve">Морфогенетическая классификация нейроэндокринных опухолей (карциноидов) </w:t>
      </w:r>
      <w:r w:rsidRPr="008A3CFF">
        <w:rPr>
          <w:rFonts w:ascii="Arial" w:eastAsia="Times New Roman" w:hAnsi="Arial" w:cs="Arial"/>
          <w:b/>
          <w:bCs/>
          <w:sz w:val="22"/>
          <w:szCs w:val="19"/>
          <w:lang w:eastAsia="en-US" w:bidi="en-US"/>
        </w:rPr>
        <w:t>[</w:t>
      </w:r>
      <w:r w:rsidRPr="008A3CFF">
        <w:rPr>
          <w:rFonts w:ascii="Arial" w:eastAsia="Times New Roman" w:hAnsi="Arial" w:cs="Arial"/>
          <w:b/>
          <w:bCs/>
          <w:sz w:val="22"/>
          <w:szCs w:val="19"/>
          <w:lang w:val="en-US" w:eastAsia="en-US" w:bidi="en-US"/>
        </w:rPr>
        <w:t>Williams</w:t>
      </w:r>
      <w:r w:rsidRPr="008A3CFF">
        <w:rPr>
          <w:rFonts w:ascii="Arial" w:eastAsia="Times New Roman" w:hAnsi="Arial" w:cs="Arial"/>
          <w:b/>
          <w:bCs/>
          <w:sz w:val="22"/>
          <w:szCs w:val="19"/>
          <w:lang w:eastAsia="en-US" w:bidi="en-US"/>
        </w:rPr>
        <w:t xml:space="preserve"> </w:t>
      </w:r>
      <w:r w:rsidRPr="008A3CFF">
        <w:rPr>
          <w:rFonts w:ascii="Arial" w:eastAsia="Times New Roman" w:hAnsi="Arial" w:cs="Arial"/>
          <w:b/>
          <w:bCs/>
          <w:sz w:val="22"/>
          <w:szCs w:val="19"/>
          <w:lang w:val="en-US" w:eastAsia="en-US" w:bidi="en-US"/>
        </w:rPr>
        <w:t>E</w:t>
      </w:r>
      <w:r w:rsidRPr="008A3CFF">
        <w:rPr>
          <w:rFonts w:ascii="Arial" w:eastAsia="Times New Roman" w:hAnsi="Arial" w:cs="Arial"/>
          <w:b/>
          <w:bCs/>
          <w:sz w:val="22"/>
          <w:szCs w:val="19"/>
          <w:lang w:eastAsia="en-US" w:bidi="en-US"/>
        </w:rPr>
        <w:t>.</w:t>
      </w:r>
      <w:r w:rsidRPr="008A3CFF">
        <w:rPr>
          <w:rFonts w:ascii="Arial" w:eastAsia="Times New Roman" w:hAnsi="Arial" w:cs="Arial"/>
          <w:b/>
          <w:bCs/>
          <w:sz w:val="22"/>
          <w:szCs w:val="19"/>
          <w:lang w:val="en-US" w:eastAsia="en-US" w:bidi="en-US"/>
        </w:rPr>
        <w:t>D</w:t>
      </w:r>
      <w:r w:rsidRPr="008A3CFF">
        <w:rPr>
          <w:rFonts w:ascii="Arial" w:eastAsia="Times New Roman" w:hAnsi="Arial" w:cs="Arial"/>
          <w:b/>
          <w:bCs/>
          <w:sz w:val="22"/>
          <w:szCs w:val="19"/>
          <w:lang w:eastAsia="en-US" w:bidi="en-US"/>
        </w:rPr>
        <w:t xml:space="preserve">., </w:t>
      </w:r>
      <w:r w:rsidRPr="008A3CFF">
        <w:rPr>
          <w:rFonts w:ascii="Arial" w:eastAsia="Times New Roman" w:hAnsi="Arial" w:cs="Arial"/>
          <w:b/>
          <w:bCs/>
          <w:sz w:val="22"/>
          <w:szCs w:val="19"/>
          <w:lang w:val="en-US" w:eastAsia="en-US" w:bidi="en-US"/>
        </w:rPr>
        <w:t>Sandler</w:t>
      </w:r>
      <w:r w:rsidRPr="008A3CFF">
        <w:rPr>
          <w:rFonts w:ascii="Arial" w:eastAsia="Times New Roman" w:hAnsi="Arial" w:cs="Arial"/>
          <w:b/>
          <w:bCs/>
          <w:sz w:val="22"/>
          <w:szCs w:val="19"/>
          <w:lang w:eastAsia="en-US" w:bidi="en-US"/>
        </w:rPr>
        <w:t xml:space="preserve"> </w:t>
      </w:r>
      <w:r w:rsidRPr="008A3CFF">
        <w:rPr>
          <w:rFonts w:ascii="Arial" w:eastAsia="Times New Roman" w:hAnsi="Arial" w:cs="Arial"/>
          <w:b/>
          <w:bCs/>
          <w:sz w:val="22"/>
          <w:szCs w:val="19"/>
        </w:rPr>
        <w:t>М., 1963]</w:t>
      </w:r>
    </w:p>
    <w:tbl>
      <w:tblPr>
        <w:tblOverlap w:val="never"/>
        <w:tblW w:w="0" w:type="auto"/>
        <w:jc w:val="center"/>
        <w:tblLayout w:type="fixed"/>
        <w:tblCellMar>
          <w:left w:w="10" w:type="dxa"/>
          <w:right w:w="10" w:type="dxa"/>
        </w:tblCellMar>
        <w:tblLook w:val="0000" w:firstRow="0" w:lastRow="0" w:firstColumn="0" w:lastColumn="0" w:noHBand="0" w:noVBand="0"/>
      </w:tblPr>
      <w:tblGrid>
        <w:gridCol w:w="1181"/>
        <w:gridCol w:w="1886"/>
        <w:gridCol w:w="1853"/>
        <w:gridCol w:w="2568"/>
      </w:tblGrid>
      <w:tr w:rsidR="004B0B65" w:rsidRPr="008A3CFF" w:rsidTr="004B0B65">
        <w:trPr>
          <w:trHeight w:hRule="exact" w:val="710"/>
          <w:jc w:val="center"/>
        </w:trPr>
        <w:tc>
          <w:tcPr>
            <w:tcW w:w="1181" w:type="dxa"/>
            <w:tcBorders>
              <w:top w:val="single" w:sz="4" w:space="0" w:color="auto"/>
              <w:left w:val="single" w:sz="4" w:space="0" w:color="auto"/>
            </w:tcBorders>
            <w:shd w:val="clear" w:color="auto" w:fill="auto"/>
            <w:vAlign w:val="center"/>
          </w:tcPr>
          <w:p w:rsidR="008A3CFF" w:rsidRPr="008A3CFF" w:rsidRDefault="008A3CFF" w:rsidP="00DE1F06">
            <w:pPr>
              <w:jc w:val="center"/>
              <w:rPr>
                <w:rFonts w:ascii="Arial" w:eastAsia="Times New Roman" w:hAnsi="Arial" w:cs="Arial"/>
                <w:sz w:val="18"/>
                <w:szCs w:val="18"/>
              </w:rPr>
            </w:pPr>
            <w:r w:rsidRPr="008A3CFF">
              <w:rPr>
                <w:rFonts w:ascii="Arial" w:eastAsia="Times New Roman" w:hAnsi="Arial" w:cs="Arial"/>
                <w:sz w:val="18"/>
                <w:szCs w:val="18"/>
              </w:rPr>
              <w:t>Отдел первичной кишки</w:t>
            </w:r>
          </w:p>
        </w:tc>
        <w:tc>
          <w:tcPr>
            <w:tcW w:w="1886" w:type="dxa"/>
            <w:tcBorders>
              <w:top w:val="single" w:sz="4" w:space="0" w:color="auto"/>
              <w:left w:val="single" w:sz="4" w:space="0" w:color="auto"/>
            </w:tcBorders>
            <w:shd w:val="clear" w:color="auto" w:fill="auto"/>
            <w:vAlign w:val="center"/>
          </w:tcPr>
          <w:p w:rsidR="008A3CFF" w:rsidRPr="008A3CFF" w:rsidRDefault="008A3CFF" w:rsidP="00DE1F06">
            <w:pPr>
              <w:jc w:val="center"/>
              <w:rPr>
                <w:rFonts w:ascii="Arial" w:eastAsia="Times New Roman" w:hAnsi="Arial" w:cs="Arial"/>
                <w:sz w:val="18"/>
                <w:szCs w:val="18"/>
              </w:rPr>
            </w:pPr>
            <w:r w:rsidRPr="008A3CFF">
              <w:rPr>
                <w:rFonts w:ascii="Arial" w:eastAsia="Times New Roman" w:hAnsi="Arial" w:cs="Arial"/>
                <w:sz w:val="18"/>
                <w:szCs w:val="18"/>
              </w:rPr>
              <w:t>Локализация карциноидной опухоли</w:t>
            </w:r>
          </w:p>
        </w:tc>
        <w:tc>
          <w:tcPr>
            <w:tcW w:w="1853" w:type="dxa"/>
            <w:tcBorders>
              <w:top w:val="single" w:sz="4" w:space="0" w:color="auto"/>
              <w:left w:val="single" w:sz="4" w:space="0" w:color="auto"/>
            </w:tcBorders>
            <w:shd w:val="clear" w:color="auto" w:fill="auto"/>
            <w:vAlign w:val="center"/>
          </w:tcPr>
          <w:p w:rsidR="008A3CFF" w:rsidRPr="008A3CFF" w:rsidRDefault="008A3CFF" w:rsidP="00DE1F06">
            <w:pPr>
              <w:jc w:val="center"/>
              <w:rPr>
                <w:rFonts w:ascii="Arial" w:eastAsia="Times New Roman" w:hAnsi="Arial" w:cs="Arial"/>
                <w:sz w:val="18"/>
                <w:szCs w:val="18"/>
              </w:rPr>
            </w:pPr>
            <w:r w:rsidRPr="008A3CFF">
              <w:rPr>
                <w:rFonts w:ascii="Arial" w:eastAsia="Times New Roman" w:hAnsi="Arial" w:cs="Arial"/>
                <w:sz w:val="18"/>
                <w:szCs w:val="18"/>
              </w:rPr>
              <w:t>Иммуно</w:t>
            </w:r>
            <w:r w:rsidRPr="008A3CFF">
              <w:rPr>
                <w:rFonts w:ascii="Arial" w:eastAsia="Times New Roman" w:hAnsi="Arial" w:cs="Arial"/>
                <w:sz w:val="18"/>
                <w:szCs w:val="18"/>
              </w:rPr>
              <w:softHyphen/>
              <w:t>гистохимические маркеры</w:t>
            </w:r>
          </w:p>
        </w:tc>
        <w:tc>
          <w:tcPr>
            <w:tcW w:w="2568" w:type="dxa"/>
            <w:tcBorders>
              <w:top w:val="single" w:sz="4" w:space="0" w:color="auto"/>
              <w:left w:val="single" w:sz="4" w:space="0" w:color="auto"/>
              <w:right w:val="single" w:sz="4" w:space="0" w:color="auto"/>
            </w:tcBorders>
            <w:shd w:val="clear" w:color="auto" w:fill="auto"/>
            <w:vAlign w:val="center"/>
          </w:tcPr>
          <w:p w:rsidR="008A3CFF" w:rsidRPr="008A3CFF" w:rsidRDefault="008A3CFF" w:rsidP="00DE1F06">
            <w:pPr>
              <w:jc w:val="center"/>
              <w:rPr>
                <w:rFonts w:ascii="Arial" w:eastAsia="Times New Roman" w:hAnsi="Arial" w:cs="Arial"/>
                <w:sz w:val="18"/>
                <w:szCs w:val="18"/>
              </w:rPr>
            </w:pPr>
            <w:r w:rsidRPr="008A3CFF">
              <w:rPr>
                <w:rFonts w:ascii="Arial" w:eastAsia="Times New Roman" w:hAnsi="Arial" w:cs="Arial"/>
                <w:sz w:val="18"/>
                <w:szCs w:val="18"/>
              </w:rPr>
              <w:t>Симптоматика</w:t>
            </w:r>
          </w:p>
        </w:tc>
      </w:tr>
      <w:tr w:rsidR="004B0B65" w:rsidRPr="008A3CFF" w:rsidTr="004B0B65">
        <w:trPr>
          <w:trHeight w:hRule="exact" w:val="3226"/>
          <w:jc w:val="center"/>
        </w:trPr>
        <w:tc>
          <w:tcPr>
            <w:tcW w:w="1181" w:type="dxa"/>
            <w:tcBorders>
              <w:top w:val="single" w:sz="4" w:space="0" w:color="auto"/>
              <w:left w:val="single" w:sz="4" w:space="0" w:color="auto"/>
              <w:bottom w:val="single" w:sz="4" w:space="0" w:color="auto"/>
            </w:tcBorders>
            <w:shd w:val="clear" w:color="auto" w:fill="auto"/>
            <w:vAlign w:val="center"/>
          </w:tcPr>
          <w:p w:rsidR="008A3CFF" w:rsidRPr="008A3CFF" w:rsidRDefault="008A3CFF" w:rsidP="00DE1F06">
            <w:pPr>
              <w:rPr>
                <w:rFonts w:ascii="Arial" w:eastAsia="Times New Roman" w:hAnsi="Arial" w:cs="Arial"/>
                <w:sz w:val="19"/>
                <w:szCs w:val="19"/>
              </w:rPr>
            </w:pPr>
            <w:r w:rsidRPr="008A3CFF">
              <w:rPr>
                <w:rFonts w:ascii="Arial" w:eastAsia="Times New Roman" w:hAnsi="Arial" w:cs="Arial"/>
                <w:sz w:val="19"/>
                <w:szCs w:val="19"/>
              </w:rPr>
              <w:t>Передне</w:t>
            </w:r>
            <w:r w:rsidRPr="008A3CFF">
              <w:rPr>
                <w:rFonts w:ascii="Arial" w:eastAsia="Times New Roman" w:hAnsi="Arial" w:cs="Arial"/>
                <w:sz w:val="19"/>
                <w:szCs w:val="19"/>
              </w:rPr>
              <w:softHyphen/>
              <w:t>кишечный карциноид</w:t>
            </w:r>
          </w:p>
          <w:p w:rsidR="008A3CFF" w:rsidRPr="008A3CFF" w:rsidRDefault="008A3CFF" w:rsidP="00DE1F06">
            <w:pPr>
              <w:rPr>
                <w:rFonts w:ascii="Arial" w:eastAsia="Times New Roman" w:hAnsi="Arial" w:cs="Arial"/>
                <w:sz w:val="19"/>
                <w:szCs w:val="19"/>
              </w:rPr>
            </w:pPr>
            <w:r w:rsidRPr="008A3CFF">
              <w:rPr>
                <w:rFonts w:ascii="Arial" w:eastAsia="Times New Roman" w:hAnsi="Arial" w:cs="Arial"/>
                <w:sz w:val="19"/>
                <w:szCs w:val="19"/>
              </w:rPr>
              <w:t>Средне</w:t>
            </w:r>
            <w:r w:rsidRPr="008A3CFF">
              <w:rPr>
                <w:rFonts w:ascii="Arial" w:eastAsia="Times New Roman" w:hAnsi="Arial" w:cs="Arial"/>
                <w:sz w:val="19"/>
                <w:szCs w:val="19"/>
              </w:rPr>
              <w:softHyphen/>
              <w:t>кишечный карциноид</w:t>
            </w:r>
          </w:p>
          <w:p w:rsidR="008A3CFF" w:rsidRPr="008A3CFF" w:rsidRDefault="008A3CFF" w:rsidP="00DE1F06">
            <w:pPr>
              <w:rPr>
                <w:rFonts w:ascii="Arial" w:eastAsia="Times New Roman" w:hAnsi="Arial" w:cs="Arial"/>
                <w:sz w:val="19"/>
                <w:szCs w:val="19"/>
              </w:rPr>
            </w:pPr>
            <w:r w:rsidRPr="008A3CFF">
              <w:rPr>
                <w:rFonts w:ascii="Arial" w:eastAsia="Times New Roman" w:hAnsi="Arial" w:cs="Arial"/>
                <w:sz w:val="19"/>
                <w:szCs w:val="19"/>
              </w:rPr>
              <w:t>Задне</w:t>
            </w:r>
            <w:r w:rsidRPr="008A3CFF">
              <w:rPr>
                <w:rFonts w:ascii="Arial" w:eastAsia="Times New Roman" w:hAnsi="Arial" w:cs="Arial"/>
                <w:sz w:val="19"/>
                <w:szCs w:val="19"/>
              </w:rPr>
              <w:softHyphen/>
              <w:t>кишечный карциноид</w:t>
            </w:r>
          </w:p>
        </w:tc>
        <w:tc>
          <w:tcPr>
            <w:tcW w:w="1886" w:type="dxa"/>
            <w:tcBorders>
              <w:top w:val="single" w:sz="4" w:space="0" w:color="auto"/>
              <w:left w:val="single" w:sz="4" w:space="0" w:color="auto"/>
              <w:bottom w:val="single" w:sz="4" w:space="0" w:color="auto"/>
            </w:tcBorders>
            <w:shd w:val="clear" w:color="auto" w:fill="auto"/>
            <w:vAlign w:val="center"/>
          </w:tcPr>
          <w:p w:rsidR="008A3CFF" w:rsidRPr="008A3CFF" w:rsidRDefault="008A3CFF" w:rsidP="00DE1F06">
            <w:pPr>
              <w:jc w:val="both"/>
              <w:rPr>
                <w:rFonts w:ascii="Arial" w:eastAsia="Times New Roman" w:hAnsi="Arial" w:cs="Arial"/>
                <w:sz w:val="19"/>
                <w:szCs w:val="19"/>
              </w:rPr>
            </w:pPr>
            <w:r w:rsidRPr="008A3CFF">
              <w:rPr>
                <w:rFonts w:ascii="Arial" w:eastAsia="Times New Roman" w:hAnsi="Arial" w:cs="Arial"/>
                <w:sz w:val="19"/>
                <w:szCs w:val="19"/>
              </w:rPr>
              <w:t>Респираторный тракт</w:t>
            </w:r>
          </w:p>
          <w:p w:rsidR="008A3CFF" w:rsidRPr="008A3CFF" w:rsidRDefault="008A3CFF" w:rsidP="00DE1F06">
            <w:pPr>
              <w:jc w:val="both"/>
              <w:rPr>
                <w:rFonts w:ascii="Arial" w:eastAsia="Times New Roman" w:hAnsi="Arial" w:cs="Arial"/>
                <w:sz w:val="19"/>
                <w:szCs w:val="19"/>
              </w:rPr>
            </w:pPr>
            <w:r w:rsidRPr="008A3CFF">
              <w:rPr>
                <w:rFonts w:ascii="Arial" w:eastAsia="Times New Roman" w:hAnsi="Arial" w:cs="Arial"/>
                <w:sz w:val="19"/>
                <w:szCs w:val="19"/>
              </w:rPr>
              <w:t>Желудок, двенадца</w:t>
            </w:r>
            <w:r w:rsidRPr="008A3CFF">
              <w:rPr>
                <w:rFonts w:ascii="Arial" w:eastAsia="Times New Roman" w:hAnsi="Arial" w:cs="Arial"/>
                <w:sz w:val="19"/>
                <w:szCs w:val="19"/>
              </w:rPr>
              <w:softHyphen/>
              <w:t>типерстная кишка</w:t>
            </w:r>
          </w:p>
          <w:p w:rsidR="008A3CFF" w:rsidRPr="008A3CFF" w:rsidRDefault="008A3CFF" w:rsidP="00DE1F06">
            <w:pPr>
              <w:jc w:val="both"/>
              <w:rPr>
                <w:rFonts w:ascii="Arial" w:eastAsia="Times New Roman" w:hAnsi="Arial" w:cs="Arial"/>
                <w:sz w:val="19"/>
                <w:szCs w:val="19"/>
              </w:rPr>
            </w:pPr>
            <w:r w:rsidRPr="008A3CFF">
              <w:rPr>
                <w:rFonts w:ascii="Arial" w:eastAsia="Times New Roman" w:hAnsi="Arial" w:cs="Arial"/>
                <w:sz w:val="19"/>
                <w:szCs w:val="19"/>
              </w:rPr>
              <w:t>Тонкая кишка, чер</w:t>
            </w:r>
            <w:r w:rsidRPr="008A3CFF">
              <w:rPr>
                <w:rFonts w:ascii="Arial" w:eastAsia="Times New Roman" w:hAnsi="Arial" w:cs="Arial"/>
                <w:sz w:val="19"/>
                <w:szCs w:val="19"/>
              </w:rPr>
              <w:softHyphen/>
              <w:t>веобразный отрос</w:t>
            </w:r>
            <w:r w:rsidRPr="008A3CFF">
              <w:rPr>
                <w:rFonts w:ascii="Arial" w:eastAsia="Times New Roman" w:hAnsi="Arial" w:cs="Arial"/>
                <w:sz w:val="19"/>
                <w:szCs w:val="19"/>
              </w:rPr>
              <w:softHyphen/>
              <w:t>ток, правая часть ободочной кишки</w:t>
            </w:r>
          </w:p>
          <w:p w:rsidR="008A3CFF" w:rsidRPr="008A3CFF" w:rsidRDefault="008A3CFF" w:rsidP="00DE1F06">
            <w:pPr>
              <w:jc w:val="both"/>
              <w:rPr>
                <w:rFonts w:ascii="Arial" w:eastAsia="Times New Roman" w:hAnsi="Arial" w:cs="Arial"/>
                <w:sz w:val="19"/>
                <w:szCs w:val="19"/>
              </w:rPr>
            </w:pPr>
            <w:r w:rsidRPr="008A3CFF">
              <w:rPr>
                <w:rFonts w:ascii="Arial" w:eastAsia="Times New Roman" w:hAnsi="Arial" w:cs="Arial"/>
                <w:sz w:val="19"/>
                <w:szCs w:val="19"/>
              </w:rPr>
              <w:t>Левая часть ободо</w:t>
            </w:r>
            <w:r w:rsidRPr="008A3CFF">
              <w:rPr>
                <w:rFonts w:ascii="Arial" w:eastAsia="Times New Roman" w:hAnsi="Arial" w:cs="Arial"/>
                <w:sz w:val="19"/>
                <w:szCs w:val="19"/>
              </w:rPr>
              <w:softHyphen/>
              <w:t>чной кишки, пря</w:t>
            </w:r>
            <w:r w:rsidRPr="008A3CFF">
              <w:rPr>
                <w:rFonts w:ascii="Arial" w:eastAsia="Times New Roman" w:hAnsi="Arial" w:cs="Arial"/>
                <w:sz w:val="19"/>
                <w:szCs w:val="19"/>
              </w:rPr>
              <w:softHyphen/>
              <w:t>мая кишка</w:t>
            </w:r>
          </w:p>
        </w:tc>
        <w:tc>
          <w:tcPr>
            <w:tcW w:w="1853" w:type="dxa"/>
            <w:tcBorders>
              <w:top w:val="single" w:sz="4" w:space="0" w:color="auto"/>
              <w:left w:val="single" w:sz="4" w:space="0" w:color="auto"/>
              <w:bottom w:val="single" w:sz="4" w:space="0" w:color="auto"/>
            </w:tcBorders>
            <w:shd w:val="clear" w:color="auto" w:fill="auto"/>
            <w:vAlign w:val="center"/>
          </w:tcPr>
          <w:p w:rsidR="008A3CFF" w:rsidRPr="008A3CFF" w:rsidRDefault="008A3CFF" w:rsidP="00DE1F06">
            <w:pPr>
              <w:rPr>
                <w:rFonts w:ascii="Arial" w:eastAsia="Times New Roman" w:hAnsi="Arial" w:cs="Arial"/>
                <w:sz w:val="19"/>
                <w:szCs w:val="19"/>
              </w:rPr>
            </w:pPr>
            <w:r w:rsidRPr="008A3CFF">
              <w:rPr>
                <w:rFonts w:ascii="Arial" w:eastAsia="Times New Roman" w:hAnsi="Arial" w:cs="Arial"/>
                <w:sz w:val="19"/>
                <w:szCs w:val="19"/>
              </w:rPr>
              <w:t>5-Гидрокситрип- тофан, гормоны аденогипофиза, нейропептиды</w:t>
            </w:r>
          </w:p>
          <w:p w:rsidR="008A3CFF" w:rsidRPr="008A3CFF" w:rsidRDefault="008A3CFF" w:rsidP="00DE1F06">
            <w:pPr>
              <w:rPr>
                <w:rFonts w:ascii="Arial" w:eastAsia="Times New Roman" w:hAnsi="Arial" w:cs="Arial"/>
                <w:sz w:val="19"/>
                <w:szCs w:val="19"/>
              </w:rPr>
            </w:pPr>
            <w:r w:rsidRPr="008A3CFF">
              <w:rPr>
                <w:rFonts w:ascii="Arial" w:eastAsia="Times New Roman" w:hAnsi="Arial" w:cs="Arial"/>
                <w:sz w:val="19"/>
                <w:szCs w:val="19"/>
              </w:rPr>
              <w:t>Жел удоч но-ки шеч - ные пептиды, серо</w:t>
            </w:r>
            <w:r w:rsidRPr="008A3CFF">
              <w:rPr>
                <w:rFonts w:ascii="Arial" w:eastAsia="Times New Roman" w:hAnsi="Arial" w:cs="Arial"/>
                <w:sz w:val="19"/>
                <w:szCs w:val="19"/>
              </w:rPr>
              <w:softHyphen/>
              <w:t>тонин, гистамин</w:t>
            </w:r>
          </w:p>
          <w:p w:rsidR="008A3CFF" w:rsidRPr="008A3CFF" w:rsidRDefault="008A3CFF" w:rsidP="00DE1F06">
            <w:pPr>
              <w:rPr>
                <w:rFonts w:ascii="Arial" w:eastAsia="Times New Roman" w:hAnsi="Arial" w:cs="Arial"/>
                <w:sz w:val="19"/>
                <w:szCs w:val="19"/>
              </w:rPr>
            </w:pPr>
            <w:r w:rsidRPr="008A3CFF">
              <w:rPr>
                <w:rFonts w:ascii="Arial" w:eastAsia="Times New Roman" w:hAnsi="Arial" w:cs="Arial"/>
                <w:sz w:val="19"/>
                <w:szCs w:val="19"/>
              </w:rPr>
              <w:t>Серотонин,пепти</w:t>
            </w:r>
            <w:r w:rsidRPr="008A3CFF">
              <w:rPr>
                <w:rFonts w:ascii="Arial" w:eastAsia="Times New Roman" w:hAnsi="Arial" w:cs="Arial"/>
                <w:sz w:val="19"/>
                <w:szCs w:val="19"/>
              </w:rPr>
              <w:softHyphen/>
              <w:t>ды группы тахики</w:t>
            </w:r>
            <w:r w:rsidRPr="008A3CFF">
              <w:rPr>
                <w:rFonts w:ascii="Arial" w:eastAsia="Times New Roman" w:hAnsi="Arial" w:cs="Arial"/>
                <w:sz w:val="19"/>
                <w:szCs w:val="19"/>
              </w:rPr>
              <w:softHyphen/>
              <w:t>нина</w:t>
            </w:r>
          </w:p>
          <w:p w:rsidR="008A3CFF" w:rsidRPr="008A3CFF" w:rsidRDefault="008A3CFF" w:rsidP="00DE1F06">
            <w:pPr>
              <w:rPr>
                <w:rFonts w:ascii="Arial" w:eastAsia="Times New Roman" w:hAnsi="Arial" w:cs="Arial"/>
                <w:sz w:val="19"/>
                <w:szCs w:val="19"/>
              </w:rPr>
            </w:pPr>
            <w:r w:rsidRPr="008A3CFF">
              <w:rPr>
                <w:rFonts w:ascii="Arial" w:eastAsia="Times New Roman" w:hAnsi="Arial" w:cs="Arial"/>
                <w:sz w:val="19"/>
                <w:szCs w:val="19"/>
              </w:rPr>
              <w:t>Желудоч но-ки шеч - ные пептиды</w:t>
            </w:r>
          </w:p>
        </w:tc>
        <w:tc>
          <w:tcPr>
            <w:tcW w:w="2568" w:type="dxa"/>
            <w:tcBorders>
              <w:top w:val="single" w:sz="4" w:space="0" w:color="auto"/>
              <w:left w:val="single" w:sz="4" w:space="0" w:color="auto"/>
              <w:bottom w:val="single" w:sz="4" w:space="0" w:color="auto"/>
              <w:right w:val="single" w:sz="4" w:space="0" w:color="auto"/>
            </w:tcBorders>
            <w:shd w:val="clear" w:color="auto" w:fill="auto"/>
            <w:vAlign w:val="center"/>
          </w:tcPr>
          <w:p w:rsidR="008A3CFF" w:rsidRPr="008A3CFF" w:rsidRDefault="008A3CFF" w:rsidP="00DE1F06">
            <w:pPr>
              <w:jc w:val="both"/>
              <w:rPr>
                <w:rFonts w:ascii="Arial" w:eastAsia="Times New Roman" w:hAnsi="Arial" w:cs="Arial"/>
                <w:sz w:val="19"/>
                <w:szCs w:val="19"/>
              </w:rPr>
            </w:pPr>
            <w:r w:rsidRPr="008A3CFF">
              <w:rPr>
                <w:rFonts w:ascii="Arial" w:eastAsia="Times New Roman" w:hAnsi="Arial" w:cs="Arial"/>
                <w:sz w:val="19"/>
                <w:szCs w:val="19"/>
              </w:rPr>
              <w:t>Карциноидный синдром, синдром Кушинга</w:t>
            </w:r>
          </w:p>
          <w:p w:rsidR="008A3CFF" w:rsidRPr="008A3CFF" w:rsidRDefault="008A3CFF" w:rsidP="00DE1F06">
            <w:pPr>
              <w:jc w:val="both"/>
              <w:rPr>
                <w:rFonts w:ascii="Arial" w:eastAsia="Times New Roman" w:hAnsi="Arial" w:cs="Arial"/>
                <w:sz w:val="19"/>
                <w:szCs w:val="19"/>
              </w:rPr>
            </w:pPr>
            <w:r w:rsidRPr="008A3CFF">
              <w:rPr>
                <w:rFonts w:ascii="Arial" w:eastAsia="Times New Roman" w:hAnsi="Arial" w:cs="Arial"/>
                <w:sz w:val="19"/>
                <w:szCs w:val="19"/>
              </w:rPr>
              <w:t>Карциноидный синдром, гиперсекреция соляной кислоты в желудке, диарея, диабет, синдром Кушинга Карциноидный синдром, гормонально-неактивные опухоли</w:t>
            </w:r>
          </w:p>
          <w:p w:rsidR="008A3CFF" w:rsidRPr="008A3CFF" w:rsidRDefault="008A3CFF" w:rsidP="00DE1F06">
            <w:pPr>
              <w:jc w:val="both"/>
              <w:rPr>
                <w:rFonts w:ascii="Arial" w:eastAsia="Times New Roman" w:hAnsi="Arial" w:cs="Arial"/>
                <w:sz w:val="19"/>
                <w:szCs w:val="19"/>
              </w:rPr>
            </w:pPr>
            <w:r w:rsidRPr="008A3CFF">
              <w:rPr>
                <w:rFonts w:ascii="Arial" w:eastAsia="Times New Roman" w:hAnsi="Arial" w:cs="Arial"/>
                <w:sz w:val="19"/>
                <w:szCs w:val="19"/>
              </w:rPr>
              <w:t>Горм онал ьно-неактивные опухоли</w:t>
            </w:r>
          </w:p>
        </w:tc>
      </w:tr>
    </w:tbl>
    <w:p w:rsidR="008A3CFF" w:rsidRPr="008A3CFF" w:rsidRDefault="008A3CFF" w:rsidP="00DE1F06">
      <w:pPr>
        <w:rPr>
          <w:rFonts w:ascii="Arial" w:hAnsi="Arial" w:cs="Arial"/>
        </w:rPr>
      </w:pPr>
    </w:p>
    <w:p w:rsidR="008A3CFF" w:rsidRPr="008A3CFF" w:rsidRDefault="008A3CFF" w:rsidP="00DE1F06">
      <w:pPr>
        <w:ind w:firstLine="420"/>
        <w:jc w:val="both"/>
        <w:rPr>
          <w:rFonts w:ascii="Arial" w:eastAsia="Times New Roman" w:hAnsi="Arial" w:cs="Arial"/>
          <w:sz w:val="22"/>
          <w:szCs w:val="22"/>
        </w:rPr>
      </w:pPr>
      <w:r w:rsidRPr="008A3CFF">
        <w:rPr>
          <w:rFonts w:ascii="Arial" w:eastAsia="Times New Roman" w:hAnsi="Arial" w:cs="Arial"/>
          <w:sz w:val="22"/>
          <w:szCs w:val="22"/>
        </w:rPr>
        <w:t>Большая часть симптомов карциноидного синдрома обусловлена ги</w:t>
      </w:r>
      <w:r w:rsidRPr="008A3CFF">
        <w:rPr>
          <w:rFonts w:ascii="Arial" w:eastAsia="Times New Roman" w:hAnsi="Arial" w:cs="Arial"/>
          <w:sz w:val="22"/>
          <w:szCs w:val="22"/>
        </w:rPr>
        <w:softHyphen/>
        <w:t>персекрецией опухолью таких веществ, как 5-гидрокситриптамин (серото</w:t>
      </w:r>
      <w:r w:rsidRPr="008A3CFF">
        <w:rPr>
          <w:rFonts w:ascii="Arial" w:eastAsia="Times New Roman" w:hAnsi="Arial" w:cs="Arial"/>
          <w:sz w:val="22"/>
          <w:szCs w:val="22"/>
        </w:rPr>
        <w:softHyphen/>
        <w:t>нин), кинины, гистамин, катехоламины и простагландины. Классическим и наиболее постоянным биохимическим маркером карциноидного син-, дрома является серотонин. По своему ферментному набору карциноид- * ные опухоли закономерно варьируют: так, в опухолях, происходящих из передней кишки (бронхи, желудок), снижена активность триптофангид- роксилазы, вследствие чего они в основном вырабатывают не серотонин, а 5-гидрокситриптофан. Основным экскретируемым метаболитом био</w:t>
      </w:r>
      <w:r w:rsidRPr="008A3CFF">
        <w:rPr>
          <w:rFonts w:ascii="Arial" w:eastAsia="Times New Roman" w:hAnsi="Arial" w:cs="Arial"/>
          <w:sz w:val="22"/>
          <w:szCs w:val="22"/>
        </w:rPr>
        <w:softHyphen/>
        <w:t>генных аминов является 5-гидроксииндолуксусная кислота (5-ГИУК) (схема 13.5).</w:t>
      </w:r>
    </w:p>
    <w:p w:rsidR="008A3CFF" w:rsidRPr="004B0B65" w:rsidRDefault="008A3CFF" w:rsidP="00DE1F06">
      <w:pPr>
        <w:ind w:firstLine="420"/>
        <w:jc w:val="both"/>
        <w:rPr>
          <w:rFonts w:ascii="Arial" w:eastAsia="Times New Roman" w:hAnsi="Arial" w:cs="Arial"/>
          <w:sz w:val="22"/>
          <w:szCs w:val="22"/>
        </w:rPr>
      </w:pPr>
      <w:r w:rsidRPr="008A3CFF">
        <w:rPr>
          <w:rFonts w:ascii="Arial" w:eastAsia="Times New Roman" w:hAnsi="Arial" w:cs="Arial"/>
          <w:sz w:val="22"/>
          <w:szCs w:val="22"/>
        </w:rPr>
        <w:t>Патогенез. Патогенез отдельных клинических проявлений карци</w:t>
      </w:r>
      <w:r w:rsidRPr="008A3CFF">
        <w:rPr>
          <w:rFonts w:ascii="Arial" w:eastAsia="Times New Roman" w:hAnsi="Arial" w:cs="Arial"/>
          <w:sz w:val="22"/>
          <w:szCs w:val="22"/>
        </w:rPr>
        <w:softHyphen/>
        <w:t>ноидного синдрома представлен в табл. 13.9.</w:t>
      </w:r>
    </w:p>
    <w:p w:rsidR="008A3CFF" w:rsidRPr="004B0B65" w:rsidRDefault="008A3CFF" w:rsidP="00DE1F06">
      <w:pPr>
        <w:rPr>
          <w:rFonts w:ascii="Arial" w:eastAsia="Times New Roman" w:hAnsi="Arial" w:cs="Arial"/>
          <w:b/>
          <w:bCs/>
          <w:sz w:val="19"/>
          <w:szCs w:val="19"/>
        </w:rPr>
      </w:pPr>
      <w:r w:rsidRPr="008A3CFF">
        <w:rPr>
          <w:rFonts w:ascii="Arial" w:eastAsia="Times New Roman" w:hAnsi="Arial" w:cs="Arial"/>
          <w:sz w:val="19"/>
          <w:szCs w:val="19"/>
        </w:rPr>
        <w:t xml:space="preserve">Таблица 13.9. </w:t>
      </w:r>
      <w:r w:rsidRPr="008A3CFF">
        <w:rPr>
          <w:rFonts w:ascii="Arial" w:eastAsia="Times New Roman" w:hAnsi="Arial" w:cs="Arial"/>
          <w:b/>
          <w:bCs/>
          <w:sz w:val="19"/>
          <w:szCs w:val="19"/>
        </w:rPr>
        <w:t>Патогенез отдельных клинических проявлений карциноидного синдрома</w:t>
      </w:r>
    </w:p>
    <w:p w:rsidR="008A3CFF" w:rsidRPr="008A3CFF" w:rsidRDefault="008A3CFF" w:rsidP="00DE1F06">
      <w:pPr>
        <w:rPr>
          <w:rFonts w:ascii="Arial" w:eastAsia="Times New Roman" w:hAnsi="Arial" w:cs="Arial"/>
          <w:sz w:val="19"/>
          <w:szCs w:val="19"/>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486"/>
        <w:gridCol w:w="4992"/>
      </w:tblGrid>
      <w:tr w:rsidR="00C66448" w:rsidRPr="004B0B65" w:rsidTr="004B0B65">
        <w:trPr>
          <w:trHeight w:hRule="exact" w:val="528"/>
          <w:jc w:val="center"/>
        </w:trPr>
        <w:tc>
          <w:tcPr>
            <w:tcW w:w="2486" w:type="dxa"/>
            <w:tcBorders>
              <w:top w:val="single" w:sz="4" w:space="0" w:color="auto"/>
              <w:left w:val="single" w:sz="4" w:space="0" w:color="auto"/>
            </w:tcBorders>
            <w:shd w:val="clear" w:color="auto" w:fill="auto"/>
            <w:vAlign w:val="center"/>
          </w:tcPr>
          <w:p w:rsidR="008A3CFF" w:rsidRPr="008A3CFF" w:rsidRDefault="008A3CFF" w:rsidP="00DE1F06">
            <w:pPr>
              <w:jc w:val="center"/>
              <w:rPr>
                <w:rFonts w:ascii="Arial" w:eastAsia="Times New Roman" w:hAnsi="Arial" w:cs="Arial"/>
                <w:sz w:val="18"/>
                <w:szCs w:val="18"/>
              </w:rPr>
            </w:pPr>
            <w:r w:rsidRPr="008A3CFF">
              <w:rPr>
                <w:rFonts w:ascii="Arial" w:eastAsia="Times New Roman" w:hAnsi="Arial" w:cs="Arial"/>
                <w:sz w:val="18"/>
                <w:szCs w:val="18"/>
              </w:rPr>
              <w:t>Продукты опухолевой секреции</w:t>
            </w:r>
          </w:p>
        </w:tc>
        <w:tc>
          <w:tcPr>
            <w:tcW w:w="4992" w:type="dxa"/>
            <w:tcBorders>
              <w:top w:val="single" w:sz="4" w:space="0" w:color="auto"/>
              <w:left w:val="single" w:sz="4" w:space="0" w:color="auto"/>
              <w:right w:val="single" w:sz="4" w:space="0" w:color="auto"/>
            </w:tcBorders>
            <w:shd w:val="clear" w:color="auto" w:fill="auto"/>
            <w:vAlign w:val="center"/>
          </w:tcPr>
          <w:p w:rsidR="008A3CFF" w:rsidRPr="008A3CFF" w:rsidRDefault="008A3CFF" w:rsidP="00DE1F06">
            <w:pPr>
              <w:jc w:val="center"/>
              <w:rPr>
                <w:rFonts w:ascii="Arial" w:eastAsia="Times New Roman" w:hAnsi="Arial" w:cs="Arial"/>
                <w:sz w:val="19"/>
                <w:szCs w:val="19"/>
              </w:rPr>
            </w:pPr>
            <w:r w:rsidRPr="008A3CFF">
              <w:rPr>
                <w:rFonts w:ascii="Arial" w:eastAsia="Times New Roman" w:hAnsi="Arial" w:cs="Arial"/>
                <w:b/>
                <w:bCs/>
                <w:sz w:val="19"/>
                <w:szCs w:val="19"/>
              </w:rPr>
              <w:t>Симптомы</w:t>
            </w:r>
          </w:p>
        </w:tc>
      </w:tr>
      <w:tr w:rsidR="00C66448" w:rsidRPr="004B0B65" w:rsidTr="004B0B65">
        <w:trPr>
          <w:trHeight w:hRule="exact" w:val="1584"/>
          <w:jc w:val="center"/>
        </w:trPr>
        <w:tc>
          <w:tcPr>
            <w:tcW w:w="2486" w:type="dxa"/>
            <w:tcBorders>
              <w:top w:val="single" w:sz="4" w:space="0" w:color="auto"/>
              <w:left w:val="single" w:sz="4" w:space="0" w:color="auto"/>
            </w:tcBorders>
            <w:shd w:val="clear" w:color="auto" w:fill="auto"/>
          </w:tcPr>
          <w:p w:rsidR="008A3CFF" w:rsidRPr="008A3CFF" w:rsidRDefault="008A3CFF" w:rsidP="00DE1F06">
            <w:pPr>
              <w:rPr>
                <w:rFonts w:ascii="Arial" w:eastAsia="Times New Roman" w:hAnsi="Arial" w:cs="Arial"/>
                <w:sz w:val="19"/>
                <w:szCs w:val="19"/>
              </w:rPr>
            </w:pPr>
            <w:r w:rsidRPr="008A3CFF">
              <w:rPr>
                <w:rFonts w:ascii="Arial" w:eastAsia="Times New Roman" w:hAnsi="Arial" w:cs="Arial"/>
                <w:sz w:val="19"/>
                <w:szCs w:val="19"/>
              </w:rPr>
              <w:t>Серотонин, брадикинин, тахикинины</w:t>
            </w:r>
          </w:p>
        </w:tc>
        <w:tc>
          <w:tcPr>
            <w:tcW w:w="4992" w:type="dxa"/>
            <w:tcBorders>
              <w:top w:val="single" w:sz="4" w:space="0" w:color="auto"/>
              <w:left w:val="single" w:sz="4" w:space="0" w:color="auto"/>
              <w:right w:val="single" w:sz="4" w:space="0" w:color="auto"/>
            </w:tcBorders>
            <w:shd w:val="clear" w:color="auto" w:fill="auto"/>
            <w:vAlign w:val="bottom"/>
          </w:tcPr>
          <w:p w:rsidR="008A3CFF" w:rsidRPr="008A3CFF" w:rsidRDefault="008A3CFF" w:rsidP="00DE1F06">
            <w:pPr>
              <w:rPr>
                <w:rFonts w:ascii="Arial" w:eastAsia="Times New Roman" w:hAnsi="Arial" w:cs="Arial"/>
                <w:sz w:val="19"/>
                <w:szCs w:val="19"/>
              </w:rPr>
            </w:pPr>
            <w:r w:rsidRPr="008A3CFF">
              <w:rPr>
                <w:rFonts w:ascii="Arial" w:eastAsia="Times New Roman" w:hAnsi="Arial" w:cs="Arial"/>
                <w:sz w:val="19"/>
                <w:szCs w:val="19"/>
              </w:rPr>
              <w:t>Диарея, кишечная гипермотильность, схваткообраз</w:t>
            </w:r>
            <w:r w:rsidRPr="008A3CFF">
              <w:rPr>
                <w:rFonts w:ascii="Arial" w:eastAsia="Times New Roman" w:hAnsi="Arial" w:cs="Arial"/>
                <w:sz w:val="19"/>
                <w:szCs w:val="19"/>
              </w:rPr>
              <w:softHyphen/>
              <w:t>ные боли в животе, тошнота, рвота</w:t>
            </w:r>
          </w:p>
          <w:p w:rsidR="008A3CFF" w:rsidRPr="008A3CFF" w:rsidRDefault="008A3CFF" w:rsidP="00DE1F06">
            <w:pPr>
              <w:rPr>
                <w:rFonts w:ascii="Arial" w:eastAsia="Times New Roman" w:hAnsi="Arial" w:cs="Arial"/>
                <w:sz w:val="19"/>
                <w:szCs w:val="19"/>
              </w:rPr>
            </w:pPr>
            <w:r w:rsidRPr="008A3CFF">
              <w:rPr>
                <w:rFonts w:ascii="Arial" w:eastAsia="Times New Roman" w:hAnsi="Arial" w:cs="Arial"/>
                <w:sz w:val="19"/>
                <w:szCs w:val="19"/>
              </w:rPr>
              <w:t>Распространенный фиброз (эндокард, брыжейка, ретроперитонеальная клетчатка)</w:t>
            </w:r>
          </w:p>
          <w:p w:rsidR="008A3CFF" w:rsidRPr="008A3CFF" w:rsidRDefault="008A3CFF" w:rsidP="00DE1F06">
            <w:pPr>
              <w:rPr>
                <w:rFonts w:ascii="Arial" w:eastAsia="Times New Roman" w:hAnsi="Arial" w:cs="Arial"/>
                <w:sz w:val="19"/>
                <w:szCs w:val="19"/>
              </w:rPr>
            </w:pPr>
            <w:r w:rsidRPr="008A3CFF">
              <w:rPr>
                <w:rFonts w:ascii="Arial" w:eastAsia="Times New Roman" w:hAnsi="Arial" w:cs="Arial"/>
                <w:sz w:val="19"/>
                <w:szCs w:val="19"/>
              </w:rPr>
              <w:t>Бронхоконстрикция</w:t>
            </w:r>
          </w:p>
          <w:p w:rsidR="008A3CFF" w:rsidRPr="008A3CFF" w:rsidRDefault="008A3CFF" w:rsidP="00DE1F06">
            <w:pPr>
              <w:rPr>
                <w:rFonts w:ascii="Arial" w:eastAsia="Times New Roman" w:hAnsi="Arial" w:cs="Arial"/>
                <w:sz w:val="19"/>
                <w:szCs w:val="19"/>
              </w:rPr>
            </w:pPr>
            <w:r w:rsidRPr="008A3CFF">
              <w:rPr>
                <w:rFonts w:ascii="Arial" w:eastAsia="Times New Roman" w:hAnsi="Arial" w:cs="Arial"/>
                <w:sz w:val="19"/>
                <w:szCs w:val="19"/>
              </w:rPr>
              <w:t>Вторичный гиперальдостеронизм</w:t>
            </w:r>
          </w:p>
        </w:tc>
      </w:tr>
      <w:tr w:rsidR="00C66448" w:rsidRPr="004B0B65" w:rsidTr="004B0B65">
        <w:trPr>
          <w:trHeight w:hRule="exact" w:val="557"/>
          <w:jc w:val="center"/>
        </w:trPr>
        <w:tc>
          <w:tcPr>
            <w:tcW w:w="2486" w:type="dxa"/>
            <w:tcBorders>
              <w:left w:val="single" w:sz="4" w:space="0" w:color="auto"/>
              <w:bottom w:val="single" w:sz="4" w:space="0" w:color="auto"/>
            </w:tcBorders>
            <w:shd w:val="clear" w:color="auto" w:fill="auto"/>
          </w:tcPr>
          <w:p w:rsidR="008A3CFF" w:rsidRPr="008A3CFF" w:rsidRDefault="008A3CFF" w:rsidP="00DE1F06">
            <w:pPr>
              <w:rPr>
                <w:rFonts w:ascii="Arial" w:eastAsia="Times New Roman" w:hAnsi="Arial" w:cs="Arial"/>
                <w:sz w:val="19"/>
                <w:szCs w:val="19"/>
              </w:rPr>
            </w:pPr>
            <w:r w:rsidRPr="008A3CFF">
              <w:rPr>
                <w:rFonts w:ascii="Arial" w:eastAsia="Times New Roman" w:hAnsi="Arial" w:cs="Arial"/>
                <w:sz w:val="19"/>
                <w:szCs w:val="19"/>
              </w:rPr>
              <w:t>Гистамин, катехоламины, простагл анди ны</w:t>
            </w:r>
          </w:p>
        </w:tc>
        <w:tc>
          <w:tcPr>
            <w:tcW w:w="4992" w:type="dxa"/>
            <w:tcBorders>
              <w:left w:val="single" w:sz="4" w:space="0" w:color="auto"/>
              <w:bottom w:val="single" w:sz="4" w:space="0" w:color="auto"/>
              <w:right w:val="single" w:sz="4" w:space="0" w:color="auto"/>
            </w:tcBorders>
            <w:shd w:val="clear" w:color="auto" w:fill="auto"/>
          </w:tcPr>
          <w:p w:rsidR="008A3CFF" w:rsidRPr="008A3CFF" w:rsidRDefault="008A3CFF" w:rsidP="00DE1F06">
            <w:pPr>
              <w:rPr>
                <w:rFonts w:ascii="Arial" w:eastAsia="Times New Roman" w:hAnsi="Arial" w:cs="Arial"/>
                <w:sz w:val="19"/>
                <w:szCs w:val="19"/>
              </w:rPr>
            </w:pPr>
            <w:r w:rsidRPr="008A3CFF">
              <w:rPr>
                <w:rFonts w:ascii="Arial" w:eastAsia="Times New Roman" w:hAnsi="Arial" w:cs="Arial"/>
                <w:sz w:val="19"/>
                <w:szCs w:val="19"/>
              </w:rPr>
              <w:t>Приливы, тахикардия, гипотензия, симпатоадренало</w:t>
            </w:r>
            <w:r w:rsidRPr="008A3CFF">
              <w:rPr>
                <w:rFonts w:ascii="Arial" w:eastAsia="Times New Roman" w:hAnsi="Arial" w:cs="Arial"/>
                <w:sz w:val="19"/>
                <w:szCs w:val="19"/>
              </w:rPr>
              <w:softHyphen/>
              <w:t>вая симптоматика</w:t>
            </w:r>
          </w:p>
        </w:tc>
      </w:tr>
    </w:tbl>
    <w:p w:rsidR="008A3CFF" w:rsidRPr="004B0B65" w:rsidRDefault="008A3CFF" w:rsidP="00DE1F06">
      <w:pPr>
        <w:rPr>
          <w:rFonts w:ascii="Arial" w:hAnsi="Arial" w:cs="Arial"/>
        </w:rPr>
      </w:pPr>
    </w:p>
    <w:p w:rsidR="008A3CFF" w:rsidRPr="004B0B65" w:rsidRDefault="008A3CFF" w:rsidP="00DE1F06">
      <w:pPr>
        <w:rPr>
          <w:rFonts w:ascii="Arial" w:hAnsi="Arial" w:cs="Arial"/>
        </w:rPr>
      </w:pPr>
    </w:p>
    <w:p w:rsidR="008A3CFF" w:rsidRPr="008A3CFF" w:rsidRDefault="008A3CFF" w:rsidP="00DE1F06">
      <w:pPr>
        <w:jc w:val="center"/>
        <w:rPr>
          <w:rFonts w:ascii="Arial" w:eastAsia="Times New Roman" w:hAnsi="Arial" w:cs="Arial"/>
          <w:sz w:val="19"/>
          <w:szCs w:val="19"/>
        </w:rPr>
      </w:pPr>
      <w:r w:rsidRPr="008A3CFF">
        <w:rPr>
          <w:rFonts w:ascii="Arial" w:eastAsia="Times New Roman" w:hAnsi="Arial" w:cs="Arial"/>
          <w:sz w:val="19"/>
          <w:szCs w:val="19"/>
        </w:rPr>
        <w:t xml:space="preserve">Схема 13.5. </w:t>
      </w:r>
      <w:r w:rsidRPr="008A3CFF">
        <w:rPr>
          <w:rFonts w:ascii="Arial" w:eastAsia="Times New Roman" w:hAnsi="Arial" w:cs="Arial"/>
          <w:b/>
          <w:bCs/>
          <w:sz w:val="19"/>
          <w:szCs w:val="19"/>
        </w:rPr>
        <w:t>Синтез н распад серотонина и брадикинина</w:t>
      </w:r>
    </w:p>
    <w:p w:rsidR="008A3CFF" w:rsidRPr="004B0B65" w:rsidRDefault="008A3CFF" w:rsidP="00DE1F06">
      <w:pPr>
        <w:rPr>
          <w:rFonts w:ascii="Arial" w:hAnsi="Arial" w:cs="Arial"/>
        </w:rPr>
      </w:pPr>
      <w:r w:rsidRPr="008A3CFF">
        <w:rPr>
          <w:rFonts w:ascii="Arial" w:hAnsi="Arial" w:cs="Arial"/>
          <w:noProof/>
          <w:lang w:bidi="ar-SA"/>
        </w:rPr>
        <w:lastRenderedPageBreak/>
        <w:drawing>
          <wp:anchor distT="12700" distB="566420" distL="0" distR="0" simplePos="0" relativeHeight="251669504" behindDoc="0" locked="0" layoutInCell="1" allowOverlap="1" wp14:anchorId="08E26771" wp14:editId="70A708CE">
            <wp:simplePos x="0" y="0"/>
            <wp:positionH relativeFrom="page">
              <wp:posOffset>3796665</wp:posOffset>
            </wp:positionH>
            <wp:positionV relativeFrom="paragraph">
              <wp:posOffset>504190</wp:posOffset>
            </wp:positionV>
            <wp:extent cx="1718945" cy="2066290"/>
            <wp:effectExtent l="0" t="0" r="0" b="0"/>
            <wp:wrapTopAndBottom/>
            <wp:docPr id="1260" name="Shape 1260"/>
            <wp:cNvGraphicFramePr/>
            <a:graphic xmlns:a="http://schemas.openxmlformats.org/drawingml/2006/main">
              <a:graphicData uri="http://schemas.openxmlformats.org/drawingml/2006/picture">
                <pic:pic xmlns:pic="http://schemas.openxmlformats.org/drawingml/2006/picture">
                  <pic:nvPicPr>
                    <pic:cNvPr id="1261" name="Picture box 1261"/>
                    <pic:cNvPicPr/>
                  </pic:nvPicPr>
                  <pic:blipFill>
                    <a:blip r:embed="rId16"/>
                    <a:stretch/>
                  </pic:blipFill>
                  <pic:spPr>
                    <a:xfrm>
                      <a:off x="0" y="0"/>
                      <a:ext cx="1718945" cy="2066290"/>
                    </a:xfrm>
                    <a:prstGeom prst="rect">
                      <a:avLst/>
                    </a:prstGeom>
                  </pic:spPr>
                </pic:pic>
              </a:graphicData>
            </a:graphic>
            <wp14:sizeRelV relativeFrom="margin">
              <wp14:pctHeight>0</wp14:pctHeight>
            </wp14:sizeRelV>
          </wp:anchor>
        </w:drawing>
      </w:r>
      <w:r w:rsidRPr="008A3CFF">
        <w:rPr>
          <w:rFonts w:ascii="Arial" w:hAnsi="Arial" w:cs="Arial"/>
          <w:noProof/>
          <w:lang w:bidi="ar-SA"/>
        </w:rPr>
        <w:drawing>
          <wp:anchor distT="307975" distB="0" distL="0" distR="0" simplePos="0" relativeHeight="251668480" behindDoc="0" locked="0" layoutInCell="1" allowOverlap="1" wp14:anchorId="357B5386" wp14:editId="574000EA">
            <wp:simplePos x="0" y="0"/>
            <wp:positionH relativeFrom="page">
              <wp:posOffset>1064895</wp:posOffset>
            </wp:positionH>
            <wp:positionV relativeFrom="paragraph">
              <wp:posOffset>602615</wp:posOffset>
            </wp:positionV>
            <wp:extent cx="2237105" cy="2334895"/>
            <wp:effectExtent l="0" t="0" r="0" b="0"/>
            <wp:wrapTopAndBottom/>
            <wp:docPr id="1256" name="Shape 1256"/>
            <wp:cNvGraphicFramePr/>
            <a:graphic xmlns:a="http://schemas.openxmlformats.org/drawingml/2006/main">
              <a:graphicData uri="http://schemas.openxmlformats.org/drawingml/2006/picture">
                <pic:pic xmlns:pic="http://schemas.openxmlformats.org/drawingml/2006/picture">
                  <pic:nvPicPr>
                    <pic:cNvPr id="1257" name="Picture box 1257"/>
                    <pic:cNvPicPr/>
                  </pic:nvPicPr>
                  <pic:blipFill>
                    <a:blip r:embed="rId17"/>
                    <a:stretch/>
                  </pic:blipFill>
                  <pic:spPr>
                    <a:xfrm>
                      <a:off x="0" y="0"/>
                      <a:ext cx="2237105" cy="2334895"/>
                    </a:xfrm>
                    <a:prstGeom prst="rect">
                      <a:avLst/>
                    </a:prstGeom>
                  </pic:spPr>
                </pic:pic>
              </a:graphicData>
            </a:graphic>
          </wp:anchor>
        </w:drawing>
      </w:r>
    </w:p>
    <w:p w:rsidR="008A3CFF" w:rsidRPr="004B0B65" w:rsidRDefault="008A3CFF" w:rsidP="00DE1F06">
      <w:pPr>
        <w:rPr>
          <w:rFonts w:ascii="Arial" w:hAnsi="Arial" w:cs="Arial"/>
        </w:rPr>
      </w:pPr>
      <w:r w:rsidRPr="008A3CFF">
        <w:rPr>
          <w:rFonts w:ascii="Arial" w:hAnsi="Arial" w:cs="Arial"/>
          <w:noProof/>
          <w:lang w:bidi="ar-SA"/>
        </w:rPr>
        <mc:AlternateContent>
          <mc:Choice Requires="wps">
            <w:drawing>
              <wp:anchor distT="0" distB="0" distL="0" distR="0" simplePos="0" relativeHeight="251670528" behindDoc="0" locked="0" layoutInCell="1" allowOverlap="1" wp14:anchorId="4D6FE48D" wp14:editId="589FE35E">
                <wp:simplePos x="0" y="0"/>
                <wp:positionH relativeFrom="page">
                  <wp:posOffset>1183005</wp:posOffset>
                </wp:positionH>
                <wp:positionV relativeFrom="paragraph">
                  <wp:posOffset>94615</wp:posOffset>
                </wp:positionV>
                <wp:extent cx="673735" cy="152400"/>
                <wp:effectExtent l="0" t="0" r="0" b="0"/>
                <wp:wrapNone/>
                <wp:docPr id="1258" name="Shape 1258"/>
                <wp:cNvGraphicFramePr/>
                <a:graphic xmlns:a="http://schemas.openxmlformats.org/drawingml/2006/main">
                  <a:graphicData uri="http://schemas.microsoft.com/office/word/2010/wordprocessingShape">
                    <wps:wsp>
                      <wps:cNvSpPr txBox="1"/>
                      <wps:spPr>
                        <a:xfrm>
                          <a:off x="0" y="0"/>
                          <a:ext cx="673735" cy="152400"/>
                        </a:xfrm>
                        <a:prstGeom prst="rect">
                          <a:avLst/>
                        </a:prstGeom>
                        <a:noFill/>
                      </wps:spPr>
                      <wps:txbx>
                        <w:txbxContent>
                          <w:p w:rsidR="001B23C7" w:rsidRDefault="001B23C7" w:rsidP="008A3CFF">
                            <w:pPr>
                              <w:pStyle w:val="a5"/>
                            </w:pPr>
                            <w:r>
                              <w:t>Триптофан</w:t>
                            </w:r>
                          </w:p>
                        </w:txbxContent>
                      </wps:txbx>
                      <wps:bodyPr lIns="0" tIns="0" rIns="0" bIns="0"/>
                    </wps:wsp>
                  </a:graphicData>
                </a:graphic>
              </wp:anchor>
            </w:drawing>
          </mc:Choice>
          <mc:Fallback>
            <w:pict>
              <v:shape w14:anchorId="4D6FE48D" id="Shape 1258" o:spid="_x0000_s1030" type="#_x0000_t202" style="position:absolute;margin-left:93.15pt;margin-top:7.45pt;width:53.05pt;height:12pt;z-index:2516705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DVphQEAAAgDAAAOAAAAZHJzL2Uyb0RvYy54bWysUttOwzAMfUfiH6K8s3Z3VK2bhKYhJARI&#10;wAekabJGauIoCWv39zhh3RC8IV5cx3aPfY692vS6JQfhvAJT0vEop0QYDrUy+5K+v+1ubinxgZma&#10;tWBESY/C0836+mrV2UJMoIG2Fo4giPFFZ0vahGCLLPO8EZr5EVhhMCnBaRbw6fZZ7ViH6LrNJnm+&#10;yDpwtXXAhfcY3X4l6TrhSyl4eJbSi0DakuJsIVmXbBVttl6xYu+YbRQ/jcH+MIVmymDTM9SWBUY+&#10;nPoFpRV34EGGEQedgZSKi8QB2YzzH2xeG2ZF4oLieHuWyf8fLH86vDiiatzdZI67MkzjllJjkiIo&#10;UGd9gXWvFitDfwc9FkfhYtxjMPLupdPxi4wI5lHq41le0QfCMbhYTpfTOSUcU+P5ZJYn+bPLz9b5&#10;cC9Ak+iU1OH2kqjs8OgDNsTSoST2MrBTbRvjl0miF/qqT5Rmw5QV1Eccvn0wKF08g8Fxg1OdnAEN&#10;5U79TqcR9/n9nXpeDnj9CQAA//8DAFBLAwQUAAYACAAAACEApDtd8d4AAAAJAQAADwAAAGRycy9k&#10;b3ducmV2LnhtbEyPwU6DQBCG7ya+w2ZMvNlF2hBAlqYxejIxUjx4XNgpkLKzyG5bfHvHk73Nn/ny&#10;zzfFdrGjOOPsB0cKHlcRCKTWmYE6BZ/160MKwgdNRo+OUMEPetiWtzeFzo27UIXnfegEl5DPtYI+&#10;hCmX0rc9Wu1XbkLi3cHNVgeOcyfNrC9cbkcZR1EirR6IL/R6wuce2+P+ZBXsvqh6Gb7fm4/qUA11&#10;nUX0lhyVur9bdk8gAi7hH4Y/fVaHkp0adyLjxcg5TdaM8rDJQDAQZ/EGRKNgnWYgy0Jef1D+AgAA&#10;//8DAFBLAQItABQABgAIAAAAIQC2gziS/gAAAOEBAAATAAAAAAAAAAAAAAAAAAAAAABbQ29udGVu&#10;dF9UeXBlc10ueG1sUEsBAi0AFAAGAAgAAAAhADj9If/WAAAAlAEAAAsAAAAAAAAAAAAAAAAALwEA&#10;AF9yZWxzLy5yZWxzUEsBAi0AFAAGAAgAAAAhAN84NWmFAQAACAMAAA4AAAAAAAAAAAAAAAAALgIA&#10;AGRycy9lMm9Eb2MueG1sUEsBAi0AFAAGAAgAAAAhAKQ7XfHeAAAACQEAAA8AAAAAAAAAAAAAAAAA&#10;3wMAAGRycy9kb3ducmV2LnhtbFBLBQYAAAAABAAEAPMAAADqBAAAAAA=&#10;" filled="f" stroked="f">
                <v:textbox inset="0,0,0,0">
                  <w:txbxContent>
                    <w:p w:rsidR="001B23C7" w:rsidRDefault="001B23C7" w:rsidP="008A3CFF">
                      <w:pPr>
                        <w:pStyle w:val="a5"/>
                      </w:pPr>
                      <w:r>
                        <w:t>Триптофан</w:t>
                      </w:r>
                    </w:p>
                  </w:txbxContent>
                </v:textbox>
                <w10:wrap anchorx="page"/>
              </v:shape>
            </w:pict>
          </mc:Fallback>
        </mc:AlternateContent>
      </w:r>
    </w:p>
    <w:p w:rsidR="00BC1BB8" w:rsidRPr="00BC1BB8" w:rsidRDefault="00BC1BB8" w:rsidP="00DE1F06">
      <w:pPr>
        <w:ind w:firstLine="460"/>
        <w:jc w:val="both"/>
        <w:rPr>
          <w:rFonts w:ascii="Arial" w:eastAsia="Times New Roman" w:hAnsi="Arial" w:cs="Arial"/>
          <w:sz w:val="22"/>
          <w:szCs w:val="22"/>
        </w:rPr>
      </w:pPr>
      <w:r w:rsidRPr="00BC1BB8">
        <w:rPr>
          <w:rFonts w:ascii="Arial" w:eastAsia="Times New Roman" w:hAnsi="Arial" w:cs="Arial"/>
          <w:sz w:val="22"/>
          <w:szCs w:val="22"/>
        </w:rPr>
        <w:t>Клиническая картина. Карциноидный синдром проявляется многочисленной клинической симптоматикой: прежде всего диареей, боля</w:t>
      </w:r>
      <w:r w:rsidRPr="00BC1BB8">
        <w:rPr>
          <w:rFonts w:ascii="Arial" w:eastAsia="Times New Roman" w:hAnsi="Arial" w:cs="Arial"/>
          <w:sz w:val="22"/>
          <w:szCs w:val="22"/>
        </w:rPr>
        <w:softHyphen/>
        <w:t>ми в животе, отрыжкой, приливами, телеангиэктазиями, цианозом, брон</w:t>
      </w:r>
      <w:r w:rsidRPr="00BC1BB8">
        <w:rPr>
          <w:rFonts w:ascii="Arial" w:eastAsia="Times New Roman" w:hAnsi="Arial" w:cs="Arial"/>
          <w:sz w:val="22"/>
          <w:szCs w:val="22"/>
        </w:rPr>
        <w:softHyphen/>
        <w:t>хоспазмом, диспноэ, поражением сердечных клапанов (с развитием сердеч</w:t>
      </w:r>
      <w:r w:rsidRPr="00BC1BB8">
        <w:rPr>
          <w:rFonts w:ascii="Arial" w:eastAsia="Times New Roman" w:hAnsi="Arial" w:cs="Arial"/>
          <w:sz w:val="22"/>
          <w:szCs w:val="22"/>
        </w:rPr>
        <w:softHyphen/>
        <w:t xml:space="preserve">ной недостаточности), в редких </w:t>
      </w:r>
      <w:r w:rsidRPr="00BC1BB8">
        <w:rPr>
          <w:rFonts w:ascii="Arial" w:eastAsia="Times New Roman" w:hAnsi="Arial" w:cs="Arial"/>
          <w:i/>
          <w:iCs/>
          <w:sz w:val="22"/>
          <w:szCs w:val="22"/>
        </w:rPr>
        <w:t>случаях</w:t>
      </w:r>
      <w:r w:rsidRPr="00BC1BB8">
        <w:rPr>
          <w:rFonts w:ascii="Arial" w:eastAsia="Times New Roman" w:hAnsi="Arial" w:cs="Arial"/>
          <w:sz w:val="22"/>
          <w:szCs w:val="22"/>
        </w:rPr>
        <w:t xml:space="preserve"> брыжеечным и ретроперитонеаль</w:t>
      </w:r>
      <w:r w:rsidRPr="00BC1BB8">
        <w:rPr>
          <w:rFonts w:ascii="Arial" w:eastAsia="Times New Roman" w:hAnsi="Arial" w:cs="Arial"/>
          <w:sz w:val="22"/>
          <w:szCs w:val="22"/>
        </w:rPr>
        <w:softHyphen/>
        <w:t>ным фиброзом (с явлениями кишечной непроходимости и обструкции мо</w:t>
      </w:r>
      <w:r w:rsidRPr="00BC1BB8">
        <w:rPr>
          <w:rFonts w:ascii="Arial" w:eastAsia="Times New Roman" w:hAnsi="Arial" w:cs="Arial"/>
          <w:sz w:val="22"/>
          <w:szCs w:val="22"/>
        </w:rPr>
        <w:softHyphen/>
        <w:t>четочников), а также ростом и метастазированием опухоли.</w:t>
      </w:r>
    </w:p>
    <w:p w:rsidR="00BC1BB8" w:rsidRPr="00BC1BB8" w:rsidRDefault="00BC1BB8" w:rsidP="00DE1F06">
      <w:pPr>
        <w:ind w:firstLine="460"/>
        <w:jc w:val="both"/>
        <w:rPr>
          <w:rFonts w:ascii="Arial" w:eastAsia="Times New Roman" w:hAnsi="Arial" w:cs="Arial"/>
          <w:sz w:val="22"/>
          <w:szCs w:val="22"/>
        </w:rPr>
      </w:pPr>
      <w:r w:rsidRPr="00BC1BB8">
        <w:rPr>
          <w:rFonts w:ascii="Arial" w:eastAsia="Times New Roman" w:hAnsi="Arial" w:cs="Arial"/>
          <w:sz w:val="22"/>
          <w:szCs w:val="22"/>
        </w:rPr>
        <w:t>Классическая клиническая картина карциноидного синдрома развива</w:t>
      </w:r>
      <w:r w:rsidRPr="00BC1BB8">
        <w:rPr>
          <w:rFonts w:ascii="Arial" w:eastAsia="Times New Roman" w:hAnsi="Arial" w:cs="Arial"/>
          <w:sz w:val="22"/>
          <w:szCs w:val="22"/>
        </w:rPr>
        <w:softHyphen/>
        <w:t>ется при кишечном карциноиде, на долю которого приходится более 90 % всех энтерохромаффинных опухолей.</w:t>
      </w:r>
    </w:p>
    <w:p w:rsidR="00BC1BB8" w:rsidRPr="004B0B65" w:rsidRDefault="00BC1BB8" w:rsidP="00DE1F06">
      <w:pPr>
        <w:ind w:firstLine="460"/>
        <w:jc w:val="both"/>
        <w:rPr>
          <w:rFonts w:ascii="Arial" w:eastAsia="Times New Roman" w:hAnsi="Arial" w:cs="Arial"/>
          <w:sz w:val="22"/>
          <w:szCs w:val="22"/>
        </w:rPr>
      </w:pPr>
      <w:r w:rsidRPr="00BC1BB8">
        <w:rPr>
          <w:rFonts w:ascii="Arial" w:eastAsia="Times New Roman" w:hAnsi="Arial" w:cs="Arial"/>
          <w:sz w:val="22"/>
          <w:szCs w:val="22"/>
        </w:rPr>
        <w:t>Наиболее часто кишечный карциноид локализуется в терминальном от</w:t>
      </w:r>
      <w:r w:rsidRPr="00BC1BB8">
        <w:rPr>
          <w:rFonts w:ascii="Arial" w:eastAsia="Times New Roman" w:hAnsi="Arial" w:cs="Arial"/>
          <w:sz w:val="22"/>
          <w:szCs w:val="22"/>
        </w:rPr>
        <w:softHyphen/>
        <w:t>деле подвздошной кишки, червеобразном отростке, прямой кишке, реже толстой кишке, желудке, поджелудочной железе, дивертикуле Меккеля (табл. 13.10). Важно понимать, что развернутая симптоматика карциноидно</w:t>
      </w:r>
      <w:r w:rsidRPr="00BC1BB8">
        <w:rPr>
          <w:rFonts w:ascii="Arial" w:eastAsia="Times New Roman" w:hAnsi="Arial" w:cs="Arial"/>
          <w:sz w:val="22"/>
          <w:szCs w:val="22"/>
        </w:rPr>
        <w:softHyphen/>
        <w:t>го синдрома при кишечном карциноиде соответствует поздней стадии опухо</w:t>
      </w:r>
      <w:r w:rsidRPr="00BC1BB8">
        <w:rPr>
          <w:rFonts w:ascii="Arial" w:eastAsia="Times New Roman" w:hAnsi="Arial" w:cs="Arial"/>
          <w:sz w:val="22"/>
          <w:szCs w:val="22"/>
        </w:rPr>
        <w:softHyphen/>
        <w:t>левого процесса и метастатическому поражению печени. Первичная опу</w:t>
      </w:r>
      <w:r w:rsidRPr="00BC1BB8">
        <w:rPr>
          <w:rFonts w:ascii="Arial" w:eastAsia="Times New Roman" w:hAnsi="Arial" w:cs="Arial"/>
          <w:sz w:val="22"/>
          <w:szCs w:val="22"/>
        </w:rPr>
        <w:softHyphen/>
        <w:t>холь, как правило, имеет небольшие размеры, и секретируемые ею продукты, попадая в печень, полностью инактивируются. Метастатический процесс всегда поражает печень, а часто (даже в поздних стадиях) только печень, при этом метастазы по закону опухолевой прогрессии значительно более круп</w:t>
      </w:r>
      <w:r w:rsidRPr="00BC1BB8">
        <w:rPr>
          <w:rFonts w:ascii="Arial" w:eastAsia="Times New Roman" w:hAnsi="Arial" w:cs="Arial"/>
          <w:sz w:val="22"/>
          <w:szCs w:val="22"/>
        </w:rPr>
        <w:softHyphen/>
        <w:t>ные и злокачественные. Когда печень перестает справляться с массивной опухолевой секрецией, ее продукты начинают поступать в системный крово</w:t>
      </w:r>
      <w:r w:rsidRPr="00BC1BB8">
        <w:rPr>
          <w:rFonts w:ascii="Arial" w:eastAsia="Times New Roman" w:hAnsi="Arial" w:cs="Arial"/>
          <w:sz w:val="22"/>
          <w:szCs w:val="22"/>
        </w:rPr>
        <w:softHyphen/>
        <w:t>ток, и только тогда появляется симптоматика карциноидного синдрома. Точно так же, механически, объясняется преимущественное поражение при кишечном карциноиде эндокарда правых отделов сердца, куда кровь из по</w:t>
      </w:r>
      <w:r w:rsidRPr="00BC1BB8">
        <w:rPr>
          <w:rFonts w:ascii="Arial" w:eastAsia="Times New Roman" w:hAnsi="Arial" w:cs="Arial"/>
          <w:sz w:val="22"/>
          <w:szCs w:val="22"/>
        </w:rPr>
        <w:softHyphen/>
        <w:t>раженной печени поступает по нижней полой вене. Фиброз эндокарда левых отделов сердца если и успевает развиться, то в поздних стадиях.</w:t>
      </w:r>
    </w:p>
    <w:p w:rsidR="00BC1BB8" w:rsidRPr="004B0B65" w:rsidRDefault="00BC1BB8" w:rsidP="00DE1F06">
      <w:pPr>
        <w:ind w:firstLine="460"/>
        <w:jc w:val="both"/>
        <w:rPr>
          <w:rFonts w:ascii="Arial" w:eastAsia="Times New Roman" w:hAnsi="Arial" w:cs="Arial"/>
          <w:sz w:val="22"/>
          <w:szCs w:val="22"/>
        </w:rPr>
      </w:pPr>
      <w:r w:rsidRPr="004B0B65">
        <w:rPr>
          <w:rFonts w:ascii="Arial" w:eastAsia="Times New Roman" w:hAnsi="Arial" w:cs="Arial"/>
          <w:sz w:val="22"/>
          <w:szCs w:val="22"/>
        </w:rPr>
        <w:t>Чаще всего карциноидный синдром манифестирует дрожью, опуханием лица, умеренной или резко выраженной диареей, болями в животе, тенез</w:t>
      </w:r>
      <w:r w:rsidRPr="004B0B65">
        <w:rPr>
          <w:rFonts w:ascii="Arial" w:eastAsia="Times New Roman" w:hAnsi="Arial" w:cs="Arial"/>
          <w:sz w:val="22"/>
          <w:szCs w:val="22"/>
        </w:rPr>
        <w:softHyphen/>
        <w:t>мами. Позднее присоединяются слабость и тошнота. Боли в животе могут быть связаны с усиленной перистальтикой кишечника, пептическими на</w:t>
      </w:r>
      <w:r w:rsidRPr="004B0B65">
        <w:rPr>
          <w:rFonts w:ascii="Arial" w:eastAsia="Times New Roman" w:hAnsi="Arial" w:cs="Arial"/>
          <w:sz w:val="22"/>
          <w:szCs w:val="22"/>
        </w:rPr>
        <w:softHyphen/>
        <w:t>рушениями, механическим илеусом, печеночными метастазами. У части пациентов заболевание начинается с классических вазомоторных симпто</w:t>
      </w:r>
      <w:r w:rsidRPr="004B0B65">
        <w:rPr>
          <w:rFonts w:ascii="Arial" w:eastAsia="Times New Roman" w:hAnsi="Arial" w:cs="Arial"/>
          <w:sz w:val="22"/>
          <w:szCs w:val="22"/>
        </w:rPr>
        <w:softHyphen/>
        <w:t>мов: эпизодов цианотических или ярко-красных приливов к лицу, рукам и груди. Приливы могут быть спровоцированы физической нагрузкой, алко</w:t>
      </w:r>
      <w:r w:rsidRPr="004B0B65">
        <w:rPr>
          <w:rFonts w:ascii="Arial" w:eastAsia="Times New Roman" w:hAnsi="Arial" w:cs="Arial"/>
          <w:sz w:val="22"/>
          <w:szCs w:val="22"/>
        </w:rPr>
        <w:softHyphen/>
        <w:t>голем или такими продуктами, как сыр, копченые колбасы, крепкий черный кофе. Приливы могут по</w:t>
      </w:r>
      <w:r w:rsidRPr="004B0B65">
        <w:rPr>
          <w:rFonts w:ascii="Arial" w:eastAsia="Times New Roman" w:hAnsi="Arial" w:cs="Arial"/>
          <w:sz w:val="22"/>
          <w:szCs w:val="22"/>
        </w:rPr>
        <w:softHyphen/>
        <w:t>вторяться в течение дня, длятся обычно несколько минут, сопро</w:t>
      </w:r>
      <w:r w:rsidRPr="004B0B65">
        <w:rPr>
          <w:rFonts w:ascii="Arial" w:eastAsia="Times New Roman" w:hAnsi="Arial" w:cs="Arial"/>
          <w:sz w:val="22"/>
          <w:szCs w:val="22"/>
        </w:rPr>
        <w:softHyphen/>
        <w:t xml:space="preserve">вождаясь сильной потливостью. Пациенты жалуются при этом на чувство жара, сердцебиение и </w:t>
      </w:r>
      <w:r w:rsidRPr="004B0B65">
        <w:rPr>
          <w:rFonts w:ascii="Arial" w:eastAsia="Times New Roman" w:hAnsi="Arial" w:cs="Arial"/>
          <w:sz w:val="22"/>
          <w:szCs w:val="22"/>
        </w:rPr>
        <w:lastRenderedPageBreak/>
        <w:t>дрожь. У некоторых больных может быть сильное слезо- и слюнотече</w:t>
      </w:r>
      <w:r w:rsidRPr="004B0B65">
        <w:rPr>
          <w:rFonts w:ascii="Arial" w:eastAsia="Times New Roman" w:hAnsi="Arial" w:cs="Arial"/>
          <w:sz w:val="22"/>
          <w:szCs w:val="22"/>
        </w:rPr>
        <w:softHyphen/>
        <w:t>ние. На этом фоне могут наблю</w:t>
      </w:r>
      <w:r w:rsidRPr="004B0B65">
        <w:rPr>
          <w:rFonts w:ascii="Arial" w:eastAsia="Times New Roman" w:hAnsi="Arial" w:cs="Arial"/>
          <w:sz w:val="22"/>
          <w:szCs w:val="22"/>
        </w:rPr>
        <w:softHyphen/>
        <w:t>даться выраженная артериальная гипотензия, затруднение дыхания, отрыжка, диарея. При таких тяже</w:t>
      </w:r>
      <w:r w:rsidRPr="004B0B65">
        <w:rPr>
          <w:rFonts w:ascii="Arial" w:eastAsia="Times New Roman" w:hAnsi="Arial" w:cs="Arial"/>
          <w:sz w:val="22"/>
          <w:szCs w:val="22"/>
        </w:rPr>
        <w:softHyphen/>
        <w:t>лых, хронически протекающих при</w:t>
      </w:r>
      <w:r w:rsidRPr="004B0B65">
        <w:rPr>
          <w:rFonts w:ascii="Arial" w:eastAsia="Times New Roman" w:hAnsi="Arial" w:cs="Arial"/>
          <w:sz w:val="22"/>
          <w:szCs w:val="22"/>
        </w:rPr>
        <w:softHyphen/>
        <w:t>ливах кожа лица и верхней полови</w:t>
      </w:r>
      <w:r w:rsidRPr="004B0B65">
        <w:rPr>
          <w:rFonts w:ascii="Arial" w:eastAsia="Times New Roman" w:hAnsi="Arial" w:cs="Arial"/>
          <w:sz w:val="22"/>
          <w:szCs w:val="22"/>
        </w:rPr>
        <w:softHyphen/>
        <w:t>ны туловища постепенно приобре</w:t>
      </w:r>
      <w:r w:rsidRPr="004B0B65">
        <w:rPr>
          <w:rFonts w:ascii="Arial" w:eastAsia="Times New Roman" w:hAnsi="Arial" w:cs="Arial"/>
          <w:sz w:val="22"/>
          <w:szCs w:val="22"/>
        </w:rPr>
        <w:softHyphen/>
        <w:t>тает стойкий красно-синюшный от</w:t>
      </w:r>
      <w:r w:rsidRPr="004B0B65">
        <w:rPr>
          <w:rFonts w:ascii="Arial" w:eastAsia="Times New Roman" w:hAnsi="Arial" w:cs="Arial"/>
          <w:sz w:val="22"/>
          <w:szCs w:val="22"/>
        </w:rPr>
        <w:softHyphen/>
        <w:t>тенок, появляются телеангиэктазии (рис. 13.5). Астматический синдром имеет место в 8—15 % случаев. Реже встречаются жалобы на сильный ге</w:t>
      </w:r>
      <w:r w:rsidRPr="004B0B65">
        <w:rPr>
          <w:rFonts w:ascii="Arial" w:eastAsia="Times New Roman" w:hAnsi="Arial" w:cs="Arial"/>
          <w:sz w:val="22"/>
          <w:szCs w:val="22"/>
        </w:rPr>
        <w:softHyphen/>
        <w:t>нерализованный зуд. У пациентов часто значительно снижается масса тела. При физическом обследова</w:t>
      </w:r>
      <w:r w:rsidRPr="004B0B65">
        <w:rPr>
          <w:rFonts w:ascii="Arial" w:eastAsia="Times New Roman" w:hAnsi="Arial" w:cs="Arial"/>
          <w:sz w:val="22"/>
          <w:szCs w:val="22"/>
        </w:rPr>
        <w:softHyphen/>
        <w:t>нии больного определяются усиленная перистальтика кишечника, увели</w:t>
      </w:r>
      <w:r w:rsidRPr="004B0B65">
        <w:rPr>
          <w:rFonts w:ascii="Arial" w:eastAsia="Times New Roman" w:hAnsi="Arial" w:cs="Arial"/>
          <w:sz w:val="22"/>
          <w:szCs w:val="22"/>
        </w:rPr>
        <w:softHyphen/>
        <w:t>ченная узловатая печень, прекардиальные шумы. В далеко зашедших стади</w:t>
      </w:r>
      <w:r w:rsidRPr="004B0B65">
        <w:rPr>
          <w:rFonts w:ascii="Arial" w:eastAsia="Times New Roman" w:hAnsi="Arial" w:cs="Arial"/>
          <w:sz w:val="22"/>
          <w:szCs w:val="22"/>
        </w:rPr>
        <w:softHyphen/>
        <w:t>ях процесса определяются симптомы мальабсорбции.</w:t>
      </w:r>
    </w:p>
    <w:p w:rsidR="008A3CFF" w:rsidRPr="004B0B65" w:rsidRDefault="008A3CFF" w:rsidP="00DE1F06">
      <w:pPr>
        <w:ind w:firstLine="460"/>
        <w:jc w:val="both"/>
        <w:rPr>
          <w:rFonts w:ascii="Arial" w:eastAsia="Times New Roman" w:hAnsi="Arial" w:cs="Arial"/>
          <w:sz w:val="22"/>
          <w:szCs w:val="22"/>
        </w:rPr>
      </w:pPr>
    </w:p>
    <w:p w:rsidR="00BC1BB8" w:rsidRPr="004B0B65" w:rsidRDefault="00BC1BB8" w:rsidP="00DE1F06">
      <w:pPr>
        <w:rPr>
          <w:rFonts w:ascii="Arial" w:eastAsia="Times New Roman" w:hAnsi="Arial" w:cs="Arial"/>
          <w:b/>
          <w:bCs/>
          <w:sz w:val="19"/>
          <w:szCs w:val="19"/>
        </w:rPr>
      </w:pPr>
      <w:r w:rsidRPr="00BC1BB8">
        <w:rPr>
          <w:rFonts w:ascii="Arial" w:eastAsia="Times New Roman" w:hAnsi="Arial" w:cs="Arial"/>
          <w:sz w:val="19"/>
          <w:szCs w:val="19"/>
        </w:rPr>
        <w:t xml:space="preserve">Таблица 13.10. </w:t>
      </w:r>
      <w:r w:rsidRPr="00BC1BB8">
        <w:rPr>
          <w:rFonts w:ascii="Arial" w:eastAsia="Times New Roman" w:hAnsi="Arial" w:cs="Arial"/>
          <w:b/>
          <w:bCs/>
          <w:sz w:val="19"/>
          <w:szCs w:val="19"/>
        </w:rPr>
        <w:t>Локализация и симптоматика энтерохромаффинных опухолей</w:t>
      </w:r>
    </w:p>
    <w:p w:rsidR="00BC1BB8" w:rsidRPr="00BC1BB8" w:rsidRDefault="00BC1BB8" w:rsidP="00DE1F06">
      <w:pPr>
        <w:rPr>
          <w:rFonts w:ascii="Arial" w:eastAsia="Times New Roman" w:hAnsi="Arial" w:cs="Arial"/>
          <w:sz w:val="19"/>
          <w:szCs w:val="19"/>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674"/>
        <w:gridCol w:w="1248"/>
        <w:gridCol w:w="1978"/>
        <w:gridCol w:w="1579"/>
      </w:tblGrid>
      <w:tr w:rsidR="00BC1BB8" w:rsidRPr="00BC1BB8" w:rsidTr="004B0B65">
        <w:trPr>
          <w:trHeight w:hRule="exact" w:val="883"/>
          <w:jc w:val="center"/>
        </w:trPr>
        <w:tc>
          <w:tcPr>
            <w:tcW w:w="2674" w:type="dxa"/>
            <w:tcBorders>
              <w:top w:val="single" w:sz="4" w:space="0" w:color="auto"/>
              <w:left w:val="single" w:sz="4" w:space="0" w:color="auto"/>
            </w:tcBorders>
            <w:shd w:val="clear" w:color="auto" w:fill="auto"/>
            <w:vAlign w:val="center"/>
          </w:tcPr>
          <w:p w:rsidR="00BC1BB8" w:rsidRPr="00BC1BB8" w:rsidRDefault="00BC1BB8" w:rsidP="00DE1F06">
            <w:pPr>
              <w:ind w:firstLine="460"/>
              <w:rPr>
                <w:rFonts w:ascii="Arial" w:eastAsia="Times New Roman" w:hAnsi="Arial" w:cs="Arial"/>
                <w:sz w:val="18"/>
                <w:szCs w:val="18"/>
              </w:rPr>
            </w:pPr>
            <w:r w:rsidRPr="00BC1BB8">
              <w:rPr>
                <w:rFonts w:ascii="Arial" w:eastAsia="Times New Roman" w:hAnsi="Arial" w:cs="Arial"/>
                <w:sz w:val="18"/>
                <w:szCs w:val="18"/>
              </w:rPr>
              <w:t>Локализация опухоли</w:t>
            </w:r>
          </w:p>
        </w:tc>
        <w:tc>
          <w:tcPr>
            <w:tcW w:w="1248" w:type="dxa"/>
            <w:tcBorders>
              <w:top w:val="single" w:sz="4" w:space="0" w:color="auto"/>
              <w:left w:val="single" w:sz="4" w:space="0" w:color="auto"/>
            </w:tcBorders>
            <w:shd w:val="clear" w:color="auto" w:fill="auto"/>
            <w:vAlign w:val="center"/>
          </w:tcPr>
          <w:p w:rsidR="00BC1BB8" w:rsidRPr="00BC1BB8" w:rsidRDefault="00BC1BB8" w:rsidP="00DE1F06">
            <w:pPr>
              <w:jc w:val="center"/>
              <w:rPr>
                <w:rFonts w:ascii="Arial" w:eastAsia="Times New Roman" w:hAnsi="Arial" w:cs="Arial"/>
                <w:sz w:val="18"/>
                <w:szCs w:val="18"/>
              </w:rPr>
            </w:pPr>
            <w:r w:rsidRPr="00BC1BB8">
              <w:rPr>
                <w:rFonts w:ascii="Arial" w:eastAsia="Times New Roman" w:hAnsi="Arial" w:cs="Arial"/>
                <w:sz w:val="18"/>
                <w:szCs w:val="18"/>
              </w:rPr>
              <w:t>Доля от всех энтерохро</w:t>
            </w:r>
            <w:r w:rsidRPr="00BC1BB8">
              <w:rPr>
                <w:rFonts w:ascii="Arial" w:eastAsia="Times New Roman" w:hAnsi="Arial" w:cs="Arial"/>
                <w:sz w:val="18"/>
                <w:szCs w:val="18"/>
              </w:rPr>
              <w:softHyphen/>
              <w:t>маффинных опухолей, %</w:t>
            </w:r>
          </w:p>
        </w:tc>
        <w:tc>
          <w:tcPr>
            <w:tcW w:w="1978" w:type="dxa"/>
            <w:tcBorders>
              <w:top w:val="single" w:sz="4" w:space="0" w:color="auto"/>
              <w:left w:val="single" w:sz="4" w:space="0" w:color="auto"/>
            </w:tcBorders>
            <w:shd w:val="clear" w:color="auto" w:fill="auto"/>
            <w:vAlign w:val="center"/>
          </w:tcPr>
          <w:p w:rsidR="00BC1BB8" w:rsidRPr="00BC1BB8" w:rsidRDefault="00BC1BB8" w:rsidP="00DE1F06">
            <w:pPr>
              <w:jc w:val="center"/>
              <w:rPr>
                <w:rFonts w:ascii="Arial" w:eastAsia="Times New Roman" w:hAnsi="Arial" w:cs="Arial"/>
                <w:sz w:val="18"/>
                <w:szCs w:val="18"/>
              </w:rPr>
            </w:pPr>
            <w:r w:rsidRPr="00BC1BB8">
              <w:rPr>
                <w:rFonts w:ascii="Arial" w:eastAsia="Times New Roman" w:hAnsi="Arial" w:cs="Arial"/>
                <w:sz w:val="18"/>
                <w:szCs w:val="18"/>
              </w:rPr>
              <w:t>Доля опухолей, имеющих метастазы на момент постановки диагноза, %</w:t>
            </w:r>
          </w:p>
        </w:tc>
        <w:tc>
          <w:tcPr>
            <w:tcW w:w="1579" w:type="dxa"/>
            <w:tcBorders>
              <w:top w:val="single" w:sz="4" w:space="0" w:color="auto"/>
              <w:left w:val="single" w:sz="4" w:space="0" w:color="auto"/>
              <w:right w:val="single" w:sz="4" w:space="0" w:color="auto"/>
            </w:tcBorders>
            <w:shd w:val="clear" w:color="auto" w:fill="auto"/>
            <w:vAlign w:val="center"/>
          </w:tcPr>
          <w:p w:rsidR="00BC1BB8" w:rsidRPr="00BC1BB8" w:rsidRDefault="00BC1BB8" w:rsidP="00DE1F06">
            <w:pPr>
              <w:jc w:val="center"/>
              <w:rPr>
                <w:rFonts w:ascii="Arial" w:eastAsia="Times New Roman" w:hAnsi="Arial" w:cs="Arial"/>
                <w:sz w:val="18"/>
                <w:szCs w:val="18"/>
              </w:rPr>
            </w:pPr>
            <w:r w:rsidRPr="00BC1BB8">
              <w:rPr>
                <w:rFonts w:ascii="Arial" w:eastAsia="Times New Roman" w:hAnsi="Arial" w:cs="Arial"/>
                <w:sz w:val="18"/>
                <w:szCs w:val="18"/>
              </w:rPr>
              <w:t>Доля опухолей, протекающих с карциноидным синдромом, %</w:t>
            </w:r>
          </w:p>
        </w:tc>
      </w:tr>
      <w:tr w:rsidR="00BC1BB8" w:rsidRPr="00BC1BB8" w:rsidTr="004B0B65">
        <w:trPr>
          <w:trHeight w:hRule="exact" w:val="394"/>
          <w:jc w:val="center"/>
        </w:trPr>
        <w:tc>
          <w:tcPr>
            <w:tcW w:w="2674" w:type="dxa"/>
            <w:tcBorders>
              <w:top w:val="single" w:sz="4" w:space="0" w:color="auto"/>
              <w:left w:val="single" w:sz="4" w:space="0" w:color="auto"/>
            </w:tcBorders>
            <w:shd w:val="clear" w:color="auto" w:fill="auto"/>
            <w:vAlign w:val="bottom"/>
          </w:tcPr>
          <w:p w:rsidR="00BC1BB8" w:rsidRPr="00BC1BB8" w:rsidRDefault="00BC1BB8" w:rsidP="00DE1F06">
            <w:pPr>
              <w:rPr>
                <w:rFonts w:ascii="Arial" w:eastAsia="Times New Roman" w:hAnsi="Arial" w:cs="Arial"/>
                <w:sz w:val="19"/>
                <w:szCs w:val="19"/>
              </w:rPr>
            </w:pPr>
            <w:r w:rsidRPr="00BC1BB8">
              <w:rPr>
                <w:rFonts w:ascii="Arial" w:eastAsia="Times New Roman" w:hAnsi="Arial" w:cs="Arial"/>
                <w:sz w:val="19"/>
                <w:szCs w:val="19"/>
              </w:rPr>
              <w:t>Пищевод</w:t>
            </w:r>
          </w:p>
        </w:tc>
        <w:tc>
          <w:tcPr>
            <w:tcW w:w="1248" w:type="dxa"/>
            <w:tcBorders>
              <w:top w:val="single" w:sz="4" w:space="0" w:color="auto"/>
              <w:left w:val="single" w:sz="4" w:space="0" w:color="auto"/>
            </w:tcBorders>
            <w:shd w:val="clear" w:color="auto" w:fill="auto"/>
            <w:vAlign w:val="bottom"/>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0,03</w:t>
            </w:r>
          </w:p>
        </w:tc>
        <w:tc>
          <w:tcPr>
            <w:tcW w:w="1978" w:type="dxa"/>
            <w:tcBorders>
              <w:top w:val="single" w:sz="4" w:space="0" w:color="auto"/>
              <w:left w:val="single" w:sz="4" w:space="0" w:color="auto"/>
            </w:tcBorders>
            <w:shd w:val="clear" w:color="auto" w:fill="auto"/>
            <w:vAlign w:val="bottom"/>
          </w:tcPr>
          <w:p w:rsidR="00BC1BB8" w:rsidRPr="00BC1BB8" w:rsidRDefault="00BC1BB8" w:rsidP="00DE1F06">
            <w:pPr>
              <w:jc w:val="center"/>
              <w:rPr>
                <w:rFonts w:ascii="Arial" w:eastAsia="Times New Roman" w:hAnsi="Arial" w:cs="Arial"/>
                <w:sz w:val="14"/>
                <w:szCs w:val="14"/>
              </w:rPr>
            </w:pPr>
            <w:r w:rsidRPr="00BC1BB8">
              <w:rPr>
                <w:rFonts w:ascii="Arial" w:eastAsia="Courier New" w:hAnsi="Arial" w:cs="Arial"/>
                <w:i/>
                <w:iCs/>
                <w:sz w:val="14"/>
                <w:szCs w:val="14"/>
              </w:rPr>
              <w:t>—</w:t>
            </w:r>
          </w:p>
        </w:tc>
        <w:tc>
          <w:tcPr>
            <w:tcW w:w="1579" w:type="dxa"/>
            <w:tcBorders>
              <w:top w:val="single" w:sz="4" w:space="0" w:color="auto"/>
              <w:left w:val="single" w:sz="4" w:space="0" w:color="auto"/>
              <w:right w:val="single" w:sz="4" w:space="0" w:color="auto"/>
            </w:tcBorders>
            <w:shd w:val="clear" w:color="auto" w:fill="auto"/>
            <w:vAlign w:val="bottom"/>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0</w:t>
            </w:r>
          </w:p>
        </w:tc>
      </w:tr>
      <w:tr w:rsidR="00BC1BB8" w:rsidRPr="00BC1BB8" w:rsidTr="004B0B65">
        <w:trPr>
          <w:trHeight w:hRule="exact" w:val="269"/>
          <w:jc w:val="center"/>
        </w:trPr>
        <w:tc>
          <w:tcPr>
            <w:tcW w:w="2674" w:type="dxa"/>
            <w:tcBorders>
              <w:left w:val="single" w:sz="4" w:space="0" w:color="auto"/>
            </w:tcBorders>
            <w:shd w:val="clear" w:color="auto" w:fill="auto"/>
          </w:tcPr>
          <w:p w:rsidR="00BC1BB8" w:rsidRPr="00BC1BB8" w:rsidRDefault="00BC1BB8" w:rsidP="00DE1F06">
            <w:pPr>
              <w:rPr>
                <w:rFonts w:ascii="Arial" w:eastAsia="Times New Roman" w:hAnsi="Arial" w:cs="Arial"/>
                <w:sz w:val="19"/>
                <w:szCs w:val="19"/>
              </w:rPr>
            </w:pPr>
            <w:r w:rsidRPr="00BC1BB8">
              <w:rPr>
                <w:rFonts w:ascii="Arial" w:eastAsia="Times New Roman" w:hAnsi="Arial" w:cs="Arial"/>
                <w:sz w:val="19"/>
                <w:szCs w:val="19"/>
              </w:rPr>
              <w:t>Желудок</w:t>
            </w:r>
          </w:p>
        </w:tc>
        <w:tc>
          <w:tcPr>
            <w:tcW w:w="1248" w:type="dxa"/>
            <w:tcBorders>
              <w:lef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2</w:t>
            </w:r>
          </w:p>
        </w:tc>
        <w:tc>
          <w:tcPr>
            <w:tcW w:w="1978" w:type="dxa"/>
            <w:tcBorders>
              <w:lef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23</w:t>
            </w:r>
          </w:p>
        </w:tc>
        <w:tc>
          <w:tcPr>
            <w:tcW w:w="1579" w:type="dxa"/>
            <w:tcBorders>
              <w:left w:val="single" w:sz="4" w:space="0" w:color="auto"/>
              <w:righ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6</w:t>
            </w:r>
          </w:p>
        </w:tc>
      </w:tr>
      <w:tr w:rsidR="00BC1BB8" w:rsidRPr="00BC1BB8" w:rsidTr="004B0B65">
        <w:trPr>
          <w:trHeight w:hRule="exact" w:val="259"/>
          <w:jc w:val="center"/>
        </w:trPr>
        <w:tc>
          <w:tcPr>
            <w:tcW w:w="2674" w:type="dxa"/>
            <w:tcBorders>
              <w:left w:val="single" w:sz="4" w:space="0" w:color="auto"/>
            </w:tcBorders>
            <w:shd w:val="clear" w:color="auto" w:fill="auto"/>
          </w:tcPr>
          <w:p w:rsidR="00BC1BB8" w:rsidRPr="00BC1BB8" w:rsidRDefault="00BC1BB8" w:rsidP="00DE1F06">
            <w:pPr>
              <w:rPr>
                <w:rFonts w:ascii="Arial" w:eastAsia="Times New Roman" w:hAnsi="Arial" w:cs="Arial"/>
                <w:sz w:val="19"/>
                <w:szCs w:val="19"/>
              </w:rPr>
            </w:pPr>
            <w:r w:rsidRPr="00BC1BB8">
              <w:rPr>
                <w:rFonts w:ascii="Arial" w:eastAsia="Times New Roman" w:hAnsi="Arial" w:cs="Arial"/>
                <w:sz w:val="19"/>
                <w:szCs w:val="19"/>
              </w:rPr>
              <w:t>Двенадцатиперстная кишка</w:t>
            </w:r>
          </w:p>
        </w:tc>
        <w:tc>
          <w:tcPr>
            <w:tcW w:w="1248" w:type="dxa"/>
            <w:tcBorders>
              <w:lef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5</w:t>
            </w:r>
          </w:p>
        </w:tc>
        <w:tc>
          <w:tcPr>
            <w:tcW w:w="1978" w:type="dxa"/>
            <w:tcBorders>
              <w:lef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20</w:t>
            </w:r>
          </w:p>
        </w:tc>
        <w:tc>
          <w:tcPr>
            <w:tcW w:w="1579" w:type="dxa"/>
            <w:tcBorders>
              <w:left w:val="single" w:sz="4" w:space="0" w:color="auto"/>
              <w:righ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3</w:t>
            </w:r>
          </w:p>
        </w:tc>
      </w:tr>
      <w:tr w:rsidR="00BC1BB8" w:rsidRPr="00BC1BB8" w:rsidTr="004B0B65">
        <w:trPr>
          <w:trHeight w:hRule="exact" w:val="259"/>
          <w:jc w:val="center"/>
        </w:trPr>
        <w:tc>
          <w:tcPr>
            <w:tcW w:w="2674" w:type="dxa"/>
            <w:tcBorders>
              <w:left w:val="single" w:sz="4" w:space="0" w:color="auto"/>
            </w:tcBorders>
            <w:shd w:val="clear" w:color="auto" w:fill="auto"/>
          </w:tcPr>
          <w:p w:rsidR="00BC1BB8" w:rsidRPr="00BC1BB8" w:rsidRDefault="00BC1BB8" w:rsidP="00DE1F06">
            <w:pPr>
              <w:rPr>
                <w:rFonts w:ascii="Arial" w:eastAsia="Times New Roman" w:hAnsi="Arial" w:cs="Arial"/>
                <w:sz w:val="19"/>
                <w:szCs w:val="19"/>
              </w:rPr>
            </w:pPr>
            <w:r w:rsidRPr="00BC1BB8">
              <w:rPr>
                <w:rFonts w:ascii="Arial" w:eastAsia="Times New Roman" w:hAnsi="Arial" w:cs="Arial"/>
                <w:sz w:val="19"/>
                <w:szCs w:val="19"/>
              </w:rPr>
              <w:t>Дивертикул Меккеля</w:t>
            </w:r>
          </w:p>
        </w:tc>
        <w:tc>
          <w:tcPr>
            <w:tcW w:w="1248" w:type="dxa"/>
            <w:tcBorders>
              <w:lef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1</w:t>
            </w:r>
          </w:p>
        </w:tc>
        <w:tc>
          <w:tcPr>
            <w:tcW w:w="1978" w:type="dxa"/>
            <w:tcBorders>
              <w:lef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19</w:t>
            </w:r>
          </w:p>
        </w:tc>
        <w:tc>
          <w:tcPr>
            <w:tcW w:w="1579" w:type="dxa"/>
            <w:tcBorders>
              <w:left w:val="single" w:sz="4" w:space="0" w:color="auto"/>
              <w:righ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2</w:t>
            </w:r>
          </w:p>
        </w:tc>
      </w:tr>
      <w:tr w:rsidR="00BC1BB8" w:rsidRPr="00BC1BB8" w:rsidTr="004B0B65">
        <w:trPr>
          <w:trHeight w:hRule="exact" w:val="254"/>
          <w:jc w:val="center"/>
        </w:trPr>
        <w:tc>
          <w:tcPr>
            <w:tcW w:w="2674" w:type="dxa"/>
            <w:tcBorders>
              <w:left w:val="single" w:sz="4" w:space="0" w:color="auto"/>
            </w:tcBorders>
            <w:shd w:val="clear" w:color="auto" w:fill="auto"/>
          </w:tcPr>
          <w:p w:rsidR="00BC1BB8" w:rsidRPr="00BC1BB8" w:rsidRDefault="00BC1BB8" w:rsidP="00DE1F06">
            <w:pPr>
              <w:rPr>
                <w:rFonts w:ascii="Arial" w:eastAsia="Times New Roman" w:hAnsi="Arial" w:cs="Arial"/>
                <w:sz w:val="19"/>
                <w:szCs w:val="19"/>
              </w:rPr>
            </w:pPr>
            <w:r w:rsidRPr="00BC1BB8">
              <w:rPr>
                <w:rFonts w:ascii="Arial" w:eastAsia="Times New Roman" w:hAnsi="Arial" w:cs="Arial"/>
                <w:sz w:val="19"/>
                <w:szCs w:val="19"/>
              </w:rPr>
              <w:t>Червеобразный отросток</w:t>
            </w:r>
          </w:p>
        </w:tc>
        <w:tc>
          <w:tcPr>
            <w:tcW w:w="1248" w:type="dxa"/>
            <w:tcBorders>
              <w:lef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45</w:t>
            </w:r>
          </w:p>
        </w:tc>
        <w:tc>
          <w:tcPr>
            <w:tcW w:w="1978" w:type="dxa"/>
            <w:tcBorders>
              <w:lef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2</w:t>
            </w:r>
          </w:p>
        </w:tc>
        <w:tc>
          <w:tcPr>
            <w:tcW w:w="1579" w:type="dxa"/>
            <w:tcBorders>
              <w:left w:val="single" w:sz="4" w:space="0" w:color="auto"/>
              <w:righ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4</w:t>
            </w:r>
          </w:p>
        </w:tc>
      </w:tr>
      <w:tr w:rsidR="00BC1BB8" w:rsidRPr="00BC1BB8" w:rsidTr="004B0B65">
        <w:trPr>
          <w:trHeight w:hRule="exact" w:val="245"/>
          <w:jc w:val="center"/>
        </w:trPr>
        <w:tc>
          <w:tcPr>
            <w:tcW w:w="2674" w:type="dxa"/>
            <w:tcBorders>
              <w:left w:val="single" w:sz="4" w:space="0" w:color="auto"/>
            </w:tcBorders>
            <w:shd w:val="clear" w:color="auto" w:fill="auto"/>
          </w:tcPr>
          <w:p w:rsidR="00BC1BB8" w:rsidRPr="00BC1BB8" w:rsidRDefault="00BC1BB8" w:rsidP="00DE1F06">
            <w:pPr>
              <w:rPr>
                <w:rFonts w:ascii="Arial" w:eastAsia="Times New Roman" w:hAnsi="Arial" w:cs="Arial"/>
                <w:sz w:val="19"/>
                <w:szCs w:val="19"/>
              </w:rPr>
            </w:pPr>
            <w:r w:rsidRPr="00BC1BB8">
              <w:rPr>
                <w:rFonts w:ascii="Arial" w:eastAsia="Times New Roman" w:hAnsi="Arial" w:cs="Arial"/>
                <w:sz w:val="19"/>
                <w:szCs w:val="19"/>
              </w:rPr>
              <w:t>Тонкая кишка</w:t>
            </w:r>
          </w:p>
        </w:tc>
        <w:tc>
          <w:tcPr>
            <w:tcW w:w="1248" w:type="dxa"/>
            <w:tcBorders>
              <w:lef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28</w:t>
            </w:r>
          </w:p>
        </w:tc>
        <w:tc>
          <w:tcPr>
            <w:tcW w:w="1978" w:type="dxa"/>
            <w:tcBorders>
              <w:lef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2</w:t>
            </w:r>
          </w:p>
        </w:tc>
        <w:tc>
          <w:tcPr>
            <w:tcW w:w="1579" w:type="dxa"/>
            <w:tcBorders>
              <w:left w:val="single" w:sz="4" w:space="0" w:color="auto"/>
              <w:righ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4</w:t>
            </w:r>
          </w:p>
        </w:tc>
      </w:tr>
      <w:tr w:rsidR="00BC1BB8" w:rsidRPr="00BC1BB8" w:rsidTr="004B0B65">
        <w:trPr>
          <w:trHeight w:hRule="exact" w:val="264"/>
          <w:jc w:val="center"/>
        </w:trPr>
        <w:tc>
          <w:tcPr>
            <w:tcW w:w="2674" w:type="dxa"/>
            <w:tcBorders>
              <w:left w:val="single" w:sz="4" w:space="0" w:color="auto"/>
            </w:tcBorders>
            <w:shd w:val="clear" w:color="auto" w:fill="auto"/>
          </w:tcPr>
          <w:p w:rsidR="00BC1BB8" w:rsidRPr="00BC1BB8" w:rsidRDefault="00BC1BB8" w:rsidP="00DE1F06">
            <w:pPr>
              <w:rPr>
                <w:rFonts w:ascii="Arial" w:eastAsia="Times New Roman" w:hAnsi="Arial" w:cs="Arial"/>
                <w:sz w:val="19"/>
                <w:szCs w:val="19"/>
              </w:rPr>
            </w:pPr>
            <w:r w:rsidRPr="00BC1BB8">
              <w:rPr>
                <w:rFonts w:ascii="Arial" w:eastAsia="Times New Roman" w:hAnsi="Arial" w:cs="Arial"/>
                <w:sz w:val="19"/>
                <w:szCs w:val="19"/>
              </w:rPr>
              <w:t>Толстая кишка</w:t>
            </w:r>
          </w:p>
        </w:tc>
        <w:tc>
          <w:tcPr>
            <w:tcW w:w="1248" w:type="dxa"/>
            <w:tcBorders>
              <w:lef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2</w:t>
            </w:r>
          </w:p>
        </w:tc>
        <w:tc>
          <w:tcPr>
            <w:tcW w:w="1978" w:type="dxa"/>
            <w:tcBorders>
              <w:lef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60</w:t>
            </w:r>
          </w:p>
        </w:tc>
        <w:tc>
          <w:tcPr>
            <w:tcW w:w="1579" w:type="dxa"/>
            <w:tcBorders>
              <w:left w:val="single" w:sz="4" w:space="0" w:color="auto"/>
              <w:righ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4</w:t>
            </w:r>
          </w:p>
        </w:tc>
      </w:tr>
      <w:tr w:rsidR="00BC1BB8" w:rsidRPr="00BC1BB8" w:rsidTr="004B0B65">
        <w:trPr>
          <w:trHeight w:hRule="exact" w:val="269"/>
          <w:jc w:val="center"/>
        </w:trPr>
        <w:tc>
          <w:tcPr>
            <w:tcW w:w="2674" w:type="dxa"/>
            <w:tcBorders>
              <w:left w:val="single" w:sz="4" w:space="0" w:color="auto"/>
            </w:tcBorders>
            <w:shd w:val="clear" w:color="auto" w:fill="auto"/>
          </w:tcPr>
          <w:p w:rsidR="00BC1BB8" w:rsidRPr="00BC1BB8" w:rsidRDefault="00BC1BB8" w:rsidP="00DE1F06">
            <w:pPr>
              <w:rPr>
                <w:rFonts w:ascii="Arial" w:eastAsia="Times New Roman" w:hAnsi="Arial" w:cs="Arial"/>
                <w:sz w:val="19"/>
                <w:szCs w:val="19"/>
              </w:rPr>
            </w:pPr>
            <w:r w:rsidRPr="00BC1BB8">
              <w:rPr>
                <w:rFonts w:ascii="Arial" w:eastAsia="Times New Roman" w:hAnsi="Arial" w:cs="Arial"/>
                <w:sz w:val="19"/>
                <w:szCs w:val="19"/>
              </w:rPr>
              <w:t>Прямая кишка</w:t>
            </w:r>
          </w:p>
        </w:tc>
        <w:tc>
          <w:tcPr>
            <w:tcW w:w="1248" w:type="dxa"/>
            <w:tcBorders>
              <w:lef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16</w:t>
            </w:r>
          </w:p>
        </w:tc>
        <w:tc>
          <w:tcPr>
            <w:tcW w:w="1978" w:type="dxa"/>
            <w:tcBorders>
              <w:lef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18</w:t>
            </w:r>
          </w:p>
        </w:tc>
        <w:tc>
          <w:tcPr>
            <w:tcW w:w="1579" w:type="dxa"/>
            <w:tcBorders>
              <w:left w:val="single" w:sz="4" w:space="0" w:color="auto"/>
              <w:righ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1</w:t>
            </w:r>
          </w:p>
        </w:tc>
      </w:tr>
      <w:tr w:rsidR="00BC1BB8" w:rsidRPr="00BC1BB8" w:rsidTr="004B0B65">
        <w:trPr>
          <w:trHeight w:hRule="exact" w:val="245"/>
          <w:jc w:val="center"/>
        </w:trPr>
        <w:tc>
          <w:tcPr>
            <w:tcW w:w="2674" w:type="dxa"/>
            <w:tcBorders>
              <w:left w:val="single" w:sz="4" w:space="0" w:color="auto"/>
            </w:tcBorders>
            <w:shd w:val="clear" w:color="auto" w:fill="auto"/>
          </w:tcPr>
          <w:p w:rsidR="00BC1BB8" w:rsidRPr="00BC1BB8" w:rsidRDefault="00BC1BB8" w:rsidP="00DE1F06">
            <w:pPr>
              <w:rPr>
                <w:rFonts w:ascii="Arial" w:eastAsia="Times New Roman" w:hAnsi="Arial" w:cs="Arial"/>
                <w:sz w:val="19"/>
                <w:szCs w:val="19"/>
              </w:rPr>
            </w:pPr>
            <w:r w:rsidRPr="00BC1BB8">
              <w:rPr>
                <w:rFonts w:ascii="Arial" w:eastAsia="Times New Roman" w:hAnsi="Arial" w:cs="Arial"/>
                <w:sz w:val="19"/>
                <w:szCs w:val="19"/>
              </w:rPr>
              <w:t>Яичники</w:t>
            </w:r>
          </w:p>
        </w:tc>
        <w:tc>
          <w:tcPr>
            <w:tcW w:w="1248" w:type="dxa"/>
            <w:tcBorders>
              <w:lef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1</w:t>
            </w:r>
          </w:p>
        </w:tc>
        <w:tc>
          <w:tcPr>
            <w:tcW w:w="1978" w:type="dxa"/>
            <w:tcBorders>
              <w:lef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6</w:t>
            </w:r>
          </w:p>
        </w:tc>
        <w:tc>
          <w:tcPr>
            <w:tcW w:w="1579" w:type="dxa"/>
            <w:tcBorders>
              <w:left w:val="single" w:sz="4" w:space="0" w:color="auto"/>
              <w:right w:val="single" w:sz="4" w:space="0" w:color="auto"/>
            </w:tcBorders>
            <w:shd w:val="clear" w:color="auto" w:fill="auto"/>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12</w:t>
            </w:r>
          </w:p>
        </w:tc>
      </w:tr>
      <w:tr w:rsidR="00BC1BB8" w:rsidRPr="00BC1BB8" w:rsidTr="004B0B65">
        <w:trPr>
          <w:trHeight w:hRule="exact" w:val="264"/>
          <w:jc w:val="center"/>
        </w:trPr>
        <w:tc>
          <w:tcPr>
            <w:tcW w:w="2674" w:type="dxa"/>
            <w:tcBorders>
              <w:left w:val="single" w:sz="4" w:space="0" w:color="auto"/>
            </w:tcBorders>
            <w:shd w:val="clear" w:color="auto" w:fill="auto"/>
            <w:vAlign w:val="bottom"/>
          </w:tcPr>
          <w:p w:rsidR="00BC1BB8" w:rsidRPr="00BC1BB8" w:rsidRDefault="00BC1BB8" w:rsidP="00DE1F06">
            <w:pPr>
              <w:rPr>
                <w:rFonts w:ascii="Arial" w:eastAsia="Times New Roman" w:hAnsi="Arial" w:cs="Arial"/>
                <w:sz w:val="19"/>
                <w:szCs w:val="19"/>
              </w:rPr>
            </w:pPr>
            <w:r w:rsidRPr="00BC1BB8">
              <w:rPr>
                <w:rFonts w:ascii="Arial" w:eastAsia="Times New Roman" w:hAnsi="Arial" w:cs="Arial"/>
                <w:sz w:val="19"/>
                <w:szCs w:val="19"/>
              </w:rPr>
              <w:t>Желчные пути</w:t>
            </w:r>
          </w:p>
        </w:tc>
        <w:tc>
          <w:tcPr>
            <w:tcW w:w="1248" w:type="dxa"/>
            <w:tcBorders>
              <w:left w:val="single" w:sz="4" w:space="0" w:color="auto"/>
            </w:tcBorders>
            <w:shd w:val="clear" w:color="auto" w:fill="auto"/>
            <w:vAlign w:val="bottom"/>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0,3</w:t>
            </w:r>
          </w:p>
        </w:tc>
        <w:tc>
          <w:tcPr>
            <w:tcW w:w="1978" w:type="dxa"/>
            <w:tcBorders>
              <w:left w:val="single" w:sz="4" w:space="0" w:color="auto"/>
            </w:tcBorders>
            <w:shd w:val="clear" w:color="auto" w:fill="auto"/>
            <w:vAlign w:val="bottom"/>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30</w:t>
            </w:r>
          </w:p>
        </w:tc>
        <w:tc>
          <w:tcPr>
            <w:tcW w:w="1579" w:type="dxa"/>
            <w:tcBorders>
              <w:left w:val="single" w:sz="4" w:space="0" w:color="auto"/>
              <w:right w:val="single" w:sz="4" w:space="0" w:color="auto"/>
            </w:tcBorders>
            <w:shd w:val="clear" w:color="auto" w:fill="auto"/>
            <w:vAlign w:val="bottom"/>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0</w:t>
            </w:r>
          </w:p>
        </w:tc>
      </w:tr>
      <w:tr w:rsidR="00BC1BB8" w:rsidRPr="00BC1BB8" w:rsidTr="004B0B65">
        <w:trPr>
          <w:trHeight w:hRule="exact" w:val="360"/>
          <w:jc w:val="center"/>
        </w:trPr>
        <w:tc>
          <w:tcPr>
            <w:tcW w:w="2674" w:type="dxa"/>
            <w:tcBorders>
              <w:left w:val="single" w:sz="4" w:space="0" w:color="auto"/>
              <w:bottom w:val="single" w:sz="4" w:space="0" w:color="auto"/>
            </w:tcBorders>
            <w:shd w:val="clear" w:color="auto" w:fill="auto"/>
            <w:vAlign w:val="center"/>
          </w:tcPr>
          <w:p w:rsidR="00BC1BB8" w:rsidRPr="00BC1BB8" w:rsidRDefault="00BC1BB8" w:rsidP="00DE1F06">
            <w:pPr>
              <w:rPr>
                <w:rFonts w:ascii="Arial" w:eastAsia="Times New Roman" w:hAnsi="Arial" w:cs="Arial"/>
                <w:sz w:val="19"/>
                <w:szCs w:val="19"/>
              </w:rPr>
            </w:pPr>
            <w:r w:rsidRPr="00BC1BB8">
              <w:rPr>
                <w:rFonts w:ascii="Arial" w:eastAsia="Times New Roman" w:hAnsi="Arial" w:cs="Arial"/>
                <w:sz w:val="19"/>
                <w:szCs w:val="19"/>
              </w:rPr>
              <w:t>Поджелудочная железа</w:t>
            </w:r>
          </w:p>
        </w:tc>
        <w:tc>
          <w:tcPr>
            <w:tcW w:w="1248" w:type="dxa"/>
            <w:tcBorders>
              <w:left w:val="single" w:sz="4" w:space="0" w:color="auto"/>
              <w:bottom w:val="single" w:sz="4" w:space="0" w:color="auto"/>
            </w:tcBorders>
            <w:shd w:val="clear" w:color="auto" w:fill="auto"/>
            <w:vAlign w:val="center"/>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0,005</w:t>
            </w:r>
          </w:p>
        </w:tc>
        <w:tc>
          <w:tcPr>
            <w:tcW w:w="1978" w:type="dxa"/>
            <w:tcBorders>
              <w:left w:val="single" w:sz="4" w:space="0" w:color="auto"/>
              <w:bottom w:val="single" w:sz="4" w:space="0" w:color="auto"/>
            </w:tcBorders>
            <w:shd w:val="clear" w:color="auto" w:fill="auto"/>
            <w:vAlign w:val="center"/>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w:t>
            </w:r>
          </w:p>
        </w:tc>
        <w:tc>
          <w:tcPr>
            <w:tcW w:w="1579" w:type="dxa"/>
            <w:tcBorders>
              <w:left w:val="single" w:sz="4" w:space="0" w:color="auto"/>
              <w:bottom w:val="single" w:sz="4" w:space="0" w:color="auto"/>
              <w:right w:val="single" w:sz="4" w:space="0" w:color="auto"/>
            </w:tcBorders>
            <w:shd w:val="clear" w:color="auto" w:fill="auto"/>
            <w:vAlign w:val="center"/>
          </w:tcPr>
          <w:p w:rsidR="00BC1BB8" w:rsidRPr="00BC1BB8" w:rsidRDefault="00BC1BB8" w:rsidP="00DE1F06">
            <w:pPr>
              <w:jc w:val="center"/>
              <w:rPr>
                <w:rFonts w:ascii="Arial" w:eastAsia="Times New Roman" w:hAnsi="Arial" w:cs="Arial"/>
                <w:sz w:val="19"/>
                <w:szCs w:val="19"/>
              </w:rPr>
            </w:pPr>
            <w:r w:rsidRPr="00BC1BB8">
              <w:rPr>
                <w:rFonts w:ascii="Arial" w:eastAsia="Times New Roman" w:hAnsi="Arial" w:cs="Arial"/>
                <w:sz w:val="19"/>
                <w:szCs w:val="19"/>
              </w:rPr>
              <w:t>1</w:t>
            </w:r>
          </w:p>
        </w:tc>
      </w:tr>
    </w:tbl>
    <w:p w:rsidR="008A3CFF" w:rsidRPr="004B0B65" w:rsidRDefault="008A3CFF" w:rsidP="00DE1F06">
      <w:pPr>
        <w:rPr>
          <w:rFonts w:ascii="Arial" w:hAnsi="Arial" w:cs="Arial"/>
        </w:rPr>
      </w:pPr>
    </w:p>
    <w:p w:rsidR="00BC1BB8" w:rsidRPr="004B0B65" w:rsidRDefault="00BC1BB8" w:rsidP="00DE1F06">
      <w:pPr>
        <w:ind w:firstLine="420"/>
        <w:jc w:val="both"/>
        <w:rPr>
          <w:rFonts w:ascii="Arial" w:eastAsia="Times New Roman" w:hAnsi="Arial" w:cs="Arial"/>
          <w:sz w:val="22"/>
          <w:szCs w:val="22"/>
        </w:rPr>
      </w:pPr>
      <w:r w:rsidRPr="004B0B65">
        <w:rPr>
          <w:rFonts w:ascii="Arial" w:hAnsi="Arial" w:cs="Arial"/>
          <w:noProof/>
          <w:lang w:bidi="ar-SA"/>
        </w:rPr>
        <w:lastRenderedPageBreak/>
        <w:drawing>
          <wp:anchor distT="152400" distB="606425" distL="152400" distR="152400" simplePos="0" relativeHeight="251672576" behindDoc="0" locked="0" layoutInCell="1" allowOverlap="1" wp14:anchorId="7890A6BC" wp14:editId="6059606C">
            <wp:simplePos x="0" y="0"/>
            <wp:positionH relativeFrom="page">
              <wp:posOffset>4064000</wp:posOffset>
            </wp:positionH>
            <wp:positionV relativeFrom="margin">
              <wp:posOffset>3267710</wp:posOffset>
            </wp:positionV>
            <wp:extent cx="2540000" cy="2584450"/>
            <wp:effectExtent l="0" t="0" r="0" b="6350"/>
            <wp:wrapSquare wrapText="bothSides"/>
            <wp:docPr id="1264" name="Shape 1264"/>
            <wp:cNvGraphicFramePr/>
            <a:graphic xmlns:a="http://schemas.openxmlformats.org/drawingml/2006/main">
              <a:graphicData uri="http://schemas.openxmlformats.org/drawingml/2006/picture">
                <pic:pic xmlns:pic="http://schemas.openxmlformats.org/drawingml/2006/picture">
                  <pic:nvPicPr>
                    <pic:cNvPr id="1265" name="Picture box 1265"/>
                    <pic:cNvPicPr/>
                  </pic:nvPicPr>
                  <pic:blipFill>
                    <a:blip r:embed="rId18"/>
                    <a:stretch/>
                  </pic:blipFill>
                  <pic:spPr>
                    <a:xfrm>
                      <a:off x="0" y="0"/>
                      <a:ext cx="2540000" cy="2584450"/>
                    </a:xfrm>
                    <a:prstGeom prst="rect">
                      <a:avLst/>
                    </a:prstGeom>
                  </pic:spPr>
                </pic:pic>
              </a:graphicData>
            </a:graphic>
            <wp14:sizeRelH relativeFrom="margin">
              <wp14:pctWidth>0</wp14:pctWidth>
            </wp14:sizeRelH>
          </wp:anchor>
        </w:drawing>
      </w:r>
      <w:r w:rsidRPr="00BC1BB8">
        <w:rPr>
          <w:rFonts w:ascii="Arial" w:eastAsia="Times New Roman" w:hAnsi="Arial" w:cs="Arial"/>
          <w:sz w:val="22"/>
          <w:szCs w:val="22"/>
        </w:rPr>
        <w:t>При карциноиде желудка приливы представляют собой ярко-красные пятна на лице и верхней половины туловища с четкой границей. Эти изме</w:t>
      </w:r>
      <w:r w:rsidRPr="00BC1BB8">
        <w:rPr>
          <w:rFonts w:ascii="Arial" w:eastAsia="Times New Roman" w:hAnsi="Arial" w:cs="Arial"/>
          <w:sz w:val="22"/>
          <w:szCs w:val="22"/>
        </w:rPr>
        <w:softHyphen/>
        <w:t>нения обусловлены избыточной секрецией гистамина, с которой, кроме того, связаны выраженная желудочная гиперсекреция и часто наблюдаемые пептические язвы. В связи с описанными биохимическими особенностями опухоли, помимо гипергастринемии, определяется высокий уровень 5-гид- рокситриптофана. Диарея и изменения деятельности сердца наблюдаются реже.</w:t>
      </w:r>
      <w:r w:rsidRPr="004B0B65">
        <w:rPr>
          <w:rFonts w:ascii="Arial" w:eastAsia="Times New Roman" w:hAnsi="Arial" w:cs="Arial"/>
          <w:sz w:val="22"/>
          <w:szCs w:val="22"/>
        </w:rPr>
        <w:t xml:space="preserve"> </w:t>
      </w:r>
    </w:p>
    <w:p w:rsidR="00BC1BB8" w:rsidRPr="004B0B65" w:rsidRDefault="00020E24" w:rsidP="00DE1F06">
      <w:pPr>
        <w:ind w:firstLine="420"/>
        <w:jc w:val="both"/>
        <w:rPr>
          <w:rFonts w:ascii="Arial" w:eastAsia="Times New Roman" w:hAnsi="Arial" w:cs="Arial"/>
          <w:sz w:val="22"/>
          <w:szCs w:val="22"/>
        </w:rPr>
      </w:pPr>
      <w:r w:rsidRPr="004B0B65">
        <w:rPr>
          <w:rFonts w:ascii="Arial" w:hAnsi="Arial" w:cs="Arial"/>
          <w:noProof/>
          <w:lang w:bidi="ar-SA"/>
        </w:rPr>
        <mc:AlternateContent>
          <mc:Choice Requires="wps">
            <w:drawing>
              <wp:anchor distT="0" distB="0" distL="0" distR="0" simplePos="0" relativeHeight="251674624" behindDoc="0" locked="0" layoutInCell="1" allowOverlap="1" wp14:anchorId="7B1E259F" wp14:editId="4E962E09">
                <wp:simplePos x="0" y="0"/>
                <wp:positionH relativeFrom="page">
                  <wp:posOffset>4190365</wp:posOffset>
                </wp:positionH>
                <wp:positionV relativeFrom="margin">
                  <wp:posOffset>5984240</wp:posOffset>
                </wp:positionV>
                <wp:extent cx="2310130" cy="377825"/>
                <wp:effectExtent l="0" t="0" r="0" b="0"/>
                <wp:wrapNone/>
                <wp:docPr id="1266" name="Shape 1266"/>
                <wp:cNvGraphicFramePr/>
                <a:graphic xmlns:a="http://schemas.openxmlformats.org/drawingml/2006/main">
                  <a:graphicData uri="http://schemas.microsoft.com/office/word/2010/wordprocessingShape">
                    <wps:wsp>
                      <wps:cNvSpPr txBox="1"/>
                      <wps:spPr>
                        <a:xfrm>
                          <a:off x="0" y="0"/>
                          <a:ext cx="2310130" cy="377825"/>
                        </a:xfrm>
                        <a:prstGeom prst="rect">
                          <a:avLst/>
                        </a:prstGeom>
                        <a:noFill/>
                      </wps:spPr>
                      <wps:txbx>
                        <w:txbxContent>
                          <w:p w:rsidR="001B23C7" w:rsidRDefault="001B23C7" w:rsidP="00BC1BB8">
                            <w:pPr>
                              <w:pStyle w:val="a5"/>
                              <w:spacing w:line="194" w:lineRule="auto"/>
                              <w:jc w:val="both"/>
                            </w:pPr>
                            <w:r>
                              <w:rPr>
                                <w:b/>
                                <w:bCs/>
                              </w:rPr>
                              <w:t xml:space="preserve">Рис. 13.5. </w:t>
                            </w:r>
                            <w:r>
                              <w:t>Изменение цвета лица боль</w:t>
                            </w:r>
                            <w:r>
                              <w:softHyphen/>
                              <w:t>ного во время приливов при карцино</w:t>
                            </w:r>
                            <w:r>
                              <w:softHyphen/>
                              <w:t>идном синдроме.</w:t>
                            </w:r>
                          </w:p>
                        </w:txbxContent>
                      </wps:txbx>
                      <wps:bodyPr lIns="0" tIns="0" rIns="0" bIns="0"/>
                    </wps:wsp>
                  </a:graphicData>
                </a:graphic>
              </wp:anchor>
            </w:drawing>
          </mc:Choice>
          <mc:Fallback>
            <w:pict>
              <v:shape w14:anchorId="7B1E259F" id="Shape 1266" o:spid="_x0000_s1031" type="#_x0000_t202" style="position:absolute;left:0;text-align:left;margin-left:329.95pt;margin-top:471.2pt;width:181.9pt;height:29.75pt;z-index:251674624;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JAjhgEAAAkDAAAOAAAAZHJzL2Uyb0RvYy54bWysUlFrwjAQfh/sP4S8z9bKVIpVGOIYjG3g&#10;9gNimthAkwtJZuu/3yVaHdvb2Et6+e763X3fZbHqdUsOwnkFpqLjUU6JMBxqZfYV/Xjf3M0p8YGZ&#10;mrVgREWPwtPV8vZm0dlSFNBAWwtHkMT4srMVbUKwZZZ53gjN/AisMJiU4DQLeHX7rHasQ3bdZkWe&#10;T7MOXG0dcOE9outTki4Tv5SCh1cpvQikrSjOFtLp0rmLZ7ZcsHLvmG0UP4/B/jCFZspg0wvVmgVG&#10;Pp36RaUVd+BBhhEHnYGUioukAdWM8x9qtg2zImlBc7y92OT/j5a/HN4cUTXurphOKTFM45ZSY5IQ&#10;NKizvsS6rcXK0D9Aj8XRuIh7BKPuXjodv6iIYB6tPl7sFX0gHMFiMs7HE0xxzE1ms3lxH2my69/W&#10;+fAoQJMYVNTh+pKr7PDsw6l0KInNDGxU20b8OkqMQr/rk6bEH5Ed1Eecvn0y6F18B0PghmB3DgY2&#10;9DuNdn4bcaHf76nn9QUvvwAAAP//AwBQSwMEFAAGAAgAAAAhAIjD8MbhAAAADQEAAA8AAABkcnMv&#10;ZG93bnJldi54bWxMj7FOwzAQhnck3sE6JDZqN5RQp3GqCsGEhJqGgdGJ3cRqfA6x24a3x5lgu9N9&#10;+u/78+1ke3LRozcOBSwXDIjGximDrYDP6u1hDcQHiUr2DrWAH+1hW9ze5DJT7oqlvhxCS2II+kwK&#10;6EIYMkp902kr/cINGuPt6EYrQ1zHlqpRXmO47WnCWEqtNBg/dHLQL51uToezFbD7wvLVfH/U+/JY&#10;mqriDN/TkxD3d9NuAyToKfzBMOtHdSiiU+3OqDzpBaRPnEdUAF8lKyAzwZLHZyD1PLElB1rk9H+L&#10;4hcAAP//AwBQSwECLQAUAAYACAAAACEAtoM4kv4AAADhAQAAEwAAAAAAAAAAAAAAAAAAAAAAW0Nv&#10;bnRlbnRfVHlwZXNdLnhtbFBLAQItABQABgAIAAAAIQA4/SH/1gAAAJQBAAALAAAAAAAAAAAAAAAA&#10;AC8BAABfcmVscy8ucmVsc1BLAQItABQABgAIAAAAIQBe7JAjhgEAAAkDAAAOAAAAAAAAAAAAAAAA&#10;AC4CAABkcnMvZTJvRG9jLnhtbFBLAQItABQABgAIAAAAIQCIw/DG4QAAAA0BAAAPAAAAAAAAAAAA&#10;AAAAAOADAABkcnMvZG93bnJldi54bWxQSwUGAAAAAAQABADzAAAA7gQAAAAA&#10;" filled="f" stroked="f">
                <v:textbox inset="0,0,0,0">
                  <w:txbxContent>
                    <w:p w:rsidR="001B23C7" w:rsidRDefault="001B23C7" w:rsidP="00BC1BB8">
                      <w:pPr>
                        <w:pStyle w:val="a5"/>
                        <w:spacing w:line="194" w:lineRule="auto"/>
                        <w:jc w:val="both"/>
                      </w:pPr>
                      <w:r>
                        <w:rPr>
                          <w:b/>
                          <w:bCs/>
                        </w:rPr>
                        <w:t xml:space="preserve">Рис. 13.5. </w:t>
                      </w:r>
                      <w:r>
                        <w:t>Изменение цвета лица боль</w:t>
                      </w:r>
                      <w:r>
                        <w:softHyphen/>
                        <w:t>ного во время приливов при карцино</w:t>
                      </w:r>
                      <w:r>
                        <w:softHyphen/>
                        <w:t>идном синдроме.</w:t>
                      </w:r>
                    </w:p>
                  </w:txbxContent>
                </v:textbox>
                <w10:wrap anchorx="page" anchory="margin"/>
              </v:shape>
            </w:pict>
          </mc:Fallback>
        </mc:AlternateContent>
      </w:r>
      <w:r w:rsidR="00BC1BB8" w:rsidRPr="00BC1BB8">
        <w:rPr>
          <w:rFonts w:ascii="Arial" w:eastAsia="Times New Roman" w:hAnsi="Arial" w:cs="Arial"/>
          <w:sz w:val="22"/>
          <w:szCs w:val="22"/>
        </w:rPr>
        <w:t>Бронхиальный карциноид характеризуется особенно драматическим клиническим течением. Во время эпизода прилива кожа на длительный срок приобретает ливидно-красный (синюшно-бледный, свинцово-синий) цвет. Прилив может продолжаться 3—4 дня, сопровождаясь при этом нару</w:t>
      </w:r>
      <w:r w:rsidR="00BC1BB8" w:rsidRPr="00BC1BB8">
        <w:rPr>
          <w:rFonts w:ascii="Arial" w:eastAsia="Times New Roman" w:hAnsi="Arial" w:cs="Arial"/>
          <w:sz w:val="22"/>
          <w:szCs w:val="22"/>
        </w:rPr>
        <w:softHyphen/>
        <w:t>шением сознания, дрожью рук, чувством страха, подъемом температуры, отеком лица, слюно- и слезотечением, выделениями из носа. Рвота и диа</w:t>
      </w:r>
      <w:r w:rsidR="00BC1BB8" w:rsidRPr="00BC1BB8">
        <w:rPr>
          <w:rFonts w:ascii="Arial" w:eastAsia="Times New Roman" w:hAnsi="Arial" w:cs="Arial"/>
          <w:sz w:val="22"/>
          <w:szCs w:val="22"/>
        </w:rPr>
        <w:softHyphen/>
        <w:t>рея во время прилива часто отсутствуют, однако наблюдаются тяжелые ги</w:t>
      </w:r>
      <w:r w:rsidR="00BC1BB8" w:rsidRPr="00BC1BB8">
        <w:rPr>
          <w:rFonts w:ascii="Arial" w:eastAsia="Times New Roman" w:hAnsi="Arial" w:cs="Arial"/>
          <w:sz w:val="22"/>
          <w:szCs w:val="22"/>
        </w:rPr>
        <w:softHyphen/>
        <w:t>потонические состояния, олигурия, недостаточность левого желудочка сердца. Описаны сочетания бронхиального карциноида с синдромом Ку</w:t>
      </w:r>
      <w:r w:rsidR="00BC1BB8" w:rsidRPr="00BC1BB8">
        <w:rPr>
          <w:rFonts w:ascii="Arial" w:eastAsia="Times New Roman" w:hAnsi="Arial" w:cs="Arial"/>
          <w:sz w:val="22"/>
          <w:szCs w:val="22"/>
        </w:rPr>
        <w:softHyphen/>
        <w:t>шинга, а также его развитие при синдроме МЭН. Кроме гиперпродукции серотонина, при бронхиальном карциноиде определяется высокий уровень 5-гидроксигриптофана. С симптоматикой типичного карциноидного син</w:t>
      </w:r>
      <w:r w:rsidR="00BC1BB8" w:rsidRPr="00BC1BB8">
        <w:rPr>
          <w:rFonts w:ascii="Arial" w:eastAsia="Times New Roman" w:hAnsi="Arial" w:cs="Arial"/>
          <w:sz w:val="22"/>
          <w:szCs w:val="22"/>
        </w:rPr>
        <w:softHyphen/>
        <w:t>дрома могут протекать медуллярный рак щитовидной железы, тератома яичника.</w:t>
      </w:r>
    </w:p>
    <w:p w:rsidR="00020E24" w:rsidRPr="00020E24" w:rsidRDefault="00020E24" w:rsidP="00DE1F06">
      <w:pPr>
        <w:ind w:firstLine="420"/>
        <w:jc w:val="both"/>
        <w:rPr>
          <w:rFonts w:ascii="Arial" w:eastAsia="Times New Roman" w:hAnsi="Arial" w:cs="Arial"/>
          <w:sz w:val="22"/>
          <w:szCs w:val="22"/>
        </w:rPr>
      </w:pPr>
      <w:r w:rsidRPr="00020E24">
        <w:rPr>
          <w:rFonts w:ascii="Arial" w:eastAsia="Times New Roman" w:hAnsi="Arial" w:cs="Arial"/>
          <w:sz w:val="22"/>
          <w:szCs w:val="22"/>
        </w:rPr>
        <w:t>Принципиальное отличие внекишечного карциноида от кишечных форм заключается в том, что продукты опухолевой секреции попадают не</w:t>
      </w:r>
      <w:r w:rsidRPr="00020E24">
        <w:rPr>
          <w:rFonts w:ascii="Arial" w:eastAsia="Times New Roman" w:hAnsi="Arial" w:cs="Arial"/>
          <w:sz w:val="22"/>
          <w:szCs w:val="22"/>
        </w:rPr>
        <w:softHyphen/>
        <w:t>посредственно в системный кровоток, а не в портальную систему. Таким образом, в этих случаях симптоматика карциноидного синдрома может раз</w:t>
      </w:r>
      <w:r w:rsidRPr="00020E24">
        <w:rPr>
          <w:rFonts w:ascii="Arial" w:eastAsia="Times New Roman" w:hAnsi="Arial" w:cs="Arial"/>
          <w:sz w:val="22"/>
          <w:szCs w:val="22"/>
        </w:rPr>
        <w:softHyphen/>
        <w:t>виваться еще в ранних стадиях опухолевого процесса, когда радикальная операция еще возможна.</w:t>
      </w:r>
    </w:p>
    <w:p w:rsidR="00020E24" w:rsidRPr="00020E24" w:rsidRDefault="00020E24" w:rsidP="00DE1F06">
      <w:pPr>
        <w:ind w:firstLine="420"/>
        <w:jc w:val="both"/>
        <w:rPr>
          <w:rFonts w:ascii="Arial" w:eastAsia="Times New Roman" w:hAnsi="Arial" w:cs="Arial"/>
          <w:sz w:val="22"/>
          <w:szCs w:val="22"/>
        </w:rPr>
      </w:pPr>
      <w:r w:rsidRPr="00020E24">
        <w:rPr>
          <w:rFonts w:ascii="Arial" w:eastAsia="Times New Roman" w:hAnsi="Arial" w:cs="Arial"/>
          <w:sz w:val="22"/>
          <w:szCs w:val="22"/>
        </w:rPr>
        <w:t>Течение карциноидных опухолей во многом зависит от локализации процесса. Относительно хороший прогноз при карциноиде червеобразного отростка связан с тем, что рост опухоли быстро приводит к развитию симп</w:t>
      </w:r>
      <w:r w:rsidRPr="00020E24">
        <w:rPr>
          <w:rFonts w:ascii="Arial" w:eastAsia="Times New Roman" w:hAnsi="Arial" w:cs="Arial"/>
          <w:sz w:val="22"/>
          <w:szCs w:val="22"/>
        </w:rPr>
        <w:softHyphen/>
        <w:t>томов острого аппендицита, по поводу которого пациента оперируют, а об</w:t>
      </w:r>
      <w:r w:rsidRPr="00020E24">
        <w:rPr>
          <w:rFonts w:ascii="Arial" w:eastAsia="Times New Roman" w:hAnsi="Arial" w:cs="Arial"/>
          <w:sz w:val="22"/>
          <w:szCs w:val="22"/>
        </w:rPr>
        <w:softHyphen/>
        <w:t>наружив при лапаротомии еще маленькую опухоль, расширяют объем опе</w:t>
      </w:r>
      <w:r w:rsidRPr="00020E24">
        <w:rPr>
          <w:rFonts w:ascii="Arial" w:eastAsia="Times New Roman" w:hAnsi="Arial" w:cs="Arial"/>
          <w:sz w:val="22"/>
          <w:szCs w:val="22"/>
        </w:rPr>
        <w:softHyphen/>
        <w:t>рации. Для абдоминальных карциноидных опухолей характерно постепен</w:t>
      </w:r>
      <w:r w:rsidRPr="00020E24">
        <w:rPr>
          <w:rFonts w:ascii="Arial" w:eastAsia="Times New Roman" w:hAnsi="Arial" w:cs="Arial"/>
          <w:sz w:val="22"/>
          <w:szCs w:val="22"/>
        </w:rPr>
        <w:softHyphen/>
        <w:t>ное прогрессирующее течение: вначале местный рост опухоли, затем мета</w:t>
      </w:r>
      <w:r w:rsidRPr="00020E24">
        <w:rPr>
          <w:rFonts w:ascii="Arial" w:eastAsia="Times New Roman" w:hAnsi="Arial" w:cs="Arial"/>
          <w:sz w:val="22"/>
          <w:szCs w:val="22"/>
        </w:rPr>
        <w:softHyphen/>
        <w:t>стазирование в регионарные лимфатические узлы и в печень. Карциноид</w:t>
      </w:r>
      <w:r w:rsidRPr="00020E24">
        <w:rPr>
          <w:rFonts w:ascii="Arial" w:eastAsia="Times New Roman" w:hAnsi="Arial" w:cs="Arial"/>
          <w:sz w:val="22"/>
          <w:szCs w:val="22"/>
        </w:rPr>
        <w:softHyphen/>
        <w:t>ные опухоли значительно менее агрессивны, чем аденокарциномы: так, не</w:t>
      </w:r>
      <w:r w:rsidRPr="00020E24">
        <w:rPr>
          <w:rFonts w:ascii="Arial" w:eastAsia="Times New Roman" w:hAnsi="Arial" w:cs="Arial"/>
          <w:sz w:val="22"/>
          <w:szCs w:val="22"/>
        </w:rPr>
        <w:softHyphen/>
        <w:t>редко при установленных печеночных метастазах даже без лечения продол</w:t>
      </w:r>
      <w:r w:rsidRPr="00020E24">
        <w:rPr>
          <w:rFonts w:ascii="Arial" w:eastAsia="Times New Roman" w:hAnsi="Arial" w:cs="Arial"/>
          <w:sz w:val="22"/>
          <w:szCs w:val="22"/>
        </w:rPr>
        <w:softHyphen/>
        <w:t>жительность жизни может составить до 5—10 лет. Бронхиальный карцино</w:t>
      </w:r>
      <w:r w:rsidRPr="00020E24">
        <w:rPr>
          <w:rFonts w:ascii="Arial" w:eastAsia="Times New Roman" w:hAnsi="Arial" w:cs="Arial"/>
          <w:sz w:val="22"/>
          <w:szCs w:val="22"/>
        </w:rPr>
        <w:softHyphen/>
        <w:t>ид имеет отчетливо более плохой прогноз, рано метастазируя в печень, кости, кожу и головной мозг.</w:t>
      </w:r>
    </w:p>
    <w:p w:rsidR="00020E24" w:rsidRPr="00020E24" w:rsidRDefault="00020E24" w:rsidP="00DE1F06">
      <w:pPr>
        <w:ind w:firstLine="420"/>
        <w:jc w:val="both"/>
        <w:rPr>
          <w:rFonts w:ascii="Arial" w:eastAsia="Times New Roman" w:hAnsi="Arial" w:cs="Arial"/>
          <w:sz w:val="22"/>
          <w:szCs w:val="22"/>
        </w:rPr>
      </w:pPr>
      <w:r w:rsidRPr="00020E24">
        <w:rPr>
          <w:rFonts w:ascii="Arial" w:eastAsia="Times New Roman" w:hAnsi="Arial" w:cs="Arial"/>
          <w:sz w:val="22"/>
          <w:szCs w:val="22"/>
        </w:rPr>
        <w:t>У пациентов с развернутой симптоматикой карциноидного синдрома диагноз представляется весьма вероятным. Для подтверждения диагноза необходимо лабораторно-инструментальное исследование. Метастатичес</w:t>
      </w:r>
      <w:r w:rsidRPr="00020E24">
        <w:rPr>
          <w:rFonts w:ascii="Arial" w:eastAsia="Times New Roman" w:hAnsi="Arial" w:cs="Arial"/>
          <w:sz w:val="22"/>
          <w:szCs w:val="22"/>
        </w:rPr>
        <w:softHyphen/>
        <w:t>кое поражение печени верифицируется с помощью прицельной тонко</w:t>
      </w:r>
      <w:r w:rsidRPr="00020E24">
        <w:rPr>
          <w:rFonts w:ascii="Arial" w:eastAsia="Times New Roman" w:hAnsi="Arial" w:cs="Arial"/>
          <w:sz w:val="22"/>
          <w:szCs w:val="22"/>
        </w:rPr>
        <w:softHyphen/>
        <w:t>игольной биопсии под контролем УЗИ или КТ. Достаточно часто встает во</w:t>
      </w:r>
      <w:r w:rsidRPr="00020E24">
        <w:rPr>
          <w:rFonts w:ascii="Arial" w:eastAsia="Times New Roman" w:hAnsi="Arial" w:cs="Arial"/>
          <w:sz w:val="22"/>
          <w:szCs w:val="22"/>
        </w:rPr>
        <w:softHyphen/>
        <w:t>прос о поиске первичной опухоли, которая обычно имеет очень маленькие размеры. Большую ценность для топической диагностики опухоли, оценки распространенности метастатического поражения и, таким образом, для разработки тактики лечения, а также для оценки его эффективности имеет 588</w:t>
      </w:r>
    </w:p>
    <w:p w:rsidR="00020E24" w:rsidRPr="00020E24" w:rsidRDefault="00020E24" w:rsidP="00DE1F06">
      <w:pPr>
        <w:jc w:val="both"/>
        <w:rPr>
          <w:rFonts w:ascii="Arial" w:eastAsia="Times New Roman" w:hAnsi="Arial" w:cs="Arial"/>
          <w:sz w:val="22"/>
          <w:szCs w:val="22"/>
        </w:rPr>
      </w:pPr>
      <w:r w:rsidRPr="00020E24">
        <w:rPr>
          <w:rFonts w:ascii="Arial" w:eastAsia="Times New Roman" w:hAnsi="Arial" w:cs="Arial"/>
          <w:sz w:val="22"/>
          <w:szCs w:val="22"/>
        </w:rPr>
        <w:t>сцинтиграфия соматостатиновых рецепторов с меченным радиоактивным индием октреотидом — аналогом соматостатина.</w:t>
      </w:r>
    </w:p>
    <w:p w:rsidR="00020E24" w:rsidRPr="004B0B65" w:rsidRDefault="00020E24" w:rsidP="00DE1F06">
      <w:pPr>
        <w:ind w:firstLine="420"/>
        <w:jc w:val="both"/>
        <w:rPr>
          <w:rFonts w:ascii="Arial" w:eastAsia="Times New Roman" w:hAnsi="Arial" w:cs="Arial"/>
          <w:sz w:val="22"/>
          <w:szCs w:val="22"/>
        </w:rPr>
      </w:pPr>
      <w:r w:rsidRPr="004B0B65">
        <w:rPr>
          <w:rFonts w:ascii="Arial" w:eastAsia="Times New Roman" w:hAnsi="Arial" w:cs="Arial"/>
          <w:sz w:val="22"/>
          <w:szCs w:val="22"/>
        </w:rPr>
        <w:lastRenderedPageBreak/>
        <w:t>Основным диагностическим маркером при карциноидном синдроме является метаболит серотонина — 5-гидроксииндолуксусная кислота (5-ГИУК), определяемая в суточной моче. Специфичность и чувствитель</w:t>
      </w:r>
      <w:r w:rsidRPr="004B0B65">
        <w:rPr>
          <w:rFonts w:ascii="Arial" w:eastAsia="Times New Roman" w:hAnsi="Arial" w:cs="Arial"/>
          <w:sz w:val="22"/>
          <w:szCs w:val="22"/>
        </w:rPr>
        <w:softHyphen/>
        <w:t>ность теста составляют 90* % при достаточно простой его постановке. Экс</w:t>
      </w:r>
      <w:r w:rsidRPr="004B0B65">
        <w:rPr>
          <w:rFonts w:ascii="Arial" w:eastAsia="Times New Roman" w:hAnsi="Arial" w:cs="Arial"/>
          <w:sz w:val="22"/>
          <w:szCs w:val="22"/>
        </w:rPr>
        <w:softHyphen/>
        <w:t>крецию 5-ГИУК необходимо исследовать 3 раза в разные, не следующие друг за другом дни. Тест считается положительным, если за сутки выделилось более 30 мг 5-ГИУК. Диагностическую ценность теста снижает употребле</w:t>
      </w:r>
      <w:r w:rsidRPr="004B0B65">
        <w:rPr>
          <w:rFonts w:ascii="Arial" w:eastAsia="Times New Roman" w:hAnsi="Arial" w:cs="Arial"/>
          <w:sz w:val="22"/>
          <w:szCs w:val="22"/>
        </w:rPr>
        <w:softHyphen/>
        <w:t>ние накануне производных фенацетина, а также бананов, ананасов, лесных орехов, авокадо, помидоров, слив. Одновременно в плазме определяется повышенный уровень серотонина. Бронхиальный и желудочный карци</w:t>
      </w:r>
      <w:r w:rsidRPr="004B0B65">
        <w:rPr>
          <w:rFonts w:ascii="Arial" w:eastAsia="Times New Roman" w:hAnsi="Arial" w:cs="Arial"/>
          <w:sz w:val="22"/>
          <w:szCs w:val="22"/>
        </w:rPr>
        <w:softHyphen/>
        <w:t>ноид продуцирует 5-гидрокситриптофан, который в печени превращается в серотонин. Поэтому для диагностики решающим оказывается определение в моче серотонина и гистамина. Провокационные тесты, вызывающие при</w:t>
      </w:r>
      <w:r w:rsidRPr="004B0B65">
        <w:rPr>
          <w:rFonts w:ascii="Arial" w:eastAsia="Times New Roman" w:hAnsi="Arial" w:cs="Arial"/>
          <w:sz w:val="22"/>
          <w:szCs w:val="22"/>
        </w:rPr>
        <w:softHyphen/>
        <w:t>ливы, такие как алкогольный и норадреналиновый, из-за возможных не</w:t>
      </w:r>
      <w:r w:rsidRPr="004B0B65">
        <w:rPr>
          <w:rFonts w:ascii="Arial" w:eastAsia="Times New Roman" w:hAnsi="Arial" w:cs="Arial"/>
          <w:sz w:val="22"/>
          <w:szCs w:val="22"/>
        </w:rPr>
        <w:softHyphen/>
        <w:t>благоприятных последствий в настоящее время практически не проводятся.</w:t>
      </w:r>
    </w:p>
    <w:p w:rsidR="00020E24" w:rsidRPr="004B0B65" w:rsidRDefault="00020E24"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Клинические синдромы, сопровождающиеся приливами, такие как по</w:t>
      </w:r>
      <w:r w:rsidRPr="004B0B65">
        <w:rPr>
          <w:rFonts w:ascii="Arial" w:eastAsia="Times New Roman" w:hAnsi="Arial" w:cs="Arial"/>
          <w:sz w:val="22"/>
          <w:szCs w:val="22"/>
        </w:rPr>
        <w:softHyphen/>
        <w:t>стменопаузальный, цирроз печени, идиопатические приливы, могут быть дифференцированы путем определения экскреции 5-ГИУК, а также при УЗИ, КТ-исследовании органов брюшной полости и таза и сцинтиграфии соматостатиновых рецепторов. При наличии в клинической картине выра</w:t>
      </w:r>
      <w:r w:rsidRPr="004B0B65">
        <w:rPr>
          <w:rFonts w:ascii="Arial" w:eastAsia="Times New Roman" w:hAnsi="Arial" w:cs="Arial"/>
          <w:sz w:val="22"/>
          <w:szCs w:val="22"/>
        </w:rPr>
        <w:softHyphen/>
        <w:t>женного симпатоадреналового компонента необходим дифференциальный диагноз с феохромоцитомой. Всегда следует помнить о возможности соче</w:t>
      </w:r>
      <w:r w:rsidRPr="004B0B65">
        <w:rPr>
          <w:rFonts w:ascii="Arial" w:eastAsia="Times New Roman" w:hAnsi="Arial" w:cs="Arial"/>
          <w:sz w:val="22"/>
          <w:szCs w:val="22"/>
        </w:rPr>
        <w:softHyphen/>
        <w:t>тания карциноидного синдрома и синдрома эктопической продукции АКТГ, а также о карциноидном синдроме, обусловленном медуллярным раком щитовидной железы.</w:t>
      </w:r>
    </w:p>
    <w:p w:rsidR="00020E24" w:rsidRPr="004B0B65" w:rsidRDefault="00020E24"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Лечение. Лечение карциноидных опухолей можно подразделить на . хирургическое, антипролиферативное и симптоматическое. Оперативное вмешательство имеет смысл даже в том случае, если выявляются свежие, особенно солитарные, медленно растущие метастазы. Помимо резекции последних, в настоящее время все большее значение приобретают хемоэм</w:t>
      </w:r>
      <w:r w:rsidRPr="004B0B65">
        <w:rPr>
          <w:rFonts w:ascii="Arial" w:eastAsia="Times New Roman" w:hAnsi="Arial" w:cs="Arial"/>
          <w:sz w:val="22"/>
          <w:szCs w:val="22"/>
        </w:rPr>
        <w:softHyphen/>
        <w:t>болизация и алкогольная аблация печеночных метастазов. При разработке стратегии лечения необходимо знать, что злокачественность карциноидных опухолей сильно варьирует, а 5-летняя выживаемость составляет около 50 %. Описаны случаи молниеносного течения, но чаще продолжитель</w:t>
      </w:r>
      <w:r w:rsidRPr="004B0B65">
        <w:rPr>
          <w:rFonts w:ascii="Arial" w:eastAsia="Times New Roman" w:hAnsi="Arial" w:cs="Arial"/>
          <w:sz w:val="22"/>
          <w:szCs w:val="22"/>
        </w:rPr>
        <w:softHyphen/>
        <w:t>ность жизни пациентов даже с распространенным метастатическим про</w:t>
      </w:r>
      <w:r w:rsidRPr="004B0B65">
        <w:rPr>
          <w:rFonts w:ascii="Arial" w:eastAsia="Times New Roman" w:hAnsi="Arial" w:cs="Arial"/>
          <w:sz w:val="22"/>
          <w:szCs w:val="22"/>
        </w:rPr>
        <w:softHyphen/>
        <w:t>цессом составляет более 5 лет (описаны случаи выживания до 20 лет и много случаев до 10 лет) и может значительно продлиться на фоне совре</w:t>
      </w:r>
      <w:r w:rsidRPr="004B0B65">
        <w:rPr>
          <w:rFonts w:ascii="Arial" w:eastAsia="Times New Roman" w:hAnsi="Arial" w:cs="Arial"/>
          <w:sz w:val="22"/>
          <w:szCs w:val="22"/>
        </w:rPr>
        <w:softHyphen/>
        <w:t>менной антипролиферативной терапии. Таким образом, перед тем, как планировать хирургическое вмешательство, само по себе имеющее высокий риск и значительно снижающее качество жизни, необходима оценка ин</w:t>
      </w:r>
      <w:r w:rsidRPr="004B0B65">
        <w:rPr>
          <w:rFonts w:ascii="Arial" w:eastAsia="Times New Roman" w:hAnsi="Arial" w:cs="Arial"/>
          <w:sz w:val="22"/>
          <w:szCs w:val="22"/>
        </w:rPr>
        <w:softHyphen/>
        <w:t>тенсивности опухолевого роста.</w:t>
      </w:r>
    </w:p>
    <w:p w:rsidR="00C66448" w:rsidRPr="004B0B65" w:rsidRDefault="00020E24"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Средством первого выбора как антипролиферативной, так и симптома</w:t>
      </w:r>
      <w:r w:rsidRPr="004B0B65">
        <w:rPr>
          <w:rFonts w:ascii="Arial" w:eastAsia="Times New Roman" w:hAnsi="Arial" w:cs="Arial"/>
          <w:sz w:val="22"/>
          <w:szCs w:val="22"/>
        </w:rPr>
        <w:softHyphen/>
        <w:t>тической терапии при карциноидных опухолях является длительно дейст</w:t>
      </w:r>
      <w:r w:rsidRPr="004B0B65">
        <w:rPr>
          <w:rFonts w:ascii="Arial" w:eastAsia="Times New Roman" w:hAnsi="Arial" w:cs="Arial"/>
          <w:sz w:val="22"/>
          <w:szCs w:val="22"/>
        </w:rPr>
        <w:softHyphen/>
        <w:t>вующий аналог соматостатина октреотид (сандостатин). Его назначением в дозе от 50 мг 1 раз в день до 200 мг 3 раза в день можно полностью подавить такие симптомы карциноидного синдрома, как приливы, диарея, бронхо</w:t>
      </w:r>
      <w:r w:rsidRPr="004B0B65">
        <w:rPr>
          <w:rFonts w:ascii="Arial" w:eastAsia="Times New Roman" w:hAnsi="Arial" w:cs="Arial"/>
          <w:sz w:val="22"/>
          <w:szCs w:val="22"/>
        </w:rPr>
        <w:softHyphen/>
        <w:t>спазм. Кроме того, октреотид дает выраженный антипролиферативный эффект и в ряде случаев при продолжительном применении приводит к уменьшению опухолевой массы. Препаратом второго ряда является «-ин</w:t>
      </w:r>
      <w:r w:rsidRPr="004B0B65">
        <w:rPr>
          <w:rFonts w:ascii="Arial" w:eastAsia="Times New Roman" w:hAnsi="Arial" w:cs="Arial"/>
          <w:sz w:val="22"/>
          <w:szCs w:val="22"/>
        </w:rPr>
        <w:softHyphen/>
        <w:t>терферон (интрон, реоферон) по 5 000 000 ЕД 3 раза в неделю), третьего — полихимиотерапия (комбинация стрептозотоцина, 5-фторурацила и адриа</w:t>
      </w:r>
      <w:r w:rsidR="00C66448" w:rsidRPr="004B0B65">
        <w:rPr>
          <w:rFonts w:ascii="Arial" w:hAnsi="Arial" w:cs="Arial"/>
        </w:rPr>
        <w:t xml:space="preserve"> </w:t>
      </w:r>
      <w:r w:rsidR="00C66448" w:rsidRPr="004B0B65">
        <w:rPr>
          <w:rFonts w:ascii="Arial" w:eastAsia="Times New Roman" w:hAnsi="Arial" w:cs="Arial"/>
          <w:sz w:val="22"/>
          <w:szCs w:val="22"/>
        </w:rPr>
        <w:t>мицина). Антипролиферативную терапию рекомендуется начинать только в тех случаях, когда у больного имеются четкие признаки прогрессирования опухолевого процесса на протяжении 3—6 мес с момента диагностики, ко</w:t>
      </w:r>
      <w:r w:rsidR="00C66448" w:rsidRPr="004B0B65">
        <w:rPr>
          <w:rFonts w:ascii="Arial" w:eastAsia="Times New Roman" w:hAnsi="Arial" w:cs="Arial"/>
          <w:sz w:val="22"/>
          <w:szCs w:val="22"/>
        </w:rPr>
        <w:softHyphen/>
        <w:t>торые выявляются с помощью КТ, МРТ и сцинтиграфии соматостатиновых рецепторов. До этого октреотид может применяться в минимальных дозах, купирующих симптоматику карциноидного синдрома. К признакам про</w:t>
      </w:r>
      <w:r w:rsidR="00C66448" w:rsidRPr="004B0B65">
        <w:rPr>
          <w:rFonts w:ascii="Arial" w:eastAsia="Times New Roman" w:hAnsi="Arial" w:cs="Arial"/>
          <w:sz w:val="22"/>
          <w:szCs w:val="22"/>
        </w:rPr>
        <w:softHyphen/>
        <w:t>грессирования процесса относится увеличение объема опухоли, а также числа метастазов более чем на 25 %. В этом случае доза октреотида увели</w:t>
      </w:r>
      <w:r w:rsidR="00C66448" w:rsidRPr="004B0B65">
        <w:rPr>
          <w:rFonts w:ascii="Arial" w:eastAsia="Times New Roman" w:hAnsi="Arial" w:cs="Arial"/>
          <w:sz w:val="22"/>
          <w:szCs w:val="22"/>
        </w:rPr>
        <w:softHyphen/>
        <w:t>чивается до 600 мг/сут. При появлении признаков дальнейшего прогресси</w:t>
      </w:r>
      <w:r w:rsidR="00C66448" w:rsidRPr="004B0B65">
        <w:rPr>
          <w:rFonts w:ascii="Arial" w:eastAsia="Times New Roman" w:hAnsi="Arial" w:cs="Arial"/>
          <w:sz w:val="22"/>
          <w:szCs w:val="22"/>
        </w:rPr>
        <w:softHyphen/>
        <w:t>рования процесса (которых может не быть на протяжении многих лет) к те</w:t>
      </w:r>
      <w:r w:rsidR="00C66448" w:rsidRPr="004B0B65">
        <w:rPr>
          <w:rFonts w:ascii="Arial" w:eastAsia="Times New Roman" w:hAnsi="Arial" w:cs="Arial"/>
          <w:sz w:val="22"/>
          <w:szCs w:val="22"/>
        </w:rPr>
        <w:softHyphen/>
        <w:t xml:space="preserve">рапии добавляют а-интерферон, и только затем, в последнюю очередь, больного переводят на химиотерапию. Поскольку наиболее эффективным симптоматическим средством при карциноидном синдроме </w:t>
      </w:r>
      <w:r w:rsidR="00C66448" w:rsidRPr="004B0B65">
        <w:rPr>
          <w:rFonts w:ascii="Arial" w:eastAsia="Times New Roman" w:hAnsi="Arial" w:cs="Arial"/>
          <w:sz w:val="22"/>
          <w:szCs w:val="22"/>
        </w:rPr>
        <w:lastRenderedPageBreak/>
        <w:t>является октре</w:t>
      </w:r>
      <w:r w:rsidR="00C66448" w:rsidRPr="004B0B65">
        <w:rPr>
          <w:rFonts w:ascii="Arial" w:eastAsia="Times New Roman" w:hAnsi="Arial" w:cs="Arial"/>
          <w:sz w:val="22"/>
          <w:szCs w:val="22"/>
        </w:rPr>
        <w:softHyphen/>
        <w:t>отид, антагонисты серотонина (метисегрид, ципрогептадин) и другие ранее применявшиеся препараты отошли на второй план.</w:t>
      </w:r>
    </w:p>
    <w:p w:rsidR="00C66448" w:rsidRPr="004B0B65" w:rsidRDefault="00C66448" w:rsidP="00DE1F06">
      <w:pPr>
        <w:numPr>
          <w:ilvl w:val="1"/>
          <w:numId w:val="9"/>
        </w:numPr>
        <w:jc w:val="both"/>
        <w:rPr>
          <w:rFonts w:ascii="Arial" w:eastAsia="Times New Roman" w:hAnsi="Arial" w:cs="Arial"/>
          <w:sz w:val="22"/>
          <w:szCs w:val="22"/>
        </w:rPr>
      </w:pPr>
      <w:r w:rsidRPr="004B0B65">
        <w:rPr>
          <w:rFonts w:ascii="Arial" w:eastAsia="Times New Roman" w:hAnsi="Arial" w:cs="Arial"/>
          <w:b/>
          <w:bCs/>
          <w:sz w:val="22"/>
          <w:szCs w:val="22"/>
        </w:rPr>
        <w:t>Функционально неактивные и прочие эндокринные опухоли поджелудочной железы и желудочно-кишечного тракта</w:t>
      </w:r>
    </w:p>
    <w:p w:rsidR="00C66448" w:rsidRPr="004B0B65" w:rsidRDefault="00C66448" w:rsidP="00DE1F06">
      <w:pPr>
        <w:ind w:firstLine="420"/>
        <w:jc w:val="both"/>
        <w:rPr>
          <w:rFonts w:ascii="Arial" w:eastAsia="Times New Roman" w:hAnsi="Arial" w:cs="Arial"/>
          <w:sz w:val="22"/>
          <w:szCs w:val="22"/>
        </w:rPr>
      </w:pPr>
      <w:r w:rsidRPr="004B0B65">
        <w:rPr>
          <w:rFonts w:ascii="Arial" w:eastAsia="Times New Roman" w:hAnsi="Arial" w:cs="Arial"/>
          <w:i/>
          <w:iCs/>
          <w:sz w:val="22"/>
          <w:szCs w:val="22"/>
        </w:rPr>
        <w:t>Функционально неактивные эндокринные опухоли ЖКТ и ПЖЖ</w:t>
      </w:r>
      <w:r w:rsidRPr="004B0B65">
        <w:rPr>
          <w:rFonts w:ascii="Arial" w:eastAsia="Times New Roman" w:hAnsi="Arial" w:cs="Arial"/>
          <w:sz w:val="22"/>
          <w:szCs w:val="22"/>
        </w:rPr>
        <w:t xml:space="preserve"> — опухоли, происходящие из эндокринных — энтерохромаффинных, АПУД-клеток, протекающие без симптомов гиперсекреции гуморальных факторов. Отсут</w:t>
      </w:r>
      <w:r w:rsidRPr="004B0B65">
        <w:rPr>
          <w:rFonts w:ascii="Arial" w:eastAsia="Times New Roman" w:hAnsi="Arial" w:cs="Arial"/>
          <w:sz w:val="22"/>
          <w:szCs w:val="22"/>
        </w:rPr>
        <w:softHyphen/>
        <w:t>ствие при этих опухолях синдрома гиперпродукции того или иного соеди</w:t>
      </w:r>
      <w:r w:rsidRPr="004B0B65">
        <w:rPr>
          <w:rFonts w:ascii="Arial" w:eastAsia="Times New Roman" w:hAnsi="Arial" w:cs="Arial"/>
          <w:sz w:val="22"/>
          <w:szCs w:val="22"/>
        </w:rPr>
        <w:softHyphen/>
        <w:t>нения не исключает опухолевой секреции вообще. Так, очень часто при функционально неактивных опухолях определяется ничем клинически не проявляющийся высокий уровень панкреатического полипептида (РР). Не</w:t>
      </w:r>
      <w:r w:rsidRPr="004B0B65">
        <w:rPr>
          <w:rFonts w:ascii="Arial" w:eastAsia="Times New Roman" w:hAnsi="Arial" w:cs="Arial"/>
          <w:sz w:val="22"/>
          <w:szCs w:val="22"/>
        </w:rPr>
        <w:softHyphen/>
        <w:t>специфическими плазменными маркерами эндокринно-неактивных опухо- ’ лей, как указывалось, являются хромогранин и нейронспецифическая эно- лаза (</w:t>
      </w:r>
      <w:r w:rsidRPr="004B0B65">
        <w:rPr>
          <w:rFonts w:ascii="Arial" w:eastAsia="Times New Roman" w:hAnsi="Arial" w:cs="Arial"/>
          <w:sz w:val="22"/>
          <w:szCs w:val="22"/>
          <w:lang w:bidi="en-US"/>
        </w:rPr>
        <w:t>NSE</w:t>
      </w:r>
      <w:r w:rsidRPr="004B0B65">
        <w:rPr>
          <w:rFonts w:ascii="Arial" w:eastAsia="Times New Roman" w:hAnsi="Arial" w:cs="Arial"/>
          <w:sz w:val="22"/>
          <w:szCs w:val="22"/>
        </w:rPr>
        <w:t>). Наиболее часто функционально неактивные опухоли локализу</w:t>
      </w:r>
      <w:r w:rsidRPr="004B0B65">
        <w:rPr>
          <w:rFonts w:ascii="Arial" w:eastAsia="Times New Roman" w:hAnsi="Arial" w:cs="Arial"/>
          <w:sz w:val="22"/>
          <w:szCs w:val="22"/>
        </w:rPr>
        <w:softHyphen/>
        <w:t>ются в головке поджелудочной железы, толстой и тонкой кишке. Опухоли чаще крупные и в зависимости от величины и степени дифференцировки в 70—80 % случаев злокачественны. Часто встречаются опухоли червеобраз</w:t>
      </w:r>
      <w:r w:rsidRPr="004B0B65">
        <w:rPr>
          <w:rFonts w:ascii="Arial" w:eastAsia="Times New Roman" w:hAnsi="Arial" w:cs="Arial"/>
          <w:sz w:val="22"/>
          <w:szCs w:val="22"/>
        </w:rPr>
        <w:softHyphen/>
        <w:t>ного отростка, которые при достижении размера более 1—2 см у половины больных имеют метастазы. Мелкие опухоли чаще являются случайными интраоперационными находками при аппендэктомии.</w:t>
      </w:r>
    </w:p>
    <w:p w:rsidR="00C66448" w:rsidRPr="004B0B65" w:rsidRDefault="00C66448"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Аналогично аденокарциномам, в случае далеко зашедшего опухолевого процесса имеют место анорексия, потеря массы тела, боли в животе. При инвазивном росте развиваются такие осложнения, как кишечная непрохо</w:t>
      </w:r>
      <w:r w:rsidRPr="004B0B65">
        <w:rPr>
          <w:rFonts w:ascii="Arial" w:eastAsia="Times New Roman" w:hAnsi="Arial" w:cs="Arial"/>
          <w:sz w:val="22"/>
          <w:szCs w:val="22"/>
        </w:rPr>
        <w:softHyphen/>
        <w:t>димость, механическая желтуха, асцит, кровотечения. Ведущим симптомом толсто- и прямокишечных опухолей является обнаружение крови в кале.</w:t>
      </w:r>
    </w:p>
    <w:p w:rsidR="00C66448" w:rsidRPr="004B0B65" w:rsidRDefault="00C66448"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Диагностика. Необходимо дифференцировать функционально неактивные эндокринные опухоли, аденокарциномы и другие новообразо</w:t>
      </w:r>
      <w:r w:rsidRPr="004B0B65">
        <w:rPr>
          <w:rFonts w:ascii="Arial" w:eastAsia="Times New Roman" w:hAnsi="Arial" w:cs="Arial"/>
          <w:sz w:val="22"/>
          <w:szCs w:val="22"/>
        </w:rPr>
        <w:softHyphen/>
        <w:t>вания, поскольку лечение в каждом случае отличается. Для этого использу</w:t>
      </w:r>
      <w:r w:rsidRPr="004B0B65">
        <w:rPr>
          <w:rFonts w:ascii="Arial" w:eastAsia="Times New Roman" w:hAnsi="Arial" w:cs="Arial"/>
          <w:sz w:val="22"/>
          <w:szCs w:val="22"/>
        </w:rPr>
        <w:softHyphen/>
        <w:t>ются прицельная биопсия, морфологическое исследование печеночных ме</w:t>
      </w:r>
      <w:r w:rsidRPr="004B0B65">
        <w:rPr>
          <w:rFonts w:ascii="Arial" w:eastAsia="Times New Roman" w:hAnsi="Arial" w:cs="Arial"/>
          <w:sz w:val="22"/>
          <w:szCs w:val="22"/>
        </w:rPr>
        <w:softHyphen/>
        <w:t>тастазов и сцинтиграфия соматостатиновых рецепторов (рис. 13.6), позво</w:t>
      </w:r>
      <w:r w:rsidRPr="004B0B65">
        <w:rPr>
          <w:rFonts w:ascii="Arial" w:eastAsia="Times New Roman" w:hAnsi="Arial" w:cs="Arial"/>
          <w:sz w:val="22"/>
          <w:szCs w:val="22"/>
        </w:rPr>
        <w:softHyphen/>
        <w:t>ляющее обнаружить накопление радиофармпрепарата тканью эндокринных опухолей, чего не будет происходить при аденокарциномах и опухолях дру</w:t>
      </w:r>
      <w:r w:rsidRPr="004B0B65">
        <w:rPr>
          <w:rFonts w:ascii="Arial" w:eastAsia="Times New Roman" w:hAnsi="Arial" w:cs="Arial"/>
          <w:sz w:val="22"/>
          <w:szCs w:val="22"/>
        </w:rPr>
        <w:softHyphen/>
        <w:t>гого происхождения, которые не имеют соматостатиновых рецепторов.</w:t>
      </w:r>
    </w:p>
    <w:p w:rsidR="00C66448" w:rsidRPr="004B0B65" w:rsidRDefault="00C66448" w:rsidP="00DE1F06">
      <w:pPr>
        <w:ind w:firstLine="420"/>
        <w:jc w:val="both"/>
        <w:rPr>
          <w:rFonts w:ascii="Arial" w:eastAsia="Times New Roman" w:hAnsi="Arial" w:cs="Arial"/>
          <w:sz w:val="22"/>
          <w:szCs w:val="22"/>
        </w:rPr>
      </w:pPr>
      <w:r w:rsidRPr="004B0B65">
        <w:rPr>
          <w:rFonts w:ascii="Arial" w:eastAsia="Times New Roman" w:hAnsi="Arial" w:cs="Arial"/>
          <w:sz w:val="22"/>
          <w:szCs w:val="22"/>
        </w:rPr>
        <w:t>Лечение. Хирургическое и антипролиферативное лечение при функционально неактивных эндокринных опухолях аналогично таковому при опухолях, протекающих с карциноидным синдромом.</w:t>
      </w:r>
    </w:p>
    <w:p w:rsidR="00C66448" w:rsidRPr="00C66448" w:rsidRDefault="00C66448" w:rsidP="00DE1F06">
      <w:pPr>
        <w:jc w:val="center"/>
        <w:rPr>
          <w:rFonts w:ascii="Arial" w:hAnsi="Arial" w:cs="Arial"/>
          <w:sz w:val="2"/>
          <w:szCs w:val="2"/>
        </w:rPr>
      </w:pPr>
      <w:r w:rsidRPr="00C66448">
        <w:rPr>
          <w:rFonts w:ascii="Arial" w:hAnsi="Arial" w:cs="Arial"/>
          <w:noProof/>
          <w:lang w:bidi="ar-SA"/>
        </w:rPr>
        <w:drawing>
          <wp:inline distT="0" distB="0" distL="0" distR="0" wp14:anchorId="33B6D297" wp14:editId="07B9B32A">
            <wp:extent cx="3267710" cy="2475230"/>
            <wp:effectExtent l="0" t="0" r="0" b="0"/>
            <wp:docPr id="1268" name="Picutre 1268"/>
            <wp:cNvGraphicFramePr/>
            <a:graphic xmlns:a="http://schemas.openxmlformats.org/drawingml/2006/main">
              <a:graphicData uri="http://schemas.openxmlformats.org/drawingml/2006/picture">
                <pic:pic xmlns:pic="http://schemas.openxmlformats.org/drawingml/2006/picture">
                  <pic:nvPicPr>
                    <pic:cNvPr id="1268" name="Picture 1268"/>
                    <pic:cNvPicPr/>
                  </pic:nvPicPr>
                  <pic:blipFill>
                    <a:blip r:embed="rId19"/>
                    <a:stretch/>
                  </pic:blipFill>
                  <pic:spPr>
                    <a:xfrm>
                      <a:off x="0" y="0"/>
                      <a:ext cx="3267710" cy="2475230"/>
                    </a:xfrm>
                    <a:prstGeom prst="rect">
                      <a:avLst/>
                    </a:prstGeom>
                  </pic:spPr>
                </pic:pic>
              </a:graphicData>
            </a:graphic>
          </wp:inline>
        </w:drawing>
      </w:r>
    </w:p>
    <w:p w:rsidR="00C66448" w:rsidRPr="00C66448" w:rsidRDefault="00C66448" w:rsidP="00DE1F06">
      <w:pPr>
        <w:rPr>
          <w:rFonts w:ascii="Arial" w:eastAsia="Times New Roman" w:hAnsi="Arial" w:cs="Arial"/>
          <w:sz w:val="19"/>
          <w:szCs w:val="19"/>
        </w:rPr>
      </w:pPr>
      <w:r w:rsidRPr="00C66448">
        <w:rPr>
          <w:rFonts w:ascii="Arial" w:eastAsia="Times New Roman" w:hAnsi="Arial" w:cs="Arial"/>
          <w:b/>
          <w:bCs/>
          <w:sz w:val="19"/>
          <w:szCs w:val="19"/>
        </w:rPr>
        <w:t xml:space="preserve">Рис. 13.6. </w:t>
      </w:r>
      <w:r w:rsidRPr="00C66448">
        <w:rPr>
          <w:rFonts w:ascii="Arial" w:eastAsia="Times New Roman" w:hAnsi="Arial" w:cs="Arial"/>
          <w:sz w:val="19"/>
          <w:szCs w:val="19"/>
        </w:rPr>
        <w:t>Компьютерная томограмма при печеночных метастазах функционально неактивной эндокринной опухоли восходящего отдела ободочной кишки.</w:t>
      </w:r>
    </w:p>
    <w:p w:rsidR="00C66448" w:rsidRPr="00C66448" w:rsidRDefault="00C66448" w:rsidP="00DE1F06">
      <w:pPr>
        <w:rPr>
          <w:rFonts w:ascii="Arial" w:hAnsi="Arial" w:cs="Arial"/>
        </w:rPr>
      </w:pPr>
    </w:p>
    <w:p w:rsidR="00C66448" w:rsidRPr="00C66448" w:rsidRDefault="00C66448" w:rsidP="00DE1F06">
      <w:pPr>
        <w:ind w:firstLine="420"/>
        <w:jc w:val="both"/>
        <w:rPr>
          <w:rFonts w:ascii="Arial" w:eastAsia="Times New Roman" w:hAnsi="Arial" w:cs="Arial"/>
          <w:sz w:val="22"/>
          <w:szCs w:val="22"/>
        </w:rPr>
      </w:pPr>
      <w:r w:rsidRPr="00C66448">
        <w:rPr>
          <w:rFonts w:ascii="Arial" w:eastAsia="Times New Roman" w:hAnsi="Arial" w:cs="Arial"/>
          <w:sz w:val="22"/>
          <w:szCs w:val="22"/>
        </w:rPr>
        <w:t>К очень редким эндокринным опухолям ЖКТ и ПЖЖ относятся сома- тостатинома и ППома.</w:t>
      </w:r>
    </w:p>
    <w:p w:rsidR="00C66448" w:rsidRPr="00C66448" w:rsidRDefault="00C66448" w:rsidP="00DE1F06">
      <w:pPr>
        <w:ind w:firstLine="420"/>
        <w:jc w:val="both"/>
        <w:rPr>
          <w:rFonts w:ascii="Arial" w:eastAsia="Times New Roman" w:hAnsi="Arial" w:cs="Arial"/>
          <w:sz w:val="22"/>
          <w:szCs w:val="22"/>
        </w:rPr>
      </w:pPr>
      <w:r w:rsidRPr="00C66448">
        <w:rPr>
          <w:rFonts w:ascii="Arial" w:eastAsia="Times New Roman" w:hAnsi="Arial" w:cs="Arial"/>
          <w:b/>
          <w:bCs/>
          <w:i/>
          <w:iCs/>
          <w:sz w:val="22"/>
          <w:szCs w:val="22"/>
        </w:rPr>
        <w:t>Соматостатинома</w:t>
      </w:r>
      <w:r w:rsidRPr="00C66448">
        <w:rPr>
          <w:rFonts w:ascii="Arial" w:eastAsia="Times New Roman" w:hAnsi="Arial" w:cs="Arial"/>
          <w:sz w:val="22"/>
          <w:szCs w:val="22"/>
        </w:rPr>
        <w:t xml:space="preserve"> — эндокринная опухоль ПЖЖ или тонкой кишки, секретирующая соматостатин. На сегодняшний день описано немногим более 50 </w:t>
      </w:r>
      <w:r w:rsidRPr="00C66448">
        <w:rPr>
          <w:rFonts w:ascii="Arial" w:eastAsia="Times New Roman" w:hAnsi="Arial" w:cs="Arial"/>
          <w:sz w:val="22"/>
          <w:szCs w:val="22"/>
        </w:rPr>
        <w:lastRenderedPageBreak/>
        <w:t>клинических случаев соматостатином. Наиболее частой локализа</w:t>
      </w:r>
      <w:r w:rsidRPr="00C66448">
        <w:rPr>
          <w:rFonts w:ascii="Arial" w:eastAsia="Times New Roman" w:hAnsi="Arial" w:cs="Arial"/>
          <w:sz w:val="22"/>
          <w:szCs w:val="22"/>
        </w:rPr>
        <w:softHyphen/>
        <w:t>цией опухоли является головка ПЖЖ (50 %), в 15 % случаев — двенадцати</w:t>
      </w:r>
      <w:r w:rsidRPr="00C66448">
        <w:rPr>
          <w:rFonts w:ascii="Arial" w:eastAsia="Times New Roman" w:hAnsi="Arial" w:cs="Arial"/>
          <w:sz w:val="22"/>
          <w:szCs w:val="22"/>
        </w:rPr>
        <w:softHyphen/>
        <w:t>перстная кишка, в 2 % случаев — тощая кишка. На момент диагностики опухоль имеет уже большие размеры (5 см) и, как правило, печеночные ме</w:t>
      </w:r>
      <w:r w:rsidRPr="00C66448">
        <w:rPr>
          <w:rFonts w:ascii="Arial" w:eastAsia="Times New Roman" w:hAnsi="Arial" w:cs="Arial"/>
          <w:sz w:val="22"/>
          <w:szCs w:val="22"/>
        </w:rPr>
        <w:softHyphen/>
        <w:t>тастазы. Соматостатин оказывает преимущественно ингибирующее (инги</w:t>
      </w:r>
      <w:r w:rsidRPr="00C66448">
        <w:rPr>
          <w:rFonts w:ascii="Arial" w:eastAsia="Times New Roman" w:hAnsi="Arial" w:cs="Arial"/>
          <w:sz w:val="22"/>
          <w:szCs w:val="22"/>
        </w:rPr>
        <w:softHyphen/>
        <w:t>бирующий синдром) влияние на гастроинтестинальную моторику, секре</w:t>
      </w:r>
      <w:r w:rsidRPr="00C66448">
        <w:rPr>
          <w:rFonts w:ascii="Arial" w:eastAsia="Times New Roman" w:hAnsi="Arial" w:cs="Arial"/>
          <w:sz w:val="22"/>
          <w:szCs w:val="22"/>
        </w:rPr>
        <w:softHyphen/>
        <w:t>цию желудка и ПЖЖ, а также на секрецию гастроинтестинальных гор</w:t>
      </w:r>
      <w:r w:rsidRPr="00C66448">
        <w:rPr>
          <w:rFonts w:ascii="Arial" w:eastAsia="Times New Roman" w:hAnsi="Arial" w:cs="Arial"/>
          <w:sz w:val="22"/>
          <w:szCs w:val="22"/>
        </w:rPr>
        <w:softHyphen/>
        <w:t>монов, в частности инсулина и глюкагона. Кардинальными симптомами соматостатиномы являются сахарный диабет с легким течением (80 %), желчнокаменная болезнь (70 %), диарея (35 %), потеря массы тела (25 %). Кроме того, определяются стеаторея (30 %) и гипохлоргидрия (60 %). Не</w:t>
      </w:r>
      <w:r w:rsidRPr="00C66448">
        <w:rPr>
          <w:rFonts w:ascii="Arial" w:eastAsia="Times New Roman" w:hAnsi="Arial" w:cs="Arial"/>
          <w:sz w:val="22"/>
          <w:szCs w:val="22"/>
        </w:rPr>
        <w:softHyphen/>
        <w:t>специфические симптомы, такие как боли в эпигастрии и анемия, встре</w:t>
      </w:r>
      <w:r w:rsidRPr="00C66448">
        <w:rPr>
          <w:rFonts w:ascii="Arial" w:eastAsia="Times New Roman" w:hAnsi="Arial" w:cs="Arial"/>
          <w:sz w:val="22"/>
          <w:szCs w:val="22"/>
        </w:rPr>
        <w:softHyphen/>
        <w:t>чаются у половины больных. Манифестирует соматостатинома чаще всего за счет значительной опухолевой массы (симптомы сдавления и кишечной непроходимости). На момент манифестации у 90 % пациентов определяет</w:t>
      </w:r>
      <w:r w:rsidRPr="00C66448">
        <w:rPr>
          <w:rFonts w:ascii="Arial" w:eastAsia="Times New Roman" w:hAnsi="Arial" w:cs="Arial"/>
          <w:sz w:val="22"/>
          <w:szCs w:val="22"/>
        </w:rPr>
        <w:softHyphen/>
        <w:t>ся повышенный уровень соматостатина, однако последний может опре</w:t>
      </w:r>
      <w:r w:rsidRPr="00C66448">
        <w:rPr>
          <w:rFonts w:ascii="Arial" w:eastAsia="Times New Roman" w:hAnsi="Arial" w:cs="Arial"/>
          <w:sz w:val="22"/>
          <w:szCs w:val="22"/>
        </w:rPr>
        <w:softHyphen/>
        <w:t>деляться и при многих других, в том числе и внекишечных эндокринных опухолях.</w:t>
      </w:r>
    </w:p>
    <w:p w:rsidR="00C66448" w:rsidRPr="00C66448" w:rsidRDefault="00C66448" w:rsidP="00DE1F06">
      <w:pPr>
        <w:ind w:firstLine="420"/>
        <w:jc w:val="both"/>
        <w:rPr>
          <w:rFonts w:ascii="Arial" w:eastAsia="Times New Roman" w:hAnsi="Arial" w:cs="Arial"/>
          <w:sz w:val="22"/>
          <w:szCs w:val="22"/>
        </w:rPr>
      </w:pPr>
      <w:r w:rsidRPr="00C66448">
        <w:rPr>
          <w:rFonts w:ascii="Arial" w:eastAsia="Times New Roman" w:hAnsi="Arial" w:cs="Arial"/>
          <w:b/>
          <w:bCs/>
          <w:i/>
          <w:iCs/>
          <w:sz w:val="22"/>
          <w:szCs w:val="22"/>
        </w:rPr>
        <w:t>ППома</w:t>
      </w:r>
      <w:r w:rsidRPr="00C66448">
        <w:rPr>
          <w:rFonts w:ascii="Arial" w:eastAsia="Times New Roman" w:hAnsi="Arial" w:cs="Arial"/>
          <w:sz w:val="22"/>
          <w:szCs w:val="22"/>
        </w:rPr>
        <w:t xml:space="preserve"> — опухоль, секретирующая панкреатический полипептид (ПП), — является функционально неактивной эндокринной опухолью. При ППоме отсутствует какая-либо симптоматика, обусловленная гипер</w:t>
      </w:r>
      <w:r w:rsidRPr="00C66448">
        <w:rPr>
          <w:rFonts w:ascii="Arial" w:eastAsia="Times New Roman" w:hAnsi="Arial" w:cs="Arial"/>
          <w:sz w:val="22"/>
          <w:szCs w:val="22"/>
        </w:rPr>
        <w:softHyphen/>
        <w:t>секрецией ПП, но при этом определяется значительное повышение плаз</w:t>
      </w:r>
      <w:r w:rsidRPr="00C66448">
        <w:rPr>
          <w:rFonts w:ascii="Arial" w:eastAsia="Times New Roman" w:hAnsi="Arial" w:cs="Arial"/>
          <w:sz w:val="22"/>
          <w:szCs w:val="22"/>
        </w:rPr>
        <w:softHyphen/>
        <w:t>менного уровня панкреатического полипептида. Этот лабораторный фе</w:t>
      </w:r>
      <w:r w:rsidRPr="00C66448">
        <w:rPr>
          <w:rFonts w:ascii="Arial" w:eastAsia="Times New Roman" w:hAnsi="Arial" w:cs="Arial"/>
          <w:sz w:val="22"/>
          <w:szCs w:val="22"/>
        </w:rPr>
        <w:softHyphen/>
        <w:t>номен лишен специфичности и встречается в 25 % случаев всех эндо</w:t>
      </w:r>
      <w:r w:rsidRPr="00C66448">
        <w:rPr>
          <w:rFonts w:ascii="Arial" w:eastAsia="Times New Roman" w:hAnsi="Arial" w:cs="Arial"/>
          <w:sz w:val="22"/>
          <w:szCs w:val="22"/>
        </w:rPr>
        <w:softHyphen/>
        <w:t xml:space="preserve">кринных опухолей ПЖЖ и ЖКТ, что послужило основанием считать ПП наряду с хромогранином и нейронспецифической энолазой </w:t>
      </w:r>
      <w:r w:rsidRPr="00C66448">
        <w:rPr>
          <w:rFonts w:ascii="Arial" w:eastAsia="Times New Roman" w:hAnsi="Arial" w:cs="Arial"/>
          <w:sz w:val="22"/>
          <w:szCs w:val="22"/>
          <w:lang w:eastAsia="en-US" w:bidi="en-US"/>
        </w:rPr>
        <w:t>(</w:t>
      </w:r>
      <w:r w:rsidRPr="00C66448">
        <w:rPr>
          <w:rFonts w:ascii="Arial" w:eastAsia="Times New Roman" w:hAnsi="Arial" w:cs="Arial"/>
          <w:sz w:val="22"/>
          <w:szCs w:val="22"/>
          <w:lang w:val="en-US" w:eastAsia="en-US" w:bidi="en-US"/>
        </w:rPr>
        <w:t>NSE</w:t>
      </w:r>
      <w:r w:rsidRPr="00C66448">
        <w:rPr>
          <w:rFonts w:ascii="Arial" w:eastAsia="Times New Roman" w:hAnsi="Arial" w:cs="Arial"/>
          <w:sz w:val="22"/>
          <w:szCs w:val="22"/>
          <w:lang w:eastAsia="en-US" w:bidi="en-US"/>
        </w:rPr>
        <w:t xml:space="preserve">) </w:t>
      </w:r>
      <w:r w:rsidRPr="00C66448">
        <w:rPr>
          <w:rFonts w:ascii="Arial" w:eastAsia="Times New Roman" w:hAnsi="Arial" w:cs="Arial"/>
          <w:sz w:val="22"/>
          <w:szCs w:val="22"/>
        </w:rPr>
        <w:t>одним из онкомаркеров этих опухолей. Высокий плазменный уровень ПП опре</w:t>
      </w:r>
      <w:r w:rsidRPr="00C66448">
        <w:rPr>
          <w:rFonts w:ascii="Arial" w:eastAsia="Times New Roman" w:hAnsi="Arial" w:cs="Arial"/>
          <w:sz w:val="22"/>
          <w:szCs w:val="22"/>
        </w:rPr>
        <w:softHyphen/>
        <w:t>деляется также после резекции части тонкой кишки, при хронических воспалительных заболеваниях кишечника, хронической почечной и пан</w:t>
      </w:r>
      <w:r w:rsidRPr="00C66448">
        <w:rPr>
          <w:rFonts w:ascii="Arial" w:eastAsia="Times New Roman" w:hAnsi="Arial" w:cs="Arial"/>
          <w:sz w:val="22"/>
          <w:szCs w:val="22"/>
        </w:rPr>
        <w:softHyphen/>
        <w:t>креатической недостаточности и при злоупотреблении алкоголем.</w:t>
      </w:r>
    </w:p>
    <w:p w:rsidR="00BC1BB8" w:rsidRPr="004B0B65" w:rsidRDefault="00C66448" w:rsidP="00DE1F06">
      <w:pPr>
        <w:pStyle w:val="1"/>
        <w:ind w:firstLine="442"/>
        <w:jc w:val="both"/>
        <w:rPr>
          <w:rFonts w:ascii="Arial" w:hAnsi="Arial" w:cs="Arial"/>
        </w:rPr>
      </w:pPr>
      <w:r w:rsidRPr="004B0B65">
        <w:rPr>
          <w:rFonts w:ascii="Arial" w:hAnsi="Arial" w:cs="Arial"/>
        </w:rPr>
        <w:t>Еще одним из вариантов эндокринных опухолей ПЖЖ и ЖКТ являют</w:t>
      </w:r>
      <w:r w:rsidRPr="004B0B65">
        <w:rPr>
          <w:rFonts w:ascii="Arial" w:hAnsi="Arial" w:cs="Arial"/>
        </w:rPr>
        <w:softHyphen/>
        <w:t xml:space="preserve">ся так называемые </w:t>
      </w:r>
      <w:r w:rsidRPr="004B0B65">
        <w:rPr>
          <w:rFonts w:ascii="Arial" w:hAnsi="Arial" w:cs="Arial"/>
          <w:b/>
          <w:bCs/>
          <w:i/>
          <w:iCs/>
        </w:rPr>
        <w:t>смешанные опухоли.</w:t>
      </w:r>
      <w:r w:rsidRPr="004B0B65">
        <w:rPr>
          <w:rFonts w:ascii="Arial" w:hAnsi="Arial" w:cs="Arial"/>
        </w:rPr>
        <w:t xml:space="preserve"> Как неоднократно указывалось, мультигормональной секрецией обладает большинство этих опухолей. Тем не менее существуют многочисленные описания клинически значимого со</w:t>
      </w:r>
      <w:r w:rsidRPr="004B0B65">
        <w:rPr>
          <w:rFonts w:ascii="Arial" w:hAnsi="Arial" w:cs="Arial"/>
        </w:rPr>
        <w:softHyphen/>
        <w:t>четания гиперсекреции гастрина и инсулина (инсулинома с синдромом Золлингера—Эллисона), инсулина и глюкагона и практически всех описан</w:t>
      </w:r>
      <w:r w:rsidRPr="004B0B65">
        <w:rPr>
          <w:rFonts w:ascii="Arial" w:hAnsi="Arial" w:cs="Arial"/>
        </w:rPr>
        <w:softHyphen/>
        <w:t>ных опухолей в сочетании с карциноидным синдромом.</w:t>
      </w:r>
    </w:p>
    <w:p w:rsidR="00C66448" w:rsidRPr="00C66448" w:rsidRDefault="00C66448" w:rsidP="00DE1F06">
      <w:pPr>
        <w:keepNext/>
        <w:keepLines/>
        <w:numPr>
          <w:ilvl w:val="1"/>
          <w:numId w:val="9"/>
        </w:numPr>
        <w:tabs>
          <w:tab w:val="left" w:pos="658"/>
        </w:tabs>
        <w:jc w:val="both"/>
        <w:outlineLvl w:val="3"/>
        <w:rPr>
          <w:rFonts w:ascii="Arial" w:eastAsia="Times New Roman" w:hAnsi="Arial" w:cs="Arial"/>
          <w:b/>
          <w:bCs/>
        </w:rPr>
      </w:pPr>
      <w:bookmarkStart w:id="5" w:name="bookmark205"/>
      <w:r w:rsidRPr="00C66448">
        <w:rPr>
          <w:rFonts w:ascii="Arial" w:eastAsia="Times New Roman" w:hAnsi="Arial" w:cs="Arial"/>
          <w:b/>
          <w:bCs/>
        </w:rPr>
        <w:t>Синдромы множественных эндокринных неоплазий</w:t>
      </w:r>
      <w:bookmarkEnd w:id="5"/>
    </w:p>
    <w:p w:rsidR="00C66448" w:rsidRPr="004B0B65" w:rsidRDefault="00C66448" w:rsidP="00DE1F06">
      <w:pPr>
        <w:jc w:val="both"/>
        <w:rPr>
          <w:rFonts w:ascii="Arial" w:eastAsia="Times New Roman" w:hAnsi="Arial" w:cs="Arial"/>
          <w:sz w:val="22"/>
          <w:szCs w:val="22"/>
        </w:rPr>
      </w:pPr>
      <w:r w:rsidRPr="00C66448">
        <w:rPr>
          <w:rFonts w:ascii="Arial" w:eastAsia="Times New Roman" w:hAnsi="Arial" w:cs="Arial"/>
          <w:sz w:val="22"/>
          <w:szCs w:val="22"/>
        </w:rPr>
        <w:t>Синдромы множественных эндокринных неоплазий (МЭН) — группа ауто</w:t>
      </w:r>
      <w:r w:rsidRPr="00C66448">
        <w:rPr>
          <w:rFonts w:ascii="Arial" w:eastAsia="Times New Roman" w:hAnsi="Arial" w:cs="Arial"/>
          <w:sz w:val="22"/>
          <w:szCs w:val="22"/>
        </w:rPr>
        <w:softHyphen/>
        <w:t>сомно-доминантно наследуемых синдромов, характеризующихся устойчи</w:t>
      </w:r>
      <w:r w:rsidRPr="00C66448">
        <w:rPr>
          <w:rFonts w:ascii="Arial" w:eastAsia="Times New Roman" w:hAnsi="Arial" w:cs="Arial"/>
          <w:sz w:val="22"/>
          <w:szCs w:val="22"/>
        </w:rPr>
        <w:softHyphen/>
        <w:t>вым сочетанием развития опухолей желез внутренней секреции, имеющих одинаковое эмбриональное происхождение (табл. 13.11).</w:t>
      </w:r>
    </w:p>
    <w:p w:rsidR="00C66448" w:rsidRPr="004B0B65" w:rsidRDefault="00C66448" w:rsidP="00DE1F06">
      <w:pPr>
        <w:jc w:val="both"/>
        <w:rPr>
          <w:rFonts w:ascii="Arial" w:eastAsia="Times New Roman" w:hAnsi="Arial" w:cs="Arial"/>
          <w:sz w:val="22"/>
          <w:szCs w:val="22"/>
        </w:rPr>
      </w:pPr>
    </w:p>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 xml:space="preserve">Таблица 13.11. </w:t>
      </w:r>
      <w:r w:rsidRPr="00C66448">
        <w:rPr>
          <w:rFonts w:ascii="Arial" w:eastAsia="Times New Roman" w:hAnsi="Arial" w:cs="Arial"/>
          <w:b/>
          <w:bCs/>
          <w:sz w:val="19"/>
          <w:szCs w:val="19"/>
        </w:rPr>
        <w:t>Клинические варианты синдромов множественных эндокринных неоплазий</w:t>
      </w:r>
    </w:p>
    <w:tbl>
      <w:tblPr>
        <w:tblOverlap w:val="never"/>
        <w:tblW w:w="0" w:type="auto"/>
        <w:jc w:val="center"/>
        <w:tblLayout w:type="fixed"/>
        <w:tblCellMar>
          <w:left w:w="10" w:type="dxa"/>
          <w:right w:w="10" w:type="dxa"/>
        </w:tblCellMar>
        <w:tblLook w:val="0000" w:firstRow="0" w:lastRow="0" w:firstColumn="0" w:lastColumn="0" w:noHBand="0" w:noVBand="0"/>
      </w:tblPr>
      <w:tblGrid>
        <w:gridCol w:w="2866"/>
        <w:gridCol w:w="1992"/>
        <w:gridCol w:w="2640"/>
      </w:tblGrid>
      <w:tr w:rsidR="00C66448" w:rsidRPr="00C66448" w:rsidTr="004B0B65">
        <w:trPr>
          <w:trHeight w:hRule="exact" w:val="331"/>
          <w:jc w:val="center"/>
        </w:trPr>
        <w:tc>
          <w:tcPr>
            <w:tcW w:w="2866" w:type="dxa"/>
            <w:vMerge w:val="restart"/>
            <w:tcBorders>
              <w:top w:val="single" w:sz="4" w:space="0" w:color="auto"/>
              <w:left w:val="single" w:sz="4" w:space="0" w:color="auto"/>
            </w:tcBorders>
            <w:shd w:val="clear" w:color="auto" w:fill="auto"/>
            <w:vAlign w:val="center"/>
          </w:tcPr>
          <w:p w:rsidR="00C66448" w:rsidRPr="00C66448" w:rsidRDefault="00C66448" w:rsidP="00DE1F06">
            <w:pPr>
              <w:jc w:val="center"/>
              <w:rPr>
                <w:rFonts w:ascii="Arial" w:eastAsia="Times New Roman" w:hAnsi="Arial" w:cs="Arial"/>
                <w:sz w:val="18"/>
                <w:szCs w:val="18"/>
              </w:rPr>
            </w:pPr>
            <w:r w:rsidRPr="00C66448">
              <w:rPr>
                <w:rFonts w:ascii="Arial" w:eastAsia="Times New Roman" w:hAnsi="Arial" w:cs="Arial"/>
                <w:sz w:val="18"/>
                <w:szCs w:val="18"/>
              </w:rPr>
              <w:t>МЭН 1-го типа (синдром Вермера)</w:t>
            </w:r>
          </w:p>
        </w:tc>
        <w:tc>
          <w:tcPr>
            <w:tcW w:w="4632" w:type="dxa"/>
            <w:gridSpan w:val="2"/>
            <w:tcBorders>
              <w:top w:val="single" w:sz="4" w:space="0" w:color="auto"/>
              <w:left w:val="single" w:sz="4" w:space="0" w:color="auto"/>
              <w:right w:val="single" w:sz="4" w:space="0" w:color="auto"/>
            </w:tcBorders>
            <w:shd w:val="clear" w:color="auto" w:fill="auto"/>
          </w:tcPr>
          <w:p w:rsidR="00C66448" w:rsidRPr="00C66448" w:rsidRDefault="00C66448" w:rsidP="00DE1F06">
            <w:pPr>
              <w:jc w:val="center"/>
              <w:rPr>
                <w:rFonts w:ascii="Arial" w:eastAsia="Times New Roman" w:hAnsi="Arial" w:cs="Arial"/>
                <w:sz w:val="18"/>
                <w:szCs w:val="18"/>
              </w:rPr>
            </w:pPr>
            <w:r w:rsidRPr="00C66448">
              <w:rPr>
                <w:rFonts w:ascii="Arial" w:eastAsia="Times New Roman" w:hAnsi="Arial" w:cs="Arial"/>
                <w:sz w:val="18"/>
                <w:szCs w:val="18"/>
              </w:rPr>
              <w:t>МЭН 2-го типа</w:t>
            </w:r>
          </w:p>
        </w:tc>
      </w:tr>
      <w:tr w:rsidR="00C66448" w:rsidRPr="00C66448" w:rsidTr="004B0B65">
        <w:trPr>
          <w:trHeight w:hRule="exact" w:val="518"/>
          <w:jc w:val="center"/>
        </w:trPr>
        <w:tc>
          <w:tcPr>
            <w:tcW w:w="2866" w:type="dxa"/>
            <w:vMerge/>
            <w:tcBorders>
              <w:left w:val="single" w:sz="4" w:space="0" w:color="auto"/>
            </w:tcBorders>
            <w:shd w:val="clear" w:color="auto" w:fill="auto"/>
            <w:vAlign w:val="center"/>
          </w:tcPr>
          <w:p w:rsidR="00C66448" w:rsidRPr="00C66448" w:rsidRDefault="00C66448" w:rsidP="00DE1F06">
            <w:pPr>
              <w:rPr>
                <w:rFonts w:ascii="Arial" w:hAnsi="Arial" w:cs="Arial"/>
              </w:rPr>
            </w:pPr>
          </w:p>
        </w:tc>
        <w:tc>
          <w:tcPr>
            <w:tcW w:w="1992" w:type="dxa"/>
            <w:tcBorders>
              <w:top w:val="single" w:sz="4" w:space="0" w:color="auto"/>
              <w:left w:val="single" w:sz="4" w:space="0" w:color="auto"/>
            </w:tcBorders>
            <w:shd w:val="clear" w:color="auto" w:fill="auto"/>
          </w:tcPr>
          <w:p w:rsidR="00C66448" w:rsidRPr="00C66448" w:rsidRDefault="00C66448" w:rsidP="00DE1F06">
            <w:pPr>
              <w:jc w:val="center"/>
              <w:rPr>
                <w:rFonts w:ascii="Arial" w:eastAsia="Times New Roman" w:hAnsi="Arial" w:cs="Arial"/>
                <w:sz w:val="18"/>
                <w:szCs w:val="18"/>
              </w:rPr>
            </w:pPr>
            <w:r w:rsidRPr="00C66448">
              <w:rPr>
                <w:rFonts w:ascii="Arial" w:eastAsia="Times New Roman" w:hAnsi="Arial" w:cs="Arial"/>
                <w:sz w:val="18"/>
                <w:szCs w:val="18"/>
              </w:rPr>
              <w:t>МЭН-2А (синдром Сиппла)</w:t>
            </w:r>
          </w:p>
        </w:tc>
        <w:tc>
          <w:tcPr>
            <w:tcW w:w="2640" w:type="dxa"/>
            <w:tcBorders>
              <w:top w:val="single" w:sz="4" w:space="0" w:color="auto"/>
              <w:left w:val="single" w:sz="4" w:space="0" w:color="auto"/>
              <w:right w:val="single" w:sz="4" w:space="0" w:color="auto"/>
            </w:tcBorders>
            <w:shd w:val="clear" w:color="auto" w:fill="auto"/>
          </w:tcPr>
          <w:p w:rsidR="00C66448" w:rsidRPr="00C66448" w:rsidRDefault="00C66448" w:rsidP="00DE1F06">
            <w:pPr>
              <w:jc w:val="center"/>
              <w:rPr>
                <w:rFonts w:ascii="Arial" w:eastAsia="Times New Roman" w:hAnsi="Arial" w:cs="Arial"/>
                <w:sz w:val="18"/>
                <w:szCs w:val="18"/>
              </w:rPr>
            </w:pPr>
            <w:r w:rsidRPr="00C66448">
              <w:rPr>
                <w:rFonts w:ascii="Arial" w:eastAsia="Times New Roman" w:hAnsi="Arial" w:cs="Arial"/>
                <w:sz w:val="18"/>
                <w:szCs w:val="18"/>
              </w:rPr>
              <w:t>МЭН-2В (синдром Горлина)</w:t>
            </w:r>
          </w:p>
        </w:tc>
      </w:tr>
      <w:tr w:rsidR="00C66448" w:rsidRPr="00C66448" w:rsidTr="004B0B65">
        <w:trPr>
          <w:trHeight w:hRule="exact" w:val="2467"/>
          <w:jc w:val="center"/>
        </w:trPr>
        <w:tc>
          <w:tcPr>
            <w:tcW w:w="2866" w:type="dxa"/>
            <w:tcBorders>
              <w:top w:val="single" w:sz="4" w:space="0" w:color="auto"/>
              <w:left w:val="single" w:sz="4" w:space="0" w:color="auto"/>
              <w:bottom w:val="single" w:sz="4" w:space="0" w:color="auto"/>
            </w:tcBorders>
            <w:shd w:val="clear" w:color="auto" w:fill="auto"/>
            <w:vAlign w:val="center"/>
          </w:tcPr>
          <w:p w:rsidR="00C66448" w:rsidRPr="00C66448" w:rsidRDefault="00C66448" w:rsidP="00DE1F06">
            <w:pPr>
              <w:jc w:val="both"/>
              <w:rPr>
                <w:rFonts w:ascii="Arial" w:eastAsia="Times New Roman" w:hAnsi="Arial" w:cs="Arial"/>
                <w:sz w:val="19"/>
                <w:szCs w:val="19"/>
              </w:rPr>
            </w:pPr>
            <w:r w:rsidRPr="00C66448">
              <w:rPr>
                <w:rFonts w:ascii="Arial" w:eastAsia="Times New Roman" w:hAnsi="Arial" w:cs="Arial"/>
                <w:sz w:val="19"/>
                <w:szCs w:val="19"/>
              </w:rPr>
              <w:t>Опухоли паращитовидных же</w:t>
            </w:r>
            <w:r w:rsidRPr="00C66448">
              <w:rPr>
                <w:rFonts w:ascii="Arial" w:eastAsia="Times New Roman" w:hAnsi="Arial" w:cs="Arial"/>
                <w:sz w:val="19"/>
                <w:szCs w:val="19"/>
              </w:rPr>
              <w:softHyphen/>
              <w:t>лез (солитарные, редко мно</w:t>
            </w:r>
            <w:r w:rsidRPr="00C66448">
              <w:rPr>
                <w:rFonts w:ascii="Arial" w:eastAsia="Times New Roman" w:hAnsi="Arial" w:cs="Arial"/>
                <w:sz w:val="19"/>
                <w:szCs w:val="19"/>
              </w:rPr>
              <w:softHyphen/>
              <w:t>жественные) или гиперплазия всех желез</w:t>
            </w:r>
          </w:p>
          <w:p w:rsidR="00C66448" w:rsidRPr="00C66448" w:rsidRDefault="00C66448" w:rsidP="00DE1F06">
            <w:pPr>
              <w:jc w:val="both"/>
              <w:rPr>
                <w:rFonts w:ascii="Arial" w:eastAsia="Times New Roman" w:hAnsi="Arial" w:cs="Arial"/>
                <w:sz w:val="19"/>
                <w:szCs w:val="19"/>
              </w:rPr>
            </w:pPr>
            <w:r w:rsidRPr="00C66448">
              <w:rPr>
                <w:rFonts w:ascii="Arial" w:eastAsia="Times New Roman" w:hAnsi="Arial" w:cs="Arial"/>
                <w:sz w:val="19"/>
                <w:szCs w:val="19"/>
              </w:rPr>
              <w:t>Островково-клеточные опухо</w:t>
            </w:r>
            <w:r w:rsidRPr="00C66448">
              <w:rPr>
                <w:rFonts w:ascii="Arial" w:eastAsia="Times New Roman" w:hAnsi="Arial" w:cs="Arial"/>
                <w:sz w:val="19"/>
                <w:szCs w:val="19"/>
              </w:rPr>
              <w:softHyphen/>
              <w:t>ли (инсулинома, глюкагоно</w:t>
            </w:r>
            <w:r w:rsidRPr="00C66448">
              <w:rPr>
                <w:rFonts w:ascii="Arial" w:eastAsia="Times New Roman" w:hAnsi="Arial" w:cs="Arial"/>
                <w:sz w:val="19"/>
                <w:szCs w:val="19"/>
              </w:rPr>
              <w:softHyphen/>
              <w:t>ма, гастринома, випома и др.) Опухоли гипофиза (пролак</w:t>
            </w:r>
            <w:r w:rsidRPr="00C66448">
              <w:rPr>
                <w:rFonts w:ascii="Arial" w:eastAsia="Times New Roman" w:hAnsi="Arial" w:cs="Arial"/>
                <w:sz w:val="19"/>
                <w:szCs w:val="19"/>
              </w:rPr>
              <w:softHyphen/>
              <w:t>тинома, сомато стати нома, кортикотропинома и др.)</w:t>
            </w:r>
          </w:p>
        </w:tc>
        <w:tc>
          <w:tcPr>
            <w:tcW w:w="1992" w:type="dxa"/>
            <w:tcBorders>
              <w:top w:val="single" w:sz="4" w:space="0" w:color="auto"/>
              <w:left w:val="single" w:sz="4" w:space="0" w:color="auto"/>
              <w:bottom w:val="single" w:sz="4" w:space="0" w:color="auto"/>
            </w:tcBorders>
            <w:shd w:val="clear" w:color="auto" w:fill="auto"/>
          </w:tcPr>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Медуллярный рак щитовидной железы</w:t>
            </w:r>
          </w:p>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Феохромоцитома</w:t>
            </w:r>
          </w:p>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Гиперпаратиреоз</w:t>
            </w:r>
          </w:p>
        </w:tc>
        <w:tc>
          <w:tcPr>
            <w:tcW w:w="2640" w:type="dxa"/>
            <w:tcBorders>
              <w:top w:val="single" w:sz="4" w:space="0" w:color="auto"/>
              <w:left w:val="single" w:sz="4" w:space="0" w:color="auto"/>
              <w:bottom w:val="single" w:sz="4" w:space="0" w:color="auto"/>
              <w:right w:val="single" w:sz="4" w:space="0" w:color="auto"/>
            </w:tcBorders>
            <w:shd w:val="clear" w:color="auto" w:fill="auto"/>
            <w:vAlign w:val="center"/>
          </w:tcPr>
          <w:p w:rsidR="00C66448" w:rsidRPr="00C66448" w:rsidRDefault="00C66448" w:rsidP="00DE1F06">
            <w:pPr>
              <w:jc w:val="both"/>
              <w:rPr>
                <w:rFonts w:ascii="Arial" w:eastAsia="Times New Roman" w:hAnsi="Arial" w:cs="Arial"/>
                <w:sz w:val="19"/>
                <w:szCs w:val="19"/>
              </w:rPr>
            </w:pPr>
            <w:r w:rsidRPr="00C66448">
              <w:rPr>
                <w:rFonts w:ascii="Arial" w:eastAsia="Times New Roman" w:hAnsi="Arial" w:cs="Arial"/>
                <w:sz w:val="19"/>
                <w:szCs w:val="19"/>
              </w:rPr>
              <w:t>Медуллярный рак щитовидной железы</w:t>
            </w:r>
          </w:p>
          <w:p w:rsidR="00C66448" w:rsidRPr="00C66448" w:rsidRDefault="00C66448" w:rsidP="00DE1F06">
            <w:pPr>
              <w:jc w:val="both"/>
              <w:rPr>
                <w:rFonts w:ascii="Arial" w:eastAsia="Times New Roman" w:hAnsi="Arial" w:cs="Arial"/>
                <w:sz w:val="19"/>
                <w:szCs w:val="19"/>
              </w:rPr>
            </w:pPr>
            <w:r w:rsidRPr="00C66448">
              <w:rPr>
                <w:rFonts w:ascii="Arial" w:eastAsia="Times New Roman" w:hAnsi="Arial" w:cs="Arial"/>
                <w:sz w:val="19"/>
                <w:szCs w:val="19"/>
              </w:rPr>
              <w:t>Феохромоцитома</w:t>
            </w:r>
          </w:p>
          <w:p w:rsidR="00C66448" w:rsidRPr="00C66448" w:rsidRDefault="00C66448" w:rsidP="00DE1F06">
            <w:pPr>
              <w:jc w:val="both"/>
              <w:rPr>
                <w:rFonts w:ascii="Arial" w:eastAsia="Times New Roman" w:hAnsi="Arial" w:cs="Arial"/>
                <w:sz w:val="19"/>
                <w:szCs w:val="19"/>
              </w:rPr>
            </w:pPr>
            <w:r w:rsidRPr="00C66448">
              <w:rPr>
                <w:rFonts w:ascii="Arial" w:eastAsia="Times New Roman" w:hAnsi="Arial" w:cs="Arial"/>
                <w:sz w:val="19"/>
                <w:szCs w:val="19"/>
              </w:rPr>
              <w:t>Гиперпаратиреоз</w:t>
            </w:r>
          </w:p>
          <w:p w:rsidR="00C66448" w:rsidRPr="00C66448" w:rsidRDefault="00C66448" w:rsidP="00DE1F06">
            <w:pPr>
              <w:jc w:val="both"/>
              <w:rPr>
                <w:rFonts w:ascii="Arial" w:eastAsia="Times New Roman" w:hAnsi="Arial" w:cs="Arial"/>
                <w:sz w:val="19"/>
                <w:szCs w:val="19"/>
              </w:rPr>
            </w:pPr>
            <w:r w:rsidRPr="00C66448">
              <w:rPr>
                <w:rFonts w:ascii="Arial" w:eastAsia="Times New Roman" w:hAnsi="Arial" w:cs="Arial"/>
                <w:sz w:val="19"/>
                <w:szCs w:val="19"/>
              </w:rPr>
              <w:t>Невриномы слизистых обо</w:t>
            </w:r>
            <w:r w:rsidRPr="00C66448">
              <w:rPr>
                <w:rFonts w:ascii="Arial" w:eastAsia="Times New Roman" w:hAnsi="Arial" w:cs="Arial"/>
                <w:sz w:val="19"/>
                <w:szCs w:val="19"/>
              </w:rPr>
              <w:softHyphen/>
              <w:t>лочек, патология мышц и скелета (марфаноподобная внешность), невропатии</w:t>
            </w:r>
          </w:p>
        </w:tc>
      </w:tr>
    </w:tbl>
    <w:p w:rsidR="00C66448" w:rsidRPr="00C66448" w:rsidRDefault="00C66448" w:rsidP="00DE1F06">
      <w:pPr>
        <w:rPr>
          <w:rFonts w:ascii="Arial" w:hAnsi="Arial" w:cs="Arial"/>
        </w:rPr>
      </w:pPr>
    </w:p>
    <w:p w:rsidR="00C66448" w:rsidRPr="00C66448" w:rsidRDefault="00C66448" w:rsidP="00DE1F06">
      <w:pPr>
        <w:ind w:firstLine="440"/>
        <w:jc w:val="both"/>
        <w:rPr>
          <w:rFonts w:ascii="Arial" w:eastAsia="Times New Roman" w:hAnsi="Arial" w:cs="Arial"/>
          <w:sz w:val="22"/>
          <w:szCs w:val="22"/>
        </w:rPr>
      </w:pPr>
      <w:r w:rsidRPr="00C66448">
        <w:rPr>
          <w:rFonts w:ascii="Arial" w:eastAsia="Times New Roman" w:hAnsi="Arial" w:cs="Arial"/>
          <w:sz w:val="22"/>
          <w:szCs w:val="22"/>
        </w:rPr>
        <w:t xml:space="preserve">Морфогенетической основой синдромов МЭН является генетическая мутация в зародышевой полипотентной клетке, из которой формируется нервный гребень, в свою очередь являющийся источником клеток АПУД- системы (см. раздел 13.1). Эндокринные неоплазии при синдроме МЭН имеют ряд клинических различий по сравнению со </w:t>
      </w:r>
      <w:r w:rsidRPr="00C66448">
        <w:rPr>
          <w:rFonts w:ascii="Arial" w:eastAsia="Times New Roman" w:hAnsi="Arial" w:cs="Arial"/>
          <w:sz w:val="22"/>
          <w:szCs w:val="22"/>
        </w:rPr>
        <w:lastRenderedPageBreak/>
        <w:t>спорадически встреча</w:t>
      </w:r>
      <w:r w:rsidRPr="00C66448">
        <w:rPr>
          <w:rFonts w:ascii="Arial" w:eastAsia="Times New Roman" w:hAnsi="Arial" w:cs="Arial"/>
          <w:sz w:val="22"/>
          <w:szCs w:val="22"/>
        </w:rPr>
        <w:softHyphen/>
        <w:t>ющимися разрозненными опухолями. Важно понимать два основные поло</w:t>
      </w:r>
      <w:r w:rsidRPr="00C66448">
        <w:rPr>
          <w:rFonts w:ascii="Arial" w:eastAsia="Times New Roman" w:hAnsi="Arial" w:cs="Arial"/>
          <w:sz w:val="22"/>
          <w:szCs w:val="22"/>
        </w:rPr>
        <w:softHyphen/>
        <w:t>жения.</w:t>
      </w:r>
    </w:p>
    <w:p w:rsidR="00C66448" w:rsidRPr="00C66448" w:rsidRDefault="00C66448" w:rsidP="00DE1F06">
      <w:pPr>
        <w:numPr>
          <w:ilvl w:val="0"/>
          <w:numId w:val="11"/>
        </w:numPr>
        <w:tabs>
          <w:tab w:val="left" w:pos="687"/>
        </w:tabs>
        <w:jc w:val="both"/>
        <w:rPr>
          <w:rFonts w:ascii="Arial" w:eastAsia="Times New Roman" w:hAnsi="Arial" w:cs="Arial"/>
          <w:sz w:val="22"/>
          <w:szCs w:val="22"/>
        </w:rPr>
      </w:pPr>
      <w:r w:rsidRPr="00C66448">
        <w:rPr>
          <w:rFonts w:ascii="Arial" w:eastAsia="Times New Roman" w:hAnsi="Arial" w:cs="Arial"/>
          <w:sz w:val="22"/>
          <w:szCs w:val="22"/>
        </w:rPr>
        <w:t>При обнаружении у пациента одного из компонентов МЭН необхо</w:t>
      </w:r>
      <w:r w:rsidRPr="00C66448">
        <w:rPr>
          <w:rFonts w:ascii="Arial" w:eastAsia="Times New Roman" w:hAnsi="Arial" w:cs="Arial"/>
          <w:sz w:val="22"/>
          <w:szCs w:val="22"/>
        </w:rPr>
        <w:softHyphen/>
        <w:t>димо его обследование с целью возможного обнаружения других опухолей.</w:t>
      </w:r>
    </w:p>
    <w:p w:rsidR="00C66448" w:rsidRPr="004B0B65" w:rsidRDefault="00C66448" w:rsidP="00DE1F06">
      <w:pPr>
        <w:numPr>
          <w:ilvl w:val="0"/>
          <w:numId w:val="11"/>
        </w:numPr>
        <w:tabs>
          <w:tab w:val="left" w:pos="687"/>
        </w:tabs>
        <w:jc w:val="both"/>
        <w:rPr>
          <w:rFonts w:ascii="Arial" w:eastAsia="Times New Roman" w:hAnsi="Arial" w:cs="Arial"/>
          <w:sz w:val="22"/>
          <w:szCs w:val="22"/>
        </w:rPr>
      </w:pPr>
      <w:r w:rsidRPr="00C66448">
        <w:rPr>
          <w:rFonts w:ascii="Arial" w:eastAsia="Times New Roman" w:hAnsi="Arial" w:cs="Arial"/>
          <w:sz w:val="22"/>
          <w:szCs w:val="22"/>
        </w:rPr>
        <w:t>При установленном диагнозе синдрома МЭН обязательно регуляр</w:t>
      </w:r>
      <w:r w:rsidRPr="00C66448">
        <w:rPr>
          <w:rFonts w:ascii="Arial" w:eastAsia="Times New Roman" w:hAnsi="Arial" w:cs="Arial"/>
          <w:sz w:val="22"/>
          <w:szCs w:val="22"/>
        </w:rPr>
        <w:softHyphen/>
        <w:t>ное профилактическое обследование родственников пациента первой и второй степени родства.</w:t>
      </w:r>
    </w:p>
    <w:p w:rsidR="00C66448" w:rsidRPr="004B0B65" w:rsidRDefault="00C66448" w:rsidP="00DE1F06">
      <w:pPr>
        <w:tabs>
          <w:tab w:val="left" w:pos="687"/>
        </w:tabs>
        <w:jc w:val="both"/>
        <w:rPr>
          <w:rFonts w:ascii="Arial" w:eastAsia="Times New Roman" w:hAnsi="Arial" w:cs="Arial"/>
          <w:sz w:val="22"/>
          <w:szCs w:val="22"/>
        </w:rPr>
      </w:pPr>
    </w:p>
    <w:p w:rsidR="00C66448" w:rsidRPr="00C66448" w:rsidRDefault="00C66448" w:rsidP="00DE1F06">
      <w:pPr>
        <w:numPr>
          <w:ilvl w:val="2"/>
          <w:numId w:val="12"/>
        </w:numPr>
        <w:tabs>
          <w:tab w:val="left" w:pos="850"/>
        </w:tabs>
        <w:jc w:val="both"/>
        <w:rPr>
          <w:rFonts w:ascii="Arial" w:eastAsia="Times New Roman" w:hAnsi="Arial" w:cs="Arial"/>
        </w:rPr>
      </w:pPr>
      <w:r w:rsidRPr="00C66448">
        <w:rPr>
          <w:rFonts w:ascii="Arial" w:eastAsia="Times New Roman" w:hAnsi="Arial" w:cs="Arial"/>
          <w:b/>
          <w:bCs/>
          <w:i/>
          <w:iCs/>
        </w:rPr>
        <w:t>Синдром множественных эндокринных неоплазий 1-го типа (МЭИ-1)</w:t>
      </w:r>
    </w:p>
    <w:p w:rsidR="00C66448" w:rsidRPr="00C66448" w:rsidRDefault="00C66448" w:rsidP="00DE1F06">
      <w:pPr>
        <w:jc w:val="both"/>
        <w:rPr>
          <w:rFonts w:ascii="Arial" w:eastAsia="Times New Roman" w:hAnsi="Arial" w:cs="Arial"/>
          <w:sz w:val="22"/>
          <w:szCs w:val="22"/>
        </w:rPr>
      </w:pPr>
      <w:r w:rsidRPr="00C66448">
        <w:rPr>
          <w:rFonts w:ascii="Arial" w:eastAsia="Times New Roman" w:hAnsi="Arial" w:cs="Arial"/>
          <w:sz w:val="22"/>
          <w:szCs w:val="22"/>
        </w:rPr>
        <w:t>Синдром МЭН-1 наследуется аутосомно-доминантно с высокой пенетрант</w:t>
      </w:r>
      <w:r w:rsidRPr="00C66448">
        <w:rPr>
          <w:rFonts w:ascii="Arial" w:eastAsia="Times New Roman" w:hAnsi="Arial" w:cs="Arial"/>
          <w:sz w:val="22"/>
          <w:szCs w:val="22"/>
        </w:rPr>
        <w:softHyphen/>
        <w:t>ностью и варьирующей экспрессивностью. Набор компонентов синдрома варьирует не только между семьями, но и внутри одной семьи, несколько членов которой имеют синдром МЭН</w:t>
      </w:r>
      <w:r w:rsidRPr="00C66448">
        <w:rPr>
          <w:rFonts w:ascii="Arial" w:eastAsia="Times New Roman" w:hAnsi="Arial" w:cs="Arial"/>
          <w:sz w:val="22"/>
          <w:szCs w:val="22"/>
          <w:lang w:eastAsia="en-US" w:bidi="en-US"/>
        </w:rPr>
        <w:t>-</w:t>
      </w:r>
      <w:r w:rsidRPr="00C66448">
        <w:rPr>
          <w:rFonts w:ascii="Arial" w:eastAsia="Times New Roman" w:hAnsi="Arial" w:cs="Arial"/>
          <w:sz w:val="22"/>
          <w:szCs w:val="22"/>
          <w:lang w:val="en-US" w:eastAsia="en-US" w:bidi="en-US"/>
        </w:rPr>
        <w:t>I</w:t>
      </w:r>
      <w:r w:rsidRPr="00C66448">
        <w:rPr>
          <w:rFonts w:ascii="Arial" w:eastAsia="Times New Roman" w:hAnsi="Arial" w:cs="Arial"/>
          <w:sz w:val="22"/>
          <w:szCs w:val="22"/>
          <w:lang w:eastAsia="en-US" w:bidi="en-US"/>
        </w:rPr>
        <w:t xml:space="preserve">. </w:t>
      </w:r>
      <w:r w:rsidRPr="00C66448">
        <w:rPr>
          <w:rFonts w:ascii="Arial" w:eastAsia="Times New Roman" w:hAnsi="Arial" w:cs="Arial"/>
          <w:sz w:val="22"/>
          <w:szCs w:val="22"/>
        </w:rPr>
        <w:t>В большинстве случаев встречает</w:t>
      </w:r>
      <w:r w:rsidRPr="00C66448">
        <w:rPr>
          <w:rFonts w:ascii="Arial" w:eastAsia="Times New Roman" w:hAnsi="Arial" w:cs="Arial"/>
          <w:sz w:val="22"/>
          <w:szCs w:val="22"/>
        </w:rPr>
        <w:softHyphen/>
        <w:t>ся сочетание двух эндокринных опухолей.</w:t>
      </w:r>
    </w:p>
    <w:p w:rsidR="00C66448" w:rsidRPr="00C66448" w:rsidRDefault="00C66448" w:rsidP="00DE1F06">
      <w:pPr>
        <w:ind w:firstLine="420"/>
        <w:jc w:val="both"/>
        <w:rPr>
          <w:rFonts w:ascii="Arial" w:eastAsia="Times New Roman" w:hAnsi="Arial" w:cs="Arial"/>
          <w:sz w:val="22"/>
          <w:szCs w:val="22"/>
        </w:rPr>
      </w:pPr>
      <w:r w:rsidRPr="00C66448">
        <w:rPr>
          <w:rFonts w:ascii="Arial" w:eastAsia="Times New Roman" w:hAnsi="Arial" w:cs="Arial"/>
          <w:sz w:val="22"/>
          <w:szCs w:val="22"/>
        </w:rPr>
        <w:t>Патогенез. Патогенез синдрома МЭН-1 заключается в инактива</w:t>
      </w:r>
      <w:r w:rsidRPr="00C66448">
        <w:rPr>
          <w:rFonts w:ascii="Arial" w:eastAsia="Times New Roman" w:hAnsi="Arial" w:cs="Arial"/>
          <w:sz w:val="22"/>
          <w:szCs w:val="22"/>
        </w:rPr>
        <w:softHyphen/>
        <w:t xml:space="preserve">ции гена, подавляющего рост опухолей, локализованного на хромосоме 11 (регион </w:t>
      </w:r>
      <w:r w:rsidRPr="00C66448">
        <w:rPr>
          <w:rFonts w:ascii="Arial" w:eastAsia="Times New Roman" w:hAnsi="Arial" w:cs="Arial"/>
          <w:sz w:val="22"/>
          <w:szCs w:val="22"/>
          <w:lang w:val="en-US" w:eastAsia="en-US" w:bidi="en-US"/>
        </w:rPr>
        <w:t>llqI</w:t>
      </w:r>
      <w:r w:rsidRPr="00C66448">
        <w:rPr>
          <w:rFonts w:ascii="Arial" w:eastAsia="Times New Roman" w:hAnsi="Arial" w:cs="Arial"/>
          <w:sz w:val="22"/>
          <w:szCs w:val="22"/>
          <w:lang w:eastAsia="en-US" w:bidi="en-US"/>
        </w:rPr>
        <w:t xml:space="preserve">3). </w:t>
      </w:r>
      <w:r w:rsidRPr="00C66448">
        <w:rPr>
          <w:rFonts w:ascii="Arial" w:eastAsia="Times New Roman" w:hAnsi="Arial" w:cs="Arial"/>
          <w:sz w:val="22"/>
          <w:szCs w:val="22"/>
        </w:rPr>
        <w:t>Развитие опухоли происходит при инактивации обоих алле</w:t>
      </w:r>
      <w:r w:rsidRPr="00C66448">
        <w:rPr>
          <w:rFonts w:ascii="Arial" w:eastAsia="Times New Roman" w:hAnsi="Arial" w:cs="Arial"/>
          <w:sz w:val="22"/>
          <w:szCs w:val="22"/>
        </w:rPr>
        <w:softHyphen/>
        <w:t xml:space="preserve">лей инактивирующего гена. Потери гетерозиготности региона 1 </w:t>
      </w:r>
      <w:r w:rsidRPr="00C66448">
        <w:rPr>
          <w:rFonts w:ascii="Arial" w:eastAsia="Times New Roman" w:hAnsi="Arial" w:cs="Arial"/>
          <w:sz w:val="22"/>
          <w:szCs w:val="22"/>
          <w:lang w:val="en-US" w:eastAsia="en-US" w:bidi="en-US"/>
        </w:rPr>
        <w:t>lql</w:t>
      </w:r>
      <w:r w:rsidRPr="00C66448">
        <w:rPr>
          <w:rFonts w:ascii="Arial" w:eastAsia="Times New Roman" w:hAnsi="Arial" w:cs="Arial"/>
          <w:sz w:val="22"/>
          <w:szCs w:val="22"/>
          <w:lang w:eastAsia="en-US" w:bidi="en-US"/>
        </w:rPr>
        <w:t xml:space="preserve">3 </w:t>
      </w:r>
      <w:r w:rsidRPr="00C66448">
        <w:rPr>
          <w:rFonts w:ascii="Arial" w:eastAsia="Times New Roman" w:hAnsi="Arial" w:cs="Arial"/>
          <w:sz w:val="22"/>
          <w:szCs w:val="22"/>
        </w:rPr>
        <w:t>были обнаружены в подавляющем большинстве семейных случаев, а также при спорадически встречающемся синдроме МЭН-1.</w:t>
      </w:r>
    </w:p>
    <w:p w:rsidR="00C66448" w:rsidRPr="00C66448" w:rsidRDefault="00C66448" w:rsidP="00DE1F06">
      <w:pPr>
        <w:ind w:firstLine="420"/>
        <w:jc w:val="both"/>
        <w:rPr>
          <w:rFonts w:ascii="Arial" w:eastAsia="Times New Roman" w:hAnsi="Arial" w:cs="Arial"/>
          <w:sz w:val="22"/>
          <w:szCs w:val="22"/>
        </w:rPr>
      </w:pPr>
      <w:r w:rsidRPr="00C66448">
        <w:rPr>
          <w:rFonts w:ascii="Arial" w:eastAsia="Times New Roman" w:hAnsi="Arial" w:cs="Arial"/>
          <w:sz w:val="22"/>
          <w:szCs w:val="22"/>
        </w:rPr>
        <w:t>Клиническая картина. Наиболее манифестным компонен</w:t>
      </w:r>
      <w:r w:rsidRPr="00C66448">
        <w:rPr>
          <w:rFonts w:ascii="Arial" w:eastAsia="Times New Roman" w:hAnsi="Arial" w:cs="Arial"/>
          <w:sz w:val="22"/>
          <w:szCs w:val="22"/>
        </w:rPr>
        <w:softHyphen/>
        <w:t>том синдрома МЭН-1, как правило, является первичный гиперпаратиреоз (97 % больных), далее следуют островково-клеточные опухоли (80 %) и опухоли аденогипофиза (54 %). На момент постановки диагноза все 3 ком</w:t>
      </w:r>
      <w:r w:rsidRPr="00C66448">
        <w:rPr>
          <w:rFonts w:ascii="Arial" w:eastAsia="Times New Roman" w:hAnsi="Arial" w:cs="Arial"/>
          <w:sz w:val="22"/>
          <w:szCs w:val="22"/>
        </w:rPr>
        <w:softHyphen/>
        <w:t>понента МЭН-1 имеют место только в трети случаев.</w:t>
      </w:r>
    </w:p>
    <w:p w:rsidR="00C66448" w:rsidRPr="00C66448" w:rsidRDefault="00C66448" w:rsidP="00DE1F06">
      <w:pPr>
        <w:ind w:firstLine="420"/>
        <w:jc w:val="both"/>
        <w:rPr>
          <w:rFonts w:ascii="Arial" w:eastAsia="Times New Roman" w:hAnsi="Arial" w:cs="Arial"/>
          <w:sz w:val="22"/>
          <w:szCs w:val="22"/>
        </w:rPr>
      </w:pPr>
      <w:r w:rsidRPr="00C66448">
        <w:rPr>
          <w:rFonts w:ascii="Arial" w:eastAsia="Times New Roman" w:hAnsi="Arial" w:cs="Arial"/>
          <w:sz w:val="22"/>
          <w:szCs w:val="22"/>
        </w:rPr>
        <w:t>Первичный гиперпаратиреоз при МЭН по своим проявлениям не отли</w:t>
      </w:r>
      <w:r w:rsidRPr="00C66448">
        <w:rPr>
          <w:rFonts w:ascii="Arial" w:eastAsia="Times New Roman" w:hAnsi="Arial" w:cs="Arial"/>
          <w:sz w:val="22"/>
          <w:szCs w:val="22"/>
        </w:rPr>
        <w:softHyphen/>
        <w:t>чается от спорадических форм. Особенностью является высокая частота ре</w:t>
      </w:r>
      <w:r w:rsidRPr="00C66448">
        <w:rPr>
          <w:rFonts w:ascii="Arial" w:eastAsia="Times New Roman" w:hAnsi="Arial" w:cs="Arial"/>
          <w:sz w:val="22"/>
          <w:szCs w:val="22"/>
        </w:rPr>
        <w:softHyphen/>
        <w:t>цидивов после субтотальной паратироидэктомии. Обнаружение гиперпла</w:t>
      </w:r>
      <w:r w:rsidRPr="00C66448">
        <w:rPr>
          <w:rFonts w:ascii="Arial" w:eastAsia="Times New Roman" w:hAnsi="Arial" w:cs="Arial"/>
          <w:sz w:val="22"/>
          <w:szCs w:val="22"/>
        </w:rPr>
        <w:softHyphen/>
        <w:t>зии четырех паращитовидных желез является поводом для целенаправлен</w:t>
      </w:r>
      <w:r w:rsidRPr="00C66448">
        <w:rPr>
          <w:rFonts w:ascii="Arial" w:eastAsia="Times New Roman" w:hAnsi="Arial" w:cs="Arial"/>
          <w:sz w:val="22"/>
          <w:szCs w:val="22"/>
        </w:rPr>
        <w:softHyphen/>
        <w:t>ного поиска МЭН-1 и МЭН-2. На долю МЭН приходится 10—15 % всех случаев первичного гиперпаратиреоза. Следует отметить, что нехарактер</w:t>
      </w:r>
      <w:r w:rsidRPr="00C66448">
        <w:rPr>
          <w:rFonts w:ascii="Arial" w:eastAsia="Times New Roman" w:hAnsi="Arial" w:cs="Arial"/>
          <w:sz w:val="22"/>
          <w:szCs w:val="22"/>
        </w:rPr>
        <w:softHyphen/>
        <w:t>ное для гиперпаратиреоза тяжелое течение и частые рецидивы пептических язв требуют исключения гастриномы и, таким образом, МЭН-1.</w:t>
      </w:r>
    </w:p>
    <w:p w:rsidR="00C66448" w:rsidRPr="00C66448" w:rsidRDefault="00C66448" w:rsidP="00DE1F06">
      <w:pPr>
        <w:ind w:firstLine="420"/>
        <w:jc w:val="both"/>
        <w:rPr>
          <w:rFonts w:ascii="Arial" w:eastAsia="Times New Roman" w:hAnsi="Arial" w:cs="Arial"/>
          <w:sz w:val="22"/>
          <w:szCs w:val="22"/>
        </w:rPr>
      </w:pPr>
      <w:r w:rsidRPr="00C66448">
        <w:rPr>
          <w:rFonts w:ascii="Arial" w:eastAsia="Times New Roman" w:hAnsi="Arial" w:cs="Arial"/>
          <w:sz w:val="22"/>
          <w:szCs w:val="22"/>
        </w:rPr>
        <w:t>Среди островково-клеточных опухолей при МЭН-1 чаще всего выявля</w:t>
      </w:r>
      <w:r w:rsidRPr="00C66448">
        <w:rPr>
          <w:rFonts w:ascii="Arial" w:eastAsia="Times New Roman" w:hAnsi="Arial" w:cs="Arial"/>
          <w:sz w:val="22"/>
          <w:szCs w:val="22"/>
        </w:rPr>
        <w:softHyphen/>
        <w:t>ются гастриномы (25—60 % всех гастрином обнаруживается при МЭН-1) и инсулиномы. Значительно реже встречаются випомы, глюкагономы и функционально неактивные эндокринные опухоли или карциноиды.</w:t>
      </w:r>
    </w:p>
    <w:p w:rsidR="00C66448" w:rsidRPr="00C66448" w:rsidRDefault="00C66448" w:rsidP="00DE1F06">
      <w:pPr>
        <w:ind w:firstLine="420"/>
        <w:jc w:val="both"/>
        <w:rPr>
          <w:rFonts w:ascii="Arial" w:eastAsia="Times New Roman" w:hAnsi="Arial" w:cs="Arial"/>
          <w:sz w:val="22"/>
          <w:szCs w:val="22"/>
        </w:rPr>
      </w:pPr>
      <w:r w:rsidRPr="00C66448">
        <w:rPr>
          <w:rFonts w:ascii="Arial" w:eastAsia="Times New Roman" w:hAnsi="Arial" w:cs="Arial"/>
          <w:sz w:val="22"/>
          <w:szCs w:val="22"/>
        </w:rPr>
        <w:t>Опухоли аденогипофиза обнаруживаются у половины пациентов. Наи</w:t>
      </w:r>
      <w:r w:rsidRPr="00C66448">
        <w:rPr>
          <w:rFonts w:ascii="Arial" w:eastAsia="Times New Roman" w:hAnsi="Arial" w:cs="Arial"/>
          <w:sz w:val="22"/>
          <w:szCs w:val="22"/>
        </w:rPr>
        <w:softHyphen/>
        <w:t>более часто встречаются пролактиномы, реже соматотропиномы или гор</w:t>
      </w:r>
      <w:r w:rsidRPr="00C66448">
        <w:rPr>
          <w:rFonts w:ascii="Arial" w:eastAsia="Times New Roman" w:hAnsi="Arial" w:cs="Arial"/>
          <w:sz w:val="22"/>
          <w:szCs w:val="22"/>
        </w:rPr>
        <w:softHyphen/>
        <w:t>монально-неактивные опухоли, крайне редко кортикотропиномы.</w:t>
      </w:r>
    </w:p>
    <w:p w:rsidR="00C66448" w:rsidRPr="00C66448" w:rsidRDefault="00C66448" w:rsidP="00DE1F06">
      <w:pPr>
        <w:ind w:firstLine="420"/>
        <w:jc w:val="both"/>
        <w:rPr>
          <w:rFonts w:ascii="Arial" w:eastAsia="Times New Roman" w:hAnsi="Arial" w:cs="Arial"/>
          <w:sz w:val="22"/>
          <w:szCs w:val="22"/>
        </w:rPr>
      </w:pPr>
      <w:r w:rsidRPr="00C66448">
        <w:rPr>
          <w:rFonts w:ascii="Arial" w:eastAsia="Times New Roman" w:hAnsi="Arial" w:cs="Arial"/>
          <w:sz w:val="22"/>
          <w:szCs w:val="22"/>
        </w:rPr>
        <w:t>Диагностика. Диагностика синдрома МЭН-1 строится на прин</w:t>
      </w:r>
      <w:r w:rsidRPr="00C66448">
        <w:rPr>
          <w:rFonts w:ascii="Arial" w:eastAsia="Times New Roman" w:hAnsi="Arial" w:cs="Arial"/>
          <w:sz w:val="22"/>
          <w:szCs w:val="22"/>
        </w:rPr>
        <w:softHyphen/>
        <w:t>ципах, описанных для спорадических опухолей. Семейному скринингу при МЭН-1 с интервалом 1 раз в 2 года подлежат все родственники больного первой и второй степени родства от 15 до 65 лет (табл. 13.12).</w:t>
      </w:r>
    </w:p>
    <w:p w:rsidR="00C66448" w:rsidRPr="00C66448" w:rsidRDefault="00C66448" w:rsidP="00DE1F06">
      <w:pPr>
        <w:ind w:firstLine="420"/>
        <w:jc w:val="both"/>
        <w:rPr>
          <w:rFonts w:ascii="Arial" w:eastAsia="Times New Roman" w:hAnsi="Arial" w:cs="Arial"/>
          <w:sz w:val="22"/>
          <w:szCs w:val="22"/>
        </w:rPr>
      </w:pPr>
      <w:r w:rsidRPr="00C66448">
        <w:rPr>
          <w:rFonts w:ascii="Arial" w:eastAsia="Times New Roman" w:hAnsi="Arial" w:cs="Arial"/>
          <w:sz w:val="22"/>
          <w:szCs w:val="22"/>
        </w:rPr>
        <w:t>Лечение. Лечение также строится на принципах, описанных для спорадических опухолей. При сочетании гиперпаратиреоза с синдромом</w:t>
      </w:r>
    </w:p>
    <w:p w:rsidR="00C66448" w:rsidRPr="00C66448" w:rsidRDefault="00C66448" w:rsidP="00DE1F06">
      <w:pPr>
        <w:rPr>
          <w:rFonts w:ascii="Arial" w:eastAsia="Times New Roman" w:hAnsi="Arial" w:cs="Arial"/>
          <w:sz w:val="19"/>
          <w:szCs w:val="19"/>
        </w:rPr>
      </w:pPr>
      <w:r w:rsidRPr="00C66448">
        <w:rPr>
          <w:rFonts w:ascii="Arial" w:eastAsia="Times New Roman" w:hAnsi="Arial" w:cs="Arial"/>
          <w:b/>
          <w:bCs/>
          <w:sz w:val="19"/>
          <w:szCs w:val="19"/>
        </w:rPr>
        <w:t xml:space="preserve">Таблица </w:t>
      </w:r>
      <w:r w:rsidRPr="00C66448">
        <w:rPr>
          <w:rFonts w:ascii="Arial" w:eastAsia="Times New Roman" w:hAnsi="Arial" w:cs="Arial"/>
          <w:sz w:val="19"/>
          <w:szCs w:val="19"/>
        </w:rPr>
        <w:t xml:space="preserve">13.12. </w:t>
      </w:r>
      <w:r w:rsidRPr="00C66448">
        <w:rPr>
          <w:rFonts w:ascii="Arial" w:eastAsia="Times New Roman" w:hAnsi="Arial" w:cs="Arial"/>
          <w:b/>
          <w:bCs/>
          <w:sz w:val="19"/>
          <w:szCs w:val="19"/>
        </w:rPr>
        <w:t>Лабораторные исследования при синдроме МЭН-1</w:t>
      </w:r>
    </w:p>
    <w:tbl>
      <w:tblPr>
        <w:tblOverlap w:val="never"/>
        <w:tblW w:w="0" w:type="auto"/>
        <w:jc w:val="center"/>
        <w:tblLayout w:type="fixed"/>
        <w:tblCellMar>
          <w:left w:w="10" w:type="dxa"/>
          <w:right w:w="10" w:type="dxa"/>
        </w:tblCellMar>
        <w:tblLook w:val="0000" w:firstRow="0" w:lastRow="0" w:firstColumn="0" w:lastColumn="0" w:noHBand="0" w:noVBand="0"/>
      </w:tblPr>
      <w:tblGrid>
        <w:gridCol w:w="2664"/>
        <w:gridCol w:w="1512"/>
        <w:gridCol w:w="3312"/>
      </w:tblGrid>
      <w:tr w:rsidR="00C66448" w:rsidRPr="00C66448" w:rsidTr="004B0B65">
        <w:trPr>
          <w:trHeight w:hRule="exact" w:val="518"/>
          <w:jc w:val="center"/>
        </w:trPr>
        <w:tc>
          <w:tcPr>
            <w:tcW w:w="2664" w:type="dxa"/>
            <w:tcBorders>
              <w:top w:val="single" w:sz="4" w:space="0" w:color="auto"/>
              <w:left w:val="single" w:sz="4" w:space="0" w:color="auto"/>
            </w:tcBorders>
            <w:shd w:val="clear" w:color="auto" w:fill="auto"/>
            <w:vAlign w:val="center"/>
          </w:tcPr>
          <w:p w:rsidR="00C66448" w:rsidRPr="00C66448" w:rsidRDefault="00C66448" w:rsidP="00DE1F06">
            <w:pPr>
              <w:jc w:val="center"/>
              <w:rPr>
                <w:rFonts w:ascii="Arial" w:eastAsia="Times New Roman" w:hAnsi="Arial" w:cs="Arial"/>
                <w:sz w:val="18"/>
                <w:szCs w:val="18"/>
              </w:rPr>
            </w:pPr>
            <w:r w:rsidRPr="00C66448">
              <w:rPr>
                <w:rFonts w:ascii="Arial" w:eastAsia="Times New Roman" w:hAnsi="Arial" w:cs="Arial"/>
                <w:sz w:val="18"/>
                <w:szCs w:val="18"/>
              </w:rPr>
              <w:t>Параметр</w:t>
            </w:r>
          </w:p>
        </w:tc>
        <w:tc>
          <w:tcPr>
            <w:tcW w:w="1512" w:type="dxa"/>
            <w:tcBorders>
              <w:top w:val="single" w:sz="4" w:space="0" w:color="auto"/>
              <w:left w:val="single" w:sz="4" w:space="0" w:color="auto"/>
            </w:tcBorders>
            <w:shd w:val="clear" w:color="auto" w:fill="auto"/>
            <w:vAlign w:val="center"/>
          </w:tcPr>
          <w:p w:rsidR="00C66448" w:rsidRPr="00C66448" w:rsidRDefault="00C66448" w:rsidP="00DE1F06">
            <w:pPr>
              <w:jc w:val="center"/>
              <w:rPr>
                <w:rFonts w:ascii="Arial" w:eastAsia="Times New Roman" w:hAnsi="Arial" w:cs="Arial"/>
                <w:sz w:val="18"/>
                <w:szCs w:val="18"/>
              </w:rPr>
            </w:pPr>
            <w:r w:rsidRPr="00C66448">
              <w:rPr>
                <w:rFonts w:ascii="Arial" w:eastAsia="Times New Roman" w:hAnsi="Arial" w:cs="Arial"/>
                <w:sz w:val="18"/>
                <w:szCs w:val="18"/>
              </w:rPr>
              <w:t>Первичное исследование</w:t>
            </w:r>
          </w:p>
        </w:tc>
        <w:tc>
          <w:tcPr>
            <w:tcW w:w="3312" w:type="dxa"/>
            <w:tcBorders>
              <w:top w:val="single" w:sz="4" w:space="0" w:color="auto"/>
              <w:left w:val="single" w:sz="4" w:space="0" w:color="auto"/>
              <w:right w:val="single" w:sz="4" w:space="0" w:color="auto"/>
            </w:tcBorders>
            <w:shd w:val="clear" w:color="auto" w:fill="auto"/>
            <w:vAlign w:val="center"/>
          </w:tcPr>
          <w:p w:rsidR="00C66448" w:rsidRPr="00C66448" w:rsidRDefault="00C66448" w:rsidP="00DE1F06">
            <w:pPr>
              <w:ind w:firstLine="580"/>
              <w:rPr>
                <w:rFonts w:ascii="Arial" w:eastAsia="Times New Roman" w:hAnsi="Arial" w:cs="Arial"/>
                <w:sz w:val="18"/>
                <w:szCs w:val="18"/>
              </w:rPr>
            </w:pPr>
            <w:r w:rsidRPr="00C66448">
              <w:rPr>
                <w:rFonts w:ascii="Arial" w:eastAsia="Times New Roman" w:hAnsi="Arial" w:cs="Arial"/>
                <w:sz w:val="18"/>
                <w:szCs w:val="18"/>
              </w:rPr>
              <w:t>Углубленное исследование</w:t>
            </w:r>
          </w:p>
        </w:tc>
      </w:tr>
      <w:tr w:rsidR="00C66448" w:rsidRPr="00C66448" w:rsidTr="004B0B65">
        <w:trPr>
          <w:trHeight w:hRule="exact" w:val="1517"/>
          <w:jc w:val="center"/>
        </w:trPr>
        <w:tc>
          <w:tcPr>
            <w:tcW w:w="2664" w:type="dxa"/>
            <w:tcBorders>
              <w:top w:val="single" w:sz="4" w:space="0" w:color="auto"/>
              <w:left w:val="single" w:sz="4" w:space="0" w:color="auto"/>
              <w:bottom w:val="single" w:sz="4" w:space="0" w:color="auto"/>
            </w:tcBorders>
            <w:shd w:val="clear" w:color="auto" w:fill="auto"/>
            <w:vAlign w:val="center"/>
          </w:tcPr>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Кальций, ммоль/л</w:t>
            </w:r>
          </w:p>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Гастрин, пг/мл</w:t>
            </w:r>
          </w:p>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Глюкоза натощак, ммоль/л</w:t>
            </w:r>
          </w:p>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Пролактин, пг/мл</w:t>
            </w:r>
          </w:p>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Гормон роста, нг/мл</w:t>
            </w:r>
          </w:p>
        </w:tc>
        <w:tc>
          <w:tcPr>
            <w:tcW w:w="1512" w:type="dxa"/>
            <w:tcBorders>
              <w:top w:val="single" w:sz="4" w:space="0" w:color="auto"/>
              <w:left w:val="single" w:sz="4" w:space="0" w:color="auto"/>
              <w:bottom w:val="single" w:sz="4" w:space="0" w:color="auto"/>
            </w:tcBorders>
            <w:shd w:val="clear" w:color="auto" w:fill="auto"/>
            <w:vAlign w:val="center"/>
          </w:tcPr>
          <w:p w:rsidR="00C66448" w:rsidRPr="00C66448" w:rsidRDefault="00C66448" w:rsidP="00DE1F06">
            <w:pPr>
              <w:jc w:val="center"/>
              <w:rPr>
                <w:rFonts w:ascii="Arial" w:eastAsia="Times New Roman" w:hAnsi="Arial" w:cs="Arial"/>
                <w:sz w:val="19"/>
                <w:szCs w:val="19"/>
              </w:rPr>
            </w:pPr>
            <w:r w:rsidRPr="00C66448">
              <w:rPr>
                <w:rFonts w:ascii="Arial" w:eastAsia="Times New Roman" w:hAnsi="Arial" w:cs="Arial"/>
                <w:sz w:val="19"/>
                <w:szCs w:val="19"/>
              </w:rPr>
              <w:t>&gt;2,6</w:t>
            </w:r>
          </w:p>
          <w:p w:rsidR="00C66448" w:rsidRPr="00C66448" w:rsidRDefault="00C66448" w:rsidP="00DE1F06">
            <w:pPr>
              <w:jc w:val="center"/>
              <w:rPr>
                <w:rFonts w:ascii="Arial" w:eastAsia="Times New Roman" w:hAnsi="Arial" w:cs="Arial"/>
                <w:sz w:val="19"/>
                <w:szCs w:val="19"/>
              </w:rPr>
            </w:pPr>
            <w:r w:rsidRPr="00C66448">
              <w:rPr>
                <w:rFonts w:ascii="Arial" w:eastAsia="Times New Roman" w:hAnsi="Arial" w:cs="Arial"/>
                <w:sz w:val="19"/>
                <w:szCs w:val="19"/>
              </w:rPr>
              <w:t>&gt;100</w:t>
            </w:r>
          </w:p>
          <w:p w:rsidR="00C66448" w:rsidRPr="00C66448" w:rsidRDefault="00C66448" w:rsidP="00DE1F06">
            <w:pPr>
              <w:jc w:val="center"/>
              <w:rPr>
                <w:rFonts w:ascii="Arial" w:eastAsia="Times New Roman" w:hAnsi="Arial" w:cs="Arial"/>
                <w:sz w:val="19"/>
                <w:szCs w:val="19"/>
              </w:rPr>
            </w:pPr>
            <w:r w:rsidRPr="00C66448">
              <w:rPr>
                <w:rFonts w:ascii="Arial" w:eastAsia="Times New Roman" w:hAnsi="Arial" w:cs="Arial"/>
                <w:sz w:val="19"/>
                <w:szCs w:val="19"/>
              </w:rPr>
              <w:t>&lt;2,2 &gt;20 &gt;5</w:t>
            </w:r>
          </w:p>
        </w:tc>
        <w:tc>
          <w:tcPr>
            <w:tcW w:w="3312" w:type="dxa"/>
            <w:tcBorders>
              <w:top w:val="single" w:sz="4" w:space="0" w:color="auto"/>
              <w:left w:val="single" w:sz="4" w:space="0" w:color="auto"/>
              <w:bottom w:val="single" w:sz="4" w:space="0" w:color="auto"/>
              <w:right w:val="single" w:sz="4" w:space="0" w:color="auto"/>
            </w:tcBorders>
            <w:shd w:val="clear" w:color="auto" w:fill="auto"/>
            <w:vAlign w:val="center"/>
          </w:tcPr>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Интактный паратгормон</w:t>
            </w:r>
          </w:p>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Тест с секретином</w:t>
            </w:r>
          </w:p>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Проба с голоданием</w:t>
            </w:r>
          </w:p>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МРТ гипофиза</w:t>
            </w:r>
          </w:p>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Проба с глюкозой, соматомедин-С</w:t>
            </w:r>
          </w:p>
        </w:tc>
      </w:tr>
    </w:tbl>
    <w:p w:rsidR="00C66448" w:rsidRPr="00C66448" w:rsidRDefault="00C66448" w:rsidP="00DE1F06">
      <w:pPr>
        <w:jc w:val="both"/>
        <w:rPr>
          <w:rFonts w:ascii="Arial" w:eastAsia="Times New Roman" w:hAnsi="Arial" w:cs="Arial"/>
          <w:sz w:val="22"/>
          <w:szCs w:val="22"/>
        </w:rPr>
      </w:pPr>
      <w:r w:rsidRPr="00C66448">
        <w:rPr>
          <w:rFonts w:ascii="Arial" w:eastAsia="Times New Roman" w:hAnsi="Arial" w:cs="Arial"/>
          <w:sz w:val="22"/>
          <w:szCs w:val="22"/>
        </w:rPr>
        <w:t>Золлингера—Эллисона вначале добиваются полного подавления желудоч</w:t>
      </w:r>
      <w:r w:rsidRPr="00C66448">
        <w:rPr>
          <w:rFonts w:ascii="Arial" w:eastAsia="Times New Roman" w:hAnsi="Arial" w:cs="Arial"/>
          <w:sz w:val="22"/>
          <w:szCs w:val="22"/>
        </w:rPr>
        <w:softHyphen/>
        <w:t>ной секреции с помощью блокатора протонной помпы омепразола, затем производят субтотальную (</w:t>
      </w:r>
      <w:r w:rsidRPr="00C66448">
        <w:rPr>
          <w:rFonts w:ascii="Arial" w:eastAsia="Times New Roman" w:hAnsi="Arial" w:cs="Arial"/>
          <w:sz w:val="22"/>
          <w:szCs w:val="22"/>
          <w:vertAlign w:val="superscript"/>
        </w:rPr>
        <w:t>7</w:t>
      </w:r>
      <w:r w:rsidRPr="00C66448">
        <w:rPr>
          <w:rFonts w:ascii="Arial" w:eastAsia="Times New Roman" w:hAnsi="Arial" w:cs="Arial"/>
          <w:sz w:val="22"/>
          <w:szCs w:val="22"/>
        </w:rPr>
        <w:t>/§ всех желез) паратиреоидэктомию или полное удаление паращитовидных желез с последующей подсадкой аутотрансплан</w:t>
      </w:r>
      <w:r w:rsidRPr="00C66448">
        <w:rPr>
          <w:rFonts w:ascii="Arial" w:eastAsia="Times New Roman" w:hAnsi="Arial" w:cs="Arial"/>
          <w:sz w:val="22"/>
          <w:szCs w:val="22"/>
        </w:rPr>
        <w:softHyphen/>
        <w:t xml:space="preserve">тата в клетчатку предплечья; после этого производят операцию по поводу гастриномы. При сочетании других опухолей вопрос о </w:t>
      </w:r>
      <w:r w:rsidRPr="00C66448">
        <w:rPr>
          <w:rFonts w:ascii="Arial" w:eastAsia="Times New Roman" w:hAnsi="Arial" w:cs="Arial"/>
          <w:sz w:val="22"/>
          <w:szCs w:val="22"/>
        </w:rPr>
        <w:lastRenderedPageBreak/>
        <w:t>последовательности операций решается индивидуально.</w:t>
      </w:r>
    </w:p>
    <w:p w:rsidR="00C66448" w:rsidRPr="004B0B65" w:rsidRDefault="00C66448" w:rsidP="00DE1F06">
      <w:pPr>
        <w:tabs>
          <w:tab w:val="left" w:pos="687"/>
        </w:tabs>
        <w:jc w:val="both"/>
        <w:rPr>
          <w:rFonts w:ascii="Arial" w:eastAsia="Times New Roman" w:hAnsi="Arial" w:cs="Arial"/>
          <w:sz w:val="22"/>
          <w:szCs w:val="22"/>
        </w:rPr>
      </w:pPr>
    </w:p>
    <w:p w:rsidR="00C66448" w:rsidRPr="00C66448" w:rsidRDefault="00C66448" w:rsidP="00DE1F06">
      <w:pPr>
        <w:numPr>
          <w:ilvl w:val="2"/>
          <w:numId w:val="12"/>
        </w:numPr>
        <w:tabs>
          <w:tab w:val="left" w:pos="865"/>
        </w:tabs>
        <w:jc w:val="both"/>
        <w:rPr>
          <w:rFonts w:ascii="Arial" w:eastAsia="Times New Roman" w:hAnsi="Arial" w:cs="Arial"/>
        </w:rPr>
      </w:pPr>
      <w:r w:rsidRPr="00C66448">
        <w:rPr>
          <w:rFonts w:ascii="Arial" w:eastAsia="Times New Roman" w:hAnsi="Arial" w:cs="Arial"/>
          <w:b/>
          <w:bCs/>
          <w:i/>
          <w:iCs/>
        </w:rPr>
        <w:t>Синдром множественных эндокринных неоплазий 2-го типа</w:t>
      </w:r>
    </w:p>
    <w:p w:rsidR="00C66448" w:rsidRPr="00C66448" w:rsidRDefault="00C66448" w:rsidP="00DE1F06">
      <w:pPr>
        <w:jc w:val="both"/>
        <w:rPr>
          <w:rFonts w:ascii="Arial" w:eastAsia="Times New Roman" w:hAnsi="Arial" w:cs="Arial"/>
          <w:sz w:val="22"/>
          <w:szCs w:val="22"/>
        </w:rPr>
      </w:pPr>
      <w:r w:rsidRPr="00C66448">
        <w:rPr>
          <w:rFonts w:ascii="Arial" w:eastAsia="Times New Roman" w:hAnsi="Arial" w:cs="Arial"/>
          <w:b/>
          <w:bCs/>
          <w:sz w:val="22"/>
          <w:szCs w:val="22"/>
        </w:rPr>
        <w:t xml:space="preserve">Синдром Сиппла (МЭН-2А) — </w:t>
      </w:r>
      <w:r w:rsidRPr="00C66448">
        <w:rPr>
          <w:rFonts w:ascii="Arial" w:eastAsia="Times New Roman" w:hAnsi="Arial" w:cs="Arial"/>
          <w:sz w:val="22"/>
          <w:szCs w:val="22"/>
        </w:rPr>
        <w:t>наиболее частый и хорошо изученный вари</w:t>
      </w:r>
      <w:r w:rsidRPr="00C66448">
        <w:rPr>
          <w:rFonts w:ascii="Arial" w:eastAsia="Times New Roman" w:hAnsi="Arial" w:cs="Arial"/>
          <w:sz w:val="22"/>
          <w:szCs w:val="22"/>
        </w:rPr>
        <w:softHyphen/>
        <w:t>ант синдромов МЭН.</w:t>
      </w:r>
    </w:p>
    <w:p w:rsidR="00C66448" w:rsidRPr="00C66448" w:rsidRDefault="00C66448" w:rsidP="00DE1F06">
      <w:pPr>
        <w:ind w:firstLine="440"/>
        <w:jc w:val="both"/>
        <w:rPr>
          <w:rFonts w:ascii="Arial" w:eastAsia="Times New Roman" w:hAnsi="Arial" w:cs="Arial"/>
          <w:sz w:val="22"/>
          <w:szCs w:val="22"/>
        </w:rPr>
      </w:pPr>
      <w:r w:rsidRPr="00C66448">
        <w:rPr>
          <w:rFonts w:ascii="Arial" w:eastAsia="Times New Roman" w:hAnsi="Arial" w:cs="Arial"/>
          <w:sz w:val="22"/>
          <w:szCs w:val="22"/>
        </w:rPr>
        <w:t xml:space="preserve">Патогенез. Развитие синдрома МЭН-2 связано с мутациями </w:t>
      </w:r>
      <w:r w:rsidRPr="00C66448">
        <w:rPr>
          <w:rFonts w:ascii="Arial" w:eastAsia="Times New Roman" w:hAnsi="Arial" w:cs="Arial"/>
          <w:sz w:val="22"/>
          <w:szCs w:val="22"/>
          <w:lang w:val="en-US" w:eastAsia="en-US" w:bidi="en-US"/>
        </w:rPr>
        <w:t>RET</w:t>
      </w:r>
      <w:r w:rsidRPr="00C66448">
        <w:rPr>
          <w:rFonts w:ascii="Arial" w:eastAsia="Times New Roman" w:hAnsi="Arial" w:cs="Arial"/>
          <w:sz w:val="22"/>
          <w:szCs w:val="22"/>
          <w:lang w:eastAsia="en-US" w:bidi="en-US"/>
        </w:rPr>
        <w:t xml:space="preserve">- </w:t>
      </w:r>
      <w:r w:rsidRPr="00C66448">
        <w:rPr>
          <w:rFonts w:ascii="Arial" w:eastAsia="Times New Roman" w:hAnsi="Arial" w:cs="Arial"/>
          <w:sz w:val="22"/>
          <w:szCs w:val="22"/>
        </w:rPr>
        <w:t>протоонкогена, который локализован на хромосоме 10 (регион 10р11.2) и кодирует поверхностный мембранный гликопротеид, относящийся к се</w:t>
      </w:r>
      <w:r w:rsidRPr="00C66448">
        <w:rPr>
          <w:rFonts w:ascii="Arial" w:eastAsia="Times New Roman" w:hAnsi="Arial" w:cs="Arial"/>
          <w:sz w:val="22"/>
          <w:szCs w:val="22"/>
        </w:rPr>
        <w:softHyphen/>
        <w:t xml:space="preserve">мейству рецептора тирозинкиназы. Мутации </w:t>
      </w:r>
      <w:r w:rsidRPr="00C66448">
        <w:rPr>
          <w:rFonts w:ascii="Arial" w:eastAsia="Times New Roman" w:hAnsi="Arial" w:cs="Arial"/>
          <w:sz w:val="22"/>
          <w:szCs w:val="22"/>
          <w:lang w:val="en-US" w:eastAsia="en-US" w:bidi="en-US"/>
        </w:rPr>
        <w:t>RET</w:t>
      </w:r>
      <w:r w:rsidRPr="00C66448">
        <w:rPr>
          <w:rFonts w:ascii="Arial" w:eastAsia="Times New Roman" w:hAnsi="Arial" w:cs="Arial"/>
          <w:sz w:val="22"/>
          <w:szCs w:val="22"/>
        </w:rPr>
        <w:t>-протоонкогена выявле</w:t>
      </w:r>
      <w:r w:rsidRPr="00C66448">
        <w:rPr>
          <w:rFonts w:ascii="Arial" w:eastAsia="Times New Roman" w:hAnsi="Arial" w:cs="Arial"/>
          <w:sz w:val="22"/>
          <w:szCs w:val="22"/>
        </w:rPr>
        <w:softHyphen/>
        <w:t xml:space="preserve">ны у 87 % пациентов с синдромом МЭН-2. Тип мутации в значительной степени взаимосвязан с различными вариантами фенотипа синдрома МЭН-2. При МЭН-2А и семейной форме медуллярного рака щитовидной железы (МРЩЖ) выявляются миссенс-мутации, приводящие к замене аминокислот в экзонах экстрацеллюлярного домена кодируемого белка. При МЭН-2В практически всегда выявляется мутация в 918-м кодоне 16-го экзона. Мутации </w:t>
      </w:r>
      <w:r w:rsidRPr="00C66448">
        <w:rPr>
          <w:rFonts w:ascii="Arial" w:eastAsia="Times New Roman" w:hAnsi="Arial" w:cs="Arial"/>
          <w:sz w:val="22"/>
          <w:szCs w:val="22"/>
          <w:lang w:val="en-US" w:eastAsia="en-US" w:bidi="en-US"/>
        </w:rPr>
        <w:t>RET</w:t>
      </w:r>
      <w:r w:rsidRPr="00C66448">
        <w:rPr>
          <w:rFonts w:ascii="Arial" w:eastAsia="Times New Roman" w:hAnsi="Arial" w:cs="Arial"/>
          <w:sz w:val="22"/>
          <w:szCs w:val="22"/>
        </w:rPr>
        <w:t>-протоонкогена приводят к его активации, что в свою очередь обусловливает активацию клеточного роста, которая может закон</w:t>
      </w:r>
      <w:r w:rsidRPr="00C66448">
        <w:rPr>
          <w:rFonts w:ascii="Arial" w:eastAsia="Times New Roman" w:hAnsi="Arial" w:cs="Arial"/>
          <w:sz w:val="22"/>
          <w:szCs w:val="22"/>
        </w:rPr>
        <w:softHyphen/>
        <w:t>читься опухолевой трансформацией.</w:t>
      </w:r>
    </w:p>
    <w:p w:rsidR="00C66448" w:rsidRPr="00C66448" w:rsidRDefault="00C66448" w:rsidP="00DE1F06">
      <w:pPr>
        <w:ind w:firstLine="440"/>
        <w:jc w:val="both"/>
        <w:rPr>
          <w:rFonts w:ascii="Arial" w:eastAsia="Times New Roman" w:hAnsi="Arial" w:cs="Arial"/>
          <w:sz w:val="22"/>
          <w:szCs w:val="22"/>
        </w:rPr>
      </w:pPr>
      <w:r w:rsidRPr="00C66448">
        <w:rPr>
          <w:rFonts w:ascii="Arial" w:eastAsia="Times New Roman" w:hAnsi="Arial" w:cs="Arial"/>
          <w:sz w:val="22"/>
          <w:szCs w:val="22"/>
        </w:rPr>
        <w:t>Прогноз при синдроме МЭН-2 значительно хуже, чем при других вари</w:t>
      </w:r>
      <w:r w:rsidRPr="00C66448">
        <w:rPr>
          <w:rFonts w:ascii="Arial" w:eastAsia="Times New Roman" w:hAnsi="Arial" w:cs="Arial"/>
          <w:sz w:val="22"/>
          <w:szCs w:val="22"/>
        </w:rPr>
        <w:softHyphen/>
        <w:t>антах МЭН, поскольку он определяется такими тяжелейшими заболевания</w:t>
      </w:r>
      <w:r w:rsidRPr="00C66448">
        <w:rPr>
          <w:rFonts w:ascii="Arial" w:eastAsia="Times New Roman" w:hAnsi="Arial" w:cs="Arial"/>
          <w:sz w:val="22"/>
          <w:szCs w:val="22"/>
        </w:rPr>
        <w:softHyphen/>
        <w:t>ми, как медуллярный рак щитовидной железы и феохромоцитома.</w:t>
      </w:r>
    </w:p>
    <w:p w:rsidR="00C66448" w:rsidRPr="00C66448" w:rsidRDefault="00C66448" w:rsidP="00DE1F06">
      <w:pPr>
        <w:ind w:firstLine="440"/>
        <w:jc w:val="both"/>
        <w:rPr>
          <w:rFonts w:ascii="Arial" w:eastAsia="Times New Roman" w:hAnsi="Arial" w:cs="Arial"/>
          <w:sz w:val="22"/>
          <w:szCs w:val="22"/>
        </w:rPr>
      </w:pPr>
      <w:r w:rsidRPr="00C66448">
        <w:rPr>
          <w:rFonts w:ascii="Arial" w:eastAsia="Times New Roman" w:hAnsi="Arial" w:cs="Arial"/>
          <w:sz w:val="22"/>
          <w:szCs w:val="22"/>
        </w:rPr>
        <w:t>Клиническая картина. Медуллярный (С-клеточный) рак щи</w:t>
      </w:r>
      <w:r w:rsidRPr="00C66448">
        <w:rPr>
          <w:rFonts w:ascii="Arial" w:eastAsia="Times New Roman" w:hAnsi="Arial" w:cs="Arial"/>
          <w:sz w:val="22"/>
          <w:szCs w:val="22"/>
        </w:rPr>
        <w:softHyphen/>
        <w:t>товидной железы — опухоль парафолликулярных клеток щитовидной желе</w:t>
      </w:r>
      <w:r w:rsidRPr="00C66448">
        <w:rPr>
          <w:rFonts w:ascii="Arial" w:eastAsia="Times New Roman" w:hAnsi="Arial" w:cs="Arial"/>
          <w:sz w:val="22"/>
          <w:szCs w:val="22"/>
        </w:rPr>
        <w:softHyphen/>
        <w:t>зы, основным продуктом секреции которой является кальцитонин. Встре</w:t>
      </w:r>
      <w:r w:rsidRPr="00C66448">
        <w:rPr>
          <w:rFonts w:ascii="Arial" w:eastAsia="Times New Roman" w:hAnsi="Arial" w:cs="Arial"/>
          <w:sz w:val="22"/>
          <w:szCs w:val="22"/>
        </w:rPr>
        <w:softHyphen/>
        <w:t>чается в 5—12 % случаев злокачественных новообразований щитовидной железы. Выделяют 3 формы МРЩЖ:</w:t>
      </w:r>
    </w:p>
    <w:p w:rsidR="00C66448" w:rsidRPr="00C66448" w:rsidRDefault="00C66448" w:rsidP="00DE1F06">
      <w:pPr>
        <w:numPr>
          <w:ilvl w:val="0"/>
          <w:numId w:val="13"/>
        </w:numPr>
        <w:tabs>
          <w:tab w:val="left" w:pos="734"/>
        </w:tabs>
        <w:jc w:val="both"/>
        <w:rPr>
          <w:rFonts w:ascii="Arial" w:eastAsia="Times New Roman" w:hAnsi="Arial" w:cs="Arial"/>
          <w:sz w:val="22"/>
          <w:szCs w:val="22"/>
        </w:rPr>
      </w:pPr>
      <w:r w:rsidRPr="00C66448">
        <w:rPr>
          <w:rFonts w:ascii="Arial" w:eastAsia="Times New Roman" w:hAnsi="Arial" w:cs="Arial"/>
          <w:sz w:val="22"/>
          <w:szCs w:val="22"/>
        </w:rPr>
        <w:t>спорадическая форма;</w:t>
      </w:r>
    </w:p>
    <w:p w:rsidR="00C66448" w:rsidRPr="00C66448" w:rsidRDefault="00C66448" w:rsidP="00DE1F06">
      <w:pPr>
        <w:numPr>
          <w:ilvl w:val="0"/>
          <w:numId w:val="13"/>
        </w:numPr>
        <w:tabs>
          <w:tab w:val="left" w:pos="743"/>
        </w:tabs>
        <w:jc w:val="both"/>
        <w:rPr>
          <w:rFonts w:ascii="Arial" w:eastAsia="Times New Roman" w:hAnsi="Arial" w:cs="Arial"/>
          <w:sz w:val="22"/>
          <w:szCs w:val="22"/>
        </w:rPr>
      </w:pPr>
      <w:r w:rsidRPr="00C66448">
        <w:rPr>
          <w:rFonts w:ascii="Arial" w:eastAsia="Times New Roman" w:hAnsi="Arial" w:cs="Arial"/>
          <w:sz w:val="22"/>
          <w:szCs w:val="22"/>
        </w:rPr>
        <w:t>семейная форма;</w:t>
      </w:r>
    </w:p>
    <w:p w:rsidR="00C66448" w:rsidRPr="00C66448" w:rsidRDefault="00C66448" w:rsidP="00DE1F06">
      <w:pPr>
        <w:numPr>
          <w:ilvl w:val="0"/>
          <w:numId w:val="13"/>
        </w:numPr>
        <w:tabs>
          <w:tab w:val="left" w:pos="753"/>
        </w:tabs>
        <w:jc w:val="both"/>
        <w:rPr>
          <w:rFonts w:ascii="Arial" w:eastAsia="Times New Roman" w:hAnsi="Arial" w:cs="Arial"/>
          <w:sz w:val="22"/>
          <w:szCs w:val="22"/>
        </w:rPr>
      </w:pPr>
      <w:r w:rsidRPr="00C66448">
        <w:rPr>
          <w:rFonts w:ascii="Arial" w:eastAsia="Times New Roman" w:hAnsi="Arial" w:cs="Arial"/>
          <w:sz w:val="22"/>
          <w:szCs w:val="22"/>
        </w:rPr>
        <w:t>МРЩЖ при МЭН-2.</w:t>
      </w:r>
    </w:p>
    <w:p w:rsidR="00C66448" w:rsidRPr="004B0B65" w:rsidRDefault="00C66448" w:rsidP="00DE1F06">
      <w:pPr>
        <w:ind w:firstLine="440"/>
        <w:jc w:val="both"/>
        <w:rPr>
          <w:rFonts w:ascii="Arial" w:eastAsia="Times New Roman" w:hAnsi="Arial" w:cs="Arial"/>
          <w:color w:val="auto"/>
          <w:sz w:val="22"/>
          <w:szCs w:val="22"/>
          <w:lang w:eastAsia="en-US" w:bidi="ar-SA"/>
        </w:rPr>
      </w:pPr>
      <w:r w:rsidRPr="00C66448">
        <w:rPr>
          <w:rFonts w:ascii="Arial" w:eastAsia="Times New Roman" w:hAnsi="Arial" w:cs="Arial"/>
          <w:sz w:val="22"/>
          <w:szCs w:val="22"/>
        </w:rPr>
        <w:t xml:space="preserve">Спорадическая форма МРЩЖ диагностируется в среднем в 45 лет, тогда как семейная форма и МРЩЖ при МЭН — в 15—20 лет. МРЩЖ, как правило, характеризуется медленным ростом и развивается из диффузной гиперплазии С-клеток, которая часто выявляется при семейном скрининге по поводу МЭН-2 и семейной форме МРЩЖ. Клиническая картина МРЩЖ бедна, и симптоматика либо вообще отсутствует, либо (в </w:t>
      </w:r>
      <w:r w:rsidRPr="00C66448">
        <w:rPr>
          <w:rFonts w:ascii="Arial" w:eastAsia="Times New Roman" w:hAnsi="Arial" w:cs="Arial"/>
          <w:sz w:val="22"/>
          <w:szCs w:val="22"/>
          <w:lang w:val="en-US" w:eastAsia="en-US" w:bidi="en-US"/>
        </w:rPr>
        <w:t>V</w:t>
      </w:r>
      <w:r w:rsidRPr="00C66448">
        <w:rPr>
          <w:rFonts w:ascii="Arial" w:eastAsia="Times New Roman" w:hAnsi="Arial" w:cs="Arial"/>
          <w:sz w:val="22"/>
          <w:szCs w:val="22"/>
          <w:lang w:eastAsia="en-US" w:bidi="en-US"/>
        </w:rPr>
        <w:t xml:space="preserve">3 </w:t>
      </w:r>
      <w:r w:rsidRPr="00C66448">
        <w:rPr>
          <w:rFonts w:ascii="Arial" w:eastAsia="Times New Roman" w:hAnsi="Arial" w:cs="Arial"/>
          <w:sz w:val="22"/>
          <w:szCs w:val="22"/>
        </w:rPr>
        <w:t>случа</w:t>
      </w:r>
      <w:r w:rsidRPr="00C66448">
        <w:rPr>
          <w:rFonts w:ascii="Arial" w:eastAsia="Times New Roman" w:hAnsi="Arial" w:cs="Arial"/>
          <w:sz w:val="22"/>
          <w:szCs w:val="22"/>
        </w:rPr>
        <w:softHyphen/>
        <w:t>ев) в поздних стадиях проявляется поносом и/или карциноидным синдро</w:t>
      </w:r>
      <w:r w:rsidRPr="00C66448">
        <w:rPr>
          <w:rFonts w:ascii="Arial" w:eastAsia="Times New Roman" w:hAnsi="Arial" w:cs="Arial"/>
          <w:sz w:val="22"/>
          <w:szCs w:val="22"/>
        </w:rPr>
        <w:softHyphen/>
        <w:t>мом, поскольку МРЩЖ обладает способностью к продукции вазоактивных пептидов (простагландины, серотонин, гистамин). Очень редко МРЩЖ продуцирует АКТГ с развитием синдрома Кушинга (синдром эктопической продукции АКТГ). Чаще всего диагноз МРЩЖ устанавливается при обсле</w:t>
      </w:r>
      <w:r w:rsidRPr="00C66448">
        <w:rPr>
          <w:rFonts w:ascii="Arial" w:eastAsia="Times New Roman" w:hAnsi="Arial" w:cs="Arial"/>
          <w:sz w:val="22"/>
          <w:szCs w:val="22"/>
        </w:rPr>
        <w:softHyphen/>
        <w:t>довании по поводу узлового зоба. При УЗИ выявляется низкоэхогенный, а при сцинтиграфии щитовидной железы — «холодный» узел. На момент по</w:t>
      </w:r>
      <w:r w:rsidRPr="00C66448">
        <w:rPr>
          <w:rFonts w:ascii="Arial" w:eastAsia="Times New Roman" w:hAnsi="Arial" w:cs="Arial"/>
          <w:sz w:val="22"/>
          <w:szCs w:val="22"/>
        </w:rPr>
        <w:softHyphen/>
        <w:t xml:space="preserve">становки диагноза в 40 % случаев уже имеются метастазы в </w:t>
      </w:r>
      <w:r w:rsidRPr="004B0B65">
        <w:rPr>
          <w:rFonts w:ascii="Arial" w:eastAsia="Times New Roman" w:hAnsi="Arial" w:cs="Arial"/>
          <w:color w:val="auto"/>
          <w:sz w:val="22"/>
          <w:szCs w:val="22"/>
          <w:lang w:eastAsia="en-US" w:bidi="ar-SA"/>
        </w:rPr>
        <w:t>шейные лимфатические узлы, часто двусторонние. В дальнейшем метастазирование про</w:t>
      </w:r>
      <w:r w:rsidRPr="004B0B65">
        <w:rPr>
          <w:rFonts w:ascii="Arial" w:eastAsia="Times New Roman" w:hAnsi="Arial" w:cs="Arial"/>
          <w:color w:val="auto"/>
          <w:sz w:val="22"/>
          <w:szCs w:val="22"/>
          <w:lang w:eastAsia="en-US" w:bidi="ar-SA"/>
        </w:rPr>
        <w:softHyphen/>
        <w:t>исходит лимфогенно в верхнее средостение и гематогенно в легкие, печень, кости, что может быть выявлено с помощью сцинтиграфии соматостатино</w:t>
      </w:r>
      <w:r w:rsidRPr="004B0B65">
        <w:rPr>
          <w:rFonts w:ascii="Arial" w:eastAsia="Times New Roman" w:hAnsi="Arial" w:cs="Arial"/>
          <w:color w:val="auto"/>
          <w:sz w:val="22"/>
          <w:szCs w:val="22"/>
          <w:lang w:eastAsia="en-US" w:bidi="ar-SA"/>
        </w:rPr>
        <w:softHyphen/>
        <w:t xml:space="preserve">вых рецепторов. </w:t>
      </w:r>
    </w:p>
    <w:p w:rsidR="00C66448" w:rsidRPr="004B0B65" w:rsidRDefault="00C66448" w:rsidP="00DE1F06">
      <w:pPr>
        <w:pStyle w:val="1"/>
        <w:ind w:firstLine="0"/>
        <w:jc w:val="both"/>
        <w:rPr>
          <w:rFonts w:ascii="Arial" w:hAnsi="Arial" w:cs="Arial"/>
        </w:rPr>
      </w:pPr>
      <w:r w:rsidRPr="004B0B65">
        <w:rPr>
          <w:rFonts w:ascii="Arial" w:hAnsi="Arial" w:cs="Arial"/>
        </w:rPr>
        <w:t>При иммуногистохимическом исследовании биоптата опу</w:t>
      </w:r>
      <w:r w:rsidRPr="004B0B65">
        <w:rPr>
          <w:rFonts w:ascii="Arial" w:hAnsi="Arial" w:cs="Arial"/>
        </w:rPr>
        <w:softHyphen/>
        <w:t>холи определяются кальцитонин и карциноэмбриональный антиген (СЕД) и не определяется тиреоглобулин, при окраске конгорот в 80 % случаев оп</w:t>
      </w:r>
      <w:r w:rsidRPr="004B0B65">
        <w:rPr>
          <w:rFonts w:ascii="Arial" w:hAnsi="Arial" w:cs="Arial"/>
        </w:rPr>
        <w:softHyphen/>
        <w:t>ределяется амилоид. По разным данным, 5-летняя выживаемость колеблет</w:t>
      </w:r>
      <w:r w:rsidRPr="004B0B65">
        <w:rPr>
          <w:rFonts w:ascii="Arial" w:hAnsi="Arial" w:cs="Arial"/>
        </w:rPr>
        <w:softHyphen/>
        <w:t>ся от 48 до 78 %. Наиболее благоприятна в этом плане семейная форма МРЩЖ, далее следует МРЩЖ в рамках МЭН-2а, затем спорадическая форма. Наихудший прогноз при МРЩЖ в рамках МЭН-2В.</w:t>
      </w:r>
    </w:p>
    <w:p w:rsidR="00C66448" w:rsidRPr="00C66448" w:rsidRDefault="00C66448" w:rsidP="00DE1F06">
      <w:pPr>
        <w:ind w:firstLine="420"/>
        <w:jc w:val="both"/>
        <w:rPr>
          <w:rFonts w:ascii="Arial" w:eastAsia="Times New Roman" w:hAnsi="Arial" w:cs="Arial"/>
          <w:sz w:val="22"/>
          <w:szCs w:val="22"/>
        </w:rPr>
      </w:pPr>
      <w:r w:rsidRPr="00C66448">
        <w:rPr>
          <w:rFonts w:ascii="Arial" w:eastAsia="Times New Roman" w:hAnsi="Arial" w:cs="Arial"/>
          <w:sz w:val="22"/>
          <w:szCs w:val="22"/>
        </w:rPr>
        <w:t>Феохромоцитома выявляется у половины больных, чаще уже после ма</w:t>
      </w:r>
      <w:r w:rsidRPr="00C66448">
        <w:rPr>
          <w:rFonts w:ascii="Arial" w:eastAsia="Times New Roman" w:hAnsi="Arial" w:cs="Arial"/>
          <w:sz w:val="22"/>
          <w:szCs w:val="22"/>
        </w:rPr>
        <w:softHyphen/>
        <w:t>нифестации МРЩЖ. В типичном случае опухоль двусторонняя (70 % слу</w:t>
      </w:r>
      <w:r w:rsidRPr="00C66448">
        <w:rPr>
          <w:rFonts w:ascii="Arial" w:eastAsia="Times New Roman" w:hAnsi="Arial" w:cs="Arial"/>
          <w:sz w:val="22"/>
          <w:szCs w:val="22"/>
        </w:rPr>
        <w:softHyphen/>
        <w:t>чаев). Частота экстраадреналовых и злокачественных вариантов ниже, чем при спорадических феохромоцитомах. Клиническая картина может быть значительно менее яркой, чем при последних, в связи с тем, что, помимо катехоламинов, опухоль в избытке продуцирует противоположные по эф</w:t>
      </w:r>
      <w:r w:rsidRPr="00C66448">
        <w:rPr>
          <w:rFonts w:ascii="Arial" w:eastAsia="Times New Roman" w:hAnsi="Arial" w:cs="Arial"/>
          <w:sz w:val="22"/>
          <w:szCs w:val="22"/>
        </w:rPr>
        <w:softHyphen/>
        <w:t>фектам биогенные амины и пептиды. Первичный гиперпаратиреоз встреча</w:t>
      </w:r>
      <w:r w:rsidRPr="00C66448">
        <w:rPr>
          <w:rFonts w:ascii="Arial" w:eastAsia="Times New Roman" w:hAnsi="Arial" w:cs="Arial"/>
          <w:sz w:val="22"/>
          <w:szCs w:val="22"/>
        </w:rPr>
        <w:softHyphen/>
        <w:t>ется примерно в 50 % случаев синдрома МЭН-2А.</w:t>
      </w:r>
    </w:p>
    <w:p w:rsidR="00C66448" w:rsidRPr="00C66448" w:rsidRDefault="00C66448" w:rsidP="00DE1F06">
      <w:pPr>
        <w:ind w:firstLine="420"/>
        <w:jc w:val="both"/>
        <w:rPr>
          <w:rFonts w:ascii="Arial" w:eastAsia="Times New Roman" w:hAnsi="Arial" w:cs="Arial"/>
          <w:sz w:val="22"/>
          <w:szCs w:val="22"/>
        </w:rPr>
      </w:pPr>
      <w:r w:rsidRPr="00C66448">
        <w:rPr>
          <w:rFonts w:ascii="Arial" w:eastAsia="Times New Roman" w:hAnsi="Arial" w:cs="Arial"/>
          <w:b/>
          <w:bCs/>
          <w:sz w:val="22"/>
          <w:szCs w:val="22"/>
        </w:rPr>
        <w:t xml:space="preserve">Синдром МЭН-2В </w:t>
      </w:r>
      <w:r w:rsidRPr="00C66448">
        <w:rPr>
          <w:rFonts w:ascii="Arial" w:eastAsia="Times New Roman" w:hAnsi="Arial" w:cs="Arial"/>
          <w:sz w:val="22"/>
          <w:szCs w:val="22"/>
        </w:rPr>
        <w:t>(синдром Горлина) представлен теми же опухолями, что и синдром Сиппла. Отличие состоит в более редкой манифестации пер</w:t>
      </w:r>
      <w:r w:rsidRPr="00C66448">
        <w:rPr>
          <w:rFonts w:ascii="Arial" w:eastAsia="Times New Roman" w:hAnsi="Arial" w:cs="Arial"/>
          <w:sz w:val="22"/>
          <w:szCs w:val="22"/>
        </w:rPr>
        <w:softHyphen/>
        <w:t xml:space="preserve">вичного </w:t>
      </w:r>
      <w:r w:rsidRPr="00C66448">
        <w:rPr>
          <w:rFonts w:ascii="Arial" w:eastAsia="Times New Roman" w:hAnsi="Arial" w:cs="Arial"/>
          <w:sz w:val="22"/>
          <w:szCs w:val="22"/>
        </w:rPr>
        <w:lastRenderedPageBreak/>
        <w:t>гиперпаратиреоза. Принципиальными отличиями МЭН-2В явля</w:t>
      </w:r>
      <w:r w:rsidRPr="00C66448">
        <w:rPr>
          <w:rFonts w:ascii="Arial" w:eastAsia="Times New Roman" w:hAnsi="Arial" w:cs="Arial"/>
          <w:sz w:val="22"/>
          <w:szCs w:val="22"/>
        </w:rPr>
        <w:softHyphen/>
        <w:t>ются:</w:t>
      </w:r>
    </w:p>
    <w:p w:rsidR="00C66448" w:rsidRPr="00C66448" w:rsidRDefault="00C66448" w:rsidP="00DE1F06">
      <w:pPr>
        <w:ind w:left="680" w:hanging="260"/>
        <w:rPr>
          <w:rFonts w:ascii="Arial" w:eastAsia="Times New Roman" w:hAnsi="Arial" w:cs="Arial"/>
          <w:sz w:val="22"/>
          <w:szCs w:val="22"/>
        </w:rPr>
      </w:pPr>
      <w:r w:rsidRPr="00C66448">
        <w:rPr>
          <w:rFonts w:ascii="Arial" w:eastAsia="Times New Roman" w:hAnsi="Arial" w:cs="Arial"/>
          <w:sz w:val="22"/>
          <w:szCs w:val="22"/>
        </w:rPr>
        <w:t>— патология опорно-двигательного аппарата (марфаноидная внеш</w:t>
      </w:r>
      <w:r w:rsidRPr="00C66448">
        <w:rPr>
          <w:rFonts w:ascii="Arial" w:eastAsia="Times New Roman" w:hAnsi="Arial" w:cs="Arial"/>
          <w:sz w:val="22"/>
          <w:szCs w:val="22"/>
        </w:rPr>
        <w:softHyphen/>
        <w:t>ность, искривления позвоночника и грудной клетки, конская стопа, вывихи головок бедер, арахнодактилия);</w:t>
      </w:r>
    </w:p>
    <w:p w:rsidR="00C66448" w:rsidRPr="00C66448" w:rsidRDefault="00C66448" w:rsidP="00DE1F06">
      <w:pPr>
        <w:ind w:left="680" w:hanging="260"/>
        <w:rPr>
          <w:rFonts w:ascii="Arial" w:eastAsia="Times New Roman" w:hAnsi="Arial" w:cs="Arial"/>
          <w:sz w:val="22"/>
          <w:szCs w:val="22"/>
        </w:rPr>
      </w:pPr>
      <w:r w:rsidRPr="00C66448">
        <w:rPr>
          <w:rFonts w:ascii="Arial" w:eastAsia="Times New Roman" w:hAnsi="Arial" w:cs="Arial"/>
          <w:sz w:val="22"/>
          <w:szCs w:val="22"/>
        </w:rPr>
        <w:t>— невриномы слизистых оболочек видны на губах, щеках, языке, но ’ц могут поражать весь ЖКТ. Невриномы представляют собой бело-ро- " зовые безболезненные узелки размером 1—3 мм. Характерны удли</w:t>
      </w:r>
      <w:r w:rsidRPr="00C66448">
        <w:rPr>
          <w:rFonts w:ascii="Arial" w:eastAsia="Times New Roman" w:hAnsi="Arial" w:cs="Arial"/>
          <w:sz w:val="22"/>
          <w:szCs w:val="22"/>
        </w:rPr>
        <w:softHyphen/>
        <w:t>ненное лицо с чертами прогнатизма, значительное утолщение губ, придающее больному «негроидный» вид.</w:t>
      </w:r>
    </w:p>
    <w:p w:rsidR="00C66448" w:rsidRPr="00C66448" w:rsidRDefault="00C66448" w:rsidP="00DE1F06">
      <w:pPr>
        <w:ind w:firstLine="400"/>
        <w:rPr>
          <w:rFonts w:ascii="Arial" w:eastAsia="Times New Roman" w:hAnsi="Arial" w:cs="Arial"/>
          <w:sz w:val="22"/>
          <w:szCs w:val="22"/>
        </w:rPr>
      </w:pPr>
      <w:r w:rsidRPr="00C66448">
        <w:rPr>
          <w:rFonts w:ascii="Arial" w:eastAsia="Times New Roman" w:hAnsi="Arial" w:cs="Arial"/>
          <w:sz w:val="22"/>
          <w:szCs w:val="22"/>
        </w:rPr>
        <w:t>Средний возраст больного при постановке диагноза составляет 20 лет.</w:t>
      </w:r>
    </w:p>
    <w:p w:rsidR="00C66448" w:rsidRPr="00C66448" w:rsidRDefault="00C66448" w:rsidP="00DE1F06">
      <w:pPr>
        <w:ind w:firstLine="420"/>
        <w:jc w:val="both"/>
        <w:rPr>
          <w:rFonts w:ascii="Arial" w:eastAsia="Times New Roman" w:hAnsi="Arial" w:cs="Arial"/>
          <w:sz w:val="22"/>
          <w:szCs w:val="22"/>
        </w:rPr>
      </w:pPr>
      <w:r w:rsidRPr="00C66448">
        <w:rPr>
          <w:rFonts w:ascii="Arial" w:eastAsia="Times New Roman" w:hAnsi="Arial" w:cs="Arial"/>
          <w:i/>
          <w:iCs/>
          <w:sz w:val="22"/>
          <w:szCs w:val="22"/>
        </w:rPr>
        <w:t>Диагностика.</w:t>
      </w:r>
      <w:r w:rsidRPr="00C66448">
        <w:rPr>
          <w:rFonts w:ascii="Arial" w:eastAsia="Times New Roman" w:hAnsi="Arial" w:cs="Arial"/>
          <w:sz w:val="22"/>
          <w:szCs w:val="22"/>
        </w:rPr>
        <w:t xml:space="preserve"> Плазменным маркером МРЩЖ является кальцитонин (предпочтительно на фоне стимуляции пентагастрином) и карциноэмбрио</w:t>
      </w:r>
      <w:r w:rsidRPr="00C66448">
        <w:rPr>
          <w:rFonts w:ascii="Arial" w:eastAsia="Times New Roman" w:hAnsi="Arial" w:cs="Arial"/>
          <w:sz w:val="22"/>
          <w:szCs w:val="22"/>
        </w:rPr>
        <w:softHyphen/>
        <w:t>нальный антиген (СЕД). Подход к семейному скринингу и лечению боль</w:t>
      </w:r>
      <w:r w:rsidRPr="00C66448">
        <w:rPr>
          <w:rFonts w:ascii="Arial" w:eastAsia="Times New Roman" w:hAnsi="Arial" w:cs="Arial"/>
          <w:sz w:val="22"/>
          <w:szCs w:val="22"/>
        </w:rPr>
        <w:softHyphen/>
        <w:t>ных с синдромом МЭН-2 и семейной формой МРЩЖ комплексный.</w:t>
      </w:r>
    </w:p>
    <w:p w:rsidR="00C66448" w:rsidRPr="00C66448" w:rsidRDefault="00C66448" w:rsidP="00DE1F06">
      <w:pPr>
        <w:ind w:firstLine="420"/>
        <w:jc w:val="both"/>
        <w:rPr>
          <w:rFonts w:ascii="Arial" w:eastAsia="Times New Roman" w:hAnsi="Arial" w:cs="Arial"/>
          <w:sz w:val="22"/>
          <w:szCs w:val="22"/>
        </w:rPr>
      </w:pPr>
      <w:r w:rsidRPr="00C66448">
        <w:rPr>
          <w:rFonts w:ascii="Arial" w:eastAsia="Times New Roman" w:hAnsi="Arial" w:cs="Arial"/>
          <w:sz w:val="22"/>
          <w:szCs w:val="22"/>
        </w:rPr>
        <w:t xml:space="preserve">1. </w:t>
      </w:r>
      <w:r w:rsidRPr="00C66448">
        <w:rPr>
          <w:rFonts w:ascii="Arial" w:eastAsia="Times New Roman" w:hAnsi="Arial" w:cs="Arial"/>
          <w:i/>
          <w:iCs/>
          <w:sz w:val="22"/>
          <w:szCs w:val="22"/>
        </w:rPr>
        <w:t>Рутинный лабораторный скрининг.</w:t>
      </w:r>
      <w:r w:rsidRPr="00C66448">
        <w:rPr>
          <w:rFonts w:ascii="Arial" w:eastAsia="Times New Roman" w:hAnsi="Arial" w:cs="Arial"/>
          <w:sz w:val="22"/>
          <w:szCs w:val="22"/>
        </w:rPr>
        <w:t xml:space="preserve"> Пентагастриновый тест проводит</w:t>
      </w:r>
      <w:r w:rsidRPr="00C66448">
        <w:rPr>
          <w:rFonts w:ascii="Arial" w:eastAsia="Times New Roman" w:hAnsi="Arial" w:cs="Arial"/>
          <w:sz w:val="22"/>
          <w:szCs w:val="22"/>
        </w:rPr>
        <w:softHyphen/>
        <w:t>ся ежегодно родственникам первой и второй степени родства в возрасте от 6 до 50 лет (табл. 13.13).</w:t>
      </w:r>
    </w:p>
    <w:p w:rsidR="00C66448" w:rsidRPr="00C66448" w:rsidRDefault="00C66448" w:rsidP="00DE1F06">
      <w:pPr>
        <w:tabs>
          <w:tab w:val="left" w:pos="687"/>
        </w:tabs>
        <w:jc w:val="both"/>
        <w:rPr>
          <w:rFonts w:ascii="Arial" w:eastAsia="Times New Roman" w:hAnsi="Arial" w:cs="Arial"/>
          <w:sz w:val="22"/>
          <w:szCs w:val="22"/>
        </w:rPr>
      </w:pPr>
    </w:p>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 xml:space="preserve">Таблица 13.13. </w:t>
      </w:r>
      <w:r w:rsidRPr="00C66448">
        <w:rPr>
          <w:rFonts w:ascii="Arial" w:eastAsia="Times New Roman" w:hAnsi="Arial" w:cs="Arial"/>
          <w:b/>
          <w:bCs/>
          <w:sz w:val="19"/>
          <w:szCs w:val="19"/>
        </w:rPr>
        <w:t>Лабораторные исследования при синдроме МЭН-2</w:t>
      </w:r>
    </w:p>
    <w:tbl>
      <w:tblPr>
        <w:tblOverlap w:val="never"/>
        <w:tblW w:w="0" w:type="auto"/>
        <w:jc w:val="center"/>
        <w:tblLayout w:type="fixed"/>
        <w:tblCellMar>
          <w:left w:w="10" w:type="dxa"/>
          <w:right w:w="10" w:type="dxa"/>
        </w:tblCellMar>
        <w:tblLook w:val="0000" w:firstRow="0" w:lastRow="0" w:firstColumn="0" w:lastColumn="0" w:noHBand="0" w:noVBand="0"/>
      </w:tblPr>
      <w:tblGrid>
        <w:gridCol w:w="2707"/>
        <w:gridCol w:w="1238"/>
        <w:gridCol w:w="3552"/>
      </w:tblGrid>
      <w:tr w:rsidR="00C66448" w:rsidRPr="00C66448" w:rsidTr="004B0B65">
        <w:trPr>
          <w:trHeight w:hRule="exact" w:val="528"/>
          <w:jc w:val="center"/>
        </w:trPr>
        <w:tc>
          <w:tcPr>
            <w:tcW w:w="2707" w:type="dxa"/>
            <w:tcBorders>
              <w:top w:val="single" w:sz="4" w:space="0" w:color="auto"/>
              <w:left w:val="single" w:sz="4" w:space="0" w:color="auto"/>
            </w:tcBorders>
            <w:shd w:val="clear" w:color="auto" w:fill="auto"/>
            <w:vAlign w:val="center"/>
          </w:tcPr>
          <w:p w:rsidR="00C66448" w:rsidRPr="00C66448" w:rsidRDefault="00C66448" w:rsidP="00DE1F06">
            <w:pPr>
              <w:jc w:val="center"/>
              <w:rPr>
                <w:rFonts w:ascii="Arial" w:eastAsia="Times New Roman" w:hAnsi="Arial" w:cs="Arial"/>
                <w:sz w:val="18"/>
                <w:szCs w:val="18"/>
              </w:rPr>
            </w:pPr>
            <w:r w:rsidRPr="00C66448">
              <w:rPr>
                <w:rFonts w:ascii="Arial" w:eastAsia="Times New Roman" w:hAnsi="Arial" w:cs="Arial"/>
                <w:sz w:val="18"/>
                <w:szCs w:val="18"/>
              </w:rPr>
              <w:t>Параметр</w:t>
            </w:r>
          </w:p>
        </w:tc>
        <w:tc>
          <w:tcPr>
            <w:tcW w:w="1238" w:type="dxa"/>
            <w:tcBorders>
              <w:top w:val="single" w:sz="4" w:space="0" w:color="auto"/>
              <w:left w:val="single" w:sz="4" w:space="0" w:color="auto"/>
            </w:tcBorders>
            <w:shd w:val="clear" w:color="auto" w:fill="auto"/>
            <w:vAlign w:val="center"/>
          </w:tcPr>
          <w:p w:rsidR="00C66448" w:rsidRPr="00C66448" w:rsidRDefault="00C66448" w:rsidP="00DE1F06">
            <w:pPr>
              <w:jc w:val="center"/>
              <w:rPr>
                <w:rFonts w:ascii="Arial" w:eastAsia="Times New Roman" w:hAnsi="Arial" w:cs="Arial"/>
                <w:sz w:val="18"/>
                <w:szCs w:val="18"/>
              </w:rPr>
            </w:pPr>
            <w:r w:rsidRPr="00C66448">
              <w:rPr>
                <w:rFonts w:ascii="Arial" w:eastAsia="Times New Roman" w:hAnsi="Arial" w:cs="Arial"/>
                <w:sz w:val="18"/>
                <w:szCs w:val="18"/>
              </w:rPr>
              <w:t>Первичное исследование</w:t>
            </w:r>
          </w:p>
        </w:tc>
        <w:tc>
          <w:tcPr>
            <w:tcW w:w="3552" w:type="dxa"/>
            <w:tcBorders>
              <w:top w:val="single" w:sz="4" w:space="0" w:color="auto"/>
              <w:left w:val="single" w:sz="4" w:space="0" w:color="auto"/>
              <w:right w:val="single" w:sz="4" w:space="0" w:color="auto"/>
            </w:tcBorders>
            <w:shd w:val="clear" w:color="auto" w:fill="auto"/>
            <w:vAlign w:val="center"/>
          </w:tcPr>
          <w:p w:rsidR="00C66448" w:rsidRPr="00C66448" w:rsidRDefault="00C66448" w:rsidP="00DE1F06">
            <w:pPr>
              <w:ind w:firstLine="680"/>
              <w:rPr>
                <w:rFonts w:ascii="Arial" w:eastAsia="Times New Roman" w:hAnsi="Arial" w:cs="Arial"/>
                <w:sz w:val="18"/>
                <w:szCs w:val="18"/>
              </w:rPr>
            </w:pPr>
            <w:r w:rsidRPr="00C66448">
              <w:rPr>
                <w:rFonts w:ascii="Arial" w:eastAsia="Times New Roman" w:hAnsi="Arial" w:cs="Arial"/>
                <w:sz w:val="18"/>
                <w:szCs w:val="18"/>
              </w:rPr>
              <w:t>Углубленное исследование</w:t>
            </w:r>
          </w:p>
        </w:tc>
      </w:tr>
      <w:tr w:rsidR="00C66448" w:rsidRPr="00C66448" w:rsidTr="004B0B65">
        <w:trPr>
          <w:trHeight w:hRule="exact" w:val="1709"/>
          <w:jc w:val="center"/>
        </w:trPr>
        <w:tc>
          <w:tcPr>
            <w:tcW w:w="2707" w:type="dxa"/>
            <w:tcBorders>
              <w:top w:val="single" w:sz="4" w:space="0" w:color="auto"/>
              <w:left w:val="single" w:sz="4" w:space="0" w:color="auto"/>
              <w:bottom w:val="single" w:sz="4" w:space="0" w:color="auto"/>
            </w:tcBorders>
            <w:shd w:val="clear" w:color="auto" w:fill="auto"/>
            <w:vAlign w:val="center"/>
          </w:tcPr>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Кальцитонин, нг/мл</w:t>
            </w:r>
          </w:p>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Экскреция с мочой вани- л ил миндальной кислоты, адреналина, норадреналина Кальций, ммоль/л</w:t>
            </w:r>
          </w:p>
        </w:tc>
        <w:tc>
          <w:tcPr>
            <w:tcW w:w="1238" w:type="dxa"/>
            <w:tcBorders>
              <w:top w:val="single" w:sz="4" w:space="0" w:color="auto"/>
              <w:left w:val="single" w:sz="4" w:space="0" w:color="auto"/>
              <w:bottom w:val="single" w:sz="4" w:space="0" w:color="auto"/>
            </w:tcBorders>
            <w:shd w:val="clear" w:color="auto" w:fill="auto"/>
            <w:vAlign w:val="center"/>
          </w:tcPr>
          <w:p w:rsidR="00C66448" w:rsidRPr="00C66448" w:rsidRDefault="00C66448" w:rsidP="00DE1F06">
            <w:pPr>
              <w:jc w:val="center"/>
              <w:rPr>
                <w:rFonts w:ascii="Arial" w:eastAsia="Times New Roman" w:hAnsi="Arial" w:cs="Arial"/>
                <w:sz w:val="19"/>
                <w:szCs w:val="19"/>
              </w:rPr>
            </w:pPr>
            <w:r w:rsidRPr="00C66448">
              <w:rPr>
                <w:rFonts w:ascii="Arial" w:eastAsia="Times New Roman" w:hAnsi="Arial" w:cs="Arial"/>
                <w:sz w:val="19"/>
                <w:szCs w:val="19"/>
              </w:rPr>
              <w:t>&gt;0,3</w:t>
            </w:r>
          </w:p>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Повышена</w:t>
            </w:r>
          </w:p>
          <w:p w:rsidR="00C66448" w:rsidRPr="00C66448" w:rsidRDefault="00C66448" w:rsidP="00DE1F06">
            <w:pPr>
              <w:jc w:val="center"/>
              <w:rPr>
                <w:rFonts w:ascii="Arial" w:eastAsia="Times New Roman" w:hAnsi="Arial" w:cs="Arial"/>
                <w:sz w:val="19"/>
                <w:szCs w:val="19"/>
              </w:rPr>
            </w:pPr>
            <w:r w:rsidRPr="00C66448">
              <w:rPr>
                <w:rFonts w:ascii="Arial" w:eastAsia="Times New Roman" w:hAnsi="Arial" w:cs="Arial"/>
                <w:sz w:val="19"/>
                <w:szCs w:val="19"/>
              </w:rPr>
              <w:t>&gt;2,6</w:t>
            </w:r>
          </w:p>
        </w:tc>
        <w:tc>
          <w:tcPr>
            <w:tcW w:w="3552" w:type="dxa"/>
            <w:tcBorders>
              <w:top w:val="single" w:sz="4" w:space="0" w:color="auto"/>
              <w:left w:val="single" w:sz="4" w:space="0" w:color="auto"/>
              <w:bottom w:val="single" w:sz="4" w:space="0" w:color="auto"/>
              <w:right w:val="single" w:sz="4" w:space="0" w:color="auto"/>
            </w:tcBorders>
            <w:shd w:val="clear" w:color="auto" w:fill="auto"/>
            <w:vAlign w:val="center"/>
          </w:tcPr>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Пентагастриновый тест</w:t>
            </w:r>
          </w:p>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(0,5 мкг/кг массы тела за 10 с; пробы крови на 0-й; 2-й; 5-й минутах)</w:t>
            </w:r>
          </w:p>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Топическая диагностика феохромо</w:t>
            </w:r>
            <w:r w:rsidRPr="00C66448">
              <w:rPr>
                <w:rFonts w:ascii="Arial" w:eastAsia="Times New Roman" w:hAnsi="Arial" w:cs="Arial"/>
                <w:sz w:val="19"/>
                <w:szCs w:val="19"/>
              </w:rPr>
              <w:softHyphen/>
            </w:r>
          </w:p>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цитомы</w:t>
            </w:r>
          </w:p>
          <w:p w:rsidR="00C66448" w:rsidRPr="00C66448" w:rsidRDefault="00C66448" w:rsidP="00DE1F06">
            <w:pPr>
              <w:rPr>
                <w:rFonts w:ascii="Arial" w:eastAsia="Times New Roman" w:hAnsi="Arial" w:cs="Arial"/>
                <w:sz w:val="19"/>
                <w:szCs w:val="19"/>
              </w:rPr>
            </w:pPr>
            <w:r w:rsidRPr="00C66448">
              <w:rPr>
                <w:rFonts w:ascii="Arial" w:eastAsia="Times New Roman" w:hAnsi="Arial" w:cs="Arial"/>
                <w:sz w:val="19"/>
                <w:szCs w:val="19"/>
              </w:rPr>
              <w:t>Интактный паратгормон</w:t>
            </w:r>
          </w:p>
        </w:tc>
      </w:tr>
    </w:tbl>
    <w:p w:rsidR="00C66448" w:rsidRPr="00C66448" w:rsidRDefault="00C66448" w:rsidP="00DE1F06">
      <w:pPr>
        <w:ind w:firstLine="420"/>
        <w:jc w:val="both"/>
        <w:rPr>
          <w:rFonts w:ascii="Arial" w:eastAsia="Times New Roman" w:hAnsi="Arial" w:cs="Arial"/>
          <w:sz w:val="22"/>
          <w:szCs w:val="22"/>
        </w:rPr>
      </w:pPr>
      <w:r w:rsidRPr="00C66448">
        <w:rPr>
          <w:rFonts w:ascii="Arial" w:eastAsia="Times New Roman" w:hAnsi="Arial" w:cs="Arial"/>
          <w:sz w:val="22"/>
          <w:szCs w:val="22"/>
        </w:rPr>
        <w:t xml:space="preserve">2. </w:t>
      </w:r>
      <w:r w:rsidRPr="00C66448">
        <w:rPr>
          <w:rFonts w:ascii="Arial" w:eastAsia="Times New Roman" w:hAnsi="Arial" w:cs="Arial"/>
          <w:i/>
          <w:iCs/>
          <w:sz w:val="22"/>
          <w:szCs w:val="22"/>
        </w:rPr>
        <w:t>Генетический скрининг.</w:t>
      </w:r>
      <w:r w:rsidRPr="00C66448">
        <w:rPr>
          <w:rFonts w:ascii="Arial" w:eastAsia="Times New Roman" w:hAnsi="Arial" w:cs="Arial"/>
          <w:sz w:val="22"/>
          <w:szCs w:val="22"/>
        </w:rPr>
        <w:t xml:space="preserve"> Его основная цель — выявление обладающего высокой злокачественностью и по сути определяющего прогноз МРЩЖ, что позволяет выполнить профилактическую тиреоидэктомию в ранних, а лучше в предопухолевых стадиях (диффузная С-клеточная гиперплазия). С учетом наличия специфического генетического маркера МЭН-2 (А и В) и семейной формы МРЩЖ, разработана следующая тактика. По наличию или отсутствию мутации </w:t>
      </w:r>
      <w:r w:rsidRPr="00C66448">
        <w:rPr>
          <w:rFonts w:ascii="Arial" w:eastAsia="Times New Roman" w:hAnsi="Arial" w:cs="Arial"/>
          <w:sz w:val="22"/>
          <w:szCs w:val="22"/>
          <w:lang w:val="en-US" w:eastAsia="en-US" w:bidi="en-US"/>
        </w:rPr>
        <w:t>RET</w:t>
      </w:r>
      <w:r w:rsidRPr="00C66448">
        <w:rPr>
          <w:rFonts w:ascii="Arial" w:eastAsia="Times New Roman" w:hAnsi="Arial" w:cs="Arial"/>
          <w:sz w:val="22"/>
          <w:szCs w:val="22"/>
          <w:lang w:eastAsia="en-US" w:bidi="en-US"/>
        </w:rPr>
        <w:t>-</w:t>
      </w:r>
      <w:r w:rsidRPr="00C66448">
        <w:rPr>
          <w:rFonts w:ascii="Arial" w:eastAsia="Times New Roman" w:hAnsi="Arial" w:cs="Arial"/>
          <w:sz w:val="22"/>
          <w:szCs w:val="22"/>
        </w:rPr>
        <w:t>протоонкогена пациенты подразделяются на 3 группы:</w:t>
      </w:r>
    </w:p>
    <w:p w:rsidR="00C66448" w:rsidRPr="00C66448" w:rsidRDefault="00C66448" w:rsidP="00DE1F06">
      <w:pPr>
        <w:numPr>
          <w:ilvl w:val="0"/>
          <w:numId w:val="14"/>
        </w:numPr>
        <w:tabs>
          <w:tab w:val="left" w:pos="706"/>
        </w:tabs>
        <w:jc w:val="both"/>
        <w:rPr>
          <w:rFonts w:ascii="Arial" w:eastAsia="Times New Roman" w:hAnsi="Arial" w:cs="Arial"/>
          <w:sz w:val="22"/>
          <w:szCs w:val="22"/>
        </w:rPr>
      </w:pPr>
      <w:r w:rsidRPr="00C66448">
        <w:rPr>
          <w:rFonts w:ascii="Arial" w:eastAsia="Times New Roman" w:hAnsi="Arial" w:cs="Arial"/>
          <w:sz w:val="22"/>
          <w:szCs w:val="22"/>
        </w:rPr>
        <w:t xml:space="preserve">обнаружение мутации </w:t>
      </w:r>
      <w:r w:rsidRPr="00C66448">
        <w:rPr>
          <w:rFonts w:ascii="Arial" w:eastAsia="Times New Roman" w:hAnsi="Arial" w:cs="Arial"/>
          <w:sz w:val="22"/>
          <w:szCs w:val="22"/>
          <w:lang w:val="en-US" w:eastAsia="en-US" w:bidi="en-US"/>
        </w:rPr>
        <w:t>RET</w:t>
      </w:r>
      <w:r w:rsidRPr="00C66448">
        <w:rPr>
          <w:rFonts w:ascii="Arial" w:eastAsia="Times New Roman" w:hAnsi="Arial" w:cs="Arial"/>
          <w:sz w:val="22"/>
          <w:szCs w:val="22"/>
        </w:rPr>
        <w:t>-протоонкогена в лейкоцитах перифери</w:t>
      </w:r>
      <w:r w:rsidRPr="00C66448">
        <w:rPr>
          <w:rFonts w:ascii="Arial" w:eastAsia="Times New Roman" w:hAnsi="Arial" w:cs="Arial"/>
          <w:sz w:val="22"/>
          <w:szCs w:val="22"/>
        </w:rPr>
        <w:softHyphen/>
        <w:t>ческой крови указывает на то, что в данном случае МРЩЖ имеет место в рамках МЭН-2 или является семейным;</w:t>
      </w:r>
    </w:p>
    <w:p w:rsidR="00C66448" w:rsidRPr="00C66448" w:rsidRDefault="00C66448" w:rsidP="00DE1F06">
      <w:pPr>
        <w:numPr>
          <w:ilvl w:val="0"/>
          <w:numId w:val="14"/>
        </w:numPr>
        <w:tabs>
          <w:tab w:val="left" w:pos="706"/>
        </w:tabs>
        <w:jc w:val="both"/>
        <w:rPr>
          <w:rFonts w:ascii="Arial" w:eastAsia="Times New Roman" w:hAnsi="Arial" w:cs="Arial"/>
          <w:sz w:val="22"/>
          <w:szCs w:val="22"/>
        </w:rPr>
      </w:pPr>
      <w:r w:rsidRPr="00C66448">
        <w:rPr>
          <w:rFonts w:ascii="Arial" w:eastAsia="Times New Roman" w:hAnsi="Arial" w:cs="Arial"/>
          <w:sz w:val="22"/>
          <w:szCs w:val="22"/>
        </w:rPr>
        <w:t xml:space="preserve">отсутствие мутации </w:t>
      </w:r>
      <w:r w:rsidRPr="00C66448">
        <w:rPr>
          <w:rFonts w:ascii="Arial" w:eastAsia="Times New Roman" w:hAnsi="Arial" w:cs="Arial"/>
          <w:sz w:val="22"/>
          <w:szCs w:val="22"/>
          <w:lang w:val="en-US" w:eastAsia="en-US" w:bidi="en-US"/>
        </w:rPr>
        <w:t>RET</w:t>
      </w:r>
      <w:r w:rsidRPr="00C66448">
        <w:rPr>
          <w:rFonts w:ascii="Arial" w:eastAsia="Times New Roman" w:hAnsi="Arial" w:cs="Arial"/>
          <w:sz w:val="22"/>
          <w:szCs w:val="22"/>
        </w:rPr>
        <w:t>-протоонкогена в периферических лейкоци</w:t>
      </w:r>
      <w:r w:rsidRPr="00C66448">
        <w:rPr>
          <w:rFonts w:ascii="Arial" w:eastAsia="Times New Roman" w:hAnsi="Arial" w:cs="Arial"/>
          <w:sz w:val="22"/>
          <w:szCs w:val="22"/>
        </w:rPr>
        <w:softHyphen/>
        <w:t>тах и ее наличие в самой опухоли свидетельствует о соматической мутации и, таким образом, о спорадической форме МРЩЖ;</w:t>
      </w:r>
    </w:p>
    <w:p w:rsidR="00C66448" w:rsidRPr="00C66448" w:rsidRDefault="00C66448" w:rsidP="00DE1F06">
      <w:pPr>
        <w:numPr>
          <w:ilvl w:val="0"/>
          <w:numId w:val="14"/>
        </w:numPr>
        <w:tabs>
          <w:tab w:val="left" w:pos="706"/>
        </w:tabs>
        <w:jc w:val="both"/>
        <w:rPr>
          <w:rFonts w:ascii="Arial" w:eastAsia="Times New Roman" w:hAnsi="Arial" w:cs="Arial"/>
          <w:sz w:val="22"/>
          <w:szCs w:val="22"/>
        </w:rPr>
      </w:pPr>
      <w:r w:rsidRPr="00C66448">
        <w:rPr>
          <w:rFonts w:ascii="Arial" w:eastAsia="Times New Roman" w:hAnsi="Arial" w:cs="Arial"/>
          <w:sz w:val="22"/>
          <w:szCs w:val="22"/>
        </w:rPr>
        <w:t>отсутствие мутации как в самой опухоли, так и в лейкоцитах не по</w:t>
      </w:r>
      <w:r w:rsidRPr="00C66448">
        <w:rPr>
          <w:rFonts w:ascii="Arial" w:eastAsia="Times New Roman" w:hAnsi="Arial" w:cs="Arial"/>
          <w:sz w:val="22"/>
          <w:szCs w:val="22"/>
        </w:rPr>
        <w:softHyphen/>
        <w:t>зволяет сделать никакого заключения.</w:t>
      </w:r>
    </w:p>
    <w:p w:rsidR="00C66448" w:rsidRPr="00C66448" w:rsidRDefault="00C66448" w:rsidP="00DE1F06">
      <w:pPr>
        <w:ind w:firstLine="420"/>
        <w:jc w:val="both"/>
        <w:rPr>
          <w:rFonts w:ascii="Arial" w:eastAsia="Times New Roman" w:hAnsi="Arial" w:cs="Arial"/>
          <w:sz w:val="22"/>
          <w:szCs w:val="22"/>
        </w:rPr>
      </w:pPr>
      <w:r w:rsidRPr="00C66448">
        <w:rPr>
          <w:rFonts w:ascii="Arial" w:eastAsia="Times New Roman" w:hAnsi="Arial" w:cs="Arial"/>
          <w:sz w:val="22"/>
          <w:szCs w:val="22"/>
        </w:rPr>
        <w:t>Родственники больных 1-й группы имеют наибольший потенциальный риск, и в этой ситуации после аналогичного генетического обследования ставится вопрос о профилактической экстирпации щитовидной железы. При отсутствии у пациентов 2-й группы признаков феохромоцитомы и ги</w:t>
      </w:r>
      <w:r w:rsidRPr="00C66448">
        <w:rPr>
          <w:rFonts w:ascii="Arial" w:eastAsia="Times New Roman" w:hAnsi="Arial" w:cs="Arial"/>
          <w:sz w:val="22"/>
          <w:szCs w:val="22"/>
        </w:rPr>
        <w:softHyphen/>
        <w:t>перпаратиреоза нет необходимости в обследовании родственников. Обсле</w:t>
      </w:r>
      <w:r w:rsidRPr="00C66448">
        <w:rPr>
          <w:rFonts w:ascii="Arial" w:eastAsia="Times New Roman" w:hAnsi="Arial" w:cs="Arial"/>
          <w:sz w:val="22"/>
          <w:szCs w:val="22"/>
        </w:rPr>
        <w:softHyphen/>
        <w:t>дование родственников больных 3-й группы обязательно.</w:t>
      </w:r>
    </w:p>
    <w:p w:rsidR="00C66448" w:rsidRPr="00C66448" w:rsidRDefault="00C66448" w:rsidP="00DE1F06">
      <w:pPr>
        <w:ind w:firstLine="420"/>
        <w:jc w:val="both"/>
        <w:rPr>
          <w:rFonts w:ascii="Arial" w:eastAsia="Times New Roman" w:hAnsi="Arial" w:cs="Arial"/>
          <w:sz w:val="22"/>
          <w:szCs w:val="22"/>
        </w:rPr>
      </w:pPr>
      <w:r w:rsidRPr="00C66448">
        <w:rPr>
          <w:rFonts w:ascii="Arial" w:eastAsia="Times New Roman" w:hAnsi="Arial" w:cs="Arial"/>
          <w:sz w:val="22"/>
          <w:szCs w:val="22"/>
        </w:rPr>
        <w:t>Лечение при синдроме МЭН-2 начинается с удаления феохромоцито</w:t>
      </w:r>
      <w:r w:rsidRPr="00C66448">
        <w:rPr>
          <w:rFonts w:ascii="Arial" w:eastAsia="Times New Roman" w:hAnsi="Arial" w:cs="Arial"/>
          <w:sz w:val="22"/>
          <w:szCs w:val="22"/>
        </w:rPr>
        <w:softHyphen/>
        <w:t>мы. При любом варианте МРЩЖ обязательна экстирпация щитовидной железы с систематическим удалением шейных лимфатических узлов и клет</w:t>
      </w:r>
      <w:r w:rsidRPr="00C66448">
        <w:rPr>
          <w:rFonts w:ascii="Arial" w:eastAsia="Times New Roman" w:hAnsi="Arial" w:cs="Arial"/>
          <w:sz w:val="22"/>
          <w:szCs w:val="22"/>
        </w:rPr>
        <w:softHyphen/>
        <w:t>чатки. При нерадикально выполненных операциях (сохраняются высокие уровни кальцитонина и СЕА) и в неоперабельных случаях назначаются октреотид и химиотерапия (доксорубицин, виндестин, цисплатин). В по</w:t>
      </w:r>
      <w:r w:rsidRPr="00C66448">
        <w:rPr>
          <w:rFonts w:ascii="Arial" w:eastAsia="Times New Roman" w:hAnsi="Arial" w:cs="Arial"/>
          <w:sz w:val="22"/>
          <w:szCs w:val="22"/>
        </w:rPr>
        <w:softHyphen/>
        <w:t xml:space="preserve">слеоперационном подавлении ТТГ высокими дозами </w:t>
      </w:r>
      <w:r w:rsidRPr="00C66448">
        <w:rPr>
          <w:rFonts w:ascii="Arial" w:eastAsia="Times New Roman" w:hAnsi="Arial" w:cs="Arial"/>
          <w:sz w:val="22"/>
          <w:szCs w:val="22"/>
          <w:lang w:val="en-US" w:eastAsia="en-US" w:bidi="en-US"/>
        </w:rPr>
        <w:t>L</w:t>
      </w:r>
      <w:r w:rsidRPr="00C66448">
        <w:rPr>
          <w:rFonts w:ascii="Arial" w:eastAsia="Times New Roman" w:hAnsi="Arial" w:cs="Arial"/>
          <w:sz w:val="22"/>
          <w:szCs w:val="22"/>
        </w:rPr>
        <w:t>-тироксина необхо</w:t>
      </w:r>
      <w:r w:rsidRPr="00C66448">
        <w:rPr>
          <w:rFonts w:ascii="Arial" w:eastAsia="Times New Roman" w:hAnsi="Arial" w:cs="Arial"/>
          <w:sz w:val="22"/>
          <w:szCs w:val="22"/>
        </w:rPr>
        <w:softHyphen/>
        <w:t>димости нет. При радикально проведенной операции необходимо пожиз</w:t>
      </w:r>
      <w:r w:rsidRPr="00C66448">
        <w:rPr>
          <w:rFonts w:ascii="Arial" w:eastAsia="Times New Roman" w:hAnsi="Arial" w:cs="Arial"/>
          <w:sz w:val="22"/>
          <w:szCs w:val="22"/>
        </w:rPr>
        <w:softHyphen/>
        <w:t>ненное наблюдение за пациентом, включающее определение уровня каль</w:t>
      </w:r>
      <w:r w:rsidRPr="00C66448">
        <w:rPr>
          <w:rFonts w:ascii="Arial" w:eastAsia="Times New Roman" w:hAnsi="Arial" w:cs="Arial"/>
          <w:sz w:val="22"/>
          <w:szCs w:val="22"/>
        </w:rPr>
        <w:softHyphen/>
        <w:t xml:space="preserve">цитонина, СЕА и проведение </w:t>
      </w:r>
      <w:r w:rsidRPr="00C66448">
        <w:rPr>
          <w:rFonts w:ascii="Arial" w:eastAsia="Times New Roman" w:hAnsi="Arial" w:cs="Arial"/>
          <w:sz w:val="22"/>
          <w:szCs w:val="22"/>
        </w:rPr>
        <w:lastRenderedPageBreak/>
        <w:t>пентагастринового теста.</w:t>
      </w:r>
    </w:p>
    <w:p w:rsidR="008A3CFF" w:rsidRDefault="00C66448" w:rsidP="00DE1F06">
      <w:pPr>
        <w:ind w:firstLine="420"/>
        <w:jc w:val="both"/>
        <w:rPr>
          <w:rFonts w:ascii="Arial" w:eastAsia="Times New Roman" w:hAnsi="Arial" w:cs="Arial"/>
          <w:sz w:val="22"/>
          <w:szCs w:val="22"/>
        </w:rPr>
      </w:pPr>
      <w:r w:rsidRPr="00C66448">
        <w:rPr>
          <w:rFonts w:ascii="Arial" w:eastAsia="Times New Roman" w:hAnsi="Arial" w:cs="Arial"/>
          <w:sz w:val="22"/>
          <w:szCs w:val="22"/>
        </w:rPr>
        <w:t>Смешанные формы синдрома МЭН характеризуются сочетанием при</w:t>
      </w:r>
      <w:r w:rsidRPr="00C66448">
        <w:rPr>
          <w:rFonts w:ascii="Arial" w:eastAsia="Times New Roman" w:hAnsi="Arial" w:cs="Arial"/>
          <w:sz w:val="22"/>
          <w:szCs w:val="22"/>
        </w:rPr>
        <w:softHyphen/>
        <w:t>знаков различных синдромов МЭН («перекрещивающий синдром»). Так, описаны семейные случаи сочетания феохромоцитомы с островково-кле</w:t>
      </w:r>
      <w:r w:rsidRPr="00C66448">
        <w:rPr>
          <w:rFonts w:ascii="Arial" w:eastAsia="Times New Roman" w:hAnsi="Arial" w:cs="Arial"/>
          <w:sz w:val="22"/>
          <w:szCs w:val="22"/>
        </w:rPr>
        <w:softHyphen/>
        <w:t>точными опухолями и аденомами гипофиза. Частыми дополнительными компонентами смешанных синдромов МЭН являются функционально не</w:t>
      </w:r>
      <w:r w:rsidRPr="00C66448">
        <w:rPr>
          <w:rFonts w:ascii="Arial" w:eastAsia="Times New Roman" w:hAnsi="Arial" w:cs="Arial"/>
          <w:sz w:val="22"/>
          <w:szCs w:val="22"/>
        </w:rPr>
        <w:softHyphen/>
        <w:t>активные эндокринные опухоли ЖКТ и ПЖЖ, а также карциноидные опу</w:t>
      </w:r>
      <w:r w:rsidRPr="00C66448">
        <w:rPr>
          <w:rFonts w:ascii="Arial" w:eastAsia="Times New Roman" w:hAnsi="Arial" w:cs="Arial"/>
          <w:sz w:val="22"/>
          <w:szCs w:val="22"/>
        </w:rPr>
        <w:softHyphen/>
        <w:t>холи. Лечебная тактика определяется конкретным сочетанием опухолей и</w:t>
      </w:r>
      <w:r w:rsidRPr="004B0B65">
        <w:rPr>
          <w:rFonts w:ascii="Arial" w:eastAsia="Times New Roman" w:hAnsi="Arial" w:cs="Arial"/>
          <w:sz w:val="22"/>
          <w:szCs w:val="22"/>
        </w:rPr>
        <w:t xml:space="preserve"> характером их гормонопродукции.</w:t>
      </w:r>
    </w:p>
    <w:p w:rsidR="00217E0A" w:rsidRDefault="00217E0A" w:rsidP="00DE1F06">
      <w:pPr>
        <w:ind w:firstLine="420"/>
        <w:jc w:val="both"/>
        <w:rPr>
          <w:rFonts w:ascii="Arial" w:eastAsia="Times New Roman" w:hAnsi="Arial" w:cs="Arial"/>
          <w:sz w:val="22"/>
          <w:szCs w:val="22"/>
        </w:rPr>
      </w:pPr>
    </w:p>
    <w:p w:rsidR="00217E0A" w:rsidRDefault="00217E0A" w:rsidP="00DE1F06">
      <w:pPr>
        <w:ind w:firstLine="420"/>
        <w:jc w:val="both"/>
        <w:rPr>
          <w:rFonts w:ascii="Arial" w:eastAsia="Times New Roman" w:hAnsi="Arial" w:cs="Arial"/>
          <w:sz w:val="22"/>
          <w:szCs w:val="22"/>
        </w:rPr>
      </w:pPr>
    </w:p>
    <w:p w:rsidR="00217E0A" w:rsidRPr="00217E0A" w:rsidRDefault="00217E0A" w:rsidP="00217E0A">
      <w:pPr>
        <w:widowControl/>
        <w:spacing w:after="160" w:line="259" w:lineRule="auto"/>
        <w:rPr>
          <w:rFonts w:ascii="Arial" w:eastAsiaTheme="minorHAnsi" w:hAnsi="Arial" w:cs="Arial"/>
          <w:color w:val="auto"/>
          <w:sz w:val="28"/>
          <w:szCs w:val="28"/>
          <w:lang w:eastAsia="en-US" w:bidi="ar-SA"/>
        </w:rPr>
      </w:pPr>
    </w:p>
    <w:p w:rsidR="00217E0A" w:rsidRPr="00217E0A" w:rsidRDefault="00217E0A" w:rsidP="00217E0A">
      <w:pPr>
        <w:widowControl/>
        <w:jc w:val="both"/>
        <w:rPr>
          <w:rFonts w:ascii="Arial" w:eastAsiaTheme="minorHAnsi" w:hAnsi="Arial" w:cs="Arial"/>
          <w:b/>
          <w:color w:val="auto"/>
          <w:sz w:val="22"/>
          <w:szCs w:val="22"/>
          <w:lang w:eastAsia="en-US" w:bidi="ar-SA"/>
        </w:rPr>
      </w:pPr>
      <w:r w:rsidRPr="00217E0A">
        <w:rPr>
          <w:rFonts w:ascii="Arial" w:eastAsiaTheme="minorHAnsi" w:hAnsi="Arial" w:cs="Arial"/>
          <w:b/>
          <w:color w:val="auto"/>
          <w:sz w:val="22"/>
          <w:szCs w:val="22"/>
          <w:lang w:eastAsia="en-US" w:bidi="ar-SA"/>
        </w:rPr>
        <w:t>Литература:</w:t>
      </w:r>
    </w:p>
    <w:p w:rsidR="00217E0A" w:rsidRPr="00217E0A" w:rsidRDefault="00217E0A" w:rsidP="00217E0A">
      <w:pPr>
        <w:widowControl/>
        <w:jc w:val="both"/>
        <w:rPr>
          <w:rFonts w:ascii="Arial" w:eastAsiaTheme="minorHAnsi" w:hAnsi="Arial" w:cs="Arial"/>
          <w:color w:val="auto"/>
          <w:sz w:val="22"/>
          <w:szCs w:val="22"/>
          <w:lang w:eastAsia="en-US" w:bidi="ar-SA"/>
        </w:rPr>
      </w:pPr>
    </w:p>
    <w:p w:rsidR="00217E0A" w:rsidRPr="00217E0A" w:rsidRDefault="00217E0A" w:rsidP="00217E0A">
      <w:pPr>
        <w:widowControl/>
        <w:numPr>
          <w:ilvl w:val="0"/>
          <w:numId w:val="15"/>
        </w:numPr>
        <w:spacing w:after="160" w:line="259" w:lineRule="auto"/>
        <w:jc w:val="both"/>
        <w:rPr>
          <w:rFonts w:ascii="Arial" w:eastAsiaTheme="minorHAnsi" w:hAnsi="Arial" w:cs="Arial"/>
          <w:color w:val="auto"/>
          <w:sz w:val="22"/>
          <w:szCs w:val="22"/>
          <w:lang w:eastAsia="en-US" w:bidi="ar-SA"/>
        </w:rPr>
      </w:pPr>
      <w:r w:rsidRPr="00217E0A">
        <w:rPr>
          <w:rFonts w:ascii="Arial" w:eastAsiaTheme="minorHAnsi" w:hAnsi="Arial" w:cs="Arial"/>
          <w:color w:val="auto"/>
          <w:sz w:val="22"/>
          <w:szCs w:val="22"/>
          <w:lang w:eastAsia="en-US" w:bidi="ar-SA"/>
        </w:rPr>
        <w:t>Дедов И.И., Мельниченко Г.А., Фадеев В.В. «Эндокринология». Учебник. –М.: «Медицина», 2000. Стр. 632.</w:t>
      </w:r>
    </w:p>
    <w:p w:rsidR="00217E0A" w:rsidRPr="00217E0A" w:rsidRDefault="00217E0A" w:rsidP="00217E0A">
      <w:pPr>
        <w:widowControl/>
        <w:numPr>
          <w:ilvl w:val="0"/>
          <w:numId w:val="15"/>
        </w:numPr>
        <w:spacing w:after="160" w:line="259" w:lineRule="auto"/>
        <w:jc w:val="both"/>
        <w:rPr>
          <w:rFonts w:ascii="Arial" w:eastAsiaTheme="minorHAnsi" w:hAnsi="Arial" w:cs="Arial"/>
          <w:color w:val="auto"/>
          <w:sz w:val="22"/>
          <w:szCs w:val="22"/>
          <w:lang w:eastAsia="en-US" w:bidi="ar-SA"/>
        </w:rPr>
      </w:pPr>
      <w:r w:rsidRPr="00217E0A">
        <w:rPr>
          <w:rFonts w:ascii="Arial" w:eastAsiaTheme="minorHAnsi" w:hAnsi="Arial" w:cs="Arial"/>
          <w:color w:val="auto"/>
          <w:sz w:val="22"/>
          <w:szCs w:val="22"/>
          <w:lang w:eastAsia="en-US" w:bidi="ar-SA"/>
        </w:rPr>
        <w:t>Гарднер Д., Шобек Д. Базисная и клиническая эндокринология / под ред. Г. А. Мельниченко. — М.: 2015. — Стр. 169.</w:t>
      </w:r>
    </w:p>
    <w:p w:rsidR="00217E0A" w:rsidRPr="00217E0A" w:rsidRDefault="00217E0A" w:rsidP="00217E0A">
      <w:pPr>
        <w:widowControl/>
        <w:numPr>
          <w:ilvl w:val="0"/>
          <w:numId w:val="15"/>
        </w:numPr>
        <w:spacing w:after="160" w:line="259" w:lineRule="auto"/>
        <w:jc w:val="both"/>
        <w:rPr>
          <w:rFonts w:ascii="Arial" w:eastAsiaTheme="minorHAnsi" w:hAnsi="Arial" w:cs="Arial"/>
          <w:color w:val="auto"/>
          <w:sz w:val="22"/>
          <w:szCs w:val="22"/>
          <w:lang w:eastAsia="en-US" w:bidi="ar-SA"/>
        </w:rPr>
      </w:pPr>
      <w:r w:rsidRPr="00217E0A">
        <w:rPr>
          <w:rFonts w:ascii="Arial" w:eastAsiaTheme="minorHAnsi" w:hAnsi="Arial" w:cs="Arial"/>
          <w:color w:val="auto"/>
          <w:sz w:val="22"/>
          <w:szCs w:val="22"/>
          <w:lang w:eastAsia="en-US" w:bidi="ar-SA"/>
        </w:rPr>
        <w:t xml:space="preserve">Дедов И. И., Мельниченко Г. А. Эндокринология. Национальное руководство. Краткое издание. — 2-е изд., перераб. и доп. — М.: ГЭОТАР-Медиа, 2018. — Стр. 832. </w:t>
      </w:r>
    </w:p>
    <w:p w:rsidR="00217E0A" w:rsidRPr="00217E0A" w:rsidRDefault="00217E0A" w:rsidP="00217E0A">
      <w:pPr>
        <w:widowControl/>
        <w:numPr>
          <w:ilvl w:val="0"/>
          <w:numId w:val="15"/>
        </w:numPr>
        <w:spacing w:after="160" w:line="259" w:lineRule="auto"/>
        <w:jc w:val="both"/>
        <w:rPr>
          <w:rFonts w:ascii="Arial" w:eastAsiaTheme="minorHAnsi" w:hAnsi="Arial" w:cs="Arial"/>
          <w:color w:val="auto"/>
          <w:sz w:val="22"/>
          <w:szCs w:val="22"/>
          <w:lang w:eastAsia="en-US" w:bidi="ar-SA"/>
        </w:rPr>
      </w:pPr>
      <w:r w:rsidRPr="00217E0A">
        <w:rPr>
          <w:rFonts w:ascii="Arial" w:eastAsiaTheme="minorHAnsi" w:hAnsi="Arial" w:cs="Arial"/>
          <w:color w:val="auto"/>
          <w:sz w:val="22"/>
          <w:szCs w:val="22"/>
          <w:lang w:eastAsia="en-US" w:bidi="ar-SA"/>
        </w:rPr>
        <w:t xml:space="preserve">Проверенный поставщик медицинской информации с 1899 года. </w:t>
      </w:r>
      <w:hyperlink r:id="rId20" w:history="1">
        <w:r w:rsidRPr="00217E0A">
          <w:rPr>
            <w:rFonts w:ascii="Arial" w:eastAsiaTheme="minorHAnsi" w:hAnsi="Arial" w:cs="Arial"/>
            <w:color w:val="0563C1" w:themeColor="hyperlink"/>
            <w:sz w:val="22"/>
            <w:szCs w:val="22"/>
            <w:u w:val="single"/>
            <w:lang w:val="en-US" w:eastAsia="en-US" w:bidi="ar-SA"/>
          </w:rPr>
          <w:t>https://</w:t>
        </w:r>
      </w:hyperlink>
      <w:hyperlink r:id="rId21" w:history="1">
        <w:r w:rsidRPr="00217E0A">
          <w:rPr>
            <w:rFonts w:ascii="Arial" w:eastAsiaTheme="minorHAnsi" w:hAnsi="Arial" w:cs="Arial"/>
            <w:color w:val="0563C1" w:themeColor="hyperlink"/>
            <w:sz w:val="22"/>
            <w:szCs w:val="22"/>
            <w:u w:val="single"/>
            <w:lang w:val="en-US" w:eastAsia="en-US" w:bidi="ar-SA"/>
          </w:rPr>
          <w:t>www.msdmanuals.com</w:t>
        </w:r>
      </w:hyperlink>
      <w:hyperlink r:id="rId22" w:history="1">
        <w:r w:rsidRPr="00217E0A">
          <w:rPr>
            <w:rFonts w:ascii="Arial" w:eastAsiaTheme="minorHAnsi" w:hAnsi="Arial" w:cs="Arial"/>
            <w:color w:val="0563C1" w:themeColor="hyperlink"/>
            <w:sz w:val="22"/>
            <w:szCs w:val="22"/>
            <w:u w:val="single"/>
            <w:lang w:val="en-US" w:eastAsia="en-US" w:bidi="ar-SA"/>
          </w:rPr>
          <w:t>/</w:t>
        </w:r>
      </w:hyperlink>
      <w:hyperlink r:id="rId23" w:history="1">
        <w:r w:rsidRPr="00217E0A">
          <w:rPr>
            <w:rFonts w:ascii="Arial" w:eastAsiaTheme="minorHAnsi" w:hAnsi="Arial" w:cs="Arial"/>
            <w:color w:val="0563C1" w:themeColor="hyperlink"/>
            <w:sz w:val="22"/>
            <w:szCs w:val="22"/>
            <w:u w:val="single"/>
            <w:lang w:val="en-US" w:eastAsia="en-US" w:bidi="ar-SA"/>
          </w:rPr>
          <w:t>ru</w:t>
        </w:r>
      </w:hyperlink>
      <w:hyperlink r:id="rId24" w:history="1">
        <w:r w:rsidRPr="00217E0A">
          <w:rPr>
            <w:rFonts w:ascii="Arial" w:eastAsiaTheme="minorHAnsi" w:hAnsi="Arial" w:cs="Arial"/>
            <w:color w:val="0563C1" w:themeColor="hyperlink"/>
            <w:sz w:val="22"/>
            <w:szCs w:val="22"/>
            <w:u w:val="single"/>
            <w:lang w:val="en-US" w:eastAsia="en-US" w:bidi="ar-SA"/>
          </w:rPr>
          <w:t>/</w:t>
        </w:r>
      </w:hyperlink>
    </w:p>
    <w:p w:rsidR="00217E0A" w:rsidRPr="00217E0A" w:rsidRDefault="00217E0A" w:rsidP="00217E0A">
      <w:pPr>
        <w:widowControl/>
        <w:numPr>
          <w:ilvl w:val="0"/>
          <w:numId w:val="15"/>
        </w:numPr>
        <w:spacing w:after="160" w:line="259" w:lineRule="auto"/>
        <w:jc w:val="both"/>
        <w:rPr>
          <w:rFonts w:ascii="Arial" w:eastAsiaTheme="minorHAnsi" w:hAnsi="Arial" w:cs="Arial"/>
          <w:color w:val="auto"/>
          <w:sz w:val="22"/>
          <w:szCs w:val="22"/>
          <w:lang w:val="en-US" w:eastAsia="en-US" w:bidi="ar-SA"/>
        </w:rPr>
      </w:pPr>
      <w:r w:rsidRPr="00217E0A">
        <w:rPr>
          <w:rFonts w:ascii="Arial" w:eastAsiaTheme="minorHAnsi" w:hAnsi="Arial" w:cs="Arial"/>
          <w:color w:val="auto"/>
          <w:sz w:val="22"/>
          <w:szCs w:val="22"/>
          <w:lang w:val="en-US" w:eastAsia="en-US" w:bidi="ar-SA"/>
        </w:rPr>
        <w:t>World Health Organization (WHO). ICD-10 classification of mental and behavioural disorders: diagnostic criteria for research 1993. — Geneva (Switzerland), 1993.</w:t>
      </w:r>
    </w:p>
    <w:p w:rsidR="00217E0A" w:rsidRPr="00217E0A" w:rsidRDefault="00217E0A" w:rsidP="00217E0A">
      <w:pPr>
        <w:widowControl/>
        <w:numPr>
          <w:ilvl w:val="0"/>
          <w:numId w:val="15"/>
        </w:numPr>
        <w:spacing w:after="160" w:line="259" w:lineRule="auto"/>
        <w:jc w:val="both"/>
        <w:rPr>
          <w:rFonts w:ascii="Arial" w:eastAsiaTheme="minorHAnsi" w:hAnsi="Arial" w:cs="Arial"/>
          <w:color w:val="auto"/>
          <w:sz w:val="22"/>
          <w:szCs w:val="22"/>
          <w:lang w:val="en-US" w:eastAsia="en-US" w:bidi="ar-SA"/>
        </w:rPr>
      </w:pPr>
      <w:r w:rsidRPr="00217E0A">
        <w:rPr>
          <w:rFonts w:ascii="Arial" w:eastAsiaTheme="minorHAnsi" w:hAnsi="Arial" w:cs="Arial"/>
          <w:color w:val="auto"/>
          <w:sz w:val="22"/>
          <w:szCs w:val="22"/>
          <w:lang w:val="en-US" w:eastAsia="en-US" w:bidi="ar-SA"/>
        </w:rPr>
        <w:t>Calabria A. Growth hormone deficiency in children // MSD Manual. — 2018.</w:t>
      </w:r>
    </w:p>
    <w:p w:rsidR="00217E0A" w:rsidRPr="00217E0A" w:rsidRDefault="00217E0A" w:rsidP="00217E0A">
      <w:pPr>
        <w:widowControl/>
        <w:numPr>
          <w:ilvl w:val="0"/>
          <w:numId w:val="15"/>
        </w:numPr>
        <w:spacing w:after="160" w:line="259" w:lineRule="auto"/>
        <w:jc w:val="both"/>
        <w:rPr>
          <w:rFonts w:ascii="Arial" w:eastAsiaTheme="minorHAnsi" w:hAnsi="Arial" w:cs="Arial"/>
          <w:color w:val="auto"/>
          <w:sz w:val="22"/>
          <w:szCs w:val="22"/>
          <w:lang w:eastAsia="en-US" w:bidi="ar-SA"/>
        </w:rPr>
      </w:pPr>
      <w:r w:rsidRPr="00217E0A">
        <w:rPr>
          <w:rFonts w:ascii="Arial" w:eastAsiaTheme="minorHAnsi" w:hAnsi="Arial" w:cs="Arial"/>
          <w:i/>
          <w:iCs/>
          <w:color w:val="auto"/>
          <w:sz w:val="22"/>
          <w:szCs w:val="22"/>
          <w:lang w:eastAsia="en-US"/>
        </w:rPr>
        <w:t>Дедов И. И., Шестакова М. В., Максимова М. А.</w:t>
      </w:r>
      <w:r w:rsidRPr="00217E0A">
        <w:rPr>
          <w:rFonts w:ascii="Arial" w:eastAsiaTheme="minorHAnsi" w:hAnsi="Arial" w:cs="Arial"/>
          <w:color w:val="auto"/>
          <w:sz w:val="22"/>
          <w:szCs w:val="22"/>
          <w:lang w:eastAsia="en-US"/>
        </w:rPr>
        <w:t xml:space="preserve"> Федеральная целевая программа «Сахарный диабет». Методические рекомендации. М., 2002.</w:t>
      </w:r>
    </w:p>
    <w:p w:rsidR="00217E0A" w:rsidRPr="00217E0A" w:rsidRDefault="00217E0A" w:rsidP="00217E0A">
      <w:pPr>
        <w:widowControl/>
        <w:numPr>
          <w:ilvl w:val="0"/>
          <w:numId w:val="15"/>
        </w:numPr>
        <w:spacing w:after="160" w:line="259" w:lineRule="auto"/>
        <w:jc w:val="both"/>
        <w:rPr>
          <w:rFonts w:ascii="Arial" w:eastAsiaTheme="minorHAnsi" w:hAnsi="Arial" w:cs="Arial"/>
          <w:color w:val="auto"/>
          <w:sz w:val="22"/>
          <w:szCs w:val="22"/>
          <w:lang w:eastAsia="en-US" w:bidi="ar-SA"/>
        </w:rPr>
      </w:pPr>
      <w:r w:rsidRPr="00217E0A">
        <w:rPr>
          <w:rFonts w:ascii="Arial" w:eastAsiaTheme="minorHAnsi" w:hAnsi="Arial" w:cs="Arial"/>
          <w:color w:val="auto"/>
          <w:sz w:val="22"/>
          <w:szCs w:val="22"/>
          <w:lang w:eastAsia="en-US" w:bidi="ar-SA"/>
        </w:rPr>
        <w:t>Российская ассоциация эндокринологов. Федеральные клинические рекомендации по ведению детей с эндокринными заболеваниями. — М., 2014 — С. 338.</w:t>
      </w:r>
    </w:p>
    <w:p w:rsidR="00217E0A" w:rsidRPr="00217E0A" w:rsidRDefault="00217E0A" w:rsidP="00217E0A">
      <w:pPr>
        <w:widowControl/>
        <w:numPr>
          <w:ilvl w:val="0"/>
          <w:numId w:val="15"/>
        </w:numPr>
        <w:spacing w:after="160" w:line="259" w:lineRule="auto"/>
        <w:jc w:val="both"/>
        <w:rPr>
          <w:rFonts w:ascii="Arial" w:eastAsiaTheme="minorHAnsi" w:hAnsi="Arial" w:cs="Arial"/>
          <w:color w:val="auto"/>
          <w:sz w:val="22"/>
          <w:szCs w:val="22"/>
          <w:lang w:val="en-US" w:eastAsia="en-US" w:bidi="ar-SA"/>
        </w:rPr>
      </w:pPr>
      <w:r w:rsidRPr="00217E0A">
        <w:rPr>
          <w:rFonts w:ascii="Arial" w:eastAsiaTheme="minorHAnsi" w:hAnsi="Arial" w:cs="Arial"/>
          <w:color w:val="auto"/>
          <w:sz w:val="22"/>
          <w:szCs w:val="22"/>
          <w:lang w:val="en-US" w:eastAsia="en-US" w:bidi="ar-SA"/>
        </w:rPr>
        <w:t>Kurtoglu S., Ozdemir A., Hatipoglu N. Neonatal hipopituitarism: approaches to diagnosis and treatment // J Clin Res Pediatr Endocrinol. — 2019; 11 (1): 4-12.</w:t>
      </w:r>
      <w:r w:rsidRPr="00217E0A">
        <w:rPr>
          <w:rFonts w:ascii="Arial" w:eastAsiaTheme="minorHAnsi" w:hAnsi="Arial" w:cs="Arial"/>
          <w:color w:val="auto"/>
          <w:sz w:val="22"/>
          <w:szCs w:val="22"/>
          <w:lang w:eastAsia="en-US" w:bidi="ar-SA"/>
        </w:rPr>
        <w:t>ссылка</w:t>
      </w:r>
    </w:p>
    <w:p w:rsidR="00217E0A" w:rsidRPr="00217E0A" w:rsidRDefault="00217E0A" w:rsidP="00217E0A">
      <w:pPr>
        <w:widowControl/>
        <w:numPr>
          <w:ilvl w:val="0"/>
          <w:numId w:val="15"/>
        </w:numPr>
        <w:spacing w:after="160" w:line="259" w:lineRule="auto"/>
        <w:jc w:val="both"/>
        <w:rPr>
          <w:rFonts w:ascii="Arial" w:eastAsiaTheme="minorHAnsi" w:hAnsi="Arial" w:cs="Arial"/>
          <w:color w:val="auto"/>
          <w:sz w:val="22"/>
          <w:szCs w:val="22"/>
          <w:lang w:eastAsia="en-US" w:bidi="ar-SA"/>
        </w:rPr>
      </w:pPr>
      <w:r w:rsidRPr="00217E0A">
        <w:rPr>
          <w:rFonts w:ascii="Arial" w:eastAsiaTheme="minorHAnsi" w:hAnsi="Arial" w:cs="Arial"/>
          <w:color w:val="auto"/>
          <w:sz w:val="22"/>
          <w:szCs w:val="22"/>
          <w:lang w:eastAsia="en-US" w:bidi="ar-SA"/>
        </w:rPr>
        <w:t>Дедов И. И., Мельниченко Г. А., Фадеев В. В. Эндокринология. — М., 2015. — С. 59.</w:t>
      </w:r>
    </w:p>
    <w:p w:rsidR="00217E0A" w:rsidRPr="00217E0A" w:rsidRDefault="00217E0A" w:rsidP="00217E0A">
      <w:pPr>
        <w:widowControl/>
        <w:numPr>
          <w:ilvl w:val="0"/>
          <w:numId w:val="15"/>
        </w:numPr>
        <w:tabs>
          <w:tab w:val="clear" w:pos="720"/>
        </w:tabs>
        <w:spacing w:after="160" w:line="259" w:lineRule="auto"/>
        <w:jc w:val="both"/>
        <w:rPr>
          <w:rFonts w:ascii="Arial" w:eastAsiaTheme="minorHAnsi" w:hAnsi="Arial" w:cs="Arial"/>
          <w:color w:val="auto"/>
          <w:sz w:val="22"/>
          <w:szCs w:val="22"/>
          <w:lang w:eastAsia="en-US" w:bidi="ar-SA"/>
        </w:rPr>
      </w:pPr>
      <w:r w:rsidRPr="00217E0A">
        <w:rPr>
          <w:rFonts w:ascii="Arial" w:eastAsiaTheme="minorHAnsi" w:hAnsi="Arial" w:cs="Arial"/>
          <w:color w:val="auto"/>
          <w:sz w:val="22"/>
          <w:szCs w:val="22"/>
          <w:lang w:eastAsia="en-US" w:bidi="ar-SA"/>
        </w:rPr>
        <w:t>Дедов И. И., Петеркова В. А., Малиевский О. А. Детская эндокринология. — М., 2016. — С. 9.</w:t>
      </w:r>
    </w:p>
    <w:p w:rsidR="00217E0A" w:rsidRPr="00217E0A" w:rsidRDefault="00217E0A" w:rsidP="00217E0A">
      <w:pPr>
        <w:widowControl/>
        <w:numPr>
          <w:ilvl w:val="0"/>
          <w:numId w:val="15"/>
        </w:numPr>
        <w:tabs>
          <w:tab w:val="clear" w:pos="720"/>
        </w:tabs>
        <w:spacing w:after="160" w:line="259" w:lineRule="auto"/>
        <w:jc w:val="both"/>
        <w:rPr>
          <w:rFonts w:ascii="Arial" w:eastAsiaTheme="minorHAnsi" w:hAnsi="Arial" w:cs="Arial"/>
          <w:color w:val="auto"/>
          <w:sz w:val="22"/>
          <w:szCs w:val="22"/>
          <w:lang w:eastAsia="en-US" w:bidi="ar-SA"/>
        </w:rPr>
      </w:pPr>
      <w:r w:rsidRPr="00217E0A">
        <w:rPr>
          <w:rFonts w:ascii="Arial" w:eastAsiaTheme="minorHAnsi" w:hAnsi="Arial" w:cs="Arial"/>
          <w:color w:val="auto"/>
          <w:sz w:val="22"/>
          <w:szCs w:val="22"/>
          <w:lang w:val="en-US" w:eastAsia="en-US" w:bidi="en-US"/>
        </w:rPr>
        <w:t xml:space="preserve">Centers for Disease Control and Prevention. National diabetes fact sheet. U. S. Department of Health and Human Services, Centers for Disease Control and Prevention. </w:t>
      </w:r>
      <w:r w:rsidRPr="00217E0A">
        <w:rPr>
          <w:rFonts w:ascii="Arial" w:eastAsiaTheme="minorHAnsi" w:hAnsi="Arial" w:cs="Arial"/>
          <w:color w:val="auto"/>
          <w:sz w:val="22"/>
          <w:szCs w:val="22"/>
          <w:lang w:eastAsia="en-US" w:bidi="ar-SA"/>
        </w:rPr>
        <w:t>Atlanta, GA, 2004.</w:t>
      </w:r>
    </w:p>
    <w:p w:rsidR="00217E0A" w:rsidRPr="00217E0A" w:rsidRDefault="00217E0A" w:rsidP="00217E0A">
      <w:pPr>
        <w:widowControl/>
        <w:rPr>
          <w:rFonts w:ascii="Arial" w:eastAsiaTheme="minorHAnsi" w:hAnsi="Arial" w:cs="Arial"/>
          <w:color w:val="auto"/>
          <w:sz w:val="28"/>
          <w:szCs w:val="28"/>
          <w:lang w:eastAsia="en-US" w:bidi="ar-SA"/>
        </w:rPr>
      </w:pPr>
    </w:p>
    <w:p w:rsidR="00217E0A" w:rsidRPr="004B0B65" w:rsidRDefault="00217E0A" w:rsidP="00DE1F06">
      <w:pPr>
        <w:ind w:firstLine="420"/>
        <w:jc w:val="both"/>
        <w:rPr>
          <w:rFonts w:ascii="Arial" w:hAnsi="Arial" w:cs="Arial"/>
        </w:rPr>
      </w:pPr>
    </w:p>
    <w:sectPr w:rsidR="00217E0A" w:rsidRPr="004B0B65" w:rsidSect="00C66448">
      <w:headerReference w:type="even" r:id="rId25"/>
      <w:headerReference w:type="default" r:id="rId26"/>
      <w:footerReference w:type="even" r:id="rId27"/>
      <w:footerReference w:type="default" r:id="rId28"/>
      <w:headerReference w:type="first" r:id="rId29"/>
      <w:footerReference w:type="first" r:id="rId30"/>
      <w:pgSz w:w="11900" w:h="16840" w:code="9"/>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2716" w:rsidRDefault="00222716">
      <w:r>
        <w:separator/>
      </w:r>
    </w:p>
  </w:endnote>
  <w:endnote w:type="continuationSeparator" w:id="0">
    <w:p w:rsidR="00222716" w:rsidRDefault="00222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43" w:usb2="00000009" w:usb3="00000000" w:csb0="000001FF" w:csb1="00000000"/>
  </w:font>
  <w:font w:name="+mj-ea">
    <w:panose1 w:val="00000000000000000000"/>
    <w:charset w:val="00"/>
    <w:family w:val="roman"/>
    <w:notTrueType/>
    <w:pitch w:val="default"/>
  </w:font>
  <w:font w:name="+mn-ea">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3C7" w:rsidRDefault="001B23C7">
    <w:pPr>
      <w:spacing w:line="1" w:lineRule="exact"/>
    </w:pPr>
    <w:r>
      <w:rPr>
        <w:noProof/>
        <w:lang w:bidi="ar-SA"/>
      </w:rPr>
      <mc:AlternateContent>
        <mc:Choice Requires="wps">
          <w:drawing>
            <wp:anchor distT="0" distB="0" distL="0" distR="0" simplePos="0" relativeHeight="251672576" behindDoc="1" locked="0" layoutInCell="1" allowOverlap="1" wp14:anchorId="739C1A5F" wp14:editId="46AC911E">
              <wp:simplePos x="0" y="0"/>
              <wp:positionH relativeFrom="page">
                <wp:posOffset>1475105</wp:posOffset>
              </wp:positionH>
              <wp:positionV relativeFrom="page">
                <wp:posOffset>9810115</wp:posOffset>
              </wp:positionV>
              <wp:extent cx="194945" cy="115570"/>
              <wp:effectExtent l="0" t="0" r="0" b="0"/>
              <wp:wrapNone/>
              <wp:docPr id="5" name="Shape 1223"/>
              <wp:cNvGraphicFramePr/>
              <a:graphic xmlns:a="http://schemas.openxmlformats.org/drawingml/2006/main">
                <a:graphicData uri="http://schemas.microsoft.com/office/word/2010/wordprocessingShape">
                  <wps:wsp>
                    <wps:cNvSpPr txBox="1"/>
                    <wps:spPr>
                      <a:xfrm>
                        <a:off x="0" y="0"/>
                        <a:ext cx="194945" cy="115570"/>
                      </a:xfrm>
                      <a:prstGeom prst="rect">
                        <a:avLst/>
                      </a:prstGeom>
                      <a:noFill/>
                    </wps:spPr>
                    <wps:txbx>
                      <w:txbxContent>
                        <w:p w:rsidR="001B23C7" w:rsidRDefault="001B23C7">
                          <w:pPr>
                            <w:pStyle w:val="a9"/>
                          </w:pPr>
                          <w:r>
                            <w:rPr>
                              <w:b/>
                              <w:bCs/>
                            </w:rPr>
                            <w:fldChar w:fldCharType="begin"/>
                          </w:r>
                          <w:r>
                            <w:rPr>
                              <w:b/>
                              <w:bCs/>
                            </w:rPr>
                            <w:instrText xml:space="preserve"> PAGE \* MERGEFORMAT </w:instrText>
                          </w:r>
                          <w:r>
                            <w:rPr>
                              <w:b/>
                              <w:bCs/>
                            </w:rPr>
                            <w:fldChar w:fldCharType="separate"/>
                          </w:r>
                          <w:r w:rsidR="00217E0A">
                            <w:rPr>
                              <w:b/>
                              <w:bCs/>
                              <w:noProof/>
                            </w:rPr>
                            <w:t>12</w:t>
                          </w:r>
                          <w:r>
                            <w:rPr>
                              <w:b/>
                              <w:bCs/>
                            </w:rPr>
                            <w:fldChar w:fldCharType="end"/>
                          </w:r>
                        </w:p>
                      </w:txbxContent>
                    </wps:txbx>
                    <wps:bodyPr wrap="none" lIns="0" tIns="0" rIns="0" bIns="0">
                      <a:spAutoFit/>
                    </wps:bodyPr>
                  </wps:wsp>
                </a:graphicData>
              </a:graphic>
            </wp:anchor>
          </w:drawing>
        </mc:Choice>
        <mc:Fallback>
          <w:pict>
            <v:shapetype w14:anchorId="739C1A5F" id="_x0000_t202" coordsize="21600,21600" o:spt="202" path="m,l,21600r21600,l21600,xe">
              <v:stroke joinstyle="miter"/>
              <v:path gradientshapeok="t" o:connecttype="rect"/>
            </v:shapetype>
            <v:shape id="Shape 1223" o:spid="_x0000_s1032" type="#_x0000_t202" style="position:absolute;margin-left:116.15pt;margin-top:772.45pt;width:15.35pt;height:9.1pt;z-index:-25164390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KTxmQEAACQDAAAOAAAAZHJzL2Uyb0RvYy54bWysUtFO6zAMfb8S/xDlnXUd7F5WrUMgBEJC&#10;gAR8QJYma6QmjuKwdn+Pk3UDcd8QL4ljO8fHx15eDrZjWxXQgKt5OZlyppyExrhNzd9eb08vOMMo&#10;XCM6cKrmO4X8cnXyZ9n7Ss2gha5RgRGIw6r3NW9j9FVRoGyVFTgBrxwFNQQrIj3DpmiC6AnddsVs&#10;Ov1b9BAaH0AqRPLe7IN8lfG1VjI+aY0qsq7mxC3mM+Rznc5itRTVJgjfGjnSED9gYYVxVPQIdSOi&#10;YO/B/AdljQyAoONEgi1AayNV7oG6KaffunlphVe5FxIH/VEm/D1Y+bh9Dsw0NZ9z5oSlEeWqrJzN&#10;zpI6vceKkl48pcXhGgaa8sGP5ExNDzrYdFM7jOKk8+6orRoik+nT4nxxTjUkhcpyPv+XtS8+P/uA&#10;8U6BZcmoeaDRZUXF9gEjEaHUQ0qq5eDWdF3yJ4Z7JsmKw3oYaa+h2RHrnqZbc0frx1l370i8tAgH&#10;IxyM9WgkcPRX75EK5LoJdQ81FqNRZDrj2qRZf33nrM/lXn0AAAD//wMAUEsDBBQABgAIAAAAIQD/&#10;aIK53wAAAA0BAAAPAAAAZHJzL2Rvd25yZXYueG1sTI/NTsMwEITvSLyDtUjcqNOkhDaNU6FKXLjR&#10;IiRubryNI/wT2W6avD3bExx35tPsTL2brGEjhth7J2C5yICha73qXSfg8/j2tAYWk3RKGu9QwIwR&#10;ds39XS0r5a/uA8dD6hiFuFhJATqloeI8thqtjAs/oCPv7IOVic7QcRXklcKt4XmWldzK3tEHLQfc&#10;a2x/Dhcr4GX68jhE3OP3eWyD7ue1eZ+FeHyYXrfAEk7pD4ZbfaoODXU6+YtTkRkBeZEXhJLxvFpt&#10;gBGSlwXNO92kslgCb2r+f0XzCwAA//8DAFBLAQItABQABgAIAAAAIQC2gziS/gAAAOEBAAATAAAA&#10;AAAAAAAAAAAAAAAAAABbQ29udGVudF9UeXBlc10ueG1sUEsBAi0AFAAGAAgAAAAhADj9If/WAAAA&#10;lAEAAAsAAAAAAAAAAAAAAAAALwEAAF9yZWxzLy5yZWxzUEsBAi0AFAAGAAgAAAAhAM3cpPGZAQAA&#10;JAMAAA4AAAAAAAAAAAAAAAAALgIAAGRycy9lMm9Eb2MueG1sUEsBAi0AFAAGAAgAAAAhAP9ogrnf&#10;AAAADQEAAA8AAAAAAAAAAAAAAAAA8wMAAGRycy9kb3ducmV2LnhtbFBLBQYAAAAABAAEAPMAAAD/&#10;BAAAAAA=&#10;" filled="f" stroked="f">
              <v:textbox style="mso-fit-shape-to-text:t" inset="0,0,0,0">
                <w:txbxContent>
                  <w:p w:rsidR="001B23C7" w:rsidRDefault="001B23C7">
                    <w:pPr>
                      <w:pStyle w:val="a9"/>
                    </w:pPr>
                    <w:r>
                      <w:rPr>
                        <w:b/>
                        <w:bCs/>
                      </w:rPr>
                      <w:fldChar w:fldCharType="begin"/>
                    </w:r>
                    <w:r>
                      <w:rPr>
                        <w:b/>
                        <w:bCs/>
                      </w:rPr>
                      <w:instrText xml:space="preserve"> PAGE \* MERGEFORMAT </w:instrText>
                    </w:r>
                    <w:r>
                      <w:rPr>
                        <w:b/>
                        <w:bCs/>
                      </w:rPr>
                      <w:fldChar w:fldCharType="separate"/>
                    </w:r>
                    <w:r w:rsidR="00217E0A">
                      <w:rPr>
                        <w:b/>
                        <w:bCs/>
                        <w:noProof/>
                      </w:rPr>
                      <w:t>12</w:t>
                    </w:r>
                    <w:r>
                      <w:rPr>
                        <w:b/>
                        <w:bCs/>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3C7" w:rsidRDefault="001B23C7">
    <w:pPr>
      <w:spacing w:line="1" w:lineRule="exact"/>
    </w:pPr>
    <w:r>
      <w:rPr>
        <w:noProof/>
        <w:lang w:bidi="ar-SA"/>
      </w:rPr>
      <mc:AlternateContent>
        <mc:Choice Requires="wps">
          <w:drawing>
            <wp:anchor distT="0" distB="0" distL="0" distR="0" simplePos="0" relativeHeight="251671552" behindDoc="1" locked="0" layoutInCell="1" allowOverlap="1" wp14:anchorId="6548073C" wp14:editId="174A72C0">
              <wp:simplePos x="0" y="0"/>
              <wp:positionH relativeFrom="page">
                <wp:posOffset>6106795</wp:posOffset>
              </wp:positionH>
              <wp:positionV relativeFrom="page">
                <wp:posOffset>9944735</wp:posOffset>
              </wp:positionV>
              <wp:extent cx="115570" cy="103505"/>
              <wp:effectExtent l="0" t="0" r="0" b="0"/>
              <wp:wrapNone/>
              <wp:docPr id="6" name="Shape 1221"/>
              <wp:cNvGraphicFramePr/>
              <a:graphic xmlns:a="http://schemas.openxmlformats.org/drawingml/2006/main">
                <a:graphicData uri="http://schemas.microsoft.com/office/word/2010/wordprocessingShape">
                  <wps:wsp>
                    <wps:cNvSpPr txBox="1"/>
                    <wps:spPr>
                      <a:xfrm>
                        <a:off x="0" y="0"/>
                        <a:ext cx="115570" cy="103505"/>
                      </a:xfrm>
                      <a:prstGeom prst="rect">
                        <a:avLst/>
                      </a:prstGeom>
                      <a:noFill/>
                    </wps:spPr>
                    <wps:txbx>
                      <w:txbxContent>
                        <w:p w:rsidR="001B23C7" w:rsidRDefault="001B23C7">
                          <w:pPr>
                            <w:pStyle w:val="22"/>
                            <w:rPr>
                              <w:sz w:val="22"/>
                              <w:szCs w:val="22"/>
                            </w:rPr>
                          </w:pPr>
                          <w:r>
                            <w:rPr>
                              <w:sz w:val="22"/>
                              <w:szCs w:val="22"/>
                            </w:rPr>
                            <w:fldChar w:fldCharType="begin"/>
                          </w:r>
                          <w:r>
                            <w:rPr>
                              <w:sz w:val="22"/>
                              <w:szCs w:val="22"/>
                            </w:rPr>
                            <w:instrText xml:space="preserve"> PAGE \* MERGEFORMAT </w:instrText>
                          </w:r>
                          <w:r>
                            <w:rPr>
                              <w:sz w:val="22"/>
                              <w:szCs w:val="22"/>
                            </w:rPr>
                            <w:fldChar w:fldCharType="separate"/>
                          </w:r>
                          <w:r w:rsidR="00F501C6">
                            <w:rPr>
                              <w:noProof/>
                              <w:sz w:val="22"/>
                              <w:szCs w:val="22"/>
                            </w:rPr>
                            <w:t>21</w:t>
                          </w:r>
                          <w:r>
                            <w:rPr>
                              <w:sz w:val="22"/>
                              <w:szCs w:val="22"/>
                            </w:rPr>
                            <w:fldChar w:fldCharType="end"/>
                          </w:r>
                        </w:p>
                      </w:txbxContent>
                    </wps:txbx>
                    <wps:bodyPr wrap="none" lIns="0" tIns="0" rIns="0" bIns="0">
                      <a:spAutoFit/>
                    </wps:bodyPr>
                  </wps:wsp>
                </a:graphicData>
              </a:graphic>
            </wp:anchor>
          </w:drawing>
        </mc:Choice>
        <mc:Fallback>
          <w:pict>
            <v:shapetype w14:anchorId="6548073C" id="_x0000_t202" coordsize="21600,21600" o:spt="202" path="m,l,21600r21600,l21600,xe">
              <v:stroke joinstyle="miter"/>
              <v:path gradientshapeok="t" o:connecttype="rect"/>
            </v:shapetype>
            <v:shape id="Shape 1221" o:spid="_x0000_s1033" type="#_x0000_t202" style="position:absolute;margin-left:480.85pt;margin-top:783.05pt;width:9.1pt;height:8.15pt;z-index:-25164492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2NRmAEAACsDAAAOAAAAZHJzL2Uyb0RvYy54bWysUttOwzAMfUfiH6K8s7ZDA1Stm0AIhIQA&#10;CfiALE3WSE0cxWHt/h4nu4DgDfGSOLZzfI7t+XK0PduogAZcw6tJyZlyElrj1g1/f7s7u+IMo3Ct&#10;6MGphm8V8uXi9GQ++FpNoYO+VYERiMN68A3vYvR1UaDslBU4Aa8cBTUEKyI9w7pogxgI3fbFtCwv&#10;igFC6wNIhUje212QLzK+1krGZ61RRdY3nLjFfIZ8rtJZLOaiXgfhOyP3NMQfWFhhHBU9Qt2KKNhH&#10;ML+grJEBEHScSLAFaG2kyhpITVX+UPPaCa+yFmoO+mOb8P9g5dPmJTDTNvyCMycsjShXZdV0WqXu&#10;DB5rSnr1lBbHGxhpygc/kjOJHnWw6SY5jOLU5+2xt2qMTKZP1Wx2SRFJoao8n5WzhFJ8ffYB470C&#10;y5LR8ECjyx0Vm0eMu9RDSqrl4M70ffInhjsmyYrjasx6jixX0G6J/EBDbrijLeSsf3DUw7QPByMc&#10;jNXeSDXQX39EqpPLJ/Ad1L4mTSQL2G9PGvn3d8762vHFJwAAAP//AwBQSwMEFAAGAAgAAAAhAM4s&#10;4xDeAAAADQEAAA8AAABkcnMvZG93bnJldi54bWxMj8tOwzAQRfdI/IM1SOyokwryIk6FKrFhR0FI&#10;7Nx4Gkf4Edlumvw90xUsZ+7RnTPtbrGGzRji6J2AfJMBQ9d7NbpBwOfH60MFLCbplDTeoYAVI+y6&#10;25tWNspf3DvOhzQwKnGxkQJ0SlPDeew1Whk3fkJH2ckHKxONYeAqyAuVW8O3WVZwK0dHF7SccK+x&#10;/zmcrYBy+fI4Rdzj92nugx7XyrytQtzfLS/PwBIu6Q+Gqz6pQ0dOR392KjIjoC7yklAKnooiB0ZI&#10;XdY1sON1VW0fgXct//9F9wsAAP//AwBQSwECLQAUAAYACAAAACEAtoM4kv4AAADhAQAAEwAAAAAA&#10;AAAAAAAAAAAAAAAAW0NvbnRlbnRfVHlwZXNdLnhtbFBLAQItABQABgAIAAAAIQA4/SH/1gAAAJQB&#10;AAALAAAAAAAAAAAAAAAAAC8BAABfcmVscy8ucmVsc1BLAQItABQABgAIAAAAIQAjB2NRmAEAACsD&#10;AAAOAAAAAAAAAAAAAAAAAC4CAABkcnMvZTJvRG9jLnhtbFBLAQItABQABgAIAAAAIQDOLOMQ3gAA&#10;AA0BAAAPAAAAAAAAAAAAAAAAAPIDAABkcnMvZG93bnJldi54bWxQSwUGAAAAAAQABADzAAAA/QQA&#10;AAAA&#10;" filled="f" stroked="f">
              <v:textbox style="mso-fit-shape-to-text:t" inset="0,0,0,0">
                <w:txbxContent>
                  <w:p w:rsidR="001B23C7" w:rsidRDefault="001B23C7">
                    <w:pPr>
                      <w:pStyle w:val="22"/>
                      <w:rPr>
                        <w:sz w:val="22"/>
                        <w:szCs w:val="22"/>
                      </w:rPr>
                    </w:pPr>
                    <w:r>
                      <w:rPr>
                        <w:sz w:val="22"/>
                        <w:szCs w:val="22"/>
                      </w:rPr>
                      <w:fldChar w:fldCharType="begin"/>
                    </w:r>
                    <w:r>
                      <w:rPr>
                        <w:sz w:val="22"/>
                        <w:szCs w:val="22"/>
                      </w:rPr>
                      <w:instrText xml:space="preserve"> PAGE \* MERGEFORMAT </w:instrText>
                    </w:r>
                    <w:r>
                      <w:rPr>
                        <w:sz w:val="22"/>
                        <w:szCs w:val="22"/>
                      </w:rPr>
                      <w:fldChar w:fldCharType="separate"/>
                    </w:r>
                    <w:r w:rsidR="00F501C6">
                      <w:rPr>
                        <w:noProof/>
                        <w:sz w:val="22"/>
                        <w:szCs w:val="22"/>
                      </w:rPr>
                      <w:t>21</w:t>
                    </w:r>
                    <w:r>
                      <w:rPr>
                        <w:sz w:val="22"/>
                        <w:szCs w:val="22"/>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3C7" w:rsidRDefault="001B23C7">
    <w:pPr>
      <w:spacing w:line="1"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2716" w:rsidRDefault="00222716">
      <w:r>
        <w:separator/>
      </w:r>
    </w:p>
  </w:footnote>
  <w:footnote w:type="continuationSeparator" w:id="0">
    <w:p w:rsidR="00222716" w:rsidRDefault="002227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3C7" w:rsidRDefault="001B23C7">
    <w:pPr>
      <w:spacing w:line="1"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3C7" w:rsidRDefault="001B23C7">
    <w:pPr>
      <w:spacing w:line="1"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3C7" w:rsidRDefault="001B23C7">
    <w:pPr>
      <w:spacing w:line="1"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B7E45"/>
    <w:multiLevelType w:val="multilevel"/>
    <w:tmpl w:val="026E6D64"/>
    <w:lvl w:ilvl="0">
      <w:start w:val="13"/>
      <w:numFmt w:val="decimal"/>
      <w:lvlText w:val="%1."/>
      <w:lvlJc w:val="left"/>
    </w:lvl>
    <w:lvl w:ilvl="1">
      <w:start w:val="4"/>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D3613E"/>
    <w:multiLevelType w:val="hybridMultilevel"/>
    <w:tmpl w:val="A6C2CE34"/>
    <w:lvl w:ilvl="0" w:tplc="3DB0EC5E">
      <w:start w:val="1"/>
      <w:numFmt w:val="decimal"/>
      <w:lvlText w:val="%1."/>
      <w:lvlJc w:val="left"/>
      <w:pPr>
        <w:tabs>
          <w:tab w:val="num" w:pos="720"/>
        </w:tabs>
        <w:ind w:left="720" w:hanging="360"/>
      </w:pPr>
    </w:lvl>
    <w:lvl w:ilvl="1" w:tplc="98D493D2" w:tentative="1">
      <w:start w:val="1"/>
      <w:numFmt w:val="decimal"/>
      <w:lvlText w:val="%2."/>
      <w:lvlJc w:val="left"/>
      <w:pPr>
        <w:tabs>
          <w:tab w:val="num" w:pos="1440"/>
        </w:tabs>
        <w:ind w:left="1440" w:hanging="360"/>
      </w:pPr>
    </w:lvl>
    <w:lvl w:ilvl="2" w:tplc="823464CC" w:tentative="1">
      <w:start w:val="1"/>
      <w:numFmt w:val="decimal"/>
      <w:lvlText w:val="%3."/>
      <w:lvlJc w:val="left"/>
      <w:pPr>
        <w:tabs>
          <w:tab w:val="num" w:pos="2160"/>
        </w:tabs>
        <w:ind w:left="2160" w:hanging="360"/>
      </w:pPr>
    </w:lvl>
    <w:lvl w:ilvl="3" w:tplc="866EA6D2" w:tentative="1">
      <w:start w:val="1"/>
      <w:numFmt w:val="decimal"/>
      <w:lvlText w:val="%4."/>
      <w:lvlJc w:val="left"/>
      <w:pPr>
        <w:tabs>
          <w:tab w:val="num" w:pos="2880"/>
        </w:tabs>
        <w:ind w:left="2880" w:hanging="360"/>
      </w:pPr>
    </w:lvl>
    <w:lvl w:ilvl="4" w:tplc="7084F3EE" w:tentative="1">
      <w:start w:val="1"/>
      <w:numFmt w:val="decimal"/>
      <w:lvlText w:val="%5."/>
      <w:lvlJc w:val="left"/>
      <w:pPr>
        <w:tabs>
          <w:tab w:val="num" w:pos="3600"/>
        </w:tabs>
        <w:ind w:left="3600" w:hanging="360"/>
      </w:pPr>
    </w:lvl>
    <w:lvl w:ilvl="5" w:tplc="ABA0B602" w:tentative="1">
      <w:start w:val="1"/>
      <w:numFmt w:val="decimal"/>
      <w:lvlText w:val="%6."/>
      <w:lvlJc w:val="left"/>
      <w:pPr>
        <w:tabs>
          <w:tab w:val="num" w:pos="4320"/>
        </w:tabs>
        <w:ind w:left="4320" w:hanging="360"/>
      </w:pPr>
    </w:lvl>
    <w:lvl w:ilvl="6" w:tplc="235AB526" w:tentative="1">
      <w:start w:val="1"/>
      <w:numFmt w:val="decimal"/>
      <w:lvlText w:val="%7."/>
      <w:lvlJc w:val="left"/>
      <w:pPr>
        <w:tabs>
          <w:tab w:val="num" w:pos="5040"/>
        </w:tabs>
        <w:ind w:left="5040" w:hanging="360"/>
      </w:pPr>
    </w:lvl>
    <w:lvl w:ilvl="7" w:tplc="E944671C" w:tentative="1">
      <w:start w:val="1"/>
      <w:numFmt w:val="decimal"/>
      <w:lvlText w:val="%8."/>
      <w:lvlJc w:val="left"/>
      <w:pPr>
        <w:tabs>
          <w:tab w:val="num" w:pos="5760"/>
        </w:tabs>
        <w:ind w:left="5760" w:hanging="360"/>
      </w:pPr>
    </w:lvl>
    <w:lvl w:ilvl="8" w:tplc="07C8F158" w:tentative="1">
      <w:start w:val="1"/>
      <w:numFmt w:val="decimal"/>
      <w:lvlText w:val="%9."/>
      <w:lvlJc w:val="left"/>
      <w:pPr>
        <w:tabs>
          <w:tab w:val="num" w:pos="6480"/>
        </w:tabs>
        <w:ind w:left="6480" w:hanging="360"/>
      </w:pPr>
    </w:lvl>
  </w:abstractNum>
  <w:abstractNum w:abstractNumId="2" w15:restartNumberingAfterBreak="0">
    <w:nsid w:val="0DF10E2C"/>
    <w:multiLevelType w:val="multilevel"/>
    <w:tmpl w:val="BC34C8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260412"/>
    <w:multiLevelType w:val="multilevel"/>
    <w:tmpl w:val="CA78F3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0D14E9C"/>
    <w:multiLevelType w:val="hybridMultilevel"/>
    <w:tmpl w:val="02A23C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D50C47"/>
    <w:multiLevelType w:val="multilevel"/>
    <w:tmpl w:val="574C97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1AD38FB"/>
    <w:multiLevelType w:val="multilevel"/>
    <w:tmpl w:val="56B4A1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7107D12"/>
    <w:multiLevelType w:val="multilevel"/>
    <w:tmpl w:val="F6F239E2"/>
    <w:lvl w:ilvl="0">
      <w:start w:val="1"/>
      <w:numFmt w:val="decimal"/>
      <w:lvlText w:val="%1."/>
      <w:lvlJc w:val="left"/>
    </w:lvl>
    <w:lvl w:ilvl="1">
      <w:start w:val="1"/>
      <w:numFmt w:val="decimal"/>
      <w:lvlText w:val="%1.%2."/>
      <w:lvlJc w:val="left"/>
    </w:lvl>
    <w:lvl w:ilvl="2">
      <w:start w:val="2"/>
      <w:numFmt w:val="decimal"/>
      <w:lvlText w:val="%1.%2.%3."/>
      <w:lvlJc w:val="left"/>
      <w:rPr>
        <w:rFonts w:ascii="Times New Roman" w:eastAsia="Times New Roman" w:hAnsi="Times New Roman" w:cs="Times New Roman"/>
        <w:b/>
        <w:bCs/>
        <w:i/>
        <w:iCs/>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10A2515"/>
    <w:multiLevelType w:val="multilevel"/>
    <w:tmpl w:val="81E227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16C5B28"/>
    <w:multiLevelType w:val="multilevel"/>
    <w:tmpl w:val="955A17FE"/>
    <w:lvl w:ilvl="0">
      <w:start w:val="13"/>
      <w:numFmt w:val="decimal"/>
      <w:lvlText w:val="%1."/>
      <w:lvlJc w:val="left"/>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DCA56E5"/>
    <w:multiLevelType w:val="multilevel"/>
    <w:tmpl w:val="A74697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48C69FA"/>
    <w:multiLevelType w:val="multilevel"/>
    <w:tmpl w:val="B10C9A6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64037A5"/>
    <w:multiLevelType w:val="multilevel"/>
    <w:tmpl w:val="F036ED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A001D1A"/>
    <w:multiLevelType w:val="multilevel"/>
    <w:tmpl w:val="52A030F2"/>
    <w:lvl w:ilvl="0">
      <w:start w:val="13"/>
      <w:numFmt w:val="decimal"/>
      <w:lvlText w:val="%1."/>
      <w:lvlJc w:val="left"/>
    </w:lvl>
    <w:lvl w:ilvl="1">
      <w:start w:val="9"/>
      <w:numFmt w:val="decimal"/>
      <w:lvlText w:val="%1.%2."/>
      <w:lvlJc w:val="left"/>
    </w:lvl>
    <w:lvl w:ilvl="2">
      <w:start w:val="1"/>
      <w:numFmt w:val="decimal"/>
      <w:lvlText w:val="%1.%2.%3."/>
      <w:lvlJc w:val="left"/>
      <w:rPr>
        <w:rFonts w:ascii="Times New Roman" w:eastAsia="Times New Roman" w:hAnsi="Times New Roman" w:cs="Times New Roman"/>
        <w:b/>
        <w:bCs/>
        <w:i/>
        <w:iCs/>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E740EF9"/>
    <w:multiLevelType w:val="multilevel"/>
    <w:tmpl w:val="4336F0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EF553D0"/>
    <w:multiLevelType w:val="multilevel"/>
    <w:tmpl w:val="11E006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0"/>
  </w:num>
  <w:num w:numId="3">
    <w:abstractNumId w:val="6"/>
  </w:num>
  <w:num w:numId="4">
    <w:abstractNumId w:val="14"/>
  </w:num>
  <w:num w:numId="5">
    <w:abstractNumId w:val="11"/>
  </w:num>
  <w:num w:numId="6">
    <w:abstractNumId w:val="8"/>
  </w:num>
  <w:num w:numId="7">
    <w:abstractNumId w:val="7"/>
  </w:num>
  <w:num w:numId="8">
    <w:abstractNumId w:val="12"/>
  </w:num>
  <w:num w:numId="9">
    <w:abstractNumId w:val="0"/>
  </w:num>
  <w:num w:numId="10">
    <w:abstractNumId w:val="15"/>
  </w:num>
  <w:num w:numId="11">
    <w:abstractNumId w:val="5"/>
  </w:num>
  <w:num w:numId="12">
    <w:abstractNumId w:val="13"/>
  </w:num>
  <w:num w:numId="13">
    <w:abstractNumId w:val="2"/>
  </w:num>
  <w:num w:numId="14">
    <w:abstractNumId w:val="3"/>
  </w:num>
  <w:num w:numId="15">
    <w:abstractNumId w:val="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E52"/>
    <w:rsid w:val="00020E24"/>
    <w:rsid w:val="00096B46"/>
    <w:rsid w:val="001774BF"/>
    <w:rsid w:val="001B23C7"/>
    <w:rsid w:val="00217E0A"/>
    <w:rsid w:val="00222716"/>
    <w:rsid w:val="003624DC"/>
    <w:rsid w:val="003E5C2B"/>
    <w:rsid w:val="00400E9E"/>
    <w:rsid w:val="00470A5D"/>
    <w:rsid w:val="00471C76"/>
    <w:rsid w:val="004B0B65"/>
    <w:rsid w:val="00620713"/>
    <w:rsid w:val="00647DC9"/>
    <w:rsid w:val="006E485B"/>
    <w:rsid w:val="0074786D"/>
    <w:rsid w:val="008A3CFF"/>
    <w:rsid w:val="008A63FC"/>
    <w:rsid w:val="009E5643"/>
    <w:rsid w:val="00A82347"/>
    <w:rsid w:val="00AA5A4B"/>
    <w:rsid w:val="00BC1BB8"/>
    <w:rsid w:val="00C04B5D"/>
    <w:rsid w:val="00C66448"/>
    <w:rsid w:val="00D16720"/>
    <w:rsid w:val="00DE1F06"/>
    <w:rsid w:val="00E939A7"/>
    <w:rsid w:val="00EE26A5"/>
    <w:rsid w:val="00F501C6"/>
    <w:rsid w:val="00F62419"/>
    <w:rsid w:val="00F66E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96AE5B-F5FE-4A7A-A2F2-CD2728A22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66E52"/>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F66E52"/>
    <w:rPr>
      <w:rFonts w:ascii="Times New Roman" w:eastAsia="Times New Roman" w:hAnsi="Times New Roman" w:cs="Times New Roman"/>
    </w:rPr>
  </w:style>
  <w:style w:type="paragraph" w:customStyle="1" w:styleId="1">
    <w:name w:val="Основной текст1"/>
    <w:basedOn w:val="a"/>
    <w:link w:val="a3"/>
    <w:rsid w:val="00F66E52"/>
    <w:pPr>
      <w:ind w:firstLine="400"/>
    </w:pPr>
    <w:rPr>
      <w:rFonts w:ascii="Times New Roman" w:eastAsia="Times New Roman" w:hAnsi="Times New Roman" w:cs="Times New Roman"/>
      <w:color w:val="auto"/>
      <w:sz w:val="22"/>
      <w:szCs w:val="22"/>
      <w:lang w:eastAsia="en-US" w:bidi="ar-SA"/>
    </w:rPr>
  </w:style>
  <w:style w:type="character" w:customStyle="1" w:styleId="a4">
    <w:name w:val="Подпись к картинке_"/>
    <w:basedOn w:val="a0"/>
    <w:link w:val="a5"/>
    <w:rsid w:val="00F66E52"/>
    <w:rPr>
      <w:rFonts w:ascii="Times New Roman" w:eastAsia="Times New Roman" w:hAnsi="Times New Roman" w:cs="Times New Roman"/>
      <w:sz w:val="19"/>
      <w:szCs w:val="19"/>
    </w:rPr>
  </w:style>
  <w:style w:type="paragraph" w:customStyle="1" w:styleId="a5">
    <w:name w:val="Подпись к картинке"/>
    <w:basedOn w:val="a"/>
    <w:link w:val="a4"/>
    <w:rsid w:val="00F66E52"/>
    <w:rPr>
      <w:rFonts w:ascii="Times New Roman" w:eastAsia="Times New Roman" w:hAnsi="Times New Roman" w:cs="Times New Roman"/>
      <w:color w:val="auto"/>
      <w:sz w:val="19"/>
      <w:szCs w:val="19"/>
      <w:lang w:eastAsia="en-US" w:bidi="ar-SA"/>
    </w:rPr>
  </w:style>
  <w:style w:type="character" w:customStyle="1" w:styleId="2">
    <w:name w:val="Основной текст (2)_"/>
    <w:basedOn w:val="a0"/>
    <w:link w:val="20"/>
    <w:rsid w:val="00471C76"/>
    <w:rPr>
      <w:rFonts w:ascii="Times New Roman" w:eastAsia="Times New Roman" w:hAnsi="Times New Roman" w:cs="Times New Roman"/>
      <w:sz w:val="19"/>
      <w:szCs w:val="19"/>
    </w:rPr>
  </w:style>
  <w:style w:type="character" w:customStyle="1" w:styleId="a6">
    <w:name w:val="Другое_"/>
    <w:basedOn w:val="a0"/>
    <w:link w:val="a7"/>
    <w:rsid w:val="00471C76"/>
    <w:rPr>
      <w:rFonts w:ascii="Times New Roman" w:eastAsia="Times New Roman" w:hAnsi="Times New Roman" w:cs="Times New Roman"/>
    </w:rPr>
  </w:style>
  <w:style w:type="paragraph" w:customStyle="1" w:styleId="20">
    <w:name w:val="Основной текст (2)"/>
    <w:basedOn w:val="a"/>
    <w:link w:val="2"/>
    <w:rsid w:val="00471C76"/>
    <w:pPr>
      <w:spacing w:after="180" w:line="204" w:lineRule="auto"/>
      <w:ind w:left="520"/>
    </w:pPr>
    <w:rPr>
      <w:rFonts w:ascii="Times New Roman" w:eastAsia="Times New Roman" w:hAnsi="Times New Roman" w:cs="Times New Roman"/>
      <w:color w:val="auto"/>
      <w:sz w:val="19"/>
      <w:szCs w:val="19"/>
      <w:lang w:eastAsia="en-US" w:bidi="ar-SA"/>
    </w:rPr>
  </w:style>
  <w:style w:type="paragraph" w:customStyle="1" w:styleId="a7">
    <w:name w:val="Другое"/>
    <w:basedOn w:val="a"/>
    <w:link w:val="a6"/>
    <w:rsid w:val="00471C76"/>
    <w:pPr>
      <w:ind w:firstLine="400"/>
    </w:pPr>
    <w:rPr>
      <w:rFonts w:ascii="Times New Roman" w:eastAsia="Times New Roman" w:hAnsi="Times New Roman" w:cs="Times New Roman"/>
      <w:color w:val="auto"/>
      <w:sz w:val="22"/>
      <w:szCs w:val="22"/>
      <w:lang w:eastAsia="en-US" w:bidi="ar-SA"/>
    </w:rPr>
  </w:style>
  <w:style w:type="character" w:customStyle="1" w:styleId="21">
    <w:name w:val="Колонтитул (2)_"/>
    <w:basedOn w:val="a0"/>
    <w:link w:val="22"/>
    <w:rsid w:val="00470A5D"/>
    <w:rPr>
      <w:rFonts w:ascii="Times New Roman" w:eastAsia="Times New Roman" w:hAnsi="Times New Roman" w:cs="Times New Roman"/>
      <w:sz w:val="20"/>
      <w:szCs w:val="20"/>
    </w:rPr>
  </w:style>
  <w:style w:type="character" w:customStyle="1" w:styleId="a8">
    <w:name w:val="Колонтитул_"/>
    <w:basedOn w:val="a0"/>
    <w:link w:val="a9"/>
    <w:rsid w:val="00470A5D"/>
    <w:rPr>
      <w:rFonts w:ascii="Times New Roman" w:eastAsia="Times New Roman" w:hAnsi="Times New Roman" w:cs="Times New Roman"/>
    </w:rPr>
  </w:style>
  <w:style w:type="paragraph" w:customStyle="1" w:styleId="22">
    <w:name w:val="Колонтитул (2)"/>
    <w:basedOn w:val="a"/>
    <w:link w:val="21"/>
    <w:rsid w:val="00470A5D"/>
    <w:rPr>
      <w:rFonts w:ascii="Times New Roman" w:eastAsia="Times New Roman" w:hAnsi="Times New Roman" w:cs="Times New Roman"/>
      <w:color w:val="auto"/>
      <w:sz w:val="20"/>
      <w:szCs w:val="20"/>
      <w:lang w:eastAsia="en-US" w:bidi="ar-SA"/>
    </w:rPr>
  </w:style>
  <w:style w:type="paragraph" w:customStyle="1" w:styleId="a9">
    <w:name w:val="Колонтитул"/>
    <w:basedOn w:val="a"/>
    <w:link w:val="a8"/>
    <w:rsid w:val="00470A5D"/>
    <w:rPr>
      <w:rFonts w:ascii="Times New Roman" w:eastAsia="Times New Roman" w:hAnsi="Times New Roman" w:cs="Times New Roman"/>
      <w:color w:val="auto"/>
      <w:sz w:val="22"/>
      <w:szCs w:val="22"/>
      <w:lang w:eastAsia="en-US" w:bidi="ar-SA"/>
    </w:rPr>
  </w:style>
  <w:style w:type="paragraph" w:styleId="aa">
    <w:name w:val="Normal (Web)"/>
    <w:basedOn w:val="a"/>
    <w:uiPriority w:val="99"/>
    <w:semiHidden/>
    <w:unhideWhenUsed/>
    <w:rsid w:val="00217E0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msdmanuals.com/ru/"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msdmanuals.com/ru/"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msdmanuals.c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msdmanuals.com/ru/" TargetMode="External"/><Relationship Id="rId28"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msdmanuals.com/ru/"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342</TotalTime>
  <Pages>1</Pages>
  <Words>13552</Words>
  <Characters>77250</Characters>
  <Application>Microsoft Office Word</Application>
  <DocSecurity>0</DocSecurity>
  <Lines>643</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11</cp:revision>
  <dcterms:created xsi:type="dcterms:W3CDTF">2021-05-23T13:47:00Z</dcterms:created>
  <dcterms:modified xsi:type="dcterms:W3CDTF">2021-05-29T03:57:00Z</dcterms:modified>
</cp:coreProperties>
</file>