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05E" w:rsidRDefault="00C1605E" w:rsidP="00C1605E">
      <w:pPr>
        <w:jc w:val="center"/>
        <w:rPr>
          <w:rFonts w:ascii="Times New Roman" w:hAnsi="Times New Roman" w:cs="Times New Roman"/>
          <w:b/>
          <w:sz w:val="24"/>
          <w:szCs w:val="24"/>
          <w:lang w:val="en-US"/>
        </w:rPr>
      </w:pPr>
      <w:r>
        <w:rPr>
          <w:rFonts w:ascii="Times New Roman" w:hAnsi="Times New Roman" w:cs="Times New Roman"/>
          <w:b/>
          <w:sz w:val="24"/>
          <w:szCs w:val="24"/>
          <w:lang w:val="en-US"/>
        </w:rPr>
        <w:t>ANSWER SHEET</w:t>
      </w:r>
    </w:p>
    <w:p w:rsidR="009C4F08" w:rsidRPr="009C4F08" w:rsidRDefault="009C4F08" w:rsidP="009C4F08">
      <w:pPr>
        <w:jc w:val="both"/>
        <w:rPr>
          <w:rFonts w:ascii="Times New Roman" w:hAnsi="Times New Roman" w:cs="Times New Roman"/>
          <w:b/>
          <w:sz w:val="24"/>
          <w:szCs w:val="24"/>
          <w:lang w:val="en-US"/>
        </w:rPr>
      </w:pPr>
      <w:r w:rsidRPr="009C4F08">
        <w:rPr>
          <w:rFonts w:ascii="Times New Roman" w:hAnsi="Times New Roman" w:cs="Times New Roman"/>
          <w:b/>
          <w:sz w:val="24"/>
          <w:szCs w:val="24"/>
          <w:lang w:val="en-US"/>
        </w:rPr>
        <w:t>Each question is rated at 2.5 points. Each test is conducted every 2 weeks of this course. Total – 50 points.</w:t>
      </w:r>
    </w:p>
    <w:p w:rsidR="009C4F08" w:rsidRDefault="009C4F08" w:rsidP="009C4F08">
      <w:pPr>
        <w:jc w:val="both"/>
        <w:rPr>
          <w:rFonts w:ascii="Times New Roman" w:hAnsi="Times New Roman" w:cs="Times New Roman"/>
          <w:b/>
          <w:sz w:val="24"/>
          <w:szCs w:val="24"/>
          <w:lang w:val="en-US"/>
        </w:rPr>
      </w:pPr>
      <w:r w:rsidRPr="009C4F08">
        <w:rPr>
          <w:rFonts w:ascii="Times New Roman" w:hAnsi="Times New Roman" w:cs="Times New Roman"/>
          <w:b/>
          <w:sz w:val="24"/>
          <w:szCs w:val="24"/>
        </w:rPr>
        <w:t xml:space="preserve">Каждый вопрос оценивается в 2,5 баллов. Каждая контрольная проводится раз в 2 недели этого курса.  </w:t>
      </w:r>
      <w:r w:rsidRPr="009C4F08">
        <w:rPr>
          <w:rFonts w:ascii="Times New Roman" w:hAnsi="Times New Roman" w:cs="Times New Roman"/>
          <w:b/>
          <w:sz w:val="24"/>
          <w:szCs w:val="24"/>
          <w:lang w:val="en-US"/>
        </w:rPr>
        <w:t>Итого – 50 баллов</w:t>
      </w:r>
    </w:p>
    <w:p w:rsidR="00A3131E" w:rsidRPr="003240CC" w:rsidRDefault="00C607A6" w:rsidP="00330F70">
      <w:pPr>
        <w:jc w:val="both"/>
        <w:rPr>
          <w:rFonts w:ascii="Times New Roman" w:hAnsi="Times New Roman" w:cs="Times New Roman"/>
          <w:b/>
          <w:sz w:val="24"/>
          <w:szCs w:val="24"/>
        </w:rPr>
      </w:pPr>
      <w:r w:rsidRPr="003240CC">
        <w:rPr>
          <w:rFonts w:ascii="Times New Roman" w:hAnsi="Times New Roman" w:cs="Times New Roman"/>
          <w:b/>
          <w:sz w:val="24"/>
          <w:szCs w:val="24"/>
        </w:rPr>
        <w:t>1 контрольная</w:t>
      </w:r>
    </w:p>
    <w:p w:rsidR="00170E7B" w:rsidRPr="003240CC" w:rsidRDefault="00170E7B" w:rsidP="00330F70">
      <w:pPr>
        <w:jc w:val="both"/>
        <w:rPr>
          <w:rFonts w:ascii="Times New Roman" w:hAnsi="Times New Roman" w:cs="Times New Roman"/>
          <w:b/>
          <w:sz w:val="24"/>
          <w:szCs w:val="24"/>
        </w:rPr>
      </w:pPr>
      <w:r w:rsidRPr="003240CC">
        <w:rPr>
          <w:rFonts w:ascii="Times New Roman" w:hAnsi="Times New Roman" w:cs="Times New Roman"/>
          <w:b/>
          <w:sz w:val="24"/>
          <w:szCs w:val="24"/>
        </w:rPr>
        <w:t>1)</w:t>
      </w:r>
    </w:p>
    <w:p w:rsidR="00C607A6" w:rsidRPr="003240CC" w:rsidRDefault="00C607A6" w:rsidP="00330F70">
      <w:pPr>
        <w:jc w:val="both"/>
        <w:rPr>
          <w:rFonts w:ascii="Times New Roman" w:hAnsi="Times New Roman" w:cs="Times New Roman"/>
          <w:sz w:val="24"/>
          <w:szCs w:val="24"/>
        </w:rPr>
      </w:pPr>
      <w:r w:rsidRPr="003240CC">
        <w:rPr>
          <w:rFonts w:ascii="Times New Roman" w:hAnsi="Times New Roman" w:cs="Times New Roman"/>
          <w:bCs/>
          <w:sz w:val="24"/>
          <w:szCs w:val="24"/>
        </w:rPr>
        <w:t xml:space="preserve">1.Центральные : </w:t>
      </w:r>
    </w:p>
    <w:p w:rsidR="00E05C4F" w:rsidRPr="003240CC" w:rsidRDefault="00761789" w:rsidP="00330F70">
      <w:pPr>
        <w:numPr>
          <w:ilvl w:val="0"/>
          <w:numId w:val="1"/>
        </w:numPr>
        <w:jc w:val="both"/>
        <w:rPr>
          <w:rFonts w:ascii="Times New Roman" w:hAnsi="Times New Roman" w:cs="Times New Roman"/>
          <w:sz w:val="24"/>
          <w:szCs w:val="24"/>
        </w:rPr>
      </w:pPr>
      <w:r w:rsidRPr="003240CC">
        <w:rPr>
          <w:rFonts w:ascii="Times New Roman" w:hAnsi="Times New Roman" w:cs="Times New Roman"/>
          <w:sz w:val="24"/>
          <w:szCs w:val="24"/>
        </w:rPr>
        <w:t xml:space="preserve">гипоталамус </w:t>
      </w:r>
    </w:p>
    <w:p w:rsidR="00E05C4F" w:rsidRPr="003240CC" w:rsidRDefault="00761789" w:rsidP="00330F70">
      <w:pPr>
        <w:numPr>
          <w:ilvl w:val="0"/>
          <w:numId w:val="1"/>
        </w:numPr>
        <w:jc w:val="both"/>
        <w:rPr>
          <w:rFonts w:ascii="Times New Roman" w:hAnsi="Times New Roman" w:cs="Times New Roman"/>
          <w:sz w:val="24"/>
          <w:szCs w:val="24"/>
        </w:rPr>
      </w:pPr>
      <w:r w:rsidRPr="003240CC">
        <w:rPr>
          <w:rFonts w:ascii="Times New Roman" w:hAnsi="Times New Roman" w:cs="Times New Roman"/>
          <w:sz w:val="24"/>
          <w:szCs w:val="24"/>
        </w:rPr>
        <w:t xml:space="preserve">гипофиз </w:t>
      </w:r>
    </w:p>
    <w:p w:rsidR="00E05C4F" w:rsidRPr="003240CC" w:rsidRDefault="00761789" w:rsidP="00330F70">
      <w:pPr>
        <w:numPr>
          <w:ilvl w:val="0"/>
          <w:numId w:val="1"/>
        </w:numPr>
        <w:jc w:val="both"/>
        <w:rPr>
          <w:rFonts w:ascii="Times New Roman" w:hAnsi="Times New Roman" w:cs="Times New Roman"/>
          <w:sz w:val="24"/>
          <w:szCs w:val="24"/>
        </w:rPr>
      </w:pPr>
      <w:r w:rsidRPr="003240CC">
        <w:rPr>
          <w:rFonts w:ascii="Times New Roman" w:hAnsi="Times New Roman" w:cs="Times New Roman"/>
          <w:sz w:val="24"/>
          <w:szCs w:val="24"/>
        </w:rPr>
        <w:t>эпифиз</w:t>
      </w:r>
    </w:p>
    <w:p w:rsidR="00C607A6" w:rsidRPr="003240CC" w:rsidRDefault="00C607A6" w:rsidP="00330F70">
      <w:pPr>
        <w:jc w:val="both"/>
        <w:rPr>
          <w:rFonts w:ascii="Times New Roman" w:hAnsi="Times New Roman" w:cs="Times New Roman"/>
          <w:sz w:val="24"/>
          <w:szCs w:val="24"/>
        </w:rPr>
      </w:pPr>
      <w:r w:rsidRPr="003240CC">
        <w:rPr>
          <w:rFonts w:ascii="Times New Roman" w:hAnsi="Times New Roman" w:cs="Times New Roman"/>
          <w:bCs/>
          <w:sz w:val="24"/>
          <w:szCs w:val="24"/>
        </w:rPr>
        <w:t>2.Периферические :</w:t>
      </w:r>
    </w:p>
    <w:p w:rsidR="00C607A6" w:rsidRPr="003240CC" w:rsidRDefault="00C607A6"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а) </w:t>
      </w:r>
      <w:r w:rsidRPr="003240CC">
        <w:rPr>
          <w:rFonts w:ascii="Times New Roman" w:hAnsi="Times New Roman" w:cs="Times New Roman"/>
          <w:iCs/>
          <w:sz w:val="24"/>
          <w:szCs w:val="24"/>
          <w:u w:val="single"/>
        </w:rPr>
        <w:t>Периферические гипофиз-зависимые железы</w:t>
      </w:r>
      <w:r w:rsidRPr="003240CC">
        <w:rPr>
          <w:rFonts w:ascii="Times New Roman" w:hAnsi="Times New Roman" w:cs="Times New Roman"/>
          <w:sz w:val="24"/>
          <w:szCs w:val="24"/>
          <w:u w:val="single"/>
        </w:rPr>
        <w:t xml:space="preserve">: </w:t>
      </w:r>
    </w:p>
    <w:p w:rsidR="00E05C4F" w:rsidRPr="003240CC" w:rsidRDefault="00761789" w:rsidP="00330F70">
      <w:pPr>
        <w:numPr>
          <w:ilvl w:val="0"/>
          <w:numId w:val="2"/>
        </w:numPr>
        <w:jc w:val="both"/>
        <w:rPr>
          <w:rFonts w:ascii="Times New Roman" w:hAnsi="Times New Roman" w:cs="Times New Roman"/>
          <w:sz w:val="24"/>
          <w:szCs w:val="24"/>
        </w:rPr>
      </w:pPr>
      <w:r w:rsidRPr="003240CC">
        <w:rPr>
          <w:rFonts w:ascii="Times New Roman" w:hAnsi="Times New Roman" w:cs="Times New Roman"/>
          <w:sz w:val="24"/>
          <w:szCs w:val="24"/>
        </w:rPr>
        <w:t>щитовидная железа</w:t>
      </w:r>
    </w:p>
    <w:p w:rsidR="00E05C4F" w:rsidRPr="003240CC" w:rsidRDefault="00761789" w:rsidP="00330F70">
      <w:pPr>
        <w:numPr>
          <w:ilvl w:val="0"/>
          <w:numId w:val="2"/>
        </w:numPr>
        <w:jc w:val="both"/>
        <w:rPr>
          <w:rFonts w:ascii="Times New Roman" w:hAnsi="Times New Roman" w:cs="Times New Roman"/>
          <w:sz w:val="24"/>
          <w:szCs w:val="24"/>
        </w:rPr>
      </w:pPr>
      <w:r w:rsidRPr="003240CC">
        <w:rPr>
          <w:rFonts w:ascii="Times New Roman" w:hAnsi="Times New Roman" w:cs="Times New Roman"/>
          <w:sz w:val="24"/>
          <w:szCs w:val="24"/>
        </w:rPr>
        <w:t xml:space="preserve"> корковое вещество надпочечников</w:t>
      </w:r>
    </w:p>
    <w:p w:rsidR="00E05C4F" w:rsidRPr="003240CC" w:rsidRDefault="00761789" w:rsidP="00330F70">
      <w:pPr>
        <w:numPr>
          <w:ilvl w:val="0"/>
          <w:numId w:val="2"/>
        </w:numPr>
        <w:jc w:val="both"/>
        <w:rPr>
          <w:rFonts w:ascii="Times New Roman" w:hAnsi="Times New Roman" w:cs="Times New Roman"/>
          <w:sz w:val="24"/>
          <w:szCs w:val="24"/>
        </w:rPr>
      </w:pPr>
      <w:r w:rsidRPr="003240CC">
        <w:rPr>
          <w:rFonts w:ascii="Times New Roman" w:hAnsi="Times New Roman" w:cs="Times New Roman"/>
          <w:sz w:val="24"/>
          <w:szCs w:val="24"/>
        </w:rPr>
        <w:t xml:space="preserve"> эндокринная часть половых желез</w:t>
      </w:r>
    </w:p>
    <w:p w:rsidR="00C607A6" w:rsidRPr="003240CC" w:rsidRDefault="00C607A6"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б) </w:t>
      </w:r>
      <w:r w:rsidRPr="003240CC">
        <w:rPr>
          <w:rFonts w:ascii="Times New Roman" w:hAnsi="Times New Roman" w:cs="Times New Roman"/>
          <w:iCs/>
          <w:sz w:val="24"/>
          <w:szCs w:val="24"/>
          <w:u w:val="single"/>
        </w:rPr>
        <w:t>Периферические гипофиз-независимые железы</w:t>
      </w:r>
      <w:r w:rsidRPr="003240CC">
        <w:rPr>
          <w:rFonts w:ascii="Times New Roman" w:hAnsi="Times New Roman" w:cs="Times New Roman"/>
          <w:sz w:val="24"/>
          <w:szCs w:val="24"/>
          <w:u w:val="single"/>
        </w:rPr>
        <w:t xml:space="preserve">: </w:t>
      </w:r>
    </w:p>
    <w:p w:rsidR="00E05C4F" w:rsidRPr="003240CC" w:rsidRDefault="00761789" w:rsidP="00330F70">
      <w:pPr>
        <w:numPr>
          <w:ilvl w:val="0"/>
          <w:numId w:val="3"/>
        </w:numPr>
        <w:jc w:val="both"/>
        <w:rPr>
          <w:rFonts w:ascii="Times New Roman" w:hAnsi="Times New Roman" w:cs="Times New Roman"/>
          <w:sz w:val="24"/>
          <w:szCs w:val="24"/>
        </w:rPr>
      </w:pPr>
      <w:r w:rsidRPr="003240CC">
        <w:rPr>
          <w:rFonts w:ascii="Times New Roman" w:hAnsi="Times New Roman" w:cs="Times New Roman"/>
          <w:sz w:val="24"/>
          <w:szCs w:val="24"/>
        </w:rPr>
        <w:t>паращитовидные железы</w:t>
      </w:r>
    </w:p>
    <w:p w:rsidR="00E05C4F" w:rsidRPr="003240CC" w:rsidRDefault="00761789" w:rsidP="00330F70">
      <w:pPr>
        <w:numPr>
          <w:ilvl w:val="0"/>
          <w:numId w:val="3"/>
        </w:numPr>
        <w:jc w:val="both"/>
        <w:rPr>
          <w:rFonts w:ascii="Times New Roman" w:hAnsi="Times New Roman" w:cs="Times New Roman"/>
          <w:sz w:val="24"/>
          <w:szCs w:val="24"/>
        </w:rPr>
      </w:pPr>
      <w:r w:rsidRPr="003240CC">
        <w:rPr>
          <w:rFonts w:ascii="Times New Roman" w:hAnsi="Times New Roman" w:cs="Times New Roman"/>
          <w:sz w:val="24"/>
          <w:szCs w:val="24"/>
        </w:rPr>
        <w:t xml:space="preserve"> мозговое вещество надпочечников</w:t>
      </w:r>
    </w:p>
    <w:p w:rsidR="00E05C4F" w:rsidRPr="003240CC" w:rsidRDefault="00761789" w:rsidP="00330F70">
      <w:pPr>
        <w:numPr>
          <w:ilvl w:val="0"/>
          <w:numId w:val="3"/>
        </w:numPr>
        <w:jc w:val="both"/>
        <w:rPr>
          <w:rFonts w:ascii="Times New Roman" w:hAnsi="Times New Roman" w:cs="Times New Roman"/>
          <w:sz w:val="24"/>
          <w:szCs w:val="24"/>
        </w:rPr>
      </w:pPr>
      <w:r w:rsidRPr="003240CC">
        <w:rPr>
          <w:rFonts w:ascii="Times New Roman" w:hAnsi="Times New Roman" w:cs="Times New Roman"/>
          <w:sz w:val="24"/>
          <w:szCs w:val="24"/>
        </w:rPr>
        <w:t xml:space="preserve"> панкреатические островки поджелудочной железы</w:t>
      </w:r>
    </w:p>
    <w:p w:rsidR="00E05C4F" w:rsidRPr="003240CC" w:rsidRDefault="00761789" w:rsidP="00330F70">
      <w:pPr>
        <w:numPr>
          <w:ilvl w:val="0"/>
          <w:numId w:val="3"/>
        </w:numPr>
        <w:jc w:val="both"/>
        <w:rPr>
          <w:rFonts w:ascii="Times New Roman" w:hAnsi="Times New Roman" w:cs="Times New Roman"/>
          <w:sz w:val="24"/>
          <w:szCs w:val="24"/>
        </w:rPr>
      </w:pPr>
      <w:r w:rsidRPr="003240CC">
        <w:rPr>
          <w:rFonts w:ascii="Times New Roman" w:hAnsi="Times New Roman" w:cs="Times New Roman"/>
          <w:sz w:val="24"/>
          <w:szCs w:val="24"/>
        </w:rPr>
        <w:t xml:space="preserve"> вилочковая железа (тимус).</w:t>
      </w:r>
    </w:p>
    <w:p w:rsidR="00C607A6" w:rsidRPr="003240CC" w:rsidRDefault="00170E7B" w:rsidP="00330F70">
      <w:pPr>
        <w:jc w:val="both"/>
        <w:rPr>
          <w:rFonts w:ascii="Times New Roman" w:hAnsi="Times New Roman" w:cs="Times New Roman"/>
          <w:b/>
          <w:sz w:val="24"/>
          <w:szCs w:val="24"/>
        </w:rPr>
      </w:pPr>
      <w:r w:rsidRPr="003240CC">
        <w:rPr>
          <w:rFonts w:ascii="Times New Roman" w:hAnsi="Times New Roman" w:cs="Times New Roman"/>
          <w:b/>
          <w:sz w:val="24"/>
          <w:szCs w:val="24"/>
        </w:rPr>
        <w:t>2)</w:t>
      </w:r>
    </w:p>
    <w:p w:rsidR="00170E7B" w:rsidRPr="003240CC" w:rsidRDefault="00170E7B" w:rsidP="00330F70">
      <w:pPr>
        <w:jc w:val="both"/>
        <w:rPr>
          <w:rFonts w:ascii="Times New Roman" w:hAnsi="Times New Roman" w:cs="Times New Roman"/>
          <w:sz w:val="24"/>
          <w:szCs w:val="24"/>
        </w:rPr>
      </w:pPr>
      <w:r w:rsidRPr="003240CC">
        <w:rPr>
          <w:rFonts w:ascii="Times New Roman" w:hAnsi="Times New Roman" w:cs="Times New Roman"/>
          <w:bCs/>
          <w:sz w:val="24"/>
          <w:szCs w:val="24"/>
        </w:rPr>
        <w:t>Функции гормонов:</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t xml:space="preserve">Метаболическая </w:t>
      </w:r>
      <w:r w:rsidRPr="003240CC">
        <w:rPr>
          <w:rFonts w:ascii="Times New Roman" w:hAnsi="Times New Roman" w:cs="Times New Roman"/>
          <w:sz w:val="24"/>
          <w:szCs w:val="24"/>
        </w:rPr>
        <w:t>(влияние на обмен)</w:t>
      </w:r>
      <w:r w:rsidRPr="003240CC">
        <w:rPr>
          <w:rFonts w:ascii="Times New Roman" w:hAnsi="Times New Roman" w:cs="Times New Roman"/>
          <w:bCs/>
          <w:sz w:val="24"/>
          <w:szCs w:val="24"/>
        </w:rPr>
        <w:t xml:space="preserve"> </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t xml:space="preserve"> Морфогенетическая </w:t>
      </w:r>
      <w:r w:rsidRPr="003240CC">
        <w:rPr>
          <w:rFonts w:ascii="Times New Roman" w:hAnsi="Times New Roman" w:cs="Times New Roman"/>
          <w:sz w:val="24"/>
          <w:szCs w:val="24"/>
        </w:rPr>
        <w:t>(регуляция морфообразовательных процессов, дифференцировки, роста)</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t xml:space="preserve"> Кинетическая </w:t>
      </w:r>
      <w:r w:rsidRPr="003240CC">
        <w:rPr>
          <w:rFonts w:ascii="Times New Roman" w:hAnsi="Times New Roman" w:cs="Times New Roman"/>
          <w:sz w:val="24"/>
          <w:szCs w:val="24"/>
        </w:rPr>
        <w:t>(включение определенной деятельность исполнительных органов)</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t xml:space="preserve"> Корригирующая </w:t>
      </w:r>
      <w:r w:rsidRPr="003240CC">
        <w:rPr>
          <w:rFonts w:ascii="Times New Roman" w:hAnsi="Times New Roman" w:cs="Times New Roman"/>
          <w:sz w:val="24"/>
          <w:szCs w:val="24"/>
        </w:rPr>
        <w:t>(изменяющая интенсивность деятельности исполнительных органов и тканей)</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t xml:space="preserve"> Пермиссивная</w:t>
      </w:r>
      <w:r w:rsidRPr="003240CC">
        <w:rPr>
          <w:rFonts w:ascii="Times New Roman" w:hAnsi="Times New Roman" w:cs="Times New Roman"/>
          <w:sz w:val="24"/>
          <w:szCs w:val="24"/>
        </w:rPr>
        <w:t xml:space="preserve"> (способность одного гормона видоизменять или опосредовать эффект другого гормона или нервной системы)</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t xml:space="preserve">Поддержание гомеостаза и адаптации </w:t>
      </w:r>
      <w:r w:rsidRPr="003240CC">
        <w:rPr>
          <w:rFonts w:ascii="Times New Roman" w:hAnsi="Times New Roman" w:cs="Times New Roman"/>
          <w:sz w:val="24"/>
          <w:szCs w:val="24"/>
        </w:rPr>
        <w:t>(приспосабливают организм к изменяющимся условиям внутренней или внешней среды)</w:t>
      </w:r>
    </w:p>
    <w:p w:rsidR="00E05C4F" w:rsidRPr="003240CC" w:rsidRDefault="00761789" w:rsidP="00330F70">
      <w:pPr>
        <w:numPr>
          <w:ilvl w:val="0"/>
          <w:numId w:val="4"/>
        </w:numPr>
        <w:jc w:val="both"/>
        <w:rPr>
          <w:rFonts w:ascii="Times New Roman" w:hAnsi="Times New Roman" w:cs="Times New Roman"/>
          <w:sz w:val="24"/>
          <w:szCs w:val="24"/>
        </w:rPr>
      </w:pPr>
      <w:r w:rsidRPr="003240CC">
        <w:rPr>
          <w:rFonts w:ascii="Times New Roman" w:hAnsi="Times New Roman" w:cs="Times New Roman"/>
          <w:bCs/>
          <w:sz w:val="24"/>
          <w:szCs w:val="24"/>
        </w:rPr>
        <w:lastRenderedPageBreak/>
        <w:t xml:space="preserve">Поведенческое значение </w:t>
      </w:r>
      <w:r w:rsidRPr="003240CC">
        <w:rPr>
          <w:rFonts w:ascii="Times New Roman" w:hAnsi="Times New Roman" w:cs="Times New Roman"/>
          <w:bCs/>
          <w:iCs/>
          <w:sz w:val="24"/>
          <w:szCs w:val="24"/>
        </w:rPr>
        <w:t>(</w:t>
      </w:r>
      <w:r w:rsidRPr="003240CC">
        <w:rPr>
          <w:rFonts w:ascii="Times New Roman" w:hAnsi="Times New Roman" w:cs="Times New Roman"/>
          <w:sz w:val="24"/>
          <w:szCs w:val="24"/>
        </w:rPr>
        <w:t>влияют на</w:t>
      </w:r>
      <w:r w:rsidRPr="003240CC">
        <w:rPr>
          <w:rFonts w:ascii="Times New Roman" w:hAnsi="Times New Roman" w:cs="Times New Roman"/>
          <w:bCs/>
          <w:sz w:val="24"/>
          <w:szCs w:val="24"/>
        </w:rPr>
        <w:t xml:space="preserve"> </w:t>
      </w:r>
      <w:r w:rsidRPr="003240CC">
        <w:rPr>
          <w:rFonts w:ascii="Times New Roman" w:hAnsi="Times New Roman" w:cs="Times New Roman"/>
          <w:sz w:val="24"/>
          <w:szCs w:val="24"/>
        </w:rPr>
        <w:t>течение основных нервных процессов, память, эмоции, поведение).</w:t>
      </w:r>
    </w:p>
    <w:p w:rsidR="00170E7B" w:rsidRPr="003240CC" w:rsidRDefault="00170E7B" w:rsidP="00330F70">
      <w:pPr>
        <w:ind w:left="360"/>
        <w:jc w:val="both"/>
        <w:rPr>
          <w:rFonts w:ascii="Times New Roman" w:hAnsi="Times New Roman" w:cs="Times New Roman"/>
          <w:bCs/>
          <w:sz w:val="24"/>
          <w:szCs w:val="24"/>
        </w:rPr>
      </w:pPr>
      <w:r w:rsidRPr="003240CC">
        <w:rPr>
          <w:rFonts w:ascii="Times New Roman" w:hAnsi="Times New Roman" w:cs="Times New Roman"/>
          <w:b/>
          <w:bCs/>
          <w:sz w:val="24"/>
          <w:szCs w:val="24"/>
        </w:rPr>
        <w:t>3)</w:t>
      </w:r>
      <w:r w:rsidRPr="003240CC">
        <w:rPr>
          <w:rFonts w:ascii="Times New Roman" w:hAnsi="Times New Roman" w:cs="Times New Roman"/>
          <w:bCs/>
          <w:sz w:val="24"/>
          <w:szCs w:val="24"/>
        </w:rPr>
        <w:t xml:space="preserve"> Классификация гормонов</w:t>
      </w:r>
    </w:p>
    <w:p w:rsidR="00170E7B" w:rsidRPr="003240CC" w:rsidRDefault="00170E7B" w:rsidP="00330F70">
      <w:pPr>
        <w:ind w:left="360"/>
        <w:jc w:val="both"/>
        <w:rPr>
          <w:rFonts w:ascii="Times New Roman" w:hAnsi="Times New Roman" w:cs="Times New Roman"/>
          <w:bCs/>
          <w:sz w:val="24"/>
          <w:szCs w:val="24"/>
        </w:rPr>
      </w:pPr>
      <w:r w:rsidRPr="003240CC">
        <w:rPr>
          <w:rFonts w:ascii="Times New Roman" w:eastAsiaTheme="minorEastAsia" w:hAnsi="Times New Roman" w:cs="Times New Roman"/>
          <w:bCs/>
          <w:color w:val="0000E6"/>
          <w:kern w:val="24"/>
          <w:sz w:val="24"/>
          <w:szCs w:val="24"/>
          <w:lang w:eastAsia="ru-RU"/>
        </w:rPr>
        <w:t xml:space="preserve"> </w:t>
      </w:r>
      <w:r w:rsidRPr="003240CC">
        <w:rPr>
          <w:rFonts w:ascii="Times New Roman" w:hAnsi="Times New Roman" w:cs="Times New Roman"/>
          <w:bCs/>
          <w:sz w:val="24"/>
          <w:szCs w:val="24"/>
        </w:rPr>
        <w:t>по химической природе</w:t>
      </w:r>
    </w:p>
    <w:p w:rsidR="00170E7B" w:rsidRPr="003240CC" w:rsidRDefault="00170E7B" w:rsidP="00330F70">
      <w:pPr>
        <w:ind w:left="360"/>
        <w:jc w:val="both"/>
        <w:rPr>
          <w:rFonts w:ascii="Times New Roman" w:hAnsi="Times New Roman" w:cs="Times New Roman"/>
          <w:bCs/>
          <w:sz w:val="24"/>
          <w:szCs w:val="24"/>
        </w:rPr>
      </w:pPr>
      <w:r w:rsidRPr="003240CC">
        <w:rPr>
          <w:rFonts w:ascii="Times New Roman" w:hAnsi="Times New Roman" w:cs="Times New Roman"/>
          <w:bCs/>
          <w:iCs/>
          <w:sz w:val="24"/>
          <w:szCs w:val="24"/>
          <w:u w:val="single"/>
        </w:rPr>
        <w:t>Производные аминокислот:</w:t>
      </w:r>
      <w:r w:rsidRPr="003240CC">
        <w:rPr>
          <w:rFonts w:ascii="Times New Roman" w:hAnsi="Times New Roman" w:cs="Times New Roman"/>
          <w:bCs/>
          <w:iCs/>
          <w:sz w:val="24"/>
          <w:szCs w:val="24"/>
        </w:rPr>
        <w:t xml:space="preserve"> </w:t>
      </w:r>
    </w:p>
    <w:p w:rsidR="00E05C4F" w:rsidRPr="003240CC" w:rsidRDefault="00761789" w:rsidP="00330F70">
      <w:pPr>
        <w:numPr>
          <w:ilvl w:val="0"/>
          <w:numId w:val="5"/>
        </w:numPr>
        <w:jc w:val="both"/>
        <w:rPr>
          <w:rFonts w:ascii="Times New Roman" w:hAnsi="Times New Roman" w:cs="Times New Roman"/>
          <w:bCs/>
          <w:sz w:val="24"/>
          <w:szCs w:val="24"/>
        </w:rPr>
      </w:pPr>
      <w:r w:rsidRPr="003240CC">
        <w:rPr>
          <w:rFonts w:ascii="Times New Roman" w:hAnsi="Times New Roman" w:cs="Times New Roman"/>
          <w:bCs/>
          <w:sz w:val="24"/>
          <w:szCs w:val="24"/>
        </w:rPr>
        <w:t>тирозина</w:t>
      </w:r>
      <w:r w:rsidRPr="003240CC">
        <w:rPr>
          <w:rFonts w:ascii="Times New Roman" w:hAnsi="Times New Roman" w:cs="Times New Roman"/>
          <w:bCs/>
          <w:iCs/>
          <w:sz w:val="24"/>
          <w:szCs w:val="24"/>
        </w:rPr>
        <w:t xml:space="preserve"> (дофамин, норадреналин, адреналин); </w:t>
      </w:r>
      <w:r w:rsidRPr="003240CC">
        <w:rPr>
          <w:rFonts w:ascii="Times New Roman" w:hAnsi="Times New Roman" w:cs="Times New Roman"/>
          <w:bCs/>
          <w:sz w:val="24"/>
          <w:szCs w:val="24"/>
        </w:rPr>
        <w:t>йодсодержащие гормоны щитовидной железы</w:t>
      </w:r>
      <w:r w:rsidRPr="003240CC">
        <w:rPr>
          <w:rFonts w:ascii="Times New Roman" w:hAnsi="Times New Roman" w:cs="Times New Roman"/>
          <w:bCs/>
          <w:iCs/>
          <w:sz w:val="24"/>
          <w:szCs w:val="24"/>
        </w:rPr>
        <w:t xml:space="preserve"> - тироксин, трийодтиронин)</w:t>
      </w:r>
      <w:r w:rsidRPr="003240CC">
        <w:rPr>
          <w:rFonts w:ascii="Times New Roman" w:hAnsi="Times New Roman" w:cs="Times New Roman"/>
          <w:bCs/>
          <w:sz w:val="24"/>
          <w:szCs w:val="24"/>
        </w:rPr>
        <w:t xml:space="preserve">; </w:t>
      </w:r>
    </w:p>
    <w:p w:rsidR="00E05C4F" w:rsidRPr="003240CC" w:rsidRDefault="00761789" w:rsidP="00330F70">
      <w:pPr>
        <w:numPr>
          <w:ilvl w:val="0"/>
          <w:numId w:val="5"/>
        </w:numPr>
        <w:jc w:val="both"/>
        <w:rPr>
          <w:rFonts w:ascii="Times New Roman" w:hAnsi="Times New Roman" w:cs="Times New Roman"/>
          <w:bCs/>
          <w:sz w:val="24"/>
          <w:szCs w:val="24"/>
        </w:rPr>
      </w:pPr>
      <w:r w:rsidRPr="003240CC">
        <w:rPr>
          <w:rFonts w:ascii="Times New Roman" w:hAnsi="Times New Roman" w:cs="Times New Roman"/>
          <w:bCs/>
          <w:sz w:val="24"/>
          <w:szCs w:val="24"/>
        </w:rPr>
        <w:t>триптофана (</w:t>
      </w:r>
      <w:r w:rsidRPr="003240CC">
        <w:rPr>
          <w:rFonts w:ascii="Times New Roman" w:hAnsi="Times New Roman" w:cs="Times New Roman"/>
          <w:bCs/>
          <w:iCs/>
          <w:sz w:val="24"/>
          <w:szCs w:val="24"/>
        </w:rPr>
        <w:t>серотонин, мелатонин)</w:t>
      </w:r>
      <w:r w:rsidRPr="003240CC">
        <w:rPr>
          <w:rFonts w:ascii="Times New Roman" w:hAnsi="Times New Roman" w:cs="Times New Roman"/>
          <w:bCs/>
          <w:sz w:val="24"/>
          <w:szCs w:val="24"/>
        </w:rPr>
        <w:t xml:space="preserve">; </w:t>
      </w:r>
    </w:p>
    <w:p w:rsidR="00E05C4F" w:rsidRPr="003240CC" w:rsidRDefault="00761789" w:rsidP="00330F70">
      <w:pPr>
        <w:numPr>
          <w:ilvl w:val="0"/>
          <w:numId w:val="5"/>
        </w:numPr>
        <w:jc w:val="both"/>
        <w:rPr>
          <w:rFonts w:ascii="Times New Roman" w:hAnsi="Times New Roman" w:cs="Times New Roman"/>
          <w:bCs/>
          <w:sz w:val="24"/>
          <w:szCs w:val="24"/>
        </w:rPr>
      </w:pPr>
      <w:r w:rsidRPr="003240CC">
        <w:rPr>
          <w:rFonts w:ascii="Times New Roman" w:hAnsi="Times New Roman" w:cs="Times New Roman"/>
          <w:bCs/>
          <w:sz w:val="24"/>
          <w:szCs w:val="24"/>
        </w:rPr>
        <w:t xml:space="preserve">гистидина </w:t>
      </w:r>
      <w:r w:rsidRPr="003240CC">
        <w:rPr>
          <w:rFonts w:ascii="Times New Roman" w:hAnsi="Times New Roman" w:cs="Times New Roman"/>
          <w:bCs/>
          <w:iCs/>
          <w:sz w:val="24"/>
          <w:szCs w:val="24"/>
        </w:rPr>
        <w:t>(гистамин)</w:t>
      </w:r>
      <w:r w:rsidRPr="003240CC">
        <w:rPr>
          <w:rFonts w:ascii="Times New Roman" w:hAnsi="Times New Roman" w:cs="Times New Roman"/>
          <w:bCs/>
          <w:sz w:val="24"/>
          <w:szCs w:val="24"/>
        </w:rPr>
        <w:t>.</w:t>
      </w:r>
    </w:p>
    <w:p w:rsidR="00170E7B" w:rsidRPr="003240CC" w:rsidRDefault="00170E7B" w:rsidP="00330F70">
      <w:pPr>
        <w:ind w:left="360"/>
        <w:jc w:val="both"/>
        <w:rPr>
          <w:rFonts w:ascii="Times New Roman" w:hAnsi="Times New Roman" w:cs="Times New Roman"/>
          <w:bCs/>
          <w:sz w:val="24"/>
          <w:szCs w:val="24"/>
        </w:rPr>
      </w:pPr>
      <w:r w:rsidRPr="003240CC">
        <w:rPr>
          <w:rFonts w:ascii="Times New Roman" w:hAnsi="Times New Roman" w:cs="Times New Roman"/>
          <w:bCs/>
          <w:sz w:val="24"/>
          <w:szCs w:val="24"/>
        </w:rPr>
        <w:t> </w:t>
      </w:r>
      <w:r w:rsidRPr="003240CC">
        <w:rPr>
          <w:rFonts w:ascii="Times New Roman" w:hAnsi="Times New Roman" w:cs="Times New Roman"/>
          <w:bCs/>
          <w:iCs/>
          <w:sz w:val="24"/>
          <w:szCs w:val="24"/>
          <w:u w:val="single"/>
        </w:rPr>
        <w:t>Белково-пептидные гормоны:</w:t>
      </w:r>
      <w:r w:rsidRPr="003240CC">
        <w:rPr>
          <w:rFonts w:ascii="Times New Roman" w:hAnsi="Times New Roman" w:cs="Times New Roman"/>
          <w:bCs/>
          <w:sz w:val="24"/>
          <w:szCs w:val="24"/>
        </w:rPr>
        <w:t xml:space="preserve"> </w:t>
      </w:r>
    </w:p>
    <w:p w:rsidR="00E05C4F" w:rsidRPr="003240CC" w:rsidRDefault="00761789" w:rsidP="00330F70">
      <w:pPr>
        <w:numPr>
          <w:ilvl w:val="0"/>
          <w:numId w:val="6"/>
        </w:numPr>
        <w:jc w:val="both"/>
        <w:rPr>
          <w:rFonts w:ascii="Times New Roman" w:hAnsi="Times New Roman" w:cs="Times New Roman"/>
          <w:bCs/>
          <w:sz w:val="24"/>
          <w:szCs w:val="24"/>
        </w:rPr>
      </w:pPr>
      <w:r w:rsidRPr="003240CC">
        <w:rPr>
          <w:rFonts w:ascii="Times New Roman" w:hAnsi="Times New Roman" w:cs="Times New Roman"/>
          <w:bCs/>
          <w:sz w:val="24"/>
          <w:szCs w:val="24"/>
        </w:rPr>
        <w:t>полипептиды (</w:t>
      </w:r>
      <w:r w:rsidRPr="003240CC">
        <w:rPr>
          <w:rFonts w:ascii="Times New Roman" w:hAnsi="Times New Roman" w:cs="Times New Roman"/>
          <w:bCs/>
          <w:iCs/>
          <w:sz w:val="24"/>
          <w:szCs w:val="24"/>
        </w:rPr>
        <w:t>кортикотропин, меланотропин, вазопрессин, окситоцин, пептидные гормоны желудка и кишечника)</w:t>
      </w:r>
      <w:r w:rsidRPr="003240CC">
        <w:rPr>
          <w:rFonts w:ascii="Times New Roman" w:hAnsi="Times New Roman" w:cs="Times New Roman"/>
          <w:bCs/>
          <w:sz w:val="24"/>
          <w:szCs w:val="24"/>
        </w:rPr>
        <w:t>;</w:t>
      </w:r>
      <w:r w:rsidRPr="003240CC">
        <w:rPr>
          <w:rFonts w:ascii="Times New Roman" w:hAnsi="Times New Roman" w:cs="Times New Roman"/>
          <w:bCs/>
          <w:iCs/>
          <w:sz w:val="24"/>
          <w:szCs w:val="24"/>
        </w:rPr>
        <w:t xml:space="preserve"> </w:t>
      </w:r>
    </w:p>
    <w:p w:rsidR="00E05C4F" w:rsidRPr="003240CC" w:rsidRDefault="00761789" w:rsidP="00330F70">
      <w:pPr>
        <w:numPr>
          <w:ilvl w:val="0"/>
          <w:numId w:val="6"/>
        </w:numPr>
        <w:jc w:val="both"/>
        <w:rPr>
          <w:rFonts w:ascii="Times New Roman" w:hAnsi="Times New Roman" w:cs="Times New Roman"/>
          <w:bCs/>
          <w:sz w:val="24"/>
          <w:szCs w:val="24"/>
        </w:rPr>
      </w:pPr>
      <w:r w:rsidRPr="003240CC">
        <w:rPr>
          <w:rFonts w:ascii="Times New Roman" w:hAnsi="Times New Roman" w:cs="Times New Roman"/>
          <w:bCs/>
          <w:sz w:val="24"/>
          <w:szCs w:val="24"/>
        </w:rPr>
        <w:t>белки (</w:t>
      </w:r>
      <w:r w:rsidRPr="003240CC">
        <w:rPr>
          <w:rFonts w:ascii="Times New Roman" w:hAnsi="Times New Roman" w:cs="Times New Roman"/>
          <w:bCs/>
          <w:iCs/>
          <w:sz w:val="24"/>
          <w:szCs w:val="24"/>
        </w:rPr>
        <w:t>инсулин, глюкагон, соматотропин)</w:t>
      </w:r>
      <w:r w:rsidRPr="003240CC">
        <w:rPr>
          <w:rFonts w:ascii="Times New Roman" w:hAnsi="Times New Roman" w:cs="Times New Roman"/>
          <w:bCs/>
          <w:sz w:val="24"/>
          <w:szCs w:val="24"/>
        </w:rPr>
        <w:t xml:space="preserve">; </w:t>
      </w:r>
    </w:p>
    <w:p w:rsidR="00E05C4F" w:rsidRPr="003240CC" w:rsidRDefault="00761789" w:rsidP="00330F70">
      <w:pPr>
        <w:numPr>
          <w:ilvl w:val="0"/>
          <w:numId w:val="6"/>
        </w:numPr>
        <w:jc w:val="both"/>
        <w:rPr>
          <w:rFonts w:ascii="Times New Roman" w:hAnsi="Times New Roman" w:cs="Times New Roman"/>
          <w:bCs/>
          <w:sz w:val="24"/>
          <w:szCs w:val="24"/>
        </w:rPr>
      </w:pPr>
      <w:r w:rsidRPr="003240CC">
        <w:rPr>
          <w:rFonts w:ascii="Times New Roman" w:hAnsi="Times New Roman" w:cs="Times New Roman"/>
          <w:bCs/>
          <w:sz w:val="24"/>
          <w:szCs w:val="24"/>
        </w:rPr>
        <w:t xml:space="preserve">сложные белки (гликопротеиды) — </w:t>
      </w:r>
      <w:r w:rsidRPr="003240CC">
        <w:rPr>
          <w:rFonts w:ascii="Times New Roman" w:hAnsi="Times New Roman" w:cs="Times New Roman"/>
          <w:bCs/>
          <w:iCs/>
          <w:sz w:val="24"/>
          <w:szCs w:val="24"/>
        </w:rPr>
        <w:t>тиротропин, фоллитропин, лютропин</w:t>
      </w:r>
      <w:r w:rsidRPr="003240CC">
        <w:rPr>
          <w:rFonts w:ascii="Times New Roman" w:hAnsi="Times New Roman" w:cs="Times New Roman"/>
          <w:bCs/>
          <w:sz w:val="24"/>
          <w:szCs w:val="24"/>
        </w:rPr>
        <w:t xml:space="preserve">. </w:t>
      </w:r>
    </w:p>
    <w:p w:rsidR="00170E7B" w:rsidRPr="003240CC" w:rsidRDefault="00170E7B" w:rsidP="00330F70">
      <w:pPr>
        <w:ind w:left="360"/>
        <w:jc w:val="both"/>
        <w:rPr>
          <w:rFonts w:ascii="Times New Roman" w:hAnsi="Times New Roman" w:cs="Times New Roman"/>
          <w:bCs/>
          <w:sz w:val="24"/>
          <w:szCs w:val="24"/>
        </w:rPr>
      </w:pPr>
      <w:r w:rsidRPr="003240CC">
        <w:rPr>
          <w:rFonts w:ascii="Times New Roman" w:hAnsi="Times New Roman" w:cs="Times New Roman"/>
          <w:bCs/>
          <w:sz w:val="24"/>
          <w:szCs w:val="24"/>
        </w:rPr>
        <w:t> </w:t>
      </w:r>
      <w:r w:rsidRPr="003240CC">
        <w:rPr>
          <w:rFonts w:ascii="Times New Roman" w:hAnsi="Times New Roman" w:cs="Times New Roman"/>
          <w:bCs/>
          <w:iCs/>
          <w:sz w:val="24"/>
          <w:szCs w:val="24"/>
          <w:u w:val="single"/>
        </w:rPr>
        <w:t>Стероидные гормоны</w:t>
      </w:r>
      <w:r w:rsidRPr="003240CC">
        <w:rPr>
          <w:rFonts w:ascii="Times New Roman" w:hAnsi="Times New Roman" w:cs="Times New Roman"/>
          <w:bCs/>
          <w:sz w:val="24"/>
          <w:szCs w:val="24"/>
        </w:rPr>
        <w:tab/>
      </w:r>
    </w:p>
    <w:p w:rsidR="00E05C4F" w:rsidRPr="003240CC" w:rsidRDefault="00761789" w:rsidP="00330F70">
      <w:pPr>
        <w:numPr>
          <w:ilvl w:val="0"/>
          <w:numId w:val="7"/>
        </w:numPr>
        <w:jc w:val="both"/>
        <w:rPr>
          <w:rFonts w:ascii="Times New Roman" w:hAnsi="Times New Roman" w:cs="Times New Roman"/>
          <w:bCs/>
          <w:sz w:val="24"/>
          <w:szCs w:val="24"/>
        </w:rPr>
      </w:pPr>
      <w:r w:rsidRPr="003240CC">
        <w:rPr>
          <w:rFonts w:ascii="Times New Roman" w:hAnsi="Times New Roman" w:cs="Times New Roman"/>
          <w:bCs/>
          <w:sz w:val="24"/>
          <w:szCs w:val="24"/>
        </w:rPr>
        <w:t>(производные</w:t>
      </w:r>
      <w:r w:rsidRPr="003240CC">
        <w:rPr>
          <w:rFonts w:ascii="Times New Roman" w:hAnsi="Times New Roman" w:cs="Times New Roman"/>
          <w:bCs/>
          <w:sz w:val="24"/>
          <w:szCs w:val="24"/>
        </w:rPr>
        <w:tab/>
      </w:r>
      <w:r w:rsidRPr="003240CC">
        <w:rPr>
          <w:rFonts w:ascii="Times New Roman" w:hAnsi="Times New Roman" w:cs="Times New Roman"/>
          <w:bCs/>
          <w:iCs/>
          <w:sz w:val="24"/>
          <w:szCs w:val="24"/>
        </w:rPr>
        <w:t>холестерина</w:t>
      </w:r>
      <w:r w:rsidRPr="003240CC">
        <w:rPr>
          <w:rFonts w:ascii="Times New Roman" w:hAnsi="Times New Roman" w:cs="Times New Roman"/>
          <w:bCs/>
          <w:sz w:val="24"/>
          <w:szCs w:val="24"/>
        </w:rPr>
        <w:t xml:space="preserve">): </w:t>
      </w:r>
      <w:r w:rsidRPr="003240CC">
        <w:rPr>
          <w:rFonts w:ascii="Times New Roman" w:hAnsi="Times New Roman" w:cs="Times New Roman"/>
          <w:bCs/>
          <w:iCs/>
          <w:sz w:val="24"/>
          <w:szCs w:val="24"/>
        </w:rPr>
        <w:t>глюкокортикоиды, минералокортикоиды</w:t>
      </w:r>
      <w:r w:rsidRPr="003240CC">
        <w:rPr>
          <w:rFonts w:ascii="Times New Roman" w:hAnsi="Times New Roman" w:cs="Times New Roman"/>
          <w:bCs/>
          <w:sz w:val="24"/>
          <w:szCs w:val="24"/>
        </w:rPr>
        <w:t>,</w:t>
      </w:r>
      <w:r w:rsidRPr="003240CC">
        <w:rPr>
          <w:rFonts w:ascii="Times New Roman" w:hAnsi="Times New Roman" w:cs="Times New Roman"/>
          <w:bCs/>
          <w:iCs/>
          <w:sz w:val="24"/>
          <w:szCs w:val="24"/>
        </w:rPr>
        <w:t xml:space="preserve"> андрогены эстрогены и прогестерон. </w:t>
      </w:r>
      <w:r w:rsidRPr="003240CC">
        <w:rPr>
          <w:rFonts w:ascii="Times New Roman" w:hAnsi="Times New Roman" w:cs="Times New Roman"/>
          <w:bCs/>
          <w:sz w:val="24"/>
          <w:szCs w:val="24"/>
        </w:rPr>
        <w:t xml:space="preserve">К этой группе можно отнести гормональную форму витамина D — </w:t>
      </w:r>
      <w:r w:rsidRPr="003240CC">
        <w:rPr>
          <w:rFonts w:ascii="Times New Roman" w:hAnsi="Times New Roman" w:cs="Times New Roman"/>
          <w:bCs/>
          <w:iCs/>
          <w:sz w:val="24"/>
          <w:szCs w:val="24"/>
        </w:rPr>
        <w:t>кальцитриол.</w:t>
      </w:r>
    </w:p>
    <w:p w:rsidR="00170E7B" w:rsidRPr="003240CC" w:rsidRDefault="00170E7B" w:rsidP="00330F70">
      <w:pPr>
        <w:ind w:left="360"/>
        <w:jc w:val="both"/>
        <w:rPr>
          <w:rFonts w:ascii="Times New Roman" w:hAnsi="Times New Roman" w:cs="Times New Roman"/>
          <w:bCs/>
          <w:sz w:val="24"/>
          <w:szCs w:val="24"/>
        </w:rPr>
      </w:pPr>
      <w:r w:rsidRPr="003240CC">
        <w:rPr>
          <w:rFonts w:ascii="Times New Roman" w:hAnsi="Times New Roman" w:cs="Times New Roman"/>
          <w:bCs/>
          <w:iCs/>
          <w:sz w:val="24"/>
          <w:szCs w:val="24"/>
          <w:u w:val="single"/>
        </w:rPr>
        <w:t>Производные арахидоновой кислоты</w:t>
      </w:r>
      <w:r w:rsidRPr="003240CC">
        <w:rPr>
          <w:rFonts w:ascii="Times New Roman" w:hAnsi="Times New Roman" w:cs="Times New Roman"/>
          <w:bCs/>
          <w:iCs/>
          <w:sz w:val="24"/>
          <w:szCs w:val="24"/>
        </w:rPr>
        <w:t xml:space="preserve">  </w:t>
      </w:r>
    </w:p>
    <w:p w:rsidR="00170E7B" w:rsidRPr="003240CC" w:rsidRDefault="00761789" w:rsidP="00330F70">
      <w:pPr>
        <w:numPr>
          <w:ilvl w:val="0"/>
          <w:numId w:val="8"/>
        </w:numPr>
        <w:jc w:val="both"/>
        <w:rPr>
          <w:rFonts w:ascii="Times New Roman" w:hAnsi="Times New Roman" w:cs="Times New Roman"/>
          <w:bCs/>
          <w:sz w:val="24"/>
          <w:szCs w:val="24"/>
        </w:rPr>
      </w:pPr>
      <w:r w:rsidRPr="003240CC">
        <w:rPr>
          <w:rFonts w:ascii="Times New Roman" w:hAnsi="Times New Roman" w:cs="Times New Roman"/>
          <w:bCs/>
          <w:sz w:val="24"/>
          <w:szCs w:val="24"/>
        </w:rPr>
        <w:t>К ним относятся</w:t>
      </w:r>
      <w:r w:rsidRPr="003240CC">
        <w:rPr>
          <w:rFonts w:ascii="Times New Roman" w:hAnsi="Times New Roman" w:cs="Times New Roman"/>
          <w:bCs/>
          <w:iCs/>
          <w:sz w:val="24"/>
          <w:szCs w:val="24"/>
        </w:rPr>
        <w:t xml:space="preserve"> простагландины, простациклины, тромбоксаны, лейкотриены, </w:t>
      </w:r>
      <w:r w:rsidRPr="003240CC">
        <w:rPr>
          <w:rFonts w:ascii="Times New Roman" w:hAnsi="Times New Roman" w:cs="Times New Roman"/>
          <w:bCs/>
          <w:sz w:val="24"/>
          <w:szCs w:val="24"/>
        </w:rPr>
        <w:t>многие из них функционируют только внутри клетки.</w:t>
      </w:r>
    </w:p>
    <w:p w:rsidR="00170E7B" w:rsidRPr="003240CC" w:rsidRDefault="00170E7B" w:rsidP="00330F70">
      <w:pPr>
        <w:ind w:left="360"/>
        <w:jc w:val="both"/>
        <w:rPr>
          <w:rFonts w:ascii="Times New Roman" w:hAnsi="Times New Roman" w:cs="Times New Roman"/>
          <w:bCs/>
          <w:iCs/>
          <w:sz w:val="24"/>
          <w:szCs w:val="24"/>
        </w:rPr>
      </w:pPr>
      <w:r w:rsidRPr="003240CC">
        <w:rPr>
          <w:rFonts w:ascii="Times New Roman" w:hAnsi="Times New Roman" w:cs="Times New Roman"/>
          <w:bCs/>
          <w:iCs/>
          <w:sz w:val="24"/>
          <w:szCs w:val="24"/>
          <w:u w:val="single"/>
        </w:rPr>
        <w:t>По функциональному признаку</w:t>
      </w:r>
      <w:r w:rsidRPr="003240CC">
        <w:rPr>
          <w:rFonts w:ascii="Times New Roman" w:hAnsi="Times New Roman" w:cs="Times New Roman"/>
          <w:bCs/>
          <w:iCs/>
          <w:sz w:val="24"/>
          <w:szCs w:val="24"/>
        </w:rPr>
        <w:t xml:space="preserve"> гормоны разделяют на:</w:t>
      </w:r>
    </w:p>
    <w:p w:rsidR="00170E7B" w:rsidRPr="003240CC" w:rsidRDefault="00170E7B" w:rsidP="00330F70">
      <w:pPr>
        <w:ind w:left="360"/>
        <w:jc w:val="both"/>
        <w:rPr>
          <w:rFonts w:ascii="Times New Roman" w:hAnsi="Times New Roman" w:cs="Times New Roman"/>
          <w:sz w:val="24"/>
          <w:szCs w:val="24"/>
        </w:rPr>
      </w:pPr>
      <w:r w:rsidRPr="003240CC">
        <w:rPr>
          <w:rFonts w:ascii="Times New Roman" w:hAnsi="Times New Roman" w:cs="Times New Roman"/>
          <w:bCs/>
          <w:iCs/>
          <w:sz w:val="24"/>
          <w:szCs w:val="24"/>
        </w:rPr>
        <w:t>1) Эффекторные гормоны</w:t>
      </w:r>
      <w:r w:rsidRPr="003240CC">
        <w:rPr>
          <w:rFonts w:ascii="Times New Roman" w:hAnsi="Times New Roman" w:cs="Times New Roman"/>
          <w:bCs/>
          <w:sz w:val="24"/>
          <w:szCs w:val="24"/>
        </w:rPr>
        <w:t xml:space="preserve"> </w:t>
      </w:r>
      <w:r w:rsidRPr="003240CC">
        <w:rPr>
          <w:rFonts w:ascii="Times New Roman" w:hAnsi="Times New Roman" w:cs="Times New Roman"/>
          <w:sz w:val="24"/>
          <w:szCs w:val="24"/>
        </w:rPr>
        <w:t>— действуют на органы мишени (инсулин, СТГ и др.);</w:t>
      </w:r>
    </w:p>
    <w:p w:rsidR="00170E7B" w:rsidRPr="003240CC" w:rsidRDefault="00170E7B" w:rsidP="00330F70">
      <w:pPr>
        <w:ind w:left="360"/>
        <w:jc w:val="both"/>
        <w:rPr>
          <w:rFonts w:ascii="Times New Roman" w:hAnsi="Times New Roman" w:cs="Times New Roman"/>
          <w:sz w:val="24"/>
          <w:szCs w:val="24"/>
        </w:rPr>
      </w:pPr>
      <w:r w:rsidRPr="003240CC">
        <w:rPr>
          <w:rFonts w:ascii="Times New Roman" w:hAnsi="Times New Roman" w:cs="Times New Roman"/>
          <w:bCs/>
          <w:iCs/>
          <w:sz w:val="24"/>
          <w:szCs w:val="24"/>
        </w:rPr>
        <w:t>2) Тропные гормоны</w:t>
      </w:r>
      <w:r w:rsidRPr="003240CC">
        <w:rPr>
          <w:rFonts w:ascii="Times New Roman" w:hAnsi="Times New Roman" w:cs="Times New Roman"/>
          <w:sz w:val="24"/>
          <w:szCs w:val="24"/>
        </w:rPr>
        <w:t xml:space="preserve"> — регулируют выделение и синтез эффекторных гормонов(АКТГ, ТТГ, ГТГ);</w:t>
      </w:r>
    </w:p>
    <w:p w:rsidR="00170E7B" w:rsidRPr="003240CC" w:rsidRDefault="00170E7B" w:rsidP="00330F70">
      <w:pPr>
        <w:ind w:left="360"/>
        <w:jc w:val="both"/>
        <w:rPr>
          <w:rFonts w:ascii="Times New Roman" w:hAnsi="Times New Roman" w:cs="Times New Roman"/>
          <w:sz w:val="24"/>
          <w:szCs w:val="24"/>
        </w:rPr>
      </w:pPr>
      <w:r w:rsidRPr="003240CC">
        <w:rPr>
          <w:rFonts w:ascii="Times New Roman" w:hAnsi="Times New Roman" w:cs="Times New Roman"/>
          <w:bCs/>
          <w:iCs/>
          <w:sz w:val="24"/>
          <w:szCs w:val="24"/>
        </w:rPr>
        <w:t xml:space="preserve">3) Релизинг-факторы </w:t>
      </w:r>
      <w:r w:rsidRPr="003240CC">
        <w:rPr>
          <w:rFonts w:ascii="Times New Roman" w:hAnsi="Times New Roman" w:cs="Times New Roman"/>
          <w:sz w:val="24"/>
          <w:szCs w:val="24"/>
        </w:rPr>
        <w:t>(</w:t>
      </w:r>
      <w:r w:rsidRPr="003240CC">
        <w:rPr>
          <w:rFonts w:ascii="Times New Roman" w:hAnsi="Times New Roman" w:cs="Times New Roman"/>
          <w:iCs/>
          <w:sz w:val="24"/>
          <w:szCs w:val="24"/>
        </w:rPr>
        <w:t>либерины</w:t>
      </w:r>
      <w:r w:rsidRPr="003240CC">
        <w:rPr>
          <w:rFonts w:ascii="Times New Roman" w:hAnsi="Times New Roman" w:cs="Times New Roman"/>
          <w:sz w:val="24"/>
          <w:szCs w:val="24"/>
        </w:rPr>
        <w:t>)</w:t>
      </w:r>
      <w:r w:rsidRPr="003240CC">
        <w:rPr>
          <w:rFonts w:ascii="Times New Roman" w:hAnsi="Times New Roman" w:cs="Times New Roman"/>
          <w:bCs/>
          <w:iCs/>
          <w:sz w:val="24"/>
          <w:szCs w:val="24"/>
        </w:rPr>
        <w:t xml:space="preserve"> и ингибирующие факторы </w:t>
      </w:r>
      <w:r w:rsidRPr="003240CC">
        <w:rPr>
          <w:rFonts w:ascii="Times New Roman" w:hAnsi="Times New Roman" w:cs="Times New Roman"/>
          <w:sz w:val="24"/>
          <w:szCs w:val="24"/>
        </w:rPr>
        <w:t>(</w:t>
      </w:r>
      <w:r w:rsidRPr="003240CC">
        <w:rPr>
          <w:rFonts w:ascii="Times New Roman" w:hAnsi="Times New Roman" w:cs="Times New Roman"/>
          <w:iCs/>
          <w:sz w:val="24"/>
          <w:szCs w:val="24"/>
        </w:rPr>
        <w:t>статины</w:t>
      </w:r>
      <w:r w:rsidRPr="003240CC">
        <w:rPr>
          <w:rFonts w:ascii="Times New Roman" w:hAnsi="Times New Roman" w:cs="Times New Roman"/>
          <w:sz w:val="24"/>
          <w:szCs w:val="24"/>
        </w:rPr>
        <w:t xml:space="preserve">) — гормоны гипоталамуса действующие на гипофиз  и регулирующие выделение тропных гормонов. </w:t>
      </w:r>
    </w:p>
    <w:p w:rsidR="00AE17EB" w:rsidRPr="003240CC" w:rsidRDefault="00AE17EB" w:rsidP="00330F70">
      <w:pPr>
        <w:ind w:left="360"/>
        <w:jc w:val="both"/>
        <w:rPr>
          <w:rFonts w:ascii="Times New Roman" w:hAnsi="Times New Roman" w:cs="Times New Roman"/>
          <w:bCs/>
          <w:iCs/>
          <w:sz w:val="24"/>
          <w:szCs w:val="24"/>
        </w:rPr>
      </w:pP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
          <w:sz w:val="24"/>
          <w:szCs w:val="24"/>
        </w:rPr>
        <w:t>4)</w:t>
      </w:r>
      <w:r w:rsidRPr="003240CC">
        <w:rPr>
          <w:rFonts w:ascii="Times New Roman" w:hAnsi="Times New Roman" w:cs="Times New Roman"/>
          <w:sz w:val="24"/>
          <w:szCs w:val="24"/>
        </w:rPr>
        <w:t xml:space="preserve"> При избытке гормона у взрослых - </w:t>
      </w:r>
      <w:r w:rsidRPr="003240CC">
        <w:rPr>
          <w:rFonts w:ascii="Times New Roman" w:hAnsi="Times New Roman" w:cs="Times New Roman"/>
          <w:bCs/>
          <w:sz w:val="24"/>
          <w:szCs w:val="24"/>
        </w:rPr>
        <w:t>акромегалия</w:t>
      </w:r>
      <w:r w:rsidRPr="003240CC">
        <w:rPr>
          <w:rFonts w:ascii="Times New Roman" w:hAnsi="Times New Roman" w:cs="Times New Roman"/>
          <w:sz w:val="24"/>
          <w:szCs w:val="24"/>
        </w:rPr>
        <w:br/>
        <w:t>(увеличение костей лицевого черепа, пальцев, языка, желудка, кишечника).</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Гиперкортицизм - синдром, характеризующееся избыточной секрецией гормонов коры надпочечников.</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Разрастание щитовидной железы и её массы (зоб)</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Увеличение синтеза гормонов( при достаточном количестве йода) и их гиперфункции.</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Проявляются эффекты:</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lastRenderedPageBreak/>
        <w:t>повышенная нервная и психическая возбудимость;</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тремор тела и пальцев рук;</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нарушение концентрации и последовательности мыслей.</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учащенное сердцебиение в покое с нарастанием при физической нагрузке;</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пучеглазие;</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повышенние основного обмена;</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повышение температуры тела.</w:t>
      </w:r>
    </w:p>
    <w:tbl>
      <w:tblPr>
        <w:tblW w:w="14120" w:type="dxa"/>
        <w:tblCellMar>
          <w:left w:w="0" w:type="dxa"/>
          <w:right w:w="0" w:type="dxa"/>
        </w:tblCellMar>
        <w:tblLook w:val="0600" w:firstRow="0" w:lastRow="0" w:firstColumn="0" w:lastColumn="0" w:noHBand="1" w:noVBand="1"/>
      </w:tblPr>
      <w:tblGrid>
        <w:gridCol w:w="2060"/>
        <w:gridCol w:w="5720"/>
        <w:gridCol w:w="6340"/>
      </w:tblGrid>
      <w:tr w:rsidR="00AE17EB" w:rsidRPr="003240CC" w:rsidTr="00AE17EB">
        <w:trPr>
          <w:trHeight w:val="624"/>
        </w:trPr>
        <w:tc>
          <w:tcPr>
            <w:tcW w:w="2060" w:type="dxa"/>
            <w:vMerge w:val="restart"/>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Гормон</w:t>
            </w:r>
          </w:p>
        </w:tc>
        <w:tc>
          <w:tcPr>
            <w:tcW w:w="12060" w:type="dxa"/>
            <w:gridSpan w:val="2"/>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Основные клинические синдромы</w:t>
            </w:r>
          </w:p>
        </w:tc>
      </w:tr>
      <w:tr w:rsidR="00AE17EB" w:rsidRPr="003240CC" w:rsidTr="00AE17EB">
        <w:trPr>
          <w:trHeight w:val="696"/>
        </w:trPr>
        <w:tc>
          <w:tcPr>
            <w:tcW w:w="0" w:type="auto"/>
            <w:vMerge/>
            <w:tcBorders>
              <w:top w:val="single" w:sz="18" w:space="0" w:color="000000"/>
              <w:left w:val="single" w:sz="18" w:space="0" w:color="000000"/>
              <w:bottom w:val="single" w:sz="8" w:space="0" w:color="000000"/>
              <w:right w:val="single" w:sz="8" w:space="0" w:color="000000"/>
            </w:tcBorders>
            <w:vAlign w:val="center"/>
            <w:hideMark/>
          </w:tcPr>
          <w:p w:rsidR="00AE17EB" w:rsidRPr="003240CC" w:rsidRDefault="00AE17EB" w:rsidP="00330F70">
            <w:pPr>
              <w:ind w:left="360"/>
              <w:jc w:val="both"/>
              <w:rPr>
                <w:rFonts w:ascii="Times New Roman" w:hAnsi="Times New Roman" w:cs="Times New Roman"/>
                <w:sz w:val="24"/>
                <w:szCs w:val="24"/>
              </w:rPr>
            </w:pP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При избытке гормона</w:t>
            </w: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1584"/>
        </w:trPr>
        <w:tc>
          <w:tcPr>
            <w:tcW w:w="20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СТГ</w:t>
            </w: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В детском возрасте –гигантизм, у взрослых -акромегалия</w:t>
            </w: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1104"/>
        </w:trPr>
        <w:tc>
          <w:tcPr>
            <w:tcW w:w="20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АКТГ</w:t>
            </w: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Синдром Иценко-Кушинга</w:t>
            </w: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753"/>
        </w:trPr>
        <w:tc>
          <w:tcPr>
            <w:tcW w:w="20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ТТГ</w:t>
            </w: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Гипертиреоз</w:t>
            </w: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1104"/>
        </w:trPr>
        <w:tc>
          <w:tcPr>
            <w:tcW w:w="20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ФСГ, ЛГ</w:t>
            </w: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Преждевременное половое созревание</w:t>
            </w: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1132"/>
        </w:trPr>
        <w:tc>
          <w:tcPr>
            <w:tcW w:w="20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Про-лактин</w:t>
            </w: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Аменорея, бесплодие, галакторея</w:t>
            </w: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658"/>
        </w:trPr>
        <w:tc>
          <w:tcPr>
            <w:tcW w:w="20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АДГ</w:t>
            </w:r>
          </w:p>
        </w:tc>
        <w:tc>
          <w:tcPr>
            <w:tcW w:w="5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r w:rsidR="00AE17EB" w:rsidRPr="003240CC" w:rsidTr="00AE17EB">
        <w:trPr>
          <w:trHeight w:val="2046"/>
        </w:trPr>
        <w:tc>
          <w:tcPr>
            <w:tcW w:w="206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Окситоцин</w:t>
            </w:r>
          </w:p>
        </w:tc>
        <w:tc>
          <w:tcPr>
            <w:tcW w:w="572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c>
          <w:tcPr>
            <w:tcW w:w="634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p>
        </w:tc>
      </w:tr>
    </w:tbl>
    <w:p w:rsidR="00AE17EB" w:rsidRPr="003240CC" w:rsidRDefault="00AE17EB" w:rsidP="00330F70">
      <w:pPr>
        <w:ind w:left="360"/>
        <w:jc w:val="both"/>
        <w:rPr>
          <w:rFonts w:ascii="Times New Roman" w:hAnsi="Times New Roman" w:cs="Times New Roman"/>
          <w:sz w:val="24"/>
          <w:szCs w:val="24"/>
        </w:rPr>
      </w:pPr>
    </w:p>
    <w:p w:rsidR="00170E7B" w:rsidRPr="003240CC" w:rsidRDefault="00AE17EB" w:rsidP="00330F70">
      <w:pPr>
        <w:ind w:left="360"/>
        <w:jc w:val="both"/>
        <w:rPr>
          <w:rFonts w:ascii="Times New Roman" w:hAnsi="Times New Roman" w:cs="Times New Roman"/>
          <w:b/>
          <w:sz w:val="24"/>
          <w:szCs w:val="24"/>
        </w:rPr>
      </w:pPr>
      <w:r w:rsidRPr="003240CC">
        <w:rPr>
          <w:rFonts w:ascii="Times New Roman" w:hAnsi="Times New Roman" w:cs="Times New Roman"/>
          <w:b/>
          <w:sz w:val="24"/>
          <w:szCs w:val="24"/>
        </w:rPr>
        <w:t xml:space="preserve">5) </w:t>
      </w:r>
    </w:p>
    <w:tbl>
      <w:tblPr>
        <w:tblW w:w="6340" w:type="dxa"/>
        <w:tblCellMar>
          <w:left w:w="0" w:type="dxa"/>
          <w:right w:w="0" w:type="dxa"/>
        </w:tblCellMar>
        <w:tblLook w:val="0600" w:firstRow="0" w:lastRow="0" w:firstColumn="0" w:lastColumn="0" w:noHBand="1" w:noVBand="1"/>
      </w:tblPr>
      <w:tblGrid>
        <w:gridCol w:w="6340"/>
      </w:tblGrid>
      <w:tr w:rsidR="00AE17EB" w:rsidRPr="003240CC" w:rsidTr="00AE17EB">
        <w:trPr>
          <w:trHeight w:val="696"/>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bCs/>
                <w:sz w:val="24"/>
                <w:szCs w:val="24"/>
              </w:rPr>
              <w:t>При недостатке гормона</w:t>
            </w:r>
          </w:p>
        </w:tc>
      </w:tr>
      <w:tr w:rsidR="00AE17EB" w:rsidRPr="003240CC" w:rsidTr="00AE17EB">
        <w:trPr>
          <w:trHeight w:val="1584"/>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СТГ</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В детском возрасте -карликовость</w:t>
            </w:r>
          </w:p>
        </w:tc>
      </w:tr>
      <w:tr w:rsidR="00AE17EB" w:rsidRPr="003240CC" w:rsidTr="00AE17EB">
        <w:trPr>
          <w:trHeight w:val="1104"/>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АКТГ</w:t>
            </w:r>
            <w:r w:rsidRPr="003240CC">
              <w:rPr>
                <w:rFonts w:ascii="Times New Roman" w:hAnsi="Times New Roman" w:cs="Times New Roman"/>
                <w:sz w:val="24"/>
                <w:szCs w:val="24"/>
              </w:rPr>
              <w:br/>
              <w:t>Вторичная гипофункция коры надпочечников</w:t>
            </w:r>
          </w:p>
        </w:tc>
      </w:tr>
      <w:tr w:rsidR="00AE17EB" w:rsidRPr="003240CC" w:rsidTr="00AE17EB">
        <w:trPr>
          <w:trHeight w:val="753"/>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 xml:space="preserve">ТТГ </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Вторичный гипотиреоз</w:t>
            </w:r>
          </w:p>
        </w:tc>
      </w:tr>
      <w:tr w:rsidR="00AE17EB" w:rsidRPr="003240CC" w:rsidTr="00AE17EB">
        <w:trPr>
          <w:trHeight w:val="1104"/>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ФСГ, ЛГ</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Вторичная гипофункция половых желез, бесплодие</w:t>
            </w:r>
          </w:p>
        </w:tc>
      </w:tr>
      <w:tr w:rsidR="00AE17EB" w:rsidRPr="003240CC" w:rsidTr="00AE17EB">
        <w:trPr>
          <w:trHeight w:val="1132"/>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C34B6" w:rsidRPr="003240CC" w:rsidRDefault="008C34B6"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Пролактин</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Отсутствие лактации</w:t>
            </w:r>
          </w:p>
        </w:tc>
      </w:tr>
      <w:tr w:rsidR="00AE17EB" w:rsidRPr="003240CC" w:rsidTr="00AE17EB">
        <w:trPr>
          <w:trHeight w:val="658"/>
        </w:trPr>
        <w:tc>
          <w:tcPr>
            <w:tcW w:w="63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C34B6" w:rsidRPr="003240CC" w:rsidRDefault="008C34B6"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АДГ</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Несахарный диабет</w:t>
            </w:r>
          </w:p>
        </w:tc>
      </w:tr>
      <w:tr w:rsidR="00AE17EB" w:rsidRPr="003240CC" w:rsidTr="00AE17EB">
        <w:trPr>
          <w:trHeight w:val="2046"/>
        </w:trPr>
        <w:tc>
          <w:tcPr>
            <w:tcW w:w="634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C34B6" w:rsidRPr="003240CC" w:rsidRDefault="008C34B6"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Окситоцин</w:t>
            </w:r>
          </w:p>
          <w:p w:rsidR="00AE17EB" w:rsidRPr="003240CC" w:rsidRDefault="00AE17EB" w:rsidP="00330F70">
            <w:pPr>
              <w:ind w:left="360"/>
              <w:jc w:val="both"/>
              <w:rPr>
                <w:rFonts w:ascii="Times New Roman" w:hAnsi="Times New Roman" w:cs="Times New Roman"/>
                <w:sz w:val="24"/>
                <w:szCs w:val="24"/>
              </w:rPr>
            </w:pPr>
            <w:r w:rsidRPr="003240CC">
              <w:rPr>
                <w:rFonts w:ascii="Times New Roman" w:hAnsi="Times New Roman" w:cs="Times New Roman"/>
                <w:sz w:val="24"/>
                <w:szCs w:val="24"/>
              </w:rPr>
              <w:t>слабость родовой деятельности матки, нарушение выделения молока.</w:t>
            </w:r>
          </w:p>
        </w:tc>
      </w:tr>
    </w:tbl>
    <w:p w:rsidR="00AE17EB" w:rsidRPr="003240CC" w:rsidRDefault="00AE17EB" w:rsidP="00330F70">
      <w:pPr>
        <w:ind w:left="360"/>
        <w:jc w:val="both"/>
        <w:rPr>
          <w:rFonts w:ascii="Times New Roman" w:hAnsi="Times New Roman" w:cs="Times New Roman"/>
          <w:sz w:val="24"/>
          <w:szCs w:val="24"/>
        </w:rPr>
      </w:pPr>
    </w:p>
    <w:p w:rsidR="00170E7B" w:rsidRPr="003240CC" w:rsidRDefault="008C34B6" w:rsidP="00330F70">
      <w:pPr>
        <w:jc w:val="both"/>
        <w:rPr>
          <w:rFonts w:ascii="Times New Roman" w:hAnsi="Times New Roman" w:cs="Times New Roman"/>
          <w:b/>
          <w:sz w:val="24"/>
          <w:szCs w:val="24"/>
        </w:rPr>
      </w:pPr>
      <w:r w:rsidRPr="003240CC">
        <w:rPr>
          <w:rFonts w:ascii="Times New Roman" w:hAnsi="Times New Roman" w:cs="Times New Roman"/>
          <w:b/>
          <w:sz w:val="24"/>
          <w:szCs w:val="24"/>
        </w:rPr>
        <w:t xml:space="preserve">2 контрольная </w:t>
      </w:r>
    </w:p>
    <w:p w:rsidR="008C34B6" w:rsidRPr="003240CC" w:rsidRDefault="008C34B6" w:rsidP="00330F70">
      <w:pPr>
        <w:jc w:val="both"/>
        <w:rPr>
          <w:rFonts w:ascii="Times New Roman" w:hAnsi="Times New Roman" w:cs="Times New Roman"/>
          <w:b/>
          <w:sz w:val="24"/>
          <w:szCs w:val="24"/>
        </w:rPr>
      </w:pPr>
      <w:r w:rsidRPr="003240CC">
        <w:rPr>
          <w:rFonts w:ascii="Times New Roman" w:hAnsi="Times New Roman" w:cs="Times New Roman"/>
          <w:b/>
          <w:sz w:val="24"/>
          <w:szCs w:val="24"/>
        </w:rPr>
        <w:t>1)</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Исследователями неоднократно отмечалось, что семиология являлась одной из наиболее древних форм медицинской практики, способствующей пониманию болезни как объективной научной проблемы. В греческом смысле слова «семиотика» рассматривалась как симптоматология. Как отмечал, к примеру, создатель зоосемиотики американец Томас </w:t>
      </w:r>
      <w:r w:rsidRPr="003240CC">
        <w:rPr>
          <w:rFonts w:ascii="Times New Roman" w:hAnsi="Times New Roman" w:cs="Times New Roman"/>
          <w:sz w:val="24"/>
          <w:szCs w:val="24"/>
        </w:rPr>
        <w:lastRenderedPageBreak/>
        <w:t>Себеок: «Семиотика возникает из научного изучения физиологических симптомов, вызванных определенными болезнями и физическим состоянием» (Sebeok 2001, 4). Лишь намного позднее наука о знаках стала ассоциироваться с естественным языком. На протяжении многих столетий семиология выступает важнейшим компонентом медицинской науки, а симптоматология – неотъемлемой частью клинической семиотики. Начиная с античной эпохи, тело выступало основой диагностики, а медицинский диагноз – ансамблем соматических симптомов, собранных в синтагму «болезни». Греческая медицинская теория была теснейшим образом связана с философскими исследованиями. Как справедливо заметил Д. Лонгригг: «В древней Греции философ и медик имели общий интеллектуальный контекст. Они использовали одни и те же понятия, категории и способы объяснения» (Longrigg 1993, 3). И, действительно, основой диагностики и последующего лечения является репрезентация. Медицинская практика должна пониматься семиологически, поскольку является результатом миметического, а значит, и эстетического процесса. Однако со временем, прочные связи между симптоматологией и философией были разрушены, а клиническая и философская семиотика стали развиваться независимо друг от друга. В задачи данной статьи входит объяснение этого исторического разрыва, маргинализации «симптома» как особого типа знаков в семиотической теории, выявление философско-методологических проблем, связанных с этим понятием, а также обоснование актуальности и значимости симптоматологии в современных условиях. В историческом контексте, прежде всего, необходимо отметить значение «отца» европейской медицины Гиппократа (377–356 гг. до н. э.), разрушившего связь с архаической медицинской практикой, в которой врач был озабочен природой болезни, ее причинами и проявлениями, и сосредоточившего свое внимание на личности больного, его жалобах, то есть на симптомах болезни как наиболее значимых аспектов диагностики. В «Прогностике» Гиппократ утверждает: Твердо следует знать относительно свидетельств и признаков, что во всяком году и во всякое время года дурные признаки возвещают дурное, а добрые – доброе, так как и в Ливии, и на Делосе, и в Скифии вышесказанные признаки представляются истинными. Поэтому должно хорошо понимать, что нельзя встретить в этих странах что-либо опасное, кроме весьма многих из этих признаков, если только, в изучении их, уметь правильно разбирать и взвешивать их (Гиппократ, Прогностика, 25; пер. В. И. Руднева). Свою методологию греческий врач подробно излагает в «Эпидемиях»: Что касается до всех тех обстоятельств при болезнях, на основании которых должно устанавливать диагноз, то все это мы узнаем из общей природы всех людей и собственной всякого человека, из болезней и из больного, из всего того, что предписывается и из того, кто предписывает, ибо и от этого больные или лучше, или тяжелее себя чувствуют; кроме того из общего и частного состояния небесных явлений и всякой страны, из привычки, из образа питания, из рода жизни, из возраста каждого больного, из речей больного, нравов, молчания, мыслей, сна, отсутствия сна, из сновидений (…)</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Таким образом, понимание симптома непосредственно связано с процессом самообоснования медицины как целостной понятийной системы. Переводом симптома в знак занимается врач, использующий для этого авторитет медицинского дискурса, а именно поэтому данная процедура всегда носит идеологический характер (о чем постоянно напоминал М. Фуко). Медицина не описывает болезнь, а конструирует ее; болезнь приобретает свою идентичность посредством знаков, выступающих именами особой медицинской реальности. Симптом, по сути, является «голым» фактом жизни организма, а искусство медика состоит в его интерпретации и наделении знаковым статусом. В этом случае, на первый взгляд, совершенно справедливым выглядит замечание Я.Брёкмана о </w:t>
      </w:r>
      <w:r w:rsidRPr="003240CC">
        <w:rPr>
          <w:rFonts w:ascii="Times New Roman" w:hAnsi="Times New Roman" w:cs="Times New Roman"/>
          <w:sz w:val="24"/>
          <w:szCs w:val="24"/>
        </w:rPr>
        <w:lastRenderedPageBreak/>
        <w:t>том, что «отношения между знаком и симптомом в медицине аналогично отношениям между голыми и институциональными фактами» (Broekman 1996, 157)</w:t>
      </w:r>
    </w:p>
    <w:p w:rsidR="008C34B6" w:rsidRPr="003240CC" w:rsidRDefault="008C34B6" w:rsidP="00330F70">
      <w:pPr>
        <w:jc w:val="both"/>
        <w:rPr>
          <w:rFonts w:ascii="Times New Roman" w:hAnsi="Times New Roman" w:cs="Times New Roman"/>
          <w:b/>
          <w:sz w:val="24"/>
          <w:szCs w:val="24"/>
        </w:rPr>
      </w:pPr>
      <w:r w:rsidRPr="003240CC">
        <w:rPr>
          <w:rFonts w:ascii="Times New Roman" w:hAnsi="Times New Roman" w:cs="Times New Roman"/>
          <w:b/>
          <w:sz w:val="24"/>
          <w:szCs w:val="24"/>
        </w:rPr>
        <w:t xml:space="preserve">2) </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В диагностике эндокринных заболеваний можно выделить 4 группы ти¬пичных ошибок:</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1.</w:t>
      </w:r>
      <w:r w:rsidRPr="003240CC">
        <w:rPr>
          <w:rFonts w:ascii="Times New Roman" w:hAnsi="Times New Roman" w:cs="Times New Roman"/>
          <w:sz w:val="24"/>
          <w:szCs w:val="24"/>
        </w:rPr>
        <w:tab/>
        <w:t>Игнорирование очевидной клинической симптоматики. Наиболее часто эти ошибки допускаются при гипотиреозе, болезни (синдроме) Иценко—Кушинга, иногда акромегалии, когда медленно развивающиеся клинические проявления воспринимаются как «возрастные» изменения или отдельные симптомы (артериальная гипертензия, ожирение, анемия) трактуются как самостоятельные заболевания.</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2.</w:t>
      </w:r>
      <w:r w:rsidRPr="003240CC">
        <w:rPr>
          <w:rFonts w:ascii="Times New Roman" w:hAnsi="Times New Roman" w:cs="Times New Roman"/>
          <w:sz w:val="24"/>
          <w:szCs w:val="24"/>
        </w:rPr>
        <w:tab/>
        <w:t>Переоценка лабораторных методов исследования. Определение уров¬ня гормонов «на всякий случай» ведет к тому, что лабораторные данные возводятся в абсолютную степень диагностически значимых показателей. Очень часто источником ошибок при интерпретации лабораторных показа¬телей служит игнорирование правил забора материала (например, положе¬ние больного (стоя или лежа) при определении уровня альдостерона; ис¬ключение определенных пищевых продуктов при исследовании метаболи¬тов катехоламинов; исследование гликемии без учета времени приема пищи и Т.Д.).</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3.</w:t>
      </w:r>
      <w:r w:rsidRPr="003240CC">
        <w:rPr>
          <w:rFonts w:ascii="Times New Roman" w:hAnsi="Times New Roman" w:cs="Times New Roman"/>
          <w:sz w:val="24"/>
          <w:szCs w:val="24"/>
        </w:rPr>
        <w:tab/>
        <w:t>Переоценка значимости современных инструментальных методов. Так, проведение УЗИ надпочечников или яичников, компьютерной или магнитно-резонансной томографии надпочечников или головы без анализа клинической картины и определения уровня необходимых гормонов часто неверно служит основанием для заключения о наличии патологии соответ¬ствующих органов, при этом варианты анатомического строения или несу¬щественные отклонения от нормы также считаются прямым указанием на патологический процесс и приводят к постановке диагноза несуществую¬щего заболевания.</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4.</w:t>
      </w:r>
      <w:r w:rsidRPr="003240CC">
        <w:rPr>
          <w:rFonts w:ascii="Times New Roman" w:hAnsi="Times New Roman" w:cs="Times New Roman"/>
          <w:sz w:val="24"/>
          <w:szCs w:val="24"/>
        </w:rPr>
        <w:tab/>
        <w:t>Упорный поиск эндокринной патологии. У лиц с конституциональны¬ми особенностями обмена веществ, астеническими проявлениями, вегета¬тивными расстройствами, алиментарными нарушениями, у лиц, злоупот¬ребляющих медикаментами, больных с неврозами нередко ищут эндокрин¬ные заболевания.</w:t>
      </w:r>
    </w:p>
    <w:p w:rsidR="00376819" w:rsidRPr="003240CC" w:rsidRDefault="008C34B6" w:rsidP="00330F70">
      <w:pPr>
        <w:jc w:val="both"/>
        <w:rPr>
          <w:rFonts w:ascii="Times New Roman" w:hAnsi="Times New Roman" w:cs="Times New Roman"/>
          <w:b/>
          <w:sz w:val="24"/>
          <w:szCs w:val="24"/>
        </w:rPr>
      </w:pPr>
      <w:r w:rsidRPr="003240CC">
        <w:rPr>
          <w:rFonts w:ascii="Times New Roman" w:hAnsi="Times New Roman" w:cs="Times New Roman"/>
          <w:b/>
          <w:sz w:val="24"/>
          <w:szCs w:val="24"/>
        </w:rPr>
        <w:t>3)</w:t>
      </w:r>
    </w:p>
    <w:p w:rsidR="00376819" w:rsidRPr="003240CC" w:rsidRDefault="00376819" w:rsidP="00330F70">
      <w:pPr>
        <w:jc w:val="both"/>
        <w:rPr>
          <w:rFonts w:ascii="Times New Roman" w:hAnsi="Times New Roman" w:cs="Times New Roman"/>
          <w:sz w:val="24"/>
          <w:szCs w:val="24"/>
        </w:rPr>
      </w:pPr>
      <w:r w:rsidRPr="003240CC">
        <w:rPr>
          <w:rFonts w:ascii="Times New Roman" w:hAnsi="Times New Roman" w:cs="Times New Roman"/>
          <w:sz w:val="24"/>
          <w:szCs w:val="24"/>
        </w:rPr>
        <w:t>Кожа</w:t>
      </w:r>
    </w:p>
    <w:p w:rsidR="00376819" w:rsidRPr="003240CC" w:rsidRDefault="00376819" w:rsidP="00330F70">
      <w:pPr>
        <w:jc w:val="both"/>
        <w:rPr>
          <w:rFonts w:ascii="Times New Roman" w:hAnsi="Times New Roman" w:cs="Times New Roman"/>
          <w:sz w:val="24"/>
          <w:szCs w:val="24"/>
        </w:rPr>
      </w:pPr>
      <w:r w:rsidRPr="003240CC">
        <w:rPr>
          <w:rFonts w:ascii="Times New Roman" w:hAnsi="Times New Roman" w:cs="Times New Roman"/>
          <w:sz w:val="24"/>
          <w:szCs w:val="24"/>
        </w:rPr>
        <w:t>цвет, влажность, тургор:</w:t>
      </w:r>
    </w:p>
    <w:p w:rsidR="00376819" w:rsidRPr="003240CC" w:rsidRDefault="00376819"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 бронзовая на открытых участках и в местах трения одежды, складках с пигментацией слизистых (гипокортицизм), </w:t>
      </w:r>
    </w:p>
    <w:p w:rsidR="00376819" w:rsidRPr="003240CC" w:rsidRDefault="00376819" w:rsidP="00330F70">
      <w:pPr>
        <w:jc w:val="both"/>
        <w:rPr>
          <w:rFonts w:ascii="Times New Roman" w:hAnsi="Times New Roman" w:cs="Times New Roman"/>
          <w:sz w:val="24"/>
          <w:szCs w:val="24"/>
        </w:rPr>
      </w:pPr>
      <w:r w:rsidRPr="003240CC">
        <w:rPr>
          <w:rFonts w:ascii="Times New Roman" w:hAnsi="Times New Roman" w:cs="Times New Roman"/>
          <w:sz w:val="24"/>
          <w:szCs w:val="24"/>
        </w:rPr>
        <w:t>мраморность, выраженный сосудистый рисунок, багрово-красный цвет, лунообразное лицо, стрии (гиперкортицизм);</w:t>
      </w:r>
    </w:p>
    <w:p w:rsidR="00376819" w:rsidRPr="003240CC" w:rsidRDefault="00376819" w:rsidP="00330F70">
      <w:pPr>
        <w:jc w:val="both"/>
        <w:rPr>
          <w:rFonts w:ascii="Times New Roman" w:hAnsi="Times New Roman" w:cs="Times New Roman"/>
          <w:sz w:val="24"/>
          <w:szCs w:val="24"/>
        </w:rPr>
      </w:pPr>
    </w:p>
    <w:p w:rsidR="008C34B6" w:rsidRPr="003240CC" w:rsidRDefault="00376819" w:rsidP="00330F70">
      <w:pPr>
        <w:jc w:val="both"/>
        <w:rPr>
          <w:rFonts w:ascii="Times New Roman" w:hAnsi="Times New Roman" w:cs="Times New Roman"/>
          <w:sz w:val="24"/>
          <w:szCs w:val="24"/>
        </w:rPr>
      </w:pPr>
      <w:r w:rsidRPr="003240CC">
        <w:rPr>
          <w:rFonts w:ascii="Times New Roman" w:hAnsi="Times New Roman" w:cs="Times New Roman"/>
          <w:sz w:val="24"/>
          <w:szCs w:val="24"/>
        </w:rPr>
        <w:t>сухость, шелушение, снижение тургора кожи, расширение сосудов (рубеоз),пиодермия, фурункулез, микоз, кожный зуд, трофические язвы, каротинемия, липодистрофия, ксантоматоз, липоидный некробиоз при СД;</w:t>
      </w:r>
      <w:r w:rsidR="008C34B6" w:rsidRPr="003240CC">
        <w:rPr>
          <w:rFonts w:ascii="Times New Roman" w:hAnsi="Times New Roman" w:cs="Times New Roman"/>
          <w:sz w:val="24"/>
          <w:szCs w:val="24"/>
        </w:rPr>
        <w:t xml:space="preserve"> К методам исследования эндокринопатий относятся:</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w:t>
      </w:r>
      <w:r w:rsidRPr="003240CC">
        <w:rPr>
          <w:rFonts w:ascii="Times New Roman" w:hAnsi="Times New Roman" w:cs="Times New Roman"/>
          <w:sz w:val="24"/>
          <w:szCs w:val="24"/>
        </w:rPr>
        <w:tab/>
        <w:t>Расспрос</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Осмотр</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Пальпация</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Перкуссия</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Аускультация</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Лабораторный методы</w:t>
      </w:r>
    </w:p>
    <w:p w:rsidR="008C34B6"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Инструментальные методы</w:t>
      </w:r>
    </w:p>
    <w:p w:rsidR="00376819" w:rsidRPr="003240CC" w:rsidRDefault="00376819" w:rsidP="00C1605E">
      <w:pPr>
        <w:rPr>
          <w:rFonts w:ascii="Times New Roman" w:hAnsi="Times New Roman" w:cs="Times New Roman"/>
          <w:sz w:val="24"/>
          <w:szCs w:val="24"/>
        </w:rPr>
      </w:pPr>
      <w:r w:rsidRPr="003240CC">
        <w:rPr>
          <w:rFonts w:ascii="Times New Roman" w:hAnsi="Times New Roman" w:cs="Times New Roman"/>
          <w:b/>
          <w:sz w:val="24"/>
          <w:szCs w:val="24"/>
        </w:rPr>
        <w:t>4)</w:t>
      </w:r>
      <w:r w:rsidRPr="003240CC">
        <w:rPr>
          <w:rFonts w:ascii="Times New Roman" w:hAnsi="Times New Roman" w:cs="Times New Roman"/>
          <w:sz w:val="24"/>
          <w:szCs w:val="24"/>
        </w:rPr>
        <w:t xml:space="preserve"> Методы определения содержания гормонов</w:t>
      </w:r>
    </w:p>
    <w:p w:rsidR="00376819" w:rsidRPr="003240CC" w:rsidRDefault="00376819" w:rsidP="00C1605E">
      <w:pPr>
        <w:rPr>
          <w:rFonts w:ascii="Times New Roman" w:hAnsi="Times New Roman" w:cs="Times New Roman"/>
          <w:sz w:val="24"/>
          <w:szCs w:val="24"/>
        </w:rPr>
      </w:pPr>
      <w:r w:rsidRPr="003240CC">
        <w:rPr>
          <w:rFonts w:ascii="Times New Roman" w:hAnsi="Times New Roman" w:cs="Times New Roman"/>
          <w:sz w:val="24"/>
          <w:szCs w:val="24"/>
        </w:rPr>
        <w:t>Определение содержания гормонов и электролитов</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Структура проинсулина и инсулина</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С-пептид</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Гликированный гемоглобин.</w:t>
      </w:r>
      <w:r w:rsidRPr="003240CC">
        <w:rPr>
          <w:rFonts w:ascii="Times New Roman" w:hAnsi="Times New Roman" w:cs="Times New Roman"/>
          <w:sz w:val="24"/>
          <w:szCs w:val="24"/>
        </w:rPr>
        <w:br/>
        <w:t>HHbA1</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ГТТГ (гликемический тест толерантности к глюкозе)</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b/>
          <w:sz w:val="24"/>
          <w:szCs w:val="24"/>
        </w:rPr>
        <w:t>5)</w:t>
      </w:r>
      <w:r w:rsidRPr="003240CC">
        <w:rPr>
          <w:rFonts w:ascii="Times New Roman" w:hAnsi="Times New Roman" w:cs="Times New Roman"/>
          <w:sz w:val="24"/>
          <w:szCs w:val="24"/>
        </w:rPr>
        <w:t xml:space="preserve"> Ультразвуковая диагностика щитовидной железы, надпочечников, яичников</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Радиоизотопная диагностика</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Сцинтиграфия: радиоактивный йод 131 вводят в/в, в виде раствора или капсулы перорально, с последующей фиксацией поглощения йода щитовидной железой. Применяют для диагностики гиперфункции щитовидной железы и дифференциальной диагностики ДТЗ и аденомы Пламера</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Термография: при тиреотоксикозе с подозрением на  рак щитовидной железы выявляют участки более интенсивного инфракрасного излучения</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Рентгенологическое исследование</w:t>
      </w:r>
    </w:p>
    <w:p w:rsidR="002A084B" w:rsidRPr="003240CC" w:rsidRDefault="002A084B" w:rsidP="00330F70">
      <w:pPr>
        <w:jc w:val="both"/>
        <w:rPr>
          <w:rFonts w:ascii="Times New Roman" w:hAnsi="Times New Roman" w:cs="Times New Roman"/>
          <w:b/>
          <w:sz w:val="24"/>
          <w:szCs w:val="24"/>
        </w:rPr>
      </w:pPr>
      <w:r w:rsidRPr="003240CC">
        <w:rPr>
          <w:rFonts w:ascii="Times New Roman" w:hAnsi="Times New Roman" w:cs="Times New Roman"/>
          <w:b/>
          <w:sz w:val="24"/>
          <w:szCs w:val="24"/>
        </w:rPr>
        <w:t>3 контрольная</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1) Клиническая картина</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Ложный женский гермафродитизм</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Наследование по аутосомно-рецессивному типу. Заболевание чаще связано с недостаточностью 21-гидроксилазы, реже 11- гидроксилазы. Для всех вариантов характерны женский кариотип 46 XX, гонады женского пола (правильно сформированные яичники). Наружные половые органы бисексуальны. Клинический фенотип определяют по выраженности экспрессии мутантного гена. Полная потеря активности 21-гидроксилазы (помимо синдрома вирилизации) приводит к выраженным электролитным нарушениям, вызванным дефицитом альдостерона (сольтеряющая форма). Степень вирилизации гениталий варьирует от незначительной гипертрофии клитора до формирования наружных поло-вых органов, близких к мужским, или приводит к формированию узкого входа во влагалище. Недостаточность 11-гидроксилазы, сопровождаемая гипернатриемией и гиперволемией, приводит к развитию симптоматической АГ.</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Ложный мужской гермафродитизм</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Описан как синдром андрогенной нечувствительности — AIS (Androgen Insensitivity Syndrome), это наиболее часто встречаемое проявление ложного мужского гермафродитизма. Данная патология имеет X-сцепленный характер наследования. При синдроме тестикулярной феминизации (вследствие мутации гена андрогенного рецептора) возникает резистентность тканей-мишеней с генетическим и гонадным мужским полом к андрогенам при достаточной чувствительности к эстрогенам. Для больных с синдромом тестикулярной феминизации характерны:</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кариотип 46 XY при женском фенотипе;</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аплазия влагалища;</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отсутствие или недостаточное развитие характерного оволосения;</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спонтанное развитие молочных желез;</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первичная аменорея;</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отсутствие матки и других производных мюллерова протока.</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У пациентов с синдромом тестикулярной феминизации правильно сформированные яички могут быть расположены экстра-абдоминально: в паховых каналах, больших половых губах или даже в брюшной полости. Традиционно синдром тестикулярной феминизации подразделяют на полную и неполную формы (в зависимости от степени чувствительности к андрогенам). Вариант фенотипа, при котором наружные гениталии близки к нормальным мужским, носит название синдрома Райфенстайна.</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К редким причинам мужского гермафродитизма относят наследуемые по аутосомно-рецессивному типу, врожденные нарушения биосинтеза тестостерона, обусловленные дефектом одной из нескольких ферментных систем, участвующих в синтезе тестостерона в надпочечниках и гонадах. Мужской псевдогермафродитизм может быть обусловлен не только недостаточностью биосинтеза тестостерона, но и нарушением механизма его действия, включая образование комплекса «стероид-рецептор», транслокацию комплекса в ядро или восстановление в 5а-положении. К ним относят недостаточность 5а-редуктазы и дефект рецептора к ЛГ.</w:t>
      </w:r>
    </w:p>
    <w:p w:rsidR="00E05C4F" w:rsidRPr="003240CC" w:rsidRDefault="002A084B" w:rsidP="00C1605E">
      <w:pPr>
        <w:jc w:val="both"/>
        <w:rPr>
          <w:rFonts w:ascii="Times New Roman" w:hAnsi="Times New Roman" w:cs="Times New Roman"/>
          <w:sz w:val="24"/>
          <w:szCs w:val="24"/>
        </w:rPr>
      </w:pPr>
      <w:r w:rsidRPr="003240CC">
        <w:rPr>
          <w:rFonts w:ascii="Times New Roman" w:hAnsi="Times New Roman" w:cs="Times New Roman"/>
          <w:sz w:val="24"/>
          <w:szCs w:val="24"/>
        </w:rPr>
        <w:t xml:space="preserve">2) </w:t>
      </w:r>
      <w:r w:rsidR="00761789" w:rsidRPr="003240CC">
        <w:rPr>
          <w:rFonts w:ascii="Times New Roman" w:hAnsi="Times New Roman" w:cs="Times New Roman"/>
          <w:sz w:val="24"/>
          <w:szCs w:val="24"/>
        </w:rPr>
        <w:t xml:space="preserve">Основная функция женской половой системы - репродуктивная. Это означает, что зачатие нового организма и вынашивание беременности происходит в организме женщины. Данная функция реализуется путем взаимодействия нескольких органов женской репродуктивной системы. В свою очередь, это взаимодействие обеспечивается гормональной регуляцией. Именно гормональная регуляция является ведущим звеном в реализации репродуктивной функции женщины. </w:t>
      </w:r>
    </w:p>
    <w:p w:rsidR="00E05C4F" w:rsidRPr="003240CC" w:rsidRDefault="00761789" w:rsidP="00C1605E">
      <w:pPr>
        <w:jc w:val="both"/>
        <w:rPr>
          <w:rFonts w:ascii="Times New Roman" w:hAnsi="Times New Roman" w:cs="Times New Roman"/>
          <w:sz w:val="24"/>
          <w:szCs w:val="24"/>
        </w:rPr>
      </w:pPr>
      <w:r w:rsidRPr="003240CC">
        <w:rPr>
          <w:rFonts w:ascii="Times New Roman" w:hAnsi="Times New Roman" w:cs="Times New Roman"/>
          <w:sz w:val="24"/>
          <w:szCs w:val="24"/>
        </w:rPr>
        <w:t xml:space="preserve">Одним из высших отделов гормональной регуляции всех внутренних органов и систем в организме человека является железа гипофиз, располагающаяся в головном мозге. Гипофиз выделяет особые регулирующие гормоны, которые в свою очередь регулируют работу других эндокринных желез – щитовидной железы (ТТГ – тиреотропный гормон), надпочечников (АКТГ – адренокортикотропный гормон), половых желез (ЛГ и ФСГ). Кроме того, гипофиз выделяет ряд гормонов, регулирующих работу некоторых внутренних органов и систем – мочевыделительной системы (вазопрессин или антидиуретический гормон), костной системы (СТГ или гормон роста), половых органов (окситоцин), молочной железы (пролактин, окситоцин). </w:t>
      </w:r>
    </w:p>
    <w:p w:rsidR="00E05C4F"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 xml:space="preserve">3) </w:t>
      </w:r>
      <w:r w:rsidR="00761789" w:rsidRPr="003240CC">
        <w:rPr>
          <w:rFonts w:ascii="Times New Roman" w:hAnsi="Times New Roman" w:cs="Times New Roman"/>
          <w:bCs/>
          <w:sz w:val="24"/>
          <w:szCs w:val="24"/>
        </w:rPr>
        <w:t>Половые органы женщины делятся на наружные и внутренние, соединенные между собой влагалищем.</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Наружные половые органы:</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br/>
        <w:t xml:space="preserve">1-лобок, </w:t>
      </w:r>
      <w:r w:rsidRPr="003240CC">
        <w:rPr>
          <w:rFonts w:ascii="Times New Roman" w:hAnsi="Times New Roman" w:cs="Times New Roman"/>
          <w:sz w:val="24"/>
          <w:szCs w:val="24"/>
        </w:rPr>
        <w:br/>
        <w:t xml:space="preserve">2-клитор, </w:t>
      </w:r>
      <w:r w:rsidRPr="003240CC">
        <w:rPr>
          <w:rFonts w:ascii="Times New Roman" w:hAnsi="Times New Roman" w:cs="Times New Roman"/>
          <w:sz w:val="24"/>
          <w:szCs w:val="24"/>
        </w:rPr>
        <w:br/>
        <w:t xml:space="preserve">3-уретра (отверстие мочеиспускательного канала), </w:t>
      </w:r>
      <w:r w:rsidRPr="003240CC">
        <w:rPr>
          <w:rFonts w:ascii="Times New Roman" w:hAnsi="Times New Roman" w:cs="Times New Roman"/>
          <w:sz w:val="24"/>
          <w:szCs w:val="24"/>
        </w:rPr>
        <w:br/>
        <w:t xml:space="preserve">4-малые половые губы, </w:t>
      </w:r>
      <w:r w:rsidRPr="003240CC">
        <w:rPr>
          <w:rFonts w:ascii="Times New Roman" w:hAnsi="Times New Roman" w:cs="Times New Roman"/>
          <w:sz w:val="24"/>
          <w:szCs w:val="24"/>
        </w:rPr>
        <w:br/>
        <w:t xml:space="preserve">5-большие половые губы, </w:t>
      </w:r>
      <w:r w:rsidRPr="003240CC">
        <w:rPr>
          <w:rFonts w:ascii="Times New Roman" w:hAnsi="Times New Roman" w:cs="Times New Roman"/>
          <w:sz w:val="24"/>
          <w:szCs w:val="24"/>
        </w:rPr>
        <w:br/>
        <w:t xml:space="preserve">6-вход во влагалище, </w:t>
      </w:r>
      <w:r w:rsidRPr="003240CC">
        <w:rPr>
          <w:rFonts w:ascii="Times New Roman" w:hAnsi="Times New Roman" w:cs="Times New Roman"/>
          <w:sz w:val="24"/>
          <w:szCs w:val="24"/>
        </w:rPr>
        <w:br/>
        <w:t>7-анальное отверстие.</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Внутренние половые органы состоят из матки, двух маточных труб и двух яичников.</w:t>
      </w:r>
    </w:p>
    <w:p w:rsidR="002A084B" w:rsidRPr="003240CC" w:rsidRDefault="002A084B" w:rsidP="00C1605E">
      <w:pPr>
        <w:rPr>
          <w:rFonts w:ascii="Times New Roman" w:hAnsi="Times New Roman" w:cs="Times New Roman"/>
          <w:sz w:val="24"/>
          <w:szCs w:val="24"/>
        </w:rPr>
      </w:pPr>
      <w:r w:rsidRPr="003240CC">
        <w:rPr>
          <w:rFonts w:ascii="Times New Roman" w:hAnsi="Times New Roman" w:cs="Times New Roman"/>
          <w:sz w:val="24"/>
          <w:szCs w:val="24"/>
        </w:rPr>
        <w:t xml:space="preserve"> Внутренние половые органы:</w:t>
      </w:r>
      <w:r w:rsidRPr="003240CC">
        <w:rPr>
          <w:rFonts w:ascii="Times New Roman" w:hAnsi="Times New Roman" w:cs="Times New Roman"/>
          <w:sz w:val="24"/>
          <w:szCs w:val="24"/>
        </w:rPr>
        <w:br/>
        <w:t xml:space="preserve">1-полость матки, </w:t>
      </w:r>
      <w:r w:rsidRPr="003240CC">
        <w:rPr>
          <w:rFonts w:ascii="Times New Roman" w:hAnsi="Times New Roman" w:cs="Times New Roman"/>
          <w:sz w:val="24"/>
          <w:szCs w:val="24"/>
        </w:rPr>
        <w:br/>
        <w:t xml:space="preserve">2-матка (тело), </w:t>
      </w:r>
      <w:r w:rsidRPr="003240CC">
        <w:rPr>
          <w:rFonts w:ascii="Times New Roman" w:hAnsi="Times New Roman" w:cs="Times New Roman"/>
          <w:sz w:val="24"/>
          <w:szCs w:val="24"/>
        </w:rPr>
        <w:br/>
        <w:t xml:space="preserve">3-яичник, </w:t>
      </w:r>
      <w:r w:rsidRPr="003240CC">
        <w:rPr>
          <w:rFonts w:ascii="Times New Roman" w:hAnsi="Times New Roman" w:cs="Times New Roman"/>
          <w:sz w:val="24"/>
          <w:szCs w:val="24"/>
        </w:rPr>
        <w:br/>
        <w:t xml:space="preserve">4-маточная труба, </w:t>
      </w:r>
      <w:r w:rsidRPr="003240CC">
        <w:rPr>
          <w:rFonts w:ascii="Times New Roman" w:hAnsi="Times New Roman" w:cs="Times New Roman"/>
          <w:sz w:val="24"/>
          <w:szCs w:val="24"/>
        </w:rPr>
        <w:br/>
        <w:t xml:space="preserve">5-шейка матки, </w:t>
      </w:r>
      <w:r w:rsidRPr="003240CC">
        <w:rPr>
          <w:rFonts w:ascii="Times New Roman" w:hAnsi="Times New Roman" w:cs="Times New Roman"/>
          <w:sz w:val="24"/>
          <w:szCs w:val="24"/>
        </w:rPr>
        <w:br/>
        <w:t>6-влагалище</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b/>
          <w:sz w:val="24"/>
          <w:szCs w:val="24"/>
        </w:rPr>
        <w:t>4)</w:t>
      </w:r>
      <w:r w:rsidRPr="003240CC">
        <w:rPr>
          <w:rFonts w:ascii="Times New Roman" w:hAnsi="Times New Roman" w:cs="Times New Roman"/>
          <w:sz w:val="24"/>
          <w:szCs w:val="24"/>
        </w:rPr>
        <w:t xml:space="preserve"> Высокое содержание гонадотропинов (ЛГ, ФСГ) характерно для нарушений гонадной дифференцировки — гипергонадотропного гипогонадизма (чистой агенезии гонад, синдрома Тернера, билатеральной дисгенезии яичек). При гормональном обследовании пациентов с синдромом нечувствительности к андрогенам находят высокие показатели тестостерона, так как гормональная функция правильно сформированных тестикул не страдает. Уровень эстрадиола может быть повышен за счет периферической конверсии тестостерона. Соотношение ЛГ/ФСГ повышено за счет отсутствия влияния тестостерона на гонадотропную функцию. В тех ситуациях, когда эндокринная функция гонад по тем или иным причинам неясна, возможно применение пробы с ХГЧ или агонистами люлиберина. Эта проба может быть использована для определения потенциального направления половой адаптации у пациентов со смешанной дисгенезией тестикул. Значительно сложнее решается вопрос при гормональном обследовании пациентов с дефектами биосинтеза тестостерона и гормонов надпочечников. Их диагностика основана на определении уровня тестостерона, глюко- и минералокортикоидов, а также их предшественников. Для диагностики этих форм применяют стимуляционную пробу синтетическими аналогами АКТГ (синактеномом-депо*). Это исследование также информативно при гормональной диагностике ВДКН, особенно его неклассической (постпубертатной) формы.</w:t>
      </w:r>
    </w:p>
    <w:p w:rsidR="002A084B" w:rsidRPr="003240CC" w:rsidRDefault="002A084B"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 </w:t>
      </w:r>
    </w:p>
    <w:p w:rsidR="00C25320" w:rsidRPr="003240CC" w:rsidRDefault="008C34B6" w:rsidP="00330F70">
      <w:pPr>
        <w:jc w:val="both"/>
        <w:rPr>
          <w:rFonts w:ascii="Times New Roman" w:hAnsi="Times New Roman" w:cs="Times New Roman"/>
          <w:sz w:val="24"/>
          <w:szCs w:val="24"/>
        </w:rPr>
      </w:pPr>
      <w:r w:rsidRPr="003240CC">
        <w:rPr>
          <w:rFonts w:ascii="Times New Roman" w:hAnsi="Times New Roman" w:cs="Times New Roman"/>
          <w:b/>
          <w:sz w:val="24"/>
          <w:szCs w:val="24"/>
        </w:rPr>
        <w:t>5)</w:t>
      </w:r>
      <w:r w:rsidRPr="003240CC">
        <w:rPr>
          <w:rFonts w:ascii="Times New Roman" w:hAnsi="Times New Roman" w:cs="Times New Roman"/>
          <w:sz w:val="24"/>
          <w:szCs w:val="24"/>
        </w:rPr>
        <w:t xml:space="preserve"> </w:t>
      </w:r>
      <w:r w:rsidR="00C25320" w:rsidRPr="003240CC">
        <w:rPr>
          <w:rFonts w:ascii="Times New Roman" w:hAnsi="Times New Roman" w:cs="Times New Roman"/>
          <w:sz w:val="24"/>
          <w:szCs w:val="24"/>
        </w:rPr>
        <w:t xml:space="preserve">Радиоиммунный анализ (РИА) определения гормонов, значение которого для эндокринологии сравнивается со значением открытия телескопа для астрономии, был впервые разработан Соломоном Берсоном и лауреатом Нобелевской премии Розалин Ялоу. В основе РИА, как и других ра- диолигандных методов, лежит конкурентное связывание меченных радиоактивной меткой и немеченых веществ со специфическими лигандами. Если в систему, содержащую неизвестные количества исследуемого веще-ства, например гормона (Г), добавляются антитела (Ат), образуется комплекс гормон—антитело (Г—Ат). Если, помимо этого, в систему добавить меченый (например, 1251) гормон (Г"), то </w:t>
      </w:r>
      <w:r w:rsidR="00C25320" w:rsidRPr="003240CC">
        <w:rPr>
          <w:rFonts w:ascii="Times New Roman" w:hAnsi="Times New Roman" w:cs="Times New Roman"/>
          <w:sz w:val="24"/>
          <w:szCs w:val="24"/>
        </w:rPr>
        <w:lastRenderedPageBreak/>
        <w:t>исследуемый гормон (Г) и ме¬ченный 12Л гормон (Г") начинают конкурировать за антитело (Ат) (рис. 4.1). Если в систему вносится фиксированное количество Г", то количест¬во комплексов Г"—Ат будет определяться количеством исследуемого гор¬мона. Затем комплексы Г"—Ат отделяются с помощью различных методов (например, преципитация), по радиоактивности преципитата определяет¬ся число связавшегося Г", после чего по стандартной кривой определяется количество исследуемого гормона. Для построения стандартных кривых используются растворы, содержащие известные количества неме¬ченого гормона. Преимуществами РИА являются высокая чувствитель¬ность, позволяющая определить ничтожно малые количества вещества (10-9—10-12 г/мл), высокая специфичность, точность и воспроизводи¬мость, а также простота выполнения. Недостатком метода является ис¬пользование радиоактивных изотопов, что определяет ограниченный срок годности тест-наборов Иммунорадиометрический анализ (ИРМА) по сути представляет собой .модификацию РИА, в которой радиоактивной меткой маркируется не антиген (гормон), а специфические антитела.</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При проведении радиорецепторного анализа (РРА) вместо антител к гормонам используются их собственные рецепторы. Помимо радиоактивной метки, в качестве маркеров в гормональном анализе могут использоваться ферменты (иммуноферментный анализ) и люминесцируюшие субстанции (люминесцентный анализ). Неизотопные метки более стабильны, чем радиоизотопные, что определяет широкое внедрение нерадиоактивных методов в клиническую практику.</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Помимо радиоиммунного анализа, не утратили значения и химические методы определения ряда веществ (обычно это метаболиты гормонов и их предшественников). Так, с помощью химических реакций определяют метаболиты адреналина и норадреналина (ванилилминдальная кислота), дофамина (гомованиловая кислота) и серотонина (5-гидроксииндолилуксус- ная кислота) в моче.</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Большинство описанных методов гормонального анализа представляет собой сложный многоступенчатый иммунохимический или химический процесс. Выделяется несколько групп факторов, которые могут привести к ложным результатам гормонального исследования:</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неспецифические факторы (связывание антител in vitro во многом зависит от температуры, pH среды и других показателей),</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перекрестно реагирующие субстанции (иммунологические аналогичные субстанции могут перекрестно реагировать с лигандами (антителами), особенно при использовании поликлональных антител; типичный пример — перекрестное реагирование антител к лютеинизирующему гормону (Л Г) с хорионическим гонадотропином (ХГ),</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циркулирующие предшественники и фрагменты гормонов, которые конкурируют за связывание с биологически активными гормонами (при исследовании уровней АКТГ, паратгормона, гастрина),</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циркулирующие аутоантитела (редко к эндогенному тироксину и трийодтиронину, чаще к тиреоглобулину),</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гетерофильные антитела (против тиреотропного гормона, а-фето- протеина, хорионического гонадотропина),</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w:t>
      </w:r>
      <w:r w:rsidRPr="003240CC">
        <w:rPr>
          <w:rFonts w:ascii="Times New Roman" w:hAnsi="Times New Roman" w:cs="Times New Roman"/>
          <w:sz w:val="24"/>
          <w:szCs w:val="24"/>
        </w:rPr>
        <w:tab/>
        <w:t>попадание в тест-систему тканевых экстрактов и ферментов,</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w:t>
      </w:r>
      <w:r w:rsidRPr="003240CC">
        <w:rPr>
          <w:rFonts w:ascii="Times New Roman" w:hAnsi="Times New Roman" w:cs="Times New Roman"/>
          <w:sz w:val="24"/>
          <w:szCs w:val="24"/>
        </w:rPr>
        <w:tab/>
        <w:t>феномен «выбивания» (англ, hook-phenomenon): при очень высокой концентрации исследуемого гормона (антигена) при ряде методик (особенно сэндвич-РЙА) результаты могут оказаться ложноотрицательными, т.е. уровень гормона будет определен как нормальный или даже сниженный.</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Качество любого лабораторного метода оценивается по таким стандартным параметрам, как воспроизводимость, правильность, специфичность и чувствительность. Под воспроизводимостью понимают степень соответствия результатов повторных определений в одном и том же материале. Другими словами, воспроизводимость будет зависеть от того, насколько будут различаться результаты нескольких исследований одного и того же образца, проведенных оцениваемым методом. Воспроизводимость зависит от случайных погрешностей.</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Под правильностью понимают соответствие среднего значения результатов повторных определений одного и того же материала должной величине. Правильность зависит от систематических погрешностей (неспецифич- ность метода, неправильность построения калибровочной кривой и т.п.).</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Под специфичностью понимают возможность при помощи данного метода измерять лишь тот компонент, для определения которого он предназначен. Так, определение уровня интактного паратгормона является специфическим методом, поскольку он не дает перекрестных реакций с предшественниками и продуктами деградации паратгормона. По аналогии со специфичностью метода часто используется понятие «диагностическая специ-фичность» того или иного исследования или симптома. Так, исследование уровня антител к тиреоглобулину не является специфичным исследованием при диагностике аутоиммунного тиреоидита, поскольку указанные антитела могут определяться и при других аутоиммунных заболеваниях щитовидной железы, и в норме. Определение циркулирующих антител к 21-гидроксилазе (Р450с21) является высокоспецифичным исследованием при диа-гностике аддисоновой болезни (первичного гипокортицизма) аутоиммунного генеза, поскольку указанные антитела не обнаруживаются при другйх заболеваниях надпочечников и лишь в минимальном проценте случаев у здоровых людей и больных с другими аутоиммунными заболеваниями. К неспецифичным симптомам относятся общая слабость (тиреотоксикоз, сахарный диабет I типа, надпочечниковая недостаточность), прибавка массы тела (гипотиреоз, синдром Кушинга, экзогенно-конституциональное ожирение), нарушение менструального цикла (большинство эндокринопатий). Увеличение размеров носа, ушей, надбровных дуг, размеров рук и ног у взрослого человека является специфическим симптомом акромегалии.</w:t>
      </w:r>
    </w:p>
    <w:p w:rsidR="00C25320"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Под чувствительностью метода понимают возможность выявлять наименьшие колебания концентрации вещества. Классическим примером является диагностическая ценность низко- и высокочувствительных методов определения уровня тиреотропного гормона (ТТГ). Ранее использовавшийся низкочувствительный метод не давал возможности различить уровни ТТГ в нижнем диапазоне, что не позволяло его использовать для диагностики тиреотоксикоза. Другими словами, подавленный (низкий) при тиреотоксикозе уровень ТТГ с помощью низкочувствительного метода был неотличим от уровня, соответствующего нижней границе нормы. Для диагностики тиреотоксикоза в обязательном порядке проводились дополнительные определения уровней тиреоидных гормонов (тироксин, трийодтиронин). В диагностике первичного гипотиреоза, при котором имеет место повыше-ние уровня ТТГ, низкочувствительный метод имел самостоятельное значе </w:t>
      </w:r>
    </w:p>
    <w:p w:rsidR="008C34B6" w:rsidRPr="003240CC" w:rsidRDefault="00C25320"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ние. Высокочувствительный метод лишен этих недостатков и позволяет выявлять колебания уровня ТТГ в любом диапазоне, что делает его методом первого уровня для определения функционального состояния щитовидной железы.</w:t>
      </w:r>
    </w:p>
    <w:p w:rsidR="00761789" w:rsidRPr="003240CC" w:rsidRDefault="00761789" w:rsidP="00330F70">
      <w:pPr>
        <w:jc w:val="both"/>
        <w:rPr>
          <w:rFonts w:ascii="Times New Roman" w:hAnsi="Times New Roman" w:cs="Times New Roman"/>
          <w:b/>
          <w:sz w:val="24"/>
          <w:szCs w:val="24"/>
        </w:rPr>
      </w:pPr>
      <w:r w:rsidRPr="003240CC">
        <w:rPr>
          <w:rFonts w:ascii="Times New Roman" w:hAnsi="Times New Roman" w:cs="Times New Roman"/>
          <w:b/>
          <w:sz w:val="24"/>
          <w:szCs w:val="24"/>
        </w:rPr>
        <w:t xml:space="preserve">4 контрольная </w:t>
      </w:r>
    </w:p>
    <w:p w:rsidR="00761789" w:rsidRPr="003240CC" w:rsidRDefault="00761789" w:rsidP="00330F70">
      <w:pPr>
        <w:jc w:val="both"/>
        <w:rPr>
          <w:rFonts w:ascii="Times New Roman" w:hAnsi="Times New Roman" w:cs="Times New Roman"/>
          <w:b/>
          <w:sz w:val="24"/>
          <w:szCs w:val="24"/>
        </w:rPr>
      </w:pPr>
      <w:r w:rsidRPr="003240CC">
        <w:rPr>
          <w:rFonts w:ascii="Times New Roman" w:hAnsi="Times New Roman" w:cs="Times New Roman"/>
          <w:b/>
          <w:sz w:val="24"/>
          <w:szCs w:val="24"/>
        </w:rPr>
        <w:t>1)</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Лабораторные исследования для диагностики диабета</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Лабораторные исследования проводятся для установ¬ления факта наличия нарушения углеводного обмена, диа¬гностики сахарного диабета и определения его типа, а также для контроля за состоянием пациента с сахарным диабетом (степени компенсации заболевания, эффективности лечения, прогнозирования осложнений).</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Состояние обмена веществ исследуют при помощи сле¬дующих тестов:</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углеводный обмен. Определение глюкозы в крови: нато¬щак, через 1,5—2 ч после еды (постпрандиальная гликемия), на ночь (перед сном), глюкозотолерантный тест; а также исследование уровня глюкозы в моче, определение уровня гликированного гемоглобина и фруктозамина;</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белковый обмен (креатинин и мочевина, белки, в том числе и гликированные);</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липидный обмен (общий холестерин, холестерин липо¬протеидов высокой плотности, холестерин липопротеидов низкой плотности, триглицериды, кетоны);</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гормональный обмен (инсулин, проинсулин, С-пептид, лептин, грелин, резистин, адипонектин и др.).</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Проводятся также иммунологические и молекулярно¬генетические исследования.</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Исследование уровня глюкозы в крови натощак</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Исследование уровня глюкозы в крови после еды (постпрандиальная гликемия)</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Тест на толерантность к глюкозе</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Исследование гликированного гемоглобина</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Исследование содержания фруктозамина в крови</w:t>
      </w:r>
    </w:p>
    <w:p w:rsidR="00941F3A" w:rsidRPr="003240CC" w:rsidRDefault="00941F3A" w:rsidP="00330F70">
      <w:pPr>
        <w:jc w:val="both"/>
        <w:rPr>
          <w:rFonts w:ascii="Times New Roman" w:hAnsi="Times New Roman" w:cs="Times New Roman"/>
          <w:b/>
          <w:sz w:val="24"/>
          <w:szCs w:val="24"/>
        </w:rPr>
      </w:pPr>
      <w:r w:rsidRPr="003240CC">
        <w:rPr>
          <w:rFonts w:ascii="Times New Roman" w:hAnsi="Times New Roman" w:cs="Times New Roman"/>
          <w:b/>
          <w:sz w:val="24"/>
          <w:szCs w:val="24"/>
        </w:rPr>
        <w:t>2)</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К острым осложнениям диабета относят: гипергликеми¬ческие комы (кетоацидотическая, гиперосмолярная, лакта- тацидотическая) и гипогликемическую кому.</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К хроническим (поздним) осложнениям диабета относят: поражение сердечно-сосудистой и нервной систем, суставов, кожи и др. Практически все органы страдают при сахарном диабете, поэтому эту болезнь называют болезнью осложнений. Наиболее часто встречающиеся осложнения будут рассмот¬рены в разделе «Поздние осложнения сахарного диабета».</w:t>
      </w:r>
    </w:p>
    <w:p w:rsidR="00941F3A" w:rsidRPr="003240CC" w:rsidRDefault="00941F3A" w:rsidP="00330F70">
      <w:pPr>
        <w:jc w:val="both"/>
        <w:rPr>
          <w:rFonts w:ascii="Times New Roman" w:hAnsi="Times New Roman" w:cs="Times New Roman"/>
          <w:b/>
          <w:sz w:val="24"/>
          <w:szCs w:val="24"/>
        </w:rPr>
      </w:pPr>
      <w:r w:rsidRPr="003240CC">
        <w:rPr>
          <w:rFonts w:ascii="Times New Roman" w:hAnsi="Times New Roman" w:cs="Times New Roman"/>
          <w:b/>
          <w:sz w:val="24"/>
          <w:szCs w:val="24"/>
        </w:rPr>
        <w:t>3)</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Фосфорно-кальциевый обмен. Повышение концентрации ионизирован¬ного кальция под действием паратгормона обусловлено в основном двумя эффектами. Во-первых, воздействуя непосредственно на остеокласты, паратгормон способствует высвобождению </w:t>
      </w:r>
      <w:r w:rsidRPr="003240CC">
        <w:rPr>
          <w:rFonts w:ascii="Times New Roman" w:hAnsi="Times New Roman" w:cs="Times New Roman"/>
          <w:sz w:val="24"/>
          <w:szCs w:val="24"/>
        </w:rPr>
        <w:lastRenderedPageBreak/>
        <w:t>солей кальция из костной ткани, при этом в плазме возрастает уровень как кальция, так и фосфора. Под влиянием паратгормона увеличиваются число и активность остеоклас¬тов в результате непосредственного воздействия его на рецепторы остео¬бластов, продуцирующих местные тканевые факторы, активирующие клетки — предшественники остеокластов. Эффекты кратковременного и дли¬тельного воздействия паратгормона на кость различны: короткое преры¬вистое действие ведет к костеобразованию, длительное непрерывное — к деструкции. При избытке паратгормона возникает отрицательный костный баланс (уменьшение плотности костной ткани), что сопровождается избы¬точным выделением оксипролина.</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Во-вторых, воздействуя на почечные канальцы, паратгормон понижает реабсорбцию фосфатов, вызывая фосфатурию. Кроме того, косвенно влия¬ние паратгормона на фосфорно-кальциевый обмен связано с его активиру¬ющим влиянием на la-гидроксилазу почечных канальцев, в результате чего 25-оксихолекальциферол превращается в активный 1,25-диоксихолекаль- циферол fl,25-(OH)2-Dj, кальцитриол].</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 xml:space="preserve">1,25-(OH)2-D3 действует на резервуары кальция как синергист парат-гормона. Его действие в первую очередь направлено на повышение всасы¬вания кальция в кишечнике и усиление реабсорбции в почечных клубоч¬ках. Дефицит 1,25-(OH)2-D3 и нарушения его </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метаболизма или рецепции являются важными звеньями в патогенезе большинства форм остеопороза.</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В регуляции обмена кальция важную роль играет также кальцитонин — гормон, вырабатываемый в основном С-клетками щитовидной железы. Кальцитонин является пептидом, состоящим из 32 аминокислот. Подавляя активность остеокластов, кальцитонин тормозит резорбцию костного мат¬рикса и тем самым вызывает высвобождение кальция и фосфатов. Уровни секреции кальцитонина и паратгормона связаны обратной зависимостью. Основным стимулятором секреции кальцитонина является повышение концентрации ионизированного кальция в крови, ингибитором — сниже¬ние уровня кальция. Интересно, что удаление щитовидной железы (с пара¬фолликулярными клетками) у человека и животных не приводит к гипер¬кальциемии, а введение кальцитонина здоровым лицам не приводит к до¬стоверному снижению уровня кальция в крови. Для кальцитонина сущест¬вует выраженная межвидовая вариабельность; самый активный из природ¬ных кальцитонинов был обнаружен у лосося.</w:t>
      </w:r>
    </w:p>
    <w:p w:rsidR="00941F3A" w:rsidRPr="003240CC" w:rsidRDefault="00941F3A" w:rsidP="00330F70">
      <w:pPr>
        <w:jc w:val="both"/>
        <w:rPr>
          <w:rFonts w:ascii="Times New Roman" w:hAnsi="Times New Roman" w:cs="Times New Roman"/>
          <w:b/>
          <w:sz w:val="24"/>
          <w:szCs w:val="24"/>
        </w:rPr>
      </w:pPr>
      <w:r w:rsidRPr="003240CC">
        <w:rPr>
          <w:rFonts w:ascii="Times New Roman" w:hAnsi="Times New Roman" w:cs="Times New Roman"/>
          <w:b/>
          <w:sz w:val="24"/>
          <w:szCs w:val="24"/>
        </w:rPr>
        <w:t>4)</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Физические методы. Физикальное обследование больных с нарушениями фосфорно-кальциевого обмена требует особой тщательности. При общем осмотре необходимо обращать внимание на изменение роста и массы тела, состояние и цвет кожных покровов, деформацию скелета, изменение по¬ходки. Можно отметить типичные для псевдогипопаратиреоза низкий рост, круглое лицо или же характерные для хондродистрофии пропорции скеле¬та, обратить внимание на типичную для остеомаляции или гиперпарати¬реоза «утиную походку», но при умеренной выраженности нарушений единственным симптомом, выявляемым при осмотре, может оказаться уко¬рочение пястных костей или фаланг пальцев, типичное для стертых форм псевдогиперпаратиреоза. Множественные переломы должны наводить на мысль о костной форме гиперпаратиреоза (болезни Реклингхаузена). Поко¬лачивание по кости в области кист дает специфический «арбузный» звук.</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При осмотре шеи пальпируются область щитовидной железы, шейные лимфатические узлы. В редких случаях паратирома (опухоль паращитовид¬ной железы) может оказаться доступной пальпации. Кожные покровы больных с гиперпаратиреозом нередко имеют «землистый» цвет, при псев¬догипопаратиреозе выявляют кальцинаты в подкожной клетчатке.</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Во время тетанического приступа рука больного принимает своеоб¬разную форму («рука акушера»). Тоническая судорога кисти может быть вызвана сдавлением плеча (в области нервно-сосудистого пучка) на 3 мин манжеткой при измерении артериального давления (симптом Труссо). При скрытой тетании и гипомагниемии выявляются судорожные подер-гивания угла рта, крыльев носа и угла глаза при постукивании у места выхода лицевого нерва (симптом Хвостека), поколачивание у наружного края глазницы вызывает сокращение круговой мышцы глаза (симптом Вайса).</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Лабораторные методы. Определение общего и ионизированного каль-ция в крови, а также фосфора в крови и экскреции кальция и фосфора с мочой натощак по отношению к экскреции креатинина являются базисны-ми исследованиями для оценки фосфорно-кальциевого обмена. О гипер- кальциурии свидетельствует увеличение суточной экскреции кальция (более 250 мг у женщин и 300 мг у мужчин при суточном потреблении около 1000 мг кальция). Информативно также определение содержания кальция и фосфора в утренней порции мочи, поскольку в этом случае на исследование не влияет экзогенное поступление кальция с пищей.</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Уровень общего кальция менее 2,1 ммоль/л (норма 2,1—2,6 ммоль/л) обнаруживается почти у 50 % больных в палатах интенсивной терапии, при этом уровень ионизированного кальция снижен менее чем у 10 % из них. Под псевдогипокальциемией понимают снижение содержания обще-го кальция в плазме при гипопротеинемии. Как указывалось, при ацидозе фракция ионизированного кальция увеличивается, а при алкалозе — уменьшается. Для расчета уровня корригированного кальция при уров¬не сывороточного альбумина менее 4 г/дл используют следующую фор¬мулу:</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Сакорр (мг/дл) = Саоб111 (мг/дл) — альбумин (г/дл) + 4,0</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Сакорр (ммоль/л) = Саобш (ммоль/л) — 0,25 • альбумин (г/л) + 1,0</w:t>
      </w:r>
    </w:p>
    <w:p w:rsidR="00941F3A" w:rsidRPr="003240CC" w:rsidRDefault="00941F3A" w:rsidP="00330F70">
      <w:pPr>
        <w:jc w:val="both"/>
        <w:rPr>
          <w:rFonts w:ascii="Times New Roman" w:hAnsi="Times New Roman" w:cs="Times New Roman"/>
          <w:sz w:val="24"/>
          <w:szCs w:val="24"/>
        </w:rPr>
      </w:pPr>
      <w:r w:rsidRPr="003240CC">
        <w:rPr>
          <w:rFonts w:ascii="Times New Roman" w:hAnsi="Times New Roman" w:cs="Times New Roman"/>
          <w:sz w:val="24"/>
          <w:szCs w:val="24"/>
        </w:rPr>
        <w:t>Исследуют уровень костной фракции щелочной фосфатазы, актив¬ность которой прямо коррелирует с уровнем паратгормона, 25-ОН-D3 и 1,25-(ОН)2-Оз. Весьма информативно исследование других маркеров косте-образования и костной резорбции.</w:t>
      </w:r>
    </w:p>
    <w:p w:rsidR="009C4F08" w:rsidRPr="009C4F08" w:rsidRDefault="009C4F08" w:rsidP="009C4F08">
      <w:pPr>
        <w:jc w:val="both"/>
        <w:rPr>
          <w:rFonts w:ascii="Times New Roman" w:hAnsi="Times New Roman" w:cs="Times New Roman"/>
          <w:b/>
          <w:sz w:val="24"/>
          <w:szCs w:val="24"/>
          <w:lang w:val="en-US"/>
        </w:rPr>
      </w:pPr>
      <w:r w:rsidRPr="009C4F08">
        <w:rPr>
          <w:rFonts w:ascii="Times New Roman" w:hAnsi="Times New Roman" w:cs="Times New Roman"/>
          <w:b/>
          <w:sz w:val="24"/>
          <w:szCs w:val="24"/>
          <w:lang w:val="en-US"/>
        </w:rPr>
        <w:t>Intermediate control.</w:t>
      </w:r>
    </w:p>
    <w:p w:rsidR="009C4F08" w:rsidRPr="009C4F08" w:rsidRDefault="009C4F08" w:rsidP="009C4F08">
      <w:pPr>
        <w:jc w:val="both"/>
        <w:rPr>
          <w:rFonts w:ascii="Times New Roman" w:hAnsi="Times New Roman" w:cs="Times New Roman"/>
          <w:b/>
          <w:sz w:val="24"/>
          <w:szCs w:val="24"/>
        </w:rPr>
      </w:pPr>
      <w:r w:rsidRPr="009C4F08">
        <w:rPr>
          <w:rFonts w:ascii="Times New Roman" w:hAnsi="Times New Roman" w:cs="Times New Roman"/>
          <w:b/>
          <w:sz w:val="24"/>
          <w:szCs w:val="24"/>
          <w:lang w:val="en-US"/>
        </w:rPr>
        <w:t xml:space="preserve">Each task is rated at 4 points. </w:t>
      </w:r>
      <w:r w:rsidRPr="009C4F08">
        <w:rPr>
          <w:rFonts w:ascii="Times New Roman" w:hAnsi="Times New Roman" w:cs="Times New Roman"/>
          <w:b/>
          <w:sz w:val="24"/>
          <w:szCs w:val="24"/>
        </w:rPr>
        <w:t>Total – 20 points.</w:t>
      </w:r>
    </w:p>
    <w:p w:rsidR="009C4F08" w:rsidRPr="009C4F08" w:rsidRDefault="009C4F08" w:rsidP="009C4F08">
      <w:pPr>
        <w:jc w:val="both"/>
        <w:rPr>
          <w:rFonts w:ascii="Times New Roman" w:hAnsi="Times New Roman" w:cs="Times New Roman"/>
          <w:b/>
          <w:sz w:val="24"/>
          <w:szCs w:val="24"/>
        </w:rPr>
      </w:pPr>
      <w:r w:rsidRPr="009C4F08">
        <w:rPr>
          <w:rFonts w:ascii="Times New Roman" w:hAnsi="Times New Roman" w:cs="Times New Roman"/>
          <w:b/>
          <w:sz w:val="24"/>
          <w:szCs w:val="24"/>
        </w:rPr>
        <w:t>Промежуточный контроль.</w:t>
      </w:r>
    </w:p>
    <w:p w:rsidR="00330F70" w:rsidRPr="009C4F08" w:rsidRDefault="009C4F08" w:rsidP="009C4F08">
      <w:pPr>
        <w:jc w:val="both"/>
        <w:rPr>
          <w:rFonts w:ascii="Times New Roman" w:hAnsi="Times New Roman" w:cs="Times New Roman"/>
          <w:b/>
          <w:sz w:val="24"/>
          <w:szCs w:val="24"/>
        </w:rPr>
      </w:pPr>
      <w:r w:rsidRPr="009C4F08">
        <w:rPr>
          <w:rFonts w:ascii="Times New Roman" w:hAnsi="Times New Roman" w:cs="Times New Roman"/>
          <w:b/>
          <w:sz w:val="24"/>
          <w:szCs w:val="24"/>
        </w:rPr>
        <w:t>Каждое задание оценивается в 4 балла. Общее – 20 баллов.</w:t>
      </w:r>
    </w:p>
    <w:p w:rsidR="00330F70" w:rsidRPr="003240CC" w:rsidRDefault="00330F70" w:rsidP="00330F70">
      <w:pPr>
        <w:jc w:val="both"/>
        <w:rPr>
          <w:rFonts w:ascii="Times New Roman" w:hAnsi="Times New Roman" w:cs="Times New Roman"/>
          <w:b/>
          <w:sz w:val="24"/>
          <w:szCs w:val="24"/>
        </w:rPr>
      </w:pPr>
      <w:r w:rsidRPr="003240CC">
        <w:rPr>
          <w:rFonts w:ascii="Times New Roman" w:hAnsi="Times New Roman" w:cs="Times New Roman"/>
          <w:b/>
          <w:sz w:val="24"/>
          <w:szCs w:val="24"/>
        </w:rPr>
        <w:t xml:space="preserve">Промежуточный контроль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СИТУАЦИОННАЯ ЗАДАЧА 1</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1. Синдром Иценко-Кушинга. Кортикостерома правого надпочечника.</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2. Диагноз «синдром Иценко-Кушинга (СИК)» поставлен на основании жалоб на</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головные боли, мелькание мушек перед глазами, постоянную жажду, учащенное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 xml:space="preserve">мочеиспускание, </w:t>
      </w:r>
      <w:r w:rsidRPr="003240CC">
        <w:rPr>
          <w:rFonts w:ascii="Times New Roman" w:hAnsi="Times New Roman" w:cs="Times New Roman"/>
          <w:sz w:val="24"/>
          <w:szCs w:val="24"/>
        </w:rPr>
        <w:lastRenderedPageBreak/>
        <w:t>боли в пояснице, резкую слабость; данных анамнеза: заметно изменилась</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внешность больного (округлилось лицо, похудели конечности, увеличился в объеме живот,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беспокоит сухость кожи, выпадение волос на голове), выделенных синдромов</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гиперкортицизма, хронической гипергликемии, артериальной гипертензии, ожирения,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дермопатии, астении, остеопороза. Ожирение - следствие гиперкортизолизма с липогенезом</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 xml:space="preserve">в центральных частях тела и липолизом в области конечностей. Стрии </w:t>
      </w:r>
      <w:r w:rsidR="003240CC">
        <w:rPr>
          <w:rFonts w:ascii="Times New Roman" w:hAnsi="Times New Roman" w:cs="Times New Roman"/>
          <w:sz w:val="24"/>
          <w:szCs w:val="24"/>
        </w:rPr>
        <w:t>–</w:t>
      </w:r>
      <w:r w:rsidRPr="003240CC">
        <w:rPr>
          <w:rFonts w:ascii="Times New Roman" w:hAnsi="Times New Roman" w:cs="Times New Roman"/>
          <w:sz w:val="24"/>
          <w:szCs w:val="24"/>
        </w:rPr>
        <w:t xml:space="preserve"> следствие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 xml:space="preserve">катаболизма белков с истончением и ранимостью кожи. Мышечная слабость </w:t>
      </w:r>
      <w:r w:rsidR="003240CC">
        <w:rPr>
          <w:rFonts w:ascii="Times New Roman" w:hAnsi="Times New Roman" w:cs="Times New Roman"/>
          <w:sz w:val="24"/>
          <w:szCs w:val="24"/>
        </w:rPr>
        <w:t>–</w:t>
      </w:r>
      <w:r w:rsidRPr="003240CC">
        <w:rPr>
          <w:rFonts w:ascii="Times New Roman" w:hAnsi="Times New Roman" w:cs="Times New Roman"/>
          <w:sz w:val="24"/>
          <w:szCs w:val="24"/>
        </w:rPr>
        <w:t xml:space="preserve"> следствие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катаболизма белков.</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Причина АГ - задержка натрия, воды, вазоконстрикция. На периферические сосуды</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ГК оказывают синергическое с КА влияние. Гипергликемия - следствие избытка ГК,</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повышения глюконеогенеза, снижения утилизации глюкозы.</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Остеопороз - следствие катаболизма белка, уменьшение белковой матрицы кости,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снижение содержания органического вещества и его компонентов (коллагена 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мукополисахаридов), резорбции кальция из кости, уменьшения в сыворотке крови уровня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остеокальцина (маркер костеобразования), уменьшение всасывания кальция в кишечнике 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увеличения его потерь с мочой (гиперкальциурия).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Также в пользу диагноза СИК, кортикостерома говорят данные инструментальных</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обследований - по УЗИ надпочечников правый надпочечник значительно увеличен в объеме.</w:t>
      </w:r>
      <w:r w:rsidR="003240CC">
        <w:rPr>
          <w:rFonts w:ascii="Times New Roman" w:hAnsi="Times New Roman" w:cs="Times New Roman"/>
          <w:sz w:val="24"/>
          <w:szCs w:val="24"/>
        </w:rPr>
        <w:t xml:space="preserve"> </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3. Необходим мониторинг следующих лабораторных и инструментальных методов</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обследования: определение уровня кортизола в крови в 8.00 и 23.00 для подтверждения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гиперкортицизма.</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 Дексаметазоновый тест для диф. диагностики с функциональным</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гиперкортицизмом.</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Малая проба: характерно отсутствие подавления продукции кортизола</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надпочечниками дексаметазоном.</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Большая проба (для диф. диангостики БИК и СИК): отрицательная.</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АКТГ крови (8 и 23.00). При значении АКТГ менее 10 пг/мл или ниже референсных</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значений.</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КТ или МРТ надпочечников (при БИК- увеличены оба надпочечника, при СИК-один</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надпочечник увеличен, второй уменьшен),денситометрия- для определения тяжести</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остеопороза.</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4. Основной метод лечения - адреналэктомия.</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Медикаментозную терапию применяют только как подготовку к операции.</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Аминоглутетимид (Мамомит) блокирует начальные этапы стероидогенеза, нарушая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превращение холестерина в прегненолон. 250 мг 2-3 р/сут (в 8-9 ч и 16-18 ч), под контролем</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экскреции кортизола в суточной моче 1 раз в 10-12 дней до операции; при необходимости -</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увеличение дозы на 250 мг/сут каждую неделю, но не более 1000-1500 мг/сут.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Кетоконазолингибирует стероидогенез на нескольких уровнях, наибольшее значение имеет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блокада превращения холестерина в прегненолон. Назначают внутрь по 200 мг 2 -3 р/сут.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под контролем экскреции кортизола в суточной моче не реже чем 1 раз в 10-12 дней до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операции, возможно увеличение дозы до максимальной - 1000 мг/сут или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lastRenderedPageBreak/>
        <w:t>Митотаноказывает цитотоксическое действие на кору надпочечников, т.е. являетсяадренолитическим средством. Назначают внутрь по 500 мг 2-3 р/сут под контролем</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экскреции кортизола в суточной моче не реже чем 1 раз в 10-12 дней до операции, возможно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увеличение дозы до 3-5 г/сут, а при необходимости и хорошей переносимости ЛС - до 8-12</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г/сут.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Выбор ЛС и коррекция дозы зависят от переносимости, а также от клинических</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проявлений заболевания и выраженности гиперкортицизма. Лечение начинают со средних</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доз, затем дозу корректируют в зависимости от суточной экскреции кортизола с мочой.</w:t>
      </w:r>
      <w:r w:rsidR="003240CC">
        <w:rPr>
          <w:rFonts w:ascii="Times New Roman" w:hAnsi="Times New Roman" w:cs="Times New Roman"/>
          <w:sz w:val="24"/>
          <w:szCs w:val="24"/>
        </w:rPr>
        <w:t xml:space="preserve"> </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5. Прогноз для пациентов с СИК зависит от длительности, тяжести заболевания 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возраста больного. При небольшой длительности заболевания, легкой форме и возрасте до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30 лет прогноз благоприятный. После успешного лечения наблюдается выздоровление. В</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случаях среднетяжелых, с длительным течением после нормализации функции коры</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надпочечников часто остаются необратимые нарушения со стороны сердечно-сосудистой</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системы, гипертензия, нарушение функции почек, сахарный диабет, остеопороз.</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После операции требуется назначение глюкокортикоидов по схеме.</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В первые сутки внутривенно вводят 25-50 мг гидрокортизона (Солу-кортеф,</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Гидрокортизона гемисукцинат) каждые 4 часа, на 2 - по 25-50</w:t>
      </w:r>
      <w:r w:rsidR="003240CC">
        <w:rPr>
          <w:rFonts w:ascii="Times New Roman" w:hAnsi="Times New Roman" w:cs="Times New Roman"/>
          <w:sz w:val="24"/>
          <w:szCs w:val="24"/>
        </w:rPr>
        <w:t xml:space="preserve"> мг через каждые 6 часов, на </w:t>
      </w:r>
      <w:r w:rsidRPr="003240CC">
        <w:rPr>
          <w:rFonts w:ascii="Times New Roman" w:hAnsi="Times New Roman" w:cs="Times New Roman"/>
          <w:sz w:val="24"/>
          <w:szCs w:val="24"/>
        </w:rPr>
        <w:t>каждые 8 часов (внутривенно или внутримышечно) с одновременным назначением 15 -20 мг</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гидрокортизона (Солу-кортефа) внутрь. В дальнейшем парентеральное введение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глюкокортикоидов постепенно прекращают, с учетом клинической симптоматики снижают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дозу гидрокортизона (Солу-кортефа) до его полной отмены.</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Дальнейшее ведение.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У всех пациентов после удаления кортикостеромы развивается надпочечниковая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недостаточность различной степени выраженности и длительности, поэтому в</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послеоперационном периоде пациенты получают терапию гидрокортизоном. После выписки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из стационара в течение нескольких недель или месяцев под контролем самочувствия дозу</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глюкокортикоидов уменьшают до их полной отмены. Обычно уменьшают дозу</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гидрокортизона (Солу-кортефа) на 2,5-5,0 мг каждые 7-10 дней, однако при появлении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клинических признаков НН период между снижениями дозы можно увеличить до 3-4</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недель. У части пациентов с длительным анамнезом заболевания потребность в экзогенных</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глюкокортикоидах может сохраняться всю жизнь.</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СИТУАЦИОННАЯ ЗАДАЧА 2</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1. Акромегалия.</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2. Диагноз поставлен на основании жалоб на почти постоянные мучительные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головные боли; данных осмотра: подчёркнуто крупные ладони и стопы с толстыми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пальцами, голова крупная с большими оттопыренными ушами и грубыми чертами лица,</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явный прогнатизм, язык большой, увеличение размеров сердца и печени; лабораторного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обследования: уровень глюкозы в крови - 6,3 ммоль/л.</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3. Определение уровня СТГ в сыворотке крови; тест с бромокриптином; проба с</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тиреолиберином; определение в крови соматомедина С; рентгенологическое исследование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черепа, компьютерная томография или магнитно-резонансная томография головы.</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4. Основной целью лечения является снижение уровня СТГ в крови и устранение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неврологической симптоматики: нейрохирургическое лечение; при невозможности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оперативного лечения или недостаточном его эффекте проводится лучевая терапия наобласть гипофиза; из консервативных методов лечения используются Соматостатин 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Бромокриптин.</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5. Вторичная кардиомиопатия; артериальная гипертензия; сахарный диабет; ХСН;</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гипопитуитаризм; эмфизема лёгких.</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СИТУАЦИОННАЯ ЗАДАЧА 3</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1. Сахарный диабет 1 типа, декомпенсированный. Целевой уровень</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гликозилированного гемоглобина меньше 6,5%. Осложнения: диабетическая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препролиферативная ретинопатия ОИ. Диабетическая полинейропатия сенсорная форма.</w:t>
      </w:r>
      <w:r w:rsidR="003240CC">
        <w:rPr>
          <w:rFonts w:ascii="Times New Roman" w:hAnsi="Times New Roman" w:cs="Times New Roman"/>
          <w:sz w:val="24"/>
          <w:szCs w:val="24"/>
        </w:rPr>
        <w:t xml:space="preserve"> </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2. У больного сахарный диабет 1 типа (диабет манифестировал кетоацидозом в 15</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лет, получает инсулинотерапию). Учитывая длительность заболевания (более 15 лет),</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 xml:space="preserve">жалобы на ухудшение зрения, боли, онемения и парестезии в нижних конечностях, данные </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осмотра врача-окулиста, врача-педиатра участкового у больного сформировались поздние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осложнения сахарного диабета - препролиферативная ретинопатия, дистальная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полинейропатия сенсорная форма.</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3. 1. Гликемический профиль с целью оценки компенсации сахарного диабета 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коррекции, проводимой сахароснижающей терапии. 2. Определение гликозилированного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гемоглобина (оценка компенсации сахарного диабета, решение вопроса об интенсификации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проводимой терапии). 3. Определение мочевины, креатинина, сывороточной кислой</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фосфатазы (для исключения диабетической нефропатии). 4. Определение альбумина в</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суточной моче (для исключения диабетической нефропатии). 5. Электрокардиограмма. 6.Определение триглицеридов, холестерина, ЛПНП, ЛПВП. 7. Электромиография для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подтверждения полинейропатии.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4. Учитывая возраст больного 30 лет, ожидаемую продолжительность жизни,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отсутствие тяжёлых сосудистых осложнений сахарного диабета, целевой уровень</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гликозилированного гемоглобина в данном случае - менее 6,5%. Контроль уровня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гликозилированного гемоглобина 1 раз в 3 месяца.</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5. Учитывая молодой возраст больного 30 лет, активный образ жизни больного,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наличие гипогликемических состояний на инсулинотерапии «Хумулином», целесообразно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перевести больного на аналоги инсулина человека длительного действия - инсулин Гларгин</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«Лантус» - 1 раз в сутки + инсулин ультракороткого действия Лизпро «Кумалог» перед</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едой.</w:t>
      </w:r>
      <w:r w:rsidRPr="003240CC">
        <w:rPr>
          <w:rFonts w:ascii="Times New Roman" w:hAnsi="Times New Roman" w:cs="Times New Roman"/>
          <w:sz w:val="24"/>
          <w:szCs w:val="24"/>
        </w:rPr>
        <w:cr/>
        <w:t>1. Диффузный токсический зоб 2 степени, манифестный тиреотоксикоз.</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2. Диагноз «ДТЗ» установлен на основании данных анамнеза (больна около 3</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месяцев, заболевание связывает со стрессовой ситуацией, отсутствие эффекта от приёма</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седативных препаратов), жалоб больной (постоянное сердцебиение, мышечную слабость,</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снижение массы тела на 3 кг за последние 6 месяцев при повышенном аппетите, одышка при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ходьбе, плаксивость); объективных данных (тёплые, влажные кожные покровы, умеренно</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выраженный двусторонний экзофтальм). Положительные глазные симптомы, увеличение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щитовидной железы до 2 ст., тахикардия - 118 ударов в минуту, высокое пульсовое давление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(155\60 мм рт. ст.).</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3. Пациентке рекомендовано определение уровня гормонов ТТГ, Т4 свободного, Т3</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свободного для подтверждения синдрома тиреотоксикоза. УЗИ щитовидной железы для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подтверждения наличия диффузного зоба, определения объёма щитовидной железы с целью</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определения тактики лечения. Определение антител к рецептору ТТГ с целью</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дифференциальной диагностики с другими аутоиммунными заболеваниями щитовидной</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железы. ЭКГ. Учитывая анамнез (частые ангины), наличие субфебрилитета - общий анализ</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крови, определение С-реактивного белка.</w:t>
      </w:r>
      <w:r w:rsidR="003240CC">
        <w:rPr>
          <w:rFonts w:ascii="Times New Roman" w:hAnsi="Times New Roman" w:cs="Times New Roman"/>
          <w:sz w:val="24"/>
          <w:szCs w:val="24"/>
        </w:rPr>
        <w:t xml:space="preserve"> </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lastRenderedPageBreak/>
        <w:t>4. Учитывая небольшие размеры щитовидной железы, впервые диагностированный</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ДТЗ, показана консервативная терапия тиреостатиками: Тиамазол в суточной дозе 30-40 мг,при достижении эутиреоидного состояния постепенны</w:t>
      </w:r>
      <w:r w:rsidR="003240CC">
        <w:rPr>
          <w:rFonts w:ascii="Times New Roman" w:hAnsi="Times New Roman" w:cs="Times New Roman"/>
          <w:sz w:val="24"/>
          <w:szCs w:val="24"/>
        </w:rPr>
        <w:t xml:space="preserve">й переход на поддерживающие доз </w:t>
      </w:r>
      <w:r w:rsidRPr="003240CC">
        <w:rPr>
          <w:rFonts w:ascii="Times New Roman" w:hAnsi="Times New Roman" w:cs="Times New Roman"/>
          <w:sz w:val="24"/>
          <w:szCs w:val="24"/>
        </w:rPr>
        <w:t>5-15 мг\сутки или на режим «блокируй и замещай» (использование относительно высоких</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доз тиреостатиков совместно с тироксином). Лечение поддерживающими дозами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продолжается от 1,5 до 2 лет, после чего препараты отменяют. Пациент находится под</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наблюдением, поскольку в 70% случаев возможно развитие рецидива. При лечении</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 xml:space="preserve">тиреостатиками контроль лейкоцитарной формулы переферической крови 1 раз в </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-10 дней,</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затем каждые 3-4 недели, так как возможно развитие агранулоцитоза. Совместно с</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тиреостатиками назначают бета-адреноблокаторы (Атенолол 50-100 мг\сутки, Анаприлин</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80-120 мг\сутки), которые купируют тахикардию и вегетативную симптоматику, через 2-4</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недели бета-адреноблокаторы медленно отменяют.</w:t>
      </w:r>
      <w:r w:rsidR="003240CC">
        <w:rPr>
          <w:rFonts w:ascii="Times New Roman" w:hAnsi="Times New Roman" w:cs="Times New Roman"/>
          <w:sz w:val="24"/>
          <w:szCs w:val="24"/>
        </w:rPr>
        <w:t xml:space="preserve"> </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5. Эффективность лечения оценивают по клиническим и лабораторным</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показателям. Клинически отсутствуют симптомы тиреотоксикоза (нормализация пульса/АД,</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стабилизация веса, исчезновение расстройств нервной систе</w:t>
      </w:r>
      <w:r w:rsidR="003240CC">
        <w:rPr>
          <w:rFonts w:ascii="Times New Roman" w:hAnsi="Times New Roman" w:cs="Times New Roman"/>
          <w:sz w:val="24"/>
          <w:szCs w:val="24"/>
        </w:rPr>
        <w:t xml:space="preserve">мы). Уровень Т3, Т4 в пределах </w:t>
      </w:r>
      <w:r w:rsidRPr="003240CC">
        <w:rPr>
          <w:rFonts w:ascii="Times New Roman" w:hAnsi="Times New Roman" w:cs="Times New Roman"/>
          <w:sz w:val="24"/>
          <w:szCs w:val="24"/>
        </w:rPr>
        <w:t>нормы. Уровень ТТГ длительное время снижен. Его определение целесообразно спустя</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несколько месяцев после стойкой нормализации Т3, Т4.</w:t>
      </w:r>
      <w:r w:rsidR="003240CC">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СИТУАЦИОННАЯ ЗАДАЧА 5</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1. Болезнь Иценко-Кушинга, средней степени тяжести, прогрессирующее течение.</w:t>
      </w:r>
      <w:r w:rsidR="003240CC">
        <w:rPr>
          <w:rFonts w:ascii="Times New Roman" w:hAnsi="Times New Roman" w:cs="Times New Roman"/>
          <w:sz w:val="24"/>
          <w:szCs w:val="24"/>
        </w:rPr>
        <w:t xml:space="preserve"> </w:t>
      </w:r>
      <w:r w:rsidRPr="003240CC">
        <w:rPr>
          <w:rFonts w:ascii="Times New Roman" w:hAnsi="Times New Roman" w:cs="Times New Roman"/>
          <w:sz w:val="24"/>
          <w:szCs w:val="24"/>
        </w:rPr>
        <w:t>Стероидный сахарный диабет.</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2. Диагноз «болезнь Иценко-Кушинга (БИК)» поставлен на основании: жалоб на головные</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 xml:space="preserve">боли, мелькание мушек перед глазами, постоянную жажду, учащенное мочеиспускание, </w:t>
      </w:r>
      <w:r w:rsidR="00C1605E">
        <w:rPr>
          <w:rFonts w:ascii="Times New Roman" w:hAnsi="Times New Roman" w:cs="Times New Roman"/>
          <w:sz w:val="24"/>
          <w:szCs w:val="24"/>
        </w:rPr>
        <w:t>б</w:t>
      </w:r>
      <w:r w:rsidRPr="003240CC">
        <w:rPr>
          <w:rFonts w:ascii="Times New Roman" w:hAnsi="Times New Roman" w:cs="Times New Roman"/>
          <w:sz w:val="24"/>
          <w:szCs w:val="24"/>
        </w:rPr>
        <w:t>оли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в пояснице, резкую слабость; данных анамнеза: заметно изменилась внешность больной</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(покраснело и округлилось лицо, похудели конечности, увеличился в объеме живот, стала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сухой кожа, поредели волосы на голове, имеются усы, от</w:t>
      </w:r>
      <w:r w:rsidR="00C1605E">
        <w:rPr>
          <w:rFonts w:ascii="Times New Roman" w:hAnsi="Times New Roman" w:cs="Times New Roman"/>
          <w:sz w:val="24"/>
          <w:szCs w:val="24"/>
        </w:rPr>
        <w:t xml:space="preserve">сутствие менструаций в течение 5 </w:t>
      </w:r>
      <w:r w:rsidRPr="003240CC">
        <w:rPr>
          <w:rFonts w:ascii="Times New Roman" w:hAnsi="Times New Roman" w:cs="Times New Roman"/>
          <w:sz w:val="24"/>
          <w:szCs w:val="24"/>
        </w:rPr>
        <w:t>лет), выделенных синдромов:матронизма; дермопатии; гирсутизма; АГ; хронической</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гипергликемии; гипокалиемии; нарушения обмена кальция; миопатии; гипогонадизма,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ожирения.</w:t>
      </w:r>
      <w:r w:rsidR="00C1605E">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3. Пациентке рекомендовано:</w:t>
      </w:r>
      <w:r w:rsidR="00C1605E">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Определение уровня кортизола в крови в 8.00 и 23.00 для подтверждения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гиперкортицизма.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Определение АКТГ в плазме крови: характерно повышение АКТГ утром и отсутствие</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снижения вечером.</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Дексаметазоновый тест для дифференциальной диагностики с функциональным</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гиперкортицизмом.</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Малая проба: Характерно отсутствие подавления продукции кортизола надпочечниками</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дексаметазоном.</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Большая проба (для диф. диангостики БИК и СИК): положительная.</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МРТ и КТ головного мозга: позволяет выявить микро- или макроаденому гипофиза.</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4. Основными методами лечения БИК являются хирургический (транссфеноидальная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аденомэктомия) и лучевой (протонотерапия).</w:t>
      </w:r>
      <w:r w:rsidR="00C1605E">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Хирургическое лечение.</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Транссфеноидальная аденомэктомия используется практически при любойстепени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тяжести БИК, при наличии аденомы гипофиза по данным МРТ или КТ. Быстрая и стойкая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 xml:space="preserve">ремиссия </w:t>
      </w:r>
      <w:r w:rsidRPr="003240CC">
        <w:rPr>
          <w:rFonts w:ascii="Times New Roman" w:hAnsi="Times New Roman" w:cs="Times New Roman"/>
          <w:sz w:val="24"/>
          <w:szCs w:val="24"/>
        </w:rPr>
        <w:lastRenderedPageBreak/>
        <w:t>заболевания достигается в 84-95% случаев. Этот метод практически не имеет</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противопоказаний (кроме тяжелых сопутствующихсоматических заболеваний),</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сопровождается минимальным количеством серьезных осложнений (около 2-3%) и низкой</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послеоперационной летальностью (0-1 %). Тактика ведения больных при отсутствии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достижения ремиссии илирецидиве заболевания в каждом конкретном случае требует</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индивидуального подхода: повторная аденомэктомия, лучевая терапия, медикаментозная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терапия блокаторами стероидогенеза.</w:t>
      </w:r>
      <w:r w:rsidR="00C1605E">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Лучевая терапия. Включает протонное облучение.</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При протонном облучении использует узкие пучки протонов, обладающие высокой</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энергией и большой проникающей способностью. Облучение проводят однократно, доза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облучения составляет 80-90 Гр. Абсолютными противопоказаниями к проведению</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протонотерапии являются опухоль гипофиза более 15 мм в диаметре и супраселлярное ее</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распространение. Эффективность протонотерапии как самостоятельного метода лечения у</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пациентов молодого возраста при легкомтечении заболев</w:t>
      </w:r>
      <w:r w:rsidR="00C1605E">
        <w:rPr>
          <w:rFonts w:ascii="Times New Roman" w:hAnsi="Times New Roman" w:cs="Times New Roman"/>
          <w:sz w:val="24"/>
          <w:szCs w:val="24"/>
        </w:rPr>
        <w:t>ания может достигать 96% (через</w:t>
      </w:r>
      <w:r w:rsidRPr="003240CC">
        <w:rPr>
          <w:rFonts w:ascii="Times New Roman" w:hAnsi="Times New Roman" w:cs="Times New Roman"/>
          <w:sz w:val="24"/>
          <w:szCs w:val="24"/>
        </w:rPr>
        <w:t>1-2 года).</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Медикаментозная терапия гиперкортицизма.</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При всех формах патологического эндогенного гиперкортицизмамедикаментознуютерапию применяют только как дополнение к основным методам лечения с целью снижения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секреции кортизола и скорейшего наступления ремиссии заболевания.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В рамках подготовки больного к оперативному лечению или лучевой терапии, в</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послеоперационном периоде с целью сокращения времени наступления ремиссииназначают:</w:t>
      </w:r>
      <w:r w:rsidR="00C1605E">
        <w:rPr>
          <w:rFonts w:ascii="Times New Roman" w:hAnsi="Times New Roman" w:cs="Times New Roman"/>
          <w:sz w:val="24"/>
          <w:szCs w:val="24"/>
        </w:rPr>
        <w:t xml:space="preserve"> </w:t>
      </w:r>
    </w:p>
    <w:p w:rsidR="00330F70" w:rsidRP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Аминоглутетимид (мамомит) блокирует начальные этапы стероидогенеза, нарушая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 xml:space="preserve">превращение холестерина в прегненолон. Препарат дает достаточно быстрый эффект, но при </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его отмене симптомы гиперкортицизма быстро появляются вновь. Назначают по 250 мг 2 -3</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р/сут (в 89 ч и 16-18 ч), под контролем экскреции кортизола в суточной моче не реже, чем 1</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раз в 10-12 дней до операции или наступления ремиссии после оперативного лечения; при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необходимости возможно увеличение дозы на 250 мг/сут каждую неделю до максимально</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переносимой дозы, но не более 1000-1500 мг/сут или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Кетоконазолингибирует стероидогенез на нескольких уровнях, наибольшее значение</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имеет блокада превращения холестерина в прегненолон. Назначают внутрь по 200 мг 2-3</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р/сут. под контролем экскреции кортизола в суточной моче не реже чем 1 раз в 10-12 дней до</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операции или наступления ремиссии после оперативного лечения, возможно увеличение</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дозы до максимальной - 1000 мг/сут или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Митотаноказывает цитотоксическое действие на кору надпочечников, т.е. является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адренолитическим средством. Назначают внутрь по 500 мг 2-3 р/сут под контролем</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экскреции кортизола в суточной моче не реже чем 1 раз в 10-12 дней до операции или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наступления ремиссии после оперативного лечения, возможно увеличение дозы до 3-5 г/сут,а при необходимости и хорошей переносимости ЛС - до 8-12 г/сут.</w:t>
      </w:r>
      <w:r w:rsidR="00C1605E">
        <w:rPr>
          <w:rFonts w:ascii="Times New Roman" w:hAnsi="Times New Roman" w:cs="Times New Roman"/>
          <w:sz w:val="24"/>
          <w:szCs w:val="24"/>
        </w:rPr>
        <w:t xml:space="preserve"> </w:t>
      </w:r>
    </w:p>
    <w:p w:rsidR="003240CC" w:rsidRDefault="00330F70" w:rsidP="00330F70">
      <w:pPr>
        <w:jc w:val="both"/>
        <w:rPr>
          <w:rFonts w:ascii="Times New Roman" w:hAnsi="Times New Roman" w:cs="Times New Roman"/>
          <w:sz w:val="24"/>
          <w:szCs w:val="24"/>
        </w:rPr>
      </w:pPr>
      <w:r w:rsidRPr="003240CC">
        <w:rPr>
          <w:rFonts w:ascii="Times New Roman" w:hAnsi="Times New Roman" w:cs="Times New Roman"/>
          <w:sz w:val="24"/>
          <w:szCs w:val="24"/>
        </w:rPr>
        <w:t>5. Прогноз для пациентов с БИК зависит от длительности, тяжести заболевания 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возраста больного. При небольшой длительности заболевания, легкой форме и возрасте до 30</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лет прогноз благоприятный. После успешного лечения наблюдается выздоровление. В</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случаях среднетяжелых, с длительным течением заболевания после нормализации функции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коры надпочечников часто остаются необратимые нарушения со стороны сердечнососудистой системы, гипертензия, нарушение функции почек, сахарный диабет, остеопороз.</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Тактика дальнейшего ведения: в случае отсутствия ремиссии после оперативного лечения</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 xml:space="preserve">и/или </w:t>
      </w:r>
      <w:r w:rsidRPr="003240CC">
        <w:rPr>
          <w:rFonts w:ascii="Times New Roman" w:hAnsi="Times New Roman" w:cs="Times New Roman"/>
          <w:sz w:val="24"/>
          <w:szCs w:val="24"/>
        </w:rPr>
        <w:lastRenderedPageBreak/>
        <w:t>лучевой терапии больной получает медикаментозную терапию под наблюдением</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эндокринолога по месту жительства. В период титрования дозы лекарственного препарата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контроль уровня кортизола в крови производится 1 раз в месяц, затем - 1 раз в 2 месяца. -</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Для определения достижения ремиссии необходимо отменить препараты на 1-2 месяца под</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контролем уровней кортизола и АКТГ в крови. При сохранении показателей гормонов на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нормальном уровне лечение прекратить. - При достижении ремиссии заболевания после</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аденомэктомии или многоэтапного лечения - контроль кортизола 1 раз в 3- 6 месяцев и</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контрольная МРТ турецкого седла 1 раз в год. - Лечение осложнений БИК - остеопороза,</w:t>
      </w:r>
      <w:r w:rsidR="00C1605E">
        <w:rPr>
          <w:rFonts w:ascii="Times New Roman" w:hAnsi="Times New Roman" w:cs="Times New Roman"/>
          <w:sz w:val="24"/>
          <w:szCs w:val="24"/>
        </w:rPr>
        <w:t xml:space="preserve"> </w:t>
      </w:r>
      <w:r w:rsidRPr="003240CC">
        <w:rPr>
          <w:rFonts w:ascii="Times New Roman" w:hAnsi="Times New Roman" w:cs="Times New Roman"/>
          <w:sz w:val="24"/>
          <w:szCs w:val="24"/>
        </w:rPr>
        <w:t>кардиопатии, энцефалопатии.</w:t>
      </w:r>
      <w:r w:rsidR="00C1605E">
        <w:rPr>
          <w:rFonts w:ascii="Times New Roman" w:hAnsi="Times New Roman" w:cs="Times New Roman"/>
          <w:sz w:val="24"/>
          <w:szCs w:val="24"/>
        </w:rPr>
        <w:t xml:space="preserve"> </w:t>
      </w:r>
    </w:p>
    <w:p w:rsidR="009C4F08" w:rsidRPr="009C4F08" w:rsidRDefault="009C4F08" w:rsidP="009C4F08">
      <w:pPr>
        <w:jc w:val="both"/>
        <w:rPr>
          <w:rFonts w:ascii="Times New Roman" w:hAnsi="Times New Roman" w:cs="Times New Roman"/>
          <w:b/>
          <w:sz w:val="24"/>
          <w:szCs w:val="24"/>
          <w:lang w:val="en-US"/>
        </w:rPr>
      </w:pPr>
      <w:r w:rsidRPr="009C4F08">
        <w:rPr>
          <w:rFonts w:ascii="Times New Roman" w:hAnsi="Times New Roman" w:cs="Times New Roman"/>
          <w:b/>
          <w:sz w:val="24"/>
          <w:szCs w:val="24"/>
          <w:lang w:val="en-US"/>
        </w:rPr>
        <w:t>Final control</w:t>
      </w:r>
    </w:p>
    <w:p w:rsidR="009C4F08" w:rsidRPr="009C4F08" w:rsidRDefault="009C4F08" w:rsidP="009C4F08">
      <w:pPr>
        <w:jc w:val="both"/>
        <w:rPr>
          <w:rFonts w:ascii="Times New Roman" w:hAnsi="Times New Roman" w:cs="Times New Roman"/>
          <w:b/>
          <w:sz w:val="24"/>
          <w:szCs w:val="24"/>
        </w:rPr>
      </w:pPr>
      <w:r w:rsidRPr="009C4F08">
        <w:rPr>
          <w:rFonts w:ascii="Times New Roman" w:hAnsi="Times New Roman" w:cs="Times New Roman"/>
          <w:b/>
          <w:sz w:val="24"/>
          <w:szCs w:val="24"/>
          <w:lang w:val="en-US"/>
        </w:rPr>
        <w:t xml:space="preserve">Each question is rated at 2 points. </w:t>
      </w:r>
      <w:r w:rsidRPr="009C4F08">
        <w:rPr>
          <w:rFonts w:ascii="Times New Roman" w:hAnsi="Times New Roman" w:cs="Times New Roman"/>
          <w:b/>
          <w:sz w:val="24"/>
          <w:szCs w:val="24"/>
        </w:rPr>
        <w:t>Total – 30 points.</w:t>
      </w:r>
    </w:p>
    <w:p w:rsidR="009C4F08" w:rsidRPr="009C4F08" w:rsidRDefault="009C4F08" w:rsidP="009C4F08">
      <w:pPr>
        <w:jc w:val="both"/>
        <w:rPr>
          <w:rFonts w:ascii="Times New Roman" w:hAnsi="Times New Roman" w:cs="Times New Roman"/>
          <w:b/>
          <w:sz w:val="24"/>
          <w:szCs w:val="24"/>
        </w:rPr>
      </w:pPr>
      <w:r w:rsidRPr="009C4F08">
        <w:rPr>
          <w:rFonts w:ascii="Times New Roman" w:hAnsi="Times New Roman" w:cs="Times New Roman"/>
          <w:b/>
          <w:sz w:val="24"/>
          <w:szCs w:val="24"/>
        </w:rPr>
        <w:t>Итоговый контроль</w:t>
      </w:r>
    </w:p>
    <w:p w:rsidR="009C4F08" w:rsidRDefault="009C4F08" w:rsidP="009C4F08">
      <w:pPr>
        <w:jc w:val="both"/>
        <w:rPr>
          <w:rFonts w:ascii="Times New Roman" w:hAnsi="Times New Roman" w:cs="Times New Roman"/>
          <w:b/>
          <w:sz w:val="24"/>
          <w:szCs w:val="24"/>
        </w:rPr>
      </w:pPr>
      <w:r w:rsidRPr="009C4F08">
        <w:rPr>
          <w:rFonts w:ascii="Times New Roman" w:hAnsi="Times New Roman" w:cs="Times New Roman"/>
          <w:b/>
          <w:sz w:val="24"/>
          <w:szCs w:val="24"/>
        </w:rPr>
        <w:t xml:space="preserve">Каждый вопрос оценивается в 2 балла. Итого – 30 баллов. </w:t>
      </w:r>
    </w:p>
    <w:p w:rsidR="003240CC" w:rsidRDefault="003240CC" w:rsidP="009C4F08">
      <w:pPr>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ТЕСТ </w:t>
      </w:r>
    </w:p>
    <w:p w:rsidR="003240CC" w:rsidRDefault="003240CC" w:rsidP="00330F70">
      <w:pPr>
        <w:jc w:val="both"/>
        <w:rPr>
          <w:rFonts w:ascii="Times New Roman" w:hAnsi="Times New Roman" w:cs="Times New Roman"/>
          <w:sz w:val="24"/>
          <w:szCs w:val="24"/>
        </w:rPr>
      </w:pPr>
      <w:r>
        <w:rPr>
          <w:rFonts w:ascii="Times New Roman" w:hAnsi="Times New Roman" w:cs="Times New Roman"/>
          <w:sz w:val="24"/>
          <w:szCs w:val="24"/>
        </w:rPr>
        <w:t>1-А     6-А     11-А</w:t>
      </w:r>
    </w:p>
    <w:p w:rsidR="003240CC" w:rsidRDefault="003240CC" w:rsidP="00330F70">
      <w:pPr>
        <w:jc w:val="both"/>
        <w:rPr>
          <w:rFonts w:ascii="Times New Roman" w:hAnsi="Times New Roman" w:cs="Times New Roman"/>
          <w:sz w:val="24"/>
          <w:szCs w:val="24"/>
        </w:rPr>
      </w:pPr>
      <w:r>
        <w:rPr>
          <w:rFonts w:ascii="Times New Roman" w:hAnsi="Times New Roman" w:cs="Times New Roman"/>
          <w:sz w:val="24"/>
          <w:szCs w:val="24"/>
        </w:rPr>
        <w:t>2-А     7-А     12-А</w:t>
      </w:r>
    </w:p>
    <w:p w:rsidR="003240CC" w:rsidRDefault="003240CC" w:rsidP="00330F70">
      <w:pPr>
        <w:jc w:val="both"/>
        <w:rPr>
          <w:rFonts w:ascii="Times New Roman" w:hAnsi="Times New Roman" w:cs="Times New Roman"/>
          <w:sz w:val="24"/>
          <w:szCs w:val="24"/>
        </w:rPr>
      </w:pPr>
      <w:r>
        <w:rPr>
          <w:rFonts w:ascii="Times New Roman" w:hAnsi="Times New Roman" w:cs="Times New Roman"/>
          <w:sz w:val="24"/>
          <w:szCs w:val="24"/>
        </w:rPr>
        <w:t>3-А     8-А     13-А</w:t>
      </w:r>
    </w:p>
    <w:p w:rsidR="003240CC" w:rsidRDefault="003240CC" w:rsidP="00330F70">
      <w:pPr>
        <w:jc w:val="both"/>
        <w:rPr>
          <w:rFonts w:ascii="Times New Roman" w:hAnsi="Times New Roman" w:cs="Times New Roman"/>
          <w:sz w:val="24"/>
          <w:szCs w:val="24"/>
        </w:rPr>
      </w:pPr>
      <w:r>
        <w:rPr>
          <w:rFonts w:ascii="Times New Roman" w:hAnsi="Times New Roman" w:cs="Times New Roman"/>
          <w:sz w:val="24"/>
          <w:szCs w:val="24"/>
        </w:rPr>
        <w:t>4-А     9-А     14-А</w:t>
      </w:r>
    </w:p>
    <w:p w:rsidR="003240CC" w:rsidRPr="003240CC" w:rsidRDefault="003240CC" w:rsidP="00330F70">
      <w:pPr>
        <w:jc w:val="both"/>
        <w:rPr>
          <w:rFonts w:ascii="Times New Roman" w:hAnsi="Times New Roman" w:cs="Times New Roman"/>
          <w:sz w:val="24"/>
          <w:szCs w:val="24"/>
        </w:rPr>
      </w:pPr>
      <w:r>
        <w:rPr>
          <w:rFonts w:ascii="Times New Roman" w:hAnsi="Times New Roman" w:cs="Times New Roman"/>
          <w:sz w:val="24"/>
          <w:szCs w:val="24"/>
        </w:rPr>
        <w:t xml:space="preserve">5-А   10-А     15-А </w:t>
      </w:r>
    </w:p>
    <w:sectPr w:rsidR="003240CC" w:rsidRPr="003240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6EF0"/>
    <w:multiLevelType w:val="hybridMultilevel"/>
    <w:tmpl w:val="58AAE3A4"/>
    <w:lvl w:ilvl="0" w:tplc="A35EC2AA">
      <w:start w:val="1"/>
      <w:numFmt w:val="bullet"/>
      <w:lvlText w:val="•"/>
      <w:lvlJc w:val="left"/>
      <w:pPr>
        <w:tabs>
          <w:tab w:val="num" w:pos="720"/>
        </w:tabs>
        <w:ind w:left="720" w:hanging="360"/>
      </w:pPr>
      <w:rPr>
        <w:rFonts w:ascii="Arial" w:hAnsi="Arial" w:hint="default"/>
      </w:rPr>
    </w:lvl>
    <w:lvl w:ilvl="1" w:tplc="6658B522" w:tentative="1">
      <w:start w:val="1"/>
      <w:numFmt w:val="bullet"/>
      <w:lvlText w:val="•"/>
      <w:lvlJc w:val="left"/>
      <w:pPr>
        <w:tabs>
          <w:tab w:val="num" w:pos="1440"/>
        </w:tabs>
        <w:ind w:left="1440" w:hanging="360"/>
      </w:pPr>
      <w:rPr>
        <w:rFonts w:ascii="Arial" w:hAnsi="Arial" w:hint="default"/>
      </w:rPr>
    </w:lvl>
    <w:lvl w:ilvl="2" w:tplc="8B9C6104" w:tentative="1">
      <w:start w:val="1"/>
      <w:numFmt w:val="bullet"/>
      <w:lvlText w:val="•"/>
      <w:lvlJc w:val="left"/>
      <w:pPr>
        <w:tabs>
          <w:tab w:val="num" w:pos="2160"/>
        </w:tabs>
        <w:ind w:left="2160" w:hanging="360"/>
      </w:pPr>
      <w:rPr>
        <w:rFonts w:ascii="Arial" w:hAnsi="Arial" w:hint="default"/>
      </w:rPr>
    </w:lvl>
    <w:lvl w:ilvl="3" w:tplc="6E9027C4" w:tentative="1">
      <w:start w:val="1"/>
      <w:numFmt w:val="bullet"/>
      <w:lvlText w:val="•"/>
      <w:lvlJc w:val="left"/>
      <w:pPr>
        <w:tabs>
          <w:tab w:val="num" w:pos="2880"/>
        </w:tabs>
        <w:ind w:left="2880" w:hanging="360"/>
      </w:pPr>
      <w:rPr>
        <w:rFonts w:ascii="Arial" w:hAnsi="Arial" w:hint="default"/>
      </w:rPr>
    </w:lvl>
    <w:lvl w:ilvl="4" w:tplc="D7709864" w:tentative="1">
      <w:start w:val="1"/>
      <w:numFmt w:val="bullet"/>
      <w:lvlText w:val="•"/>
      <w:lvlJc w:val="left"/>
      <w:pPr>
        <w:tabs>
          <w:tab w:val="num" w:pos="3600"/>
        </w:tabs>
        <w:ind w:left="3600" w:hanging="360"/>
      </w:pPr>
      <w:rPr>
        <w:rFonts w:ascii="Arial" w:hAnsi="Arial" w:hint="default"/>
      </w:rPr>
    </w:lvl>
    <w:lvl w:ilvl="5" w:tplc="DB04EAA8" w:tentative="1">
      <w:start w:val="1"/>
      <w:numFmt w:val="bullet"/>
      <w:lvlText w:val="•"/>
      <w:lvlJc w:val="left"/>
      <w:pPr>
        <w:tabs>
          <w:tab w:val="num" w:pos="4320"/>
        </w:tabs>
        <w:ind w:left="4320" w:hanging="360"/>
      </w:pPr>
      <w:rPr>
        <w:rFonts w:ascii="Arial" w:hAnsi="Arial" w:hint="default"/>
      </w:rPr>
    </w:lvl>
    <w:lvl w:ilvl="6" w:tplc="BCCA13A0" w:tentative="1">
      <w:start w:val="1"/>
      <w:numFmt w:val="bullet"/>
      <w:lvlText w:val="•"/>
      <w:lvlJc w:val="left"/>
      <w:pPr>
        <w:tabs>
          <w:tab w:val="num" w:pos="5040"/>
        </w:tabs>
        <w:ind w:left="5040" w:hanging="360"/>
      </w:pPr>
      <w:rPr>
        <w:rFonts w:ascii="Arial" w:hAnsi="Arial" w:hint="default"/>
      </w:rPr>
    </w:lvl>
    <w:lvl w:ilvl="7" w:tplc="4F723BB8" w:tentative="1">
      <w:start w:val="1"/>
      <w:numFmt w:val="bullet"/>
      <w:lvlText w:val="•"/>
      <w:lvlJc w:val="left"/>
      <w:pPr>
        <w:tabs>
          <w:tab w:val="num" w:pos="5760"/>
        </w:tabs>
        <w:ind w:left="5760" w:hanging="360"/>
      </w:pPr>
      <w:rPr>
        <w:rFonts w:ascii="Arial" w:hAnsi="Arial" w:hint="default"/>
      </w:rPr>
    </w:lvl>
    <w:lvl w:ilvl="8" w:tplc="65E0BC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287BDA"/>
    <w:multiLevelType w:val="hybridMultilevel"/>
    <w:tmpl w:val="4A2AA370"/>
    <w:lvl w:ilvl="0" w:tplc="96501708">
      <w:start w:val="1"/>
      <w:numFmt w:val="bullet"/>
      <w:lvlText w:val="•"/>
      <w:lvlJc w:val="left"/>
      <w:pPr>
        <w:tabs>
          <w:tab w:val="num" w:pos="720"/>
        </w:tabs>
        <w:ind w:left="720" w:hanging="360"/>
      </w:pPr>
      <w:rPr>
        <w:rFonts w:ascii="Arial" w:hAnsi="Arial" w:hint="default"/>
      </w:rPr>
    </w:lvl>
    <w:lvl w:ilvl="1" w:tplc="FF64372A" w:tentative="1">
      <w:start w:val="1"/>
      <w:numFmt w:val="bullet"/>
      <w:lvlText w:val="•"/>
      <w:lvlJc w:val="left"/>
      <w:pPr>
        <w:tabs>
          <w:tab w:val="num" w:pos="1440"/>
        </w:tabs>
        <w:ind w:left="1440" w:hanging="360"/>
      </w:pPr>
      <w:rPr>
        <w:rFonts w:ascii="Arial" w:hAnsi="Arial" w:hint="default"/>
      </w:rPr>
    </w:lvl>
    <w:lvl w:ilvl="2" w:tplc="C8FAD66C" w:tentative="1">
      <w:start w:val="1"/>
      <w:numFmt w:val="bullet"/>
      <w:lvlText w:val="•"/>
      <w:lvlJc w:val="left"/>
      <w:pPr>
        <w:tabs>
          <w:tab w:val="num" w:pos="2160"/>
        </w:tabs>
        <w:ind w:left="2160" w:hanging="360"/>
      </w:pPr>
      <w:rPr>
        <w:rFonts w:ascii="Arial" w:hAnsi="Arial" w:hint="default"/>
      </w:rPr>
    </w:lvl>
    <w:lvl w:ilvl="3" w:tplc="8BF00EFA" w:tentative="1">
      <w:start w:val="1"/>
      <w:numFmt w:val="bullet"/>
      <w:lvlText w:val="•"/>
      <w:lvlJc w:val="left"/>
      <w:pPr>
        <w:tabs>
          <w:tab w:val="num" w:pos="2880"/>
        </w:tabs>
        <w:ind w:left="2880" w:hanging="360"/>
      </w:pPr>
      <w:rPr>
        <w:rFonts w:ascii="Arial" w:hAnsi="Arial" w:hint="default"/>
      </w:rPr>
    </w:lvl>
    <w:lvl w:ilvl="4" w:tplc="D94E0ECA" w:tentative="1">
      <w:start w:val="1"/>
      <w:numFmt w:val="bullet"/>
      <w:lvlText w:val="•"/>
      <w:lvlJc w:val="left"/>
      <w:pPr>
        <w:tabs>
          <w:tab w:val="num" w:pos="3600"/>
        </w:tabs>
        <w:ind w:left="3600" w:hanging="360"/>
      </w:pPr>
      <w:rPr>
        <w:rFonts w:ascii="Arial" w:hAnsi="Arial" w:hint="default"/>
      </w:rPr>
    </w:lvl>
    <w:lvl w:ilvl="5" w:tplc="9BEE8E3C" w:tentative="1">
      <w:start w:val="1"/>
      <w:numFmt w:val="bullet"/>
      <w:lvlText w:val="•"/>
      <w:lvlJc w:val="left"/>
      <w:pPr>
        <w:tabs>
          <w:tab w:val="num" w:pos="4320"/>
        </w:tabs>
        <w:ind w:left="4320" w:hanging="360"/>
      </w:pPr>
      <w:rPr>
        <w:rFonts w:ascii="Arial" w:hAnsi="Arial" w:hint="default"/>
      </w:rPr>
    </w:lvl>
    <w:lvl w:ilvl="6" w:tplc="0960ED36" w:tentative="1">
      <w:start w:val="1"/>
      <w:numFmt w:val="bullet"/>
      <w:lvlText w:val="•"/>
      <w:lvlJc w:val="left"/>
      <w:pPr>
        <w:tabs>
          <w:tab w:val="num" w:pos="5040"/>
        </w:tabs>
        <w:ind w:left="5040" w:hanging="360"/>
      </w:pPr>
      <w:rPr>
        <w:rFonts w:ascii="Arial" w:hAnsi="Arial" w:hint="default"/>
      </w:rPr>
    </w:lvl>
    <w:lvl w:ilvl="7" w:tplc="CB12F760" w:tentative="1">
      <w:start w:val="1"/>
      <w:numFmt w:val="bullet"/>
      <w:lvlText w:val="•"/>
      <w:lvlJc w:val="left"/>
      <w:pPr>
        <w:tabs>
          <w:tab w:val="num" w:pos="5760"/>
        </w:tabs>
        <w:ind w:left="5760" w:hanging="360"/>
      </w:pPr>
      <w:rPr>
        <w:rFonts w:ascii="Arial" w:hAnsi="Arial" w:hint="default"/>
      </w:rPr>
    </w:lvl>
    <w:lvl w:ilvl="8" w:tplc="E676FD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EF34E5"/>
    <w:multiLevelType w:val="hybridMultilevel"/>
    <w:tmpl w:val="C338BDEA"/>
    <w:lvl w:ilvl="0" w:tplc="45D46D58">
      <w:start w:val="1"/>
      <w:numFmt w:val="bullet"/>
      <w:lvlText w:val="•"/>
      <w:lvlJc w:val="left"/>
      <w:pPr>
        <w:tabs>
          <w:tab w:val="num" w:pos="720"/>
        </w:tabs>
        <w:ind w:left="720" w:hanging="360"/>
      </w:pPr>
      <w:rPr>
        <w:rFonts w:ascii="Arial" w:hAnsi="Arial" w:hint="default"/>
      </w:rPr>
    </w:lvl>
    <w:lvl w:ilvl="1" w:tplc="29A64986" w:tentative="1">
      <w:start w:val="1"/>
      <w:numFmt w:val="bullet"/>
      <w:lvlText w:val="•"/>
      <w:lvlJc w:val="left"/>
      <w:pPr>
        <w:tabs>
          <w:tab w:val="num" w:pos="1440"/>
        </w:tabs>
        <w:ind w:left="1440" w:hanging="360"/>
      </w:pPr>
      <w:rPr>
        <w:rFonts w:ascii="Arial" w:hAnsi="Arial" w:hint="default"/>
      </w:rPr>
    </w:lvl>
    <w:lvl w:ilvl="2" w:tplc="0408F6B8" w:tentative="1">
      <w:start w:val="1"/>
      <w:numFmt w:val="bullet"/>
      <w:lvlText w:val="•"/>
      <w:lvlJc w:val="left"/>
      <w:pPr>
        <w:tabs>
          <w:tab w:val="num" w:pos="2160"/>
        </w:tabs>
        <w:ind w:left="2160" w:hanging="360"/>
      </w:pPr>
      <w:rPr>
        <w:rFonts w:ascii="Arial" w:hAnsi="Arial" w:hint="default"/>
      </w:rPr>
    </w:lvl>
    <w:lvl w:ilvl="3" w:tplc="B3288EB8" w:tentative="1">
      <w:start w:val="1"/>
      <w:numFmt w:val="bullet"/>
      <w:lvlText w:val="•"/>
      <w:lvlJc w:val="left"/>
      <w:pPr>
        <w:tabs>
          <w:tab w:val="num" w:pos="2880"/>
        </w:tabs>
        <w:ind w:left="2880" w:hanging="360"/>
      </w:pPr>
      <w:rPr>
        <w:rFonts w:ascii="Arial" w:hAnsi="Arial" w:hint="default"/>
      </w:rPr>
    </w:lvl>
    <w:lvl w:ilvl="4" w:tplc="CA025774" w:tentative="1">
      <w:start w:val="1"/>
      <w:numFmt w:val="bullet"/>
      <w:lvlText w:val="•"/>
      <w:lvlJc w:val="left"/>
      <w:pPr>
        <w:tabs>
          <w:tab w:val="num" w:pos="3600"/>
        </w:tabs>
        <w:ind w:left="3600" w:hanging="360"/>
      </w:pPr>
      <w:rPr>
        <w:rFonts w:ascii="Arial" w:hAnsi="Arial" w:hint="default"/>
      </w:rPr>
    </w:lvl>
    <w:lvl w:ilvl="5" w:tplc="75F012BA" w:tentative="1">
      <w:start w:val="1"/>
      <w:numFmt w:val="bullet"/>
      <w:lvlText w:val="•"/>
      <w:lvlJc w:val="left"/>
      <w:pPr>
        <w:tabs>
          <w:tab w:val="num" w:pos="4320"/>
        </w:tabs>
        <w:ind w:left="4320" w:hanging="360"/>
      </w:pPr>
      <w:rPr>
        <w:rFonts w:ascii="Arial" w:hAnsi="Arial" w:hint="default"/>
      </w:rPr>
    </w:lvl>
    <w:lvl w:ilvl="6" w:tplc="ABAC5110" w:tentative="1">
      <w:start w:val="1"/>
      <w:numFmt w:val="bullet"/>
      <w:lvlText w:val="•"/>
      <w:lvlJc w:val="left"/>
      <w:pPr>
        <w:tabs>
          <w:tab w:val="num" w:pos="5040"/>
        </w:tabs>
        <w:ind w:left="5040" w:hanging="360"/>
      </w:pPr>
      <w:rPr>
        <w:rFonts w:ascii="Arial" w:hAnsi="Arial" w:hint="default"/>
      </w:rPr>
    </w:lvl>
    <w:lvl w:ilvl="7" w:tplc="3B3E1942" w:tentative="1">
      <w:start w:val="1"/>
      <w:numFmt w:val="bullet"/>
      <w:lvlText w:val="•"/>
      <w:lvlJc w:val="left"/>
      <w:pPr>
        <w:tabs>
          <w:tab w:val="num" w:pos="5760"/>
        </w:tabs>
        <w:ind w:left="5760" w:hanging="360"/>
      </w:pPr>
      <w:rPr>
        <w:rFonts w:ascii="Arial" w:hAnsi="Arial" w:hint="default"/>
      </w:rPr>
    </w:lvl>
    <w:lvl w:ilvl="8" w:tplc="772442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B505D3"/>
    <w:multiLevelType w:val="hybridMultilevel"/>
    <w:tmpl w:val="71BE20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44C37"/>
    <w:multiLevelType w:val="hybridMultilevel"/>
    <w:tmpl w:val="37FAD22A"/>
    <w:lvl w:ilvl="0" w:tplc="1CC643B6">
      <w:start w:val="1"/>
      <w:numFmt w:val="bullet"/>
      <w:lvlText w:val="*"/>
      <w:lvlJc w:val="left"/>
      <w:pPr>
        <w:tabs>
          <w:tab w:val="num" w:pos="720"/>
        </w:tabs>
        <w:ind w:left="720" w:hanging="360"/>
      </w:pPr>
      <w:rPr>
        <w:rFonts w:ascii="Georgia" w:hAnsi="Georgia" w:hint="default"/>
      </w:rPr>
    </w:lvl>
    <w:lvl w:ilvl="1" w:tplc="EAD827C2" w:tentative="1">
      <w:start w:val="1"/>
      <w:numFmt w:val="bullet"/>
      <w:lvlText w:val="*"/>
      <w:lvlJc w:val="left"/>
      <w:pPr>
        <w:tabs>
          <w:tab w:val="num" w:pos="1440"/>
        </w:tabs>
        <w:ind w:left="1440" w:hanging="360"/>
      </w:pPr>
      <w:rPr>
        <w:rFonts w:ascii="Georgia" w:hAnsi="Georgia" w:hint="default"/>
      </w:rPr>
    </w:lvl>
    <w:lvl w:ilvl="2" w:tplc="81EA8568" w:tentative="1">
      <w:start w:val="1"/>
      <w:numFmt w:val="bullet"/>
      <w:lvlText w:val="*"/>
      <w:lvlJc w:val="left"/>
      <w:pPr>
        <w:tabs>
          <w:tab w:val="num" w:pos="2160"/>
        </w:tabs>
        <w:ind w:left="2160" w:hanging="360"/>
      </w:pPr>
      <w:rPr>
        <w:rFonts w:ascii="Georgia" w:hAnsi="Georgia" w:hint="default"/>
      </w:rPr>
    </w:lvl>
    <w:lvl w:ilvl="3" w:tplc="7AAEC7F8" w:tentative="1">
      <w:start w:val="1"/>
      <w:numFmt w:val="bullet"/>
      <w:lvlText w:val="*"/>
      <w:lvlJc w:val="left"/>
      <w:pPr>
        <w:tabs>
          <w:tab w:val="num" w:pos="2880"/>
        </w:tabs>
        <w:ind w:left="2880" w:hanging="360"/>
      </w:pPr>
      <w:rPr>
        <w:rFonts w:ascii="Georgia" w:hAnsi="Georgia" w:hint="default"/>
      </w:rPr>
    </w:lvl>
    <w:lvl w:ilvl="4" w:tplc="FC6427B0" w:tentative="1">
      <w:start w:val="1"/>
      <w:numFmt w:val="bullet"/>
      <w:lvlText w:val="*"/>
      <w:lvlJc w:val="left"/>
      <w:pPr>
        <w:tabs>
          <w:tab w:val="num" w:pos="3600"/>
        </w:tabs>
        <w:ind w:left="3600" w:hanging="360"/>
      </w:pPr>
      <w:rPr>
        <w:rFonts w:ascii="Georgia" w:hAnsi="Georgia" w:hint="default"/>
      </w:rPr>
    </w:lvl>
    <w:lvl w:ilvl="5" w:tplc="E586F532" w:tentative="1">
      <w:start w:val="1"/>
      <w:numFmt w:val="bullet"/>
      <w:lvlText w:val="*"/>
      <w:lvlJc w:val="left"/>
      <w:pPr>
        <w:tabs>
          <w:tab w:val="num" w:pos="4320"/>
        </w:tabs>
        <w:ind w:left="4320" w:hanging="360"/>
      </w:pPr>
      <w:rPr>
        <w:rFonts w:ascii="Georgia" w:hAnsi="Georgia" w:hint="default"/>
      </w:rPr>
    </w:lvl>
    <w:lvl w:ilvl="6" w:tplc="27101280" w:tentative="1">
      <w:start w:val="1"/>
      <w:numFmt w:val="bullet"/>
      <w:lvlText w:val="*"/>
      <w:lvlJc w:val="left"/>
      <w:pPr>
        <w:tabs>
          <w:tab w:val="num" w:pos="5040"/>
        </w:tabs>
        <w:ind w:left="5040" w:hanging="360"/>
      </w:pPr>
      <w:rPr>
        <w:rFonts w:ascii="Georgia" w:hAnsi="Georgia" w:hint="default"/>
      </w:rPr>
    </w:lvl>
    <w:lvl w:ilvl="7" w:tplc="19F2BF94" w:tentative="1">
      <w:start w:val="1"/>
      <w:numFmt w:val="bullet"/>
      <w:lvlText w:val="*"/>
      <w:lvlJc w:val="left"/>
      <w:pPr>
        <w:tabs>
          <w:tab w:val="num" w:pos="5760"/>
        </w:tabs>
        <w:ind w:left="5760" w:hanging="360"/>
      </w:pPr>
      <w:rPr>
        <w:rFonts w:ascii="Georgia" w:hAnsi="Georgia" w:hint="default"/>
      </w:rPr>
    </w:lvl>
    <w:lvl w:ilvl="8" w:tplc="2C6444D6"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168E7D88"/>
    <w:multiLevelType w:val="hybridMultilevel"/>
    <w:tmpl w:val="5F6AD210"/>
    <w:lvl w:ilvl="0" w:tplc="52C856D8">
      <w:start w:val="1"/>
      <w:numFmt w:val="bullet"/>
      <w:lvlText w:val="•"/>
      <w:lvlJc w:val="left"/>
      <w:pPr>
        <w:tabs>
          <w:tab w:val="num" w:pos="720"/>
        </w:tabs>
        <w:ind w:left="720" w:hanging="360"/>
      </w:pPr>
      <w:rPr>
        <w:rFonts w:ascii="Arial" w:hAnsi="Arial" w:hint="default"/>
      </w:rPr>
    </w:lvl>
    <w:lvl w:ilvl="1" w:tplc="02A4A00C" w:tentative="1">
      <w:start w:val="1"/>
      <w:numFmt w:val="bullet"/>
      <w:lvlText w:val="•"/>
      <w:lvlJc w:val="left"/>
      <w:pPr>
        <w:tabs>
          <w:tab w:val="num" w:pos="1440"/>
        </w:tabs>
        <w:ind w:left="1440" w:hanging="360"/>
      </w:pPr>
      <w:rPr>
        <w:rFonts w:ascii="Arial" w:hAnsi="Arial" w:hint="default"/>
      </w:rPr>
    </w:lvl>
    <w:lvl w:ilvl="2" w:tplc="99668EC4" w:tentative="1">
      <w:start w:val="1"/>
      <w:numFmt w:val="bullet"/>
      <w:lvlText w:val="•"/>
      <w:lvlJc w:val="left"/>
      <w:pPr>
        <w:tabs>
          <w:tab w:val="num" w:pos="2160"/>
        </w:tabs>
        <w:ind w:left="2160" w:hanging="360"/>
      </w:pPr>
      <w:rPr>
        <w:rFonts w:ascii="Arial" w:hAnsi="Arial" w:hint="default"/>
      </w:rPr>
    </w:lvl>
    <w:lvl w:ilvl="3" w:tplc="62ACE122" w:tentative="1">
      <w:start w:val="1"/>
      <w:numFmt w:val="bullet"/>
      <w:lvlText w:val="•"/>
      <w:lvlJc w:val="left"/>
      <w:pPr>
        <w:tabs>
          <w:tab w:val="num" w:pos="2880"/>
        </w:tabs>
        <w:ind w:left="2880" w:hanging="360"/>
      </w:pPr>
      <w:rPr>
        <w:rFonts w:ascii="Arial" w:hAnsi="Arial" w:hint="default"/>
      </w:rPr>
    </w:lvl>
    <w:lvl w:ilvl="4" w:tplc="6FB86B58" w:tentative="1">
      <w:start w:val="1"/>
      <w:numFmt w:val="bullet"/>
      <w:lvlText w:val="•"/>
      <w:lvlJc w:val="left"/>
      <w:pPr>
        <w:tabs>
          <w:tab w:val="num" w:pos="3600"/>
        </w:tabs>
        <w:ind w:left="3600" w:hanging="360"/>
      </w:pPr>
      <w:rPr>
        <w:rFonts w:ascii="Arial" w:hAnsi="Arial" w:hint="default"/>
      </w:rPr>
    </w:lvl>
    <w:lvl w:ilvl="5" w:tplc="772C519C" w:tentative="1">
      <w:start w:val="1"/>
      <w:numFmt w:val="bullet"/>
      <w:lvlText w:val="•"/>
      <w:lvlJc w:val="left"/>
      <w:pPr>
        <w:tabs>
          <w:tab w:val="num" w:pos="4320"/>
        </w:tabs>
        <w:ind w:left="4320" w:hanging="360"/>
      </w:pPr>
      <w:rPr>
        <w:rFonts w:ascii="Arial" w:hAnsi="Arial" w:hint="default"/>
      </w:rPr>
    </w:lvl>
    <w:lvl w:ilvl="6" w:tplc="2DD82740" w:tentative="1">
      <w:start w:val="1"/>
      <w:numFmt w:val="bullet"/>
      <w:lvlText w:val="•"/>
      <w:lvlJc w:val="left"/>
      <w:pPr>
        <w:tabs>
          <w:tab w:val="num" w:pos="5040"/>
        </w:tabs>
        <w:ind w:left="5040" w:hanging="360"/>
      </w:pPr>
      <w:rPr>
        <w:rFonts w:ascii="Arial" w:hAnsi="Arial" w:hint="default"/>
      </w:rPr>
    </w:lvl>
    <w:lvl w:ilvl="7" w:tplc="41A60EBE" w:tentative="1">
      <w:start w:val="1"/>
      <w:numFmt w:val="bullet"/>
      <w:lvlText w:val="•"/>
      <w:lvlJc w:val="left"/>
      <w:pPr>
        <w:tabs>
          <w:tab w:val="num" w:pos="5760"/>
        </w:tabs>
        <w:ind w:left="5760" w:hanging="360"/>
      </w:pPr>
      <w:rPr>
        <w:rFonts w:ascii="Arial" w:hAnsi="Arial" w:hint="default"/>
      </w:rPr>
    </w:lvl>
    <w:lvl w:ilvl="8" w:tplc="D040E3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13363A"/>
    <w:multiLevelType w:val="hybridMultilevel"/>
    <w:tmpl w:val="0E5EB076"/>
    <w:lvl w:ilvl="0" w:tplc="274E3D48">
      <w:start w:val="1"/>
      <w:numFmt w:val="bullet"/>
      <w:lvlText w:val="*"/>
      <w:lvlJc w:val="left"/>
      <w:pPr>
        <w:tabs>
          <w:tab w:val="num" w:pos="720"/>
        </w:tabs>
        <w:ind w:left="720" w:hanging="360"/>
      </w:pPr>
      <w:rPr>
        <w:rFonts w:ascii="Georgia" w:hAnsi="Georgia" w:hint="default"/>
      </w:rPr>
    </w:lvl>
    <w:lvl w:ilvl="1" w:tplc="61CAE316" w:tentative="1">
      <w:start w:val="1"/>
      <w:numFmt w:val="bullet"/>
      <w:lvlText w:val="*"/>
      <w:lvlJc w:val="left"/>
      <w:pPr>
        <w:tabs>
          <w:tab w:val="num" w:pos="1440"/>
        </w:tabs>
        <w:ind w:left="1440" w:hanging="360"/>
      </w:pPr>
      <w:rPr>
        <w:rFonts w:ascii="Georgia" w:hAnsi="Georgia" w:hint="default"/>
      </w:rPr>
    </w:lvl>
    <w:lvl w:ilvl="2" w:tplc="6A6E576A" w:tentative="1">
      <w:start w:val="1"/>
      <w:numFmt w:val="bullet"/>
      <w:lvlText w:val="*"/>
      <w:lvlJc w:val="left"/>
      <w:pPr>
        <w:tabs>
          <w:tab w:val="num" w:pos="2160"/>
        </w:tabs>
        <w:ind w:left="2160" w:hanging="360"/>
      </w:pPr>
      <w:rPr>
        <w:rFonts w:ascii="Georgia" w:hAnsi="Georgia" w:hint="default"/>
      </w:rPr>
    </w:lvl>
    <w:lvl w:ilvl="3" w:tplc="E7A8B2DE" w:tentative="1">
      <w:start w:val="1"/>
      <w:numFmt w:val="bullet"/>
      <w:lvlText w:val="*"/>
      <w:lvlJc w:val="left"/>
      <w:pPr>
        <w:tabs>
          <w:tab w:val="num" w:pos="2880"/>
        </w:tabs>
        <w:ind w:left="2880" w:hanging="360"/>
      </w:pPr>
      <w:rPr>
        <w:rFonts w:ascii="Georgia" w:hAnsi="Georgia" w:hint="default"/>
      </w:rPr>
    </w:lvl>
    <w:lvl w:ilvl="4" w:tplc="8F74D65A" w:tentative="1">
      <w:start w:val="1"/>
      <w:numFmt w:val="bullet"/>
      <w:lvlText w:val="*"/>
      <w:lvlJc w:val="left"/>
      <w:pPr>
        <w:tabs>
          <w:tab w:val="num" w:pos="3600"/>
        </w:tabs>
        <w:ind w:left="3600" w:hanging="360"/>
      </w:pPr>
      <w:rPr>
        <w:rFonts w:ascii="Georgia" w:hAnsi="Georgia" w:hint="default"/>
      </w:rPr>
    </w:lvl>
    <w:lvl w:ilvl="5" w:tplc="E61A003C" w:tentative="1">
      <w:start w:val="1"/>
      <w:numFmt w:val="bullet"/>
      <w:lvlText w:val="*"/>
      <w:lvlJc w:val="left"/>
      <w:pPr>
        <w:tabs>
          <w:tab w:val="num" w:pos="4320"/>
        </w:tabs>
        <w:ind w:left="4320" w:hanging="360"/>
      </w:pPr>
      <w:rPr>
        <w:rFonts w:ascii="Georgia" w:hAnsi="Georgia" w:hint="default"/>
      </w:rPr>
    </w:lvl>
    <w:lvl w:ilvl="6" w:tplc="74986F16" w:tentative="1">
      <w:start w:val="1"/>
      <w:numFmt w:val="bullet"/>
      <w:lvlText w:val="*"/>
      <w:lvlJc w:val="left"/>
      <w:pPr>
        <w:tabs>
          <w:tab w:val="num" w:pos="5040"/>
        </w:tabs>
        <w:ind w:left="5040" w:hanging="360"/>
      </w:pPr>
      <w:rPr>
        <w:rFonts w:ascii="Georgia" w:hAnsi="Georgia" w:hint="default"/>
      </w:rPr>
    </w:lvl>
    <w:lvl w:ilvl="7" w:tplc="19DA04DE" w:tentative="1">
      <w:start w:val="1"/>
      <w:numFmt w:val="bullet"/>
      <w:lvlText w:val="*"/>
      <w:lvlJc w:val="left"/>
      <w:pPr>
        <w:tabs>
          <w:tab w:val="num" w:pos="5760"/>
        </w:tabs>
        <w:ind w:left="5760" w:hanging="360"/>
      </w:pPr>
      <w:rPr>
        <w:rFonts w:ascii="Georgia" w:hAnsi="Georgia" w:hint="default"/>
      </w:rPr>
    </w:lvl>
    <w:lvl w:ilvl="8" w:tplc="18F61C8E" w:tentative="1">
      <w:start w:val="1"/>
      <w:numFmt w:val="bullet"/>
      <w:lvlText w:val="*"/>
      <w:lvlJc w:val="left"/>
      <w:pPr>
        <w:tabs>
          <w:tab w:val="num" w:pos="6480"/>
        </w:tabs>
        <w:ind w:left="6480" w:hanging="360"/>
      </w:pPr>
      <w:rPr>
        <w:rFonts w:ascii="Georgia" w:hAnsi="Georgia" w:hint="default"/>
      </w:rPr>
    </w:lvl>
  </w:abstractNum>
  <w:abstractNum w:abstractNumId="7" w15:restartNumberingAfterBreak="0">
    <w:nsid w:val="54877C6F"/>
    <w:multiLevelType w:val="hybridMultilevel"/>
    <w:tmpl w:val="E7287EB2"/>
    <w:lvl w:ilvl="0" w:tplc="04847CA6">
      <w:start w:val="1"/>
      <w:numFmt w:val="bullet"/>
      <w:lvlText w:val="•"/>
      <w:lvlJc w:val="left"/>
      <w:pPr>
        <w:tabs>
          <w:tab w:val="num" w:pos="720"/>
        </w:tabs>
        <w:ind w:left="720" w:hanging="360"/>
      </w:pPr>
      <w:rPr>
        <w:rFonts w:ascii="Arial" w:hAnsi="Arial" w:hint="default"/>
      </w:rPr>
    </w:lvl>
    <w:lvl w:ilvl="1" w:tplc="850698FC" w:tentative="1">
      <w:start w:val="1"/>
      <w:numFmt w:val="bullet"/>
      <w:lvlText w:val="•"/>
      <w:lvlJc w:val="left"/>
      <w:pPr>
        <w:tabs>
          <w:tab w:val="num" w:pos="1440"/>
        </w:tabs>
        <w:ind w:left="1440" w:hanging="360"/>
      </w:pPr>
      <w:rPr>
        <w:rFonts w:ascii="Arial" w:hAnsi="Arial" w:hint="default"/>
      </w:rPr>
    </w:lvl>
    <w:lvl w:ilvl="2" w:tplc="900E00B8" w:tentative="1">
      <w:start w:val="1"/>
      <w:numFmt w:val="bullet"/>
      <w:lvlText w:val="•"/>
      <w:lvlJc w:val="left"/>
      <w:pPr>
        <w:tabs>
          <w:tab w:val="num" w:pos="2160"/>
        </w:tabs>
        <w:ind w:left="2160" w:hanging="360"/>
      </w:pPr>
      <w:rPr>
        <w:rFonts w:ascii="Arial" w:hAnsi="Arial" w:hint="default"/>
      </w:rPr>
    </w:lvl>
    <w:lvl w:ilvl="3" w:tplc="D1E0F4A2" w:tentative="1">
      <w:start w:val="1"/>
      <w:numFmt w:val="bullet"/>
      <w:lvlText w:val="•"/>
      <w:lvlJc w:val="left"/>
      <w:pPr>
        <w:tabs>
          <w:tab w:val="num" w:pos="2880"/>
        </w:tabs>
        <w:ind w:left="2880" w:hanging="360"/>
      </w:pPr>
      <w:rPr>
        <w:rFonts w:ascii="Arial" w:hAnsi="Arial" w:hint="default"/>
      </w:rPr>
    </w:lvl>
    <w:lvl w:ilvl="4" w:tplc="A5D0B6E8" w:tentative="1">
      <w:start w:val="1"/>
      <w:numFmt w:val="bullet"/>
      <w:lvlText w:val="•"/>
      <w:lvlJc w:val="left"/>
      <w:pPr>
        <w:tabs>
          <w:tab w:val="num" w:pos="3600"/>
        </w:tabs>
        <w:ind w:left="3600" w:hanging="360"/>
      </w:pPr>
      <w:rPr>
        <w:rFonts w:ascii="Arial" w:hAnsi="Arial" w:hint="default"/>
      </w:rPr>
    </w:lvl>
    <w:lvl w:ilvl="5" w:tplc="74FA336C" w:tentative="1">
      <w:start w:val="1"/>
      <w:numFmt w:val="bullet"/>
      <w:lvlText w:val="•"/>
      <w:lvlJc w:val="left"/>
      <w:pPr>
        <w:tabs>
          <w:tab w:val="num" w:pos="4320"/>
        </w:tabs>
        <w:ind w:left="4320" w:hanging="360"/>
      </w:pPr>
      <w:rPr>
        <w:rFonts w:ascii="Arial" w:hAnsi="Arial" w:hint="default"/>
      </w:rPr>
    </w:lvl>
    <w:lvl w:ilvl="6" w:tplc="14A8AF54" w:tentative="1">
      <w:start w:val="1"/>
      <w:numFmt w:val="bullet"/>
      <w:lvlText w:val="•"/>
      <w:lvlJc w:val="left"/>
      <w:pPr>
        <w:tabs>
          <w:tab w:val="num" w:pos="5040"/>
        </w:tabs>
        <w:ind w:left="5040" w:hanging="360"/>
      </w:pPr>
      <w:rPr>
        <w:rFonts w:ascii="Arial" w:hAnsi="Arial" w:hint="default"/>
      </w:rPr>
    </w:lvl>
    <w:lvl w:ilvl="7" w:tplc="A7DAD2C6" w:tentative="1">
      <w:start w:val="1"/>
      <w:numFmt w:val="bullet"/>
      <w:lvlText w:val="•"/>
      <w:lvlJc w:val="left"/>
      <w:pPr>
        <w:tabs>
          <w:tab w:val="num" w:pos="5760"/>
        </w:tabs>
        <w:ind w:left="5760" w:hanging="360"/>
      </w:pPr>
      <w:rPr>
        <w:rFonts w:ascii="Arial" w:hAnsi="Arial" w:hint="default"/>
      </w:rPr>
    </w:lvl>
    <w:lvl w:ilvl="8" w:tplc="A6C08EC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691966"/>
    <w:multiLevelType w:val="hybridMultilevel"/>
    <w:tmpl w:val="2B4EB492"/>
    <w:lvl w:ilvl="0" w:tplc="EC94803C">
      <w:start w:val="1"/>
      <w:numFmt w:val="bullet"/>
      <w:lvlText w:val="•"/>
      <w:lvlJc w:val="left"/>
      <w:pPr>
        <w:tabs>
          <w:tab w:val="num" w:pos="720"/>
        </w:tabs>
        <w:ind w:left="720" w:hanging="360"/>
      </w:pPr>
      <w:rPr>
        <w:rFonts w:ascii="Arial" w:hAnsi="Arial" w:hint="default"/>
      </w:rPr>
    </w:lvl>
    <w:lvl w:ilvl="1" w:tplc="13420FB0" w:tentative="1">
      <w:start w:val="1"/>
      <w:numFmt w:val="bullet"/>
      <w:lvlText w:val="•"/>
      <w:lvlJc w:val="left"/>
      <w:pPr>
        <w:tabs>
          <w:tab w:val="num" w:pos="1440"/>
        </w:tabs>
        <w:ind w:left="1440" w:hanging="360"/>
      </w:pPr>
      <w:rPr>
        <w:rFonts w:ascii="Arial" w:hAnsi="Arial" w:hint="default"/>
      </w:rPr>
    </w:lvl>
    <w:lvl w:ilvl="2" w:tplc="454A72CA" w:tentative="1">
      <w:start w:val="1"/>
      <w:numFmt w:val="bullet"/>
      <w:lvlText w:val="•"/>
      <w:lvlJc w:val="left"/>
      <w:pPr>
        <w:tabs>
          <w:tab w:val="num" w:pos="2160"/>
        </w:tabs>
        <w:ind w:left="2160" w:hanging="360"/>
      </w:pPr>
      <w:rPr>
        <w:rFonts w:ascii="Arial" w:hAnsi="Arial" w:hint="default"/>
      </w:rPr>
    </w:lvl>
    <w:lvl w:ilvl="3" w:tplc="33A6E2C0" w:tentative="1">
      <w:start w:val="1"/>
      <w:numFmt w:val="bullet"/>
      <w:lvlText w:val="•"/>
      <w:lvlJc w:val="left"/>
      <w:pPr>
        <w:tabs>
          <w:tab w:val="num" w:pos="2880"/>
        </w:tabs>
        <w:ind w:left="2880" w:hanging="360"/>
      </w:pPr>
      <w:rPr>
        <w:rFonts w:ascii="Arial" w:hAnsi="Arial" w:hint="default"/>
      </w:rPr>
    </w:lvl>
    <w:lvl w:ilvl="4" w:tplc="603EB74E" w:tentative="1">
      <w:start w:val="1"/>
      <w:numFmt w:val="bullet"/>
      <w:lvlText w:val="•"/>
      <w:lvlJc w:val="left"/>
      <w:pPr>
        <w:tabs>
          <w:tab w:val="num" w:pos="3600"/>
        </w:tabs>
        <w:ind w:left="3600" w:hanging="360"/>
      </w:pPr>
      <w:rPr>
        <w:rFonts w:ascii="Arial" w:hAnsi="Arial" w:hint="default"/>
      </w:rPr>
    </w:lvl>
    <w:lvl w:ilvl="5" w:tplc="AD10ADF4" w:tentative="1">
      <w:start w:val="1"/>
      <w:numFmt w:val="bullet"/>
      <w:lvlText w:val="•"/>
      <w:lvlJc w:val="left"/>
      <w:pPr>
        <w:tabs>
          <w:tab w:val="num" w:pos="4320"/>
        </w:tabs>
        <w:ind w:left="4320" w:hanging="360"/>
      </w:pPr>
      <w:rPr>
        <w:rFonts w:ascii="Arial" w:hAnsi="Arial" w:hint="default"/>
      </w:rPr>
    </w:lvl>
    <w:lvl w:ilvl="6" w:tplc="F1D2C386" w:tentative="1">
      <w:start w:val="1"/>
      <w:numFmt w:val="bullet"/>
      <w:lvlText w:val="•"/>
      <w:lvlJc w:val="left"/>
      <w:pPr>
        <w:tabs>
          <w:tab w:val="num" w:pos="5040"/>
        </w:tabs>
        <w:ind w:left="5040" w:hanging="360"/>
      </w:pPr>
      <w:rPr>
        <w:rFonts w:ascii="Arial" w:hAnsi="Arial" w:hint="default"/>
      </w:rPr>
    </w:lvl>
    <w:lvl w:ilvl="7" w:tplc="8AC65344" w:tentative="1">
      <w:start w:val="1"/>
      <w:numFmt w:val="bullet"/>
      <w:lvlText w:val="•"/>
      <w:lvlJc w:val="left"/>
      <w:pPr>
        <w:tabs>
          <w:tab w:val="num" w:pos="5760"/>
        </w:tabs>
        <w:ind w:left="5760" w:hanging="360"/>
      </w:pPr>
      <w:rPr>
        <w:rFonts w:ascii="Arial" w:hAnsi="Arial" w:hint="default"/>
      </w:rPr>
    </w:lvl>
    <w:lvl w:ilvl="8" w:tplc="D518969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B9F3D17"/>
    <w:multiLevelType w:val="hybridMultilevel"/>
    <w:tmpl w:val="A7AA8E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CD52BBC"/>
    <w:multiLevelType w:val="hybridMultilevel"/>
    <w:tmpl w:val="32EE2466"/>
    <w:lvl w:ilvl="0" w:tplc="9F30A554">
      <w:start w:val="1"/>
      <w:numFmt w:val="bullet"/>
      <w:lvlText w:val="•"/>
      <w:lvlJc w:val="left"/>
      <w:pPr>
        <w:tabs>
          <w:tab w:val="num" w:pos="720"/>
        </w:tabs>
        <w:ind w:left="720" w:hanging="360"/>
      </w:pPr>
      <w:rPr>
        <w:rFonts w:ascii="Arial" w:hAnsi="Arial" w:hint="default"/>
      </w:rPr>
    </w:lvl>
    <w:lvl w:ilvl="1" w:tplc="0F8A64C8" w:tentative="1">
      <w:start w:val="1"/>
      <w:numFmt w:val="bullet"/>
      <w:lvlText w:val="•"/>
      <w:lvlJc w:val="left"/>
      <w:pPr>
        <w:tabs>
          <w:tab w:val="num" w:pos="1440"/>
        </w:tabs>
        <w:ind w:left="1440" w:hanging="360"/>
      </w:pPr>
      <w:rPr>
        <w:rFonts w:ascii="Arial" w:hAnsi="Arial" w:hint="default"/>
      </w:rPr>
    </w:lvl>
    <w:lvl w:ilvl="2" w:tplc="AABC949A" w:tentative="1">
      <w:start w:val="1"/>
      <w:numFmt w:val="bullet"/>
      <w:lvlText w:val="•"/>
      <w:lvlJc w:val="left"/>
      <w:pPr>
        <w:tabs>
          <w:tab w:val="num" w:pos="2160"/>
        </w:tabs>
        <w:ind w:left="2160" w:hanging="360"/>
      </w:pPr>
      <w:rPr>
        <w:rFonts w:ascii="Arial" w:hAnsi="Arial" w:hint="default"/>
      </w:rPr>
    </w:lvl>
    <w:lvl w:ilvl="3" w:tplc="54AEFF7E" w:tentative="1">
      <w:start w:val="1"/>
      <w:numFmt w:val="bullet"/>
      <w:lvlText w:val="•"/>
      <w:lvlJc w:val="left"/>
      <w:pPr>
        <w:tabs>
          <w:tab w:val="num" w:pos="2880"/>
        </w:tabs>
        <w:ind w:left="2880" w:hanging="360"/>
      </w:pPr>
      <w:rPr>
        <w:rFonts w:ascii="Arial" w:hAnsi="Arial" w:hint="default"/>
      </w:rPr>
    </w:lvl>
    <w:lvl w:ilvl="4" w:tplc="1B90BF60" w:tentative="1">
      <w:start w:val="1"/>
      <w:numFmt w:val="bullet"/>
      <w:lvlText w:val="•"/>
      <w:lvlJc w:val="left"/>
      <w:pPr>
        <w:tabs>
          <w:tab w:val="num" w:pos="3600"/>
        </w:tabs>
        <w:ind w:left="3600" w:hanging="360"/>
      </w:pPr>
      <w:rPr>
        <w:rFonts w:ascii="Arial" w:hAnsi="Arial" w:hint="default"/>
      </w:rPr>
    </w:lvl>
    <w:lvl w:ilvl="5" w:tplc="4FAE3EF2" w:tentative="1">
      <w:start w:val="1"/>
      <w:numFmt w:val="bullet"/>
      <w:lvlText w:val="•"/>
      <w:lvlJc w:val="left"/>
      <w:pPr>
        <w:tabs>
          <w:tab w:val="num" w:pos="4320"/>
        </w:tabs>
        <w:ind w:left="4320" w:hanging="360"/>
      </w:pPr>
      <w:rPr>
        <w:rFonts w:ascii="Arial" w:hAnsi="Arial" w:hint="default"/>
      </w:rPr>
    </w:lvl>
    <w:lvl w:ilvl="6" w:tplc="5A2838CC" w:tentative="1">
      <w:start w:val="1"/>
      <w:numFmt w:val="bullet"/>
      <w:lvlText w:val="•"/>
      <w:lvlJc w:val="left"/>
      <w:pPr>
        <w:tabs>
          <w:tab w:val="num" w:pos="5040"/>
        </w:tabs>
        <w:ind w:left="5040" w:hanging="360"/>
      </w:pPr>
      <w:rPr>
        <w:rFonts w:ascii="Arial" w:hAnsi="Arial" w:hint="default"/>
      </w:rPr>
    </w:lvl>
    <w:lvl w:ilvl="7" w:tplc="3B7C8386" w:tentative="1">
      <w:start w:val="1"/>
      <w:numFmt w:val="bullet"/>
      <w:lvlText w:val="•"/>
      <w:lvlJc w:val="left"/>
      <w:pPr>
        <w:tabs>
          <w:tab w:val="num" w:pos="5760"/>
        </w:tabs>
        <w:ind w:left="5760" w:hanging="360"/>
      </w:pPr>
      <w:rPr>
        <w:rFonts w:ascii="Arial" w:hAnsi="Arial" w:hint="default"/>
      </w:rPr>
    </w:lvl>
    <w:lvl w:ilvl="8" w:tplc="4C3AB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DE33EA"/>
    <w:multiLevelType w:val="hybridMultilevel"/>
    <w:tmpl w:val="D14E44E2"/>
    <w:lvl w:ilvl="0" w:tplc="FA74C4B8">
      <w:start w:val="1"/>
      <w:numFmt w:val="bullet"/>
      <w:lvlText w:val="•"/>
      <w:lvlJc w:val="left"/>
      <w:pPr>
        <w:tabs>
          <w:tab w:val="num" w:pos="720"/>
        </w:tabs>
        <w:ind w:left="720" w:hanging="360"/>
      </w:pPr>
      <w:rPr>
        <w:rFonts w:ascii="Arial" w:hAnsi="Arial" w:hint="default"/>
      </w:rPr>
    </w:lvl>
    <w:lvl w:ilvl="1" w:tplc="47CA8416" w:tentative="1">
      <w:start w:val="1"/>
      <w:numFmt w:val="bullet"/>
      <w:lvlText w:val="•"/>
      <w:lvlJc w:val="left"/>
      <w:pPr>
        <w:tabs>
          <w:tab w:val="num" w:pos="1440"/>
        </w:tabs>
        <w:ind w:left="1440" w:hanging="360"/>
      </w:pPr>
      <w:rPr>
        <w:rFonts w:ascii="Arial" w:hAnsi="Arial" w:hint="default"/>
      </w:rPr>
    </w:lvl>
    <w:lvl w:ilvl="2" w:tplc="AB2C3F3A" w:tentative="1">
      <w:start w:val="1"/>
      <w:numFmt w:val="bullet"/>
      <w:lvlText w:val="•"/>
      <w:lvlJc w:val="left"/>
      <w:pPr>
        <w:tabs>
          <w:tab w:val="num" w:pos="2160"/>
        </w:tabs>
        <w:ind w:left="2160" w:hanging="360"/>
      </w:pPr>
      <w:rPr>
        <w:rFonts w:ascii="Arial" w:hAnsi="Arial" w:hint="default"/>
      </w:rPr>
    </w:lvl>
    <w:lvl w:ilvl="3" w:tplc="F86A96DA" w:tentative="1">
      <w:start w:val="1"/>
      <w:numFmt w:val="bullet"/>
      <w:lvlText w:val="•"/>
      <w:lvlJc w:val="left"/>
      <w:pPr>
        <w:tabs>
          <w:tab w:val="num" w:pos="2880"/>
        </w:tabs>
        <w:ind w:left="2880" w:hanging="360"/>
      </w:pPr>
      <w:rPr>
        <w:rFonts w:ascii="Arial" w:hAnsi="Arial" w:hint="default"/>
      </w:rPr>
    </w:lvl>
    <w:lvl w:ilvl="4" w:tplc="B740A146" w:tentative="1">
      <w:start w:val="1"/>
      <w:numFmt w:val="bullet"/>
      <w:lvlText w:val="•"/>
      <w:lvlJc w:val="left"/>
      <w:pPr>
        <w:tabs>
          <w:tab w:val="num" w:pos="3600"/>
        </w:tabs>
        <w:ind w:left="3600" w:hanging="360"/>
      </w:pPr>
      <w:rPr>
        <w:rFonts w:ascii="Arial" w:hAnsi="Arial" w:hint="default"/>
      </w:rPr>
    </w:lvl>
    <w:lvl w:ilvl="5" w:tplc="724A0228" w:tentative="1">
      <w:start w:val="1"/>
      <w:numFmt w:val="bullet"/>
      <w:lvlText w:val="•"/>
      <w:lvlJc w:val="left"/>
      <w:pPr>
        <w:tabs>
          <w:tab w:val="num" w:pos="4320"/>
        </w:tabs>
        <w:ind w:left="4320" w:hanging="360"/>
      </w:pPr>
      <w:rPr>
        <w:rFonts w:ascii="Arial" w:hAnsi="Arial" w:hint="default"/>
      </w:rPr>
    </w:lvl>
    <w:lvl w:ilvl="6" w:tplc="12A2128A" w:tentative="1">
      <w:start w:val="1"/>
      <w:numFmt w:val="bullet"/>
      <w:lvlText w:val="•"/>
      <w:lvlJc w:val="left"/>
      <w:pPr>
        <w:tabs>
          <w:tab w:val="num" w:pos="5040"/>
        </w:tabs>
        <w:ind w:left="5040" w:hanging="360"/>
      </w:pPr>
      <w:rPr>
        <w:rFonts w:ascii="Arial" w:hAnsi="Arial" w:hint="default"/>
      </w:rPr>
    </w:lvl>
    <w:lvl w:ilvl="7" w:tplc="B852A1EC" w:tentative="1">
      <w:start w:val="1"/>
      <w:numFmt w:val="bullet"/>
      <w:lvlText w:val="•"/>
      <w:lvlJc w:val="left"/>
      <w:pPr>
        <w:tabs>
          <w:tab w:val="num" w:pos="5760"/>
        </w:tabs>
        <w:ind w:left="5760" w:hanging="360"/>
      </w:pPr>
      <w:rPr>
        <w:rFonts w:ascii="Arial" w:hAnsi="Arial" w:hint="default"/>
      </w:rPr>
    </w:lvl>
    <w:lvl w:ilvl="8" w:tplc="7BF4CACE"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1"/>
  </w:num>
  <w:num w:numId="3">
    <w:abstractNumId w:val="1"/>
  </w:num>
  <w:num w:numId="4">
    <w:abstractNumId w:val="7"/>
  </w:num>
  <w:num w:numId="5">
    <w:abstractNumId w:val="2"/>
  </w:num>
  <w:num w:numId="6">
    <w:abstractNumId w:val="8"/>
  </w:num>
  <w:num w:numId="7">
    <w:abstractNumId w:val="10"/>
  </w:num>
  <w:num w:numId="8">
    <w:abstractNumId w:val="0"/>
  </w:num>
  <w:num w:numId="9">
    <w:abstractNumId w:val="9"/>
  </w:num>
  <w:num w:numId="10">
    <w:abstractNumId w:val="4"/>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7A6"/>
    <w:rsid w:val="00170E7B"/>
    <w:rsid w:val="002540EC"/>
    <w:rsid w:val="002A084B"/>
    <w:rsid w:val="003240CC"/>
    <w:rsid w:val="00330F70"/>
    <w:rsid w:val="00376819"/>
    <w:rsid w:val="00761789"/>
    <w:rsid w:val="008C34B6"/>
    <w:rsid w:val="00941F3A"/>
    <w:rsid w:val="009C4F08"/>
    <w:rsid w:val="00A3131E"/>
    <w:rsid w:val="00AE17EB"/>
    <w:rsid w:val="00C1605E"/>
    <w:rsid w:val="00C25320"/>
    <w:rsid w:val="00C607A6"/>
    <w:rsid w:val="00E05C4F"/>
    <w:rsid w:val="00FD6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8A4FFD-420D-4D9B-97D0-BE788840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0E7B"/>
    <w:rPr>
      <w:rFonts w:ascii="Times New Roman" w:hAnsi="Times New Roman" w:cs="Times New Roman"/>
      <w:sz w:val="24"/>
      <w:szCs w:val="24"/>
    </w:rPr>
  </w:style>
  <w:style w:type="paragraph" w:styleId="a4">
    <w:name w:val="List Paragraph"/>
    <w:basedOn w:val="a"/>
    <w:uiPriority w:val="34"/>
    <w:qFormat/>
    <w:rsid w:val="008C3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74572">
      <w:bodyDiv w:val="1"/>
      <w:marLeft w:val="0"/>
      <w:marRight w:val="0"/>
      <w:marTop w:val="0"/>
      <w:marBottom w:val="0"/>
      <w:divBdr>
        <w:top w:val="none" w:sz="0" w:space="0" w:color="auto"/>
        <w:left w:val="none" w:sz="0" w:space="0" w:color="auto"/>
        <w:bottom w:val="none" w:sz="0" w:space="0" w:color="auto"/>
        <w:right w:val="none" w:sz="0" w:space="0" w:color="auto"/>
      </w:divBdr>
    </w:div>
    <w:div w:id="47536173">
      <w:bodyDiv w:val="1"/>
      <w:marLeft w:val="0"/>
      <w:marRight w:val="0"/>
      <w:marTop w:val="0"/>
      <w:marBottom w:val="0"/>
      <w:divBdr>
        <w:top w:val="none" w:sz="0" w:space="0" w:color="auto"/>
        <w:left w:val="none" w:sz="0" w:space="0" w:color="auto"/>
        <w:bottom w:val="none" w:sz="0" w:space="0" w:color="auto"/>
        <w:right w:val="none" w:sz="0" w:space="0" w:color="auto"/>
      </w:divBdr>
    </w:div>
    <w:div w:id="318578146">
      <w:bodyDiv w:val="1"/>
      <w:marLeft w:val="0"/>
      <w:marRight w:val="0"/>
      <w:marTop w:val="0"/>
      <w:marBottom w:val="0"/>
      <w:divBdr>
        <w:top w:val="none" w:sz="0" w:space="0" w:color="auto"/>
        <w:left w:val="none" w:sz="0" w:space="0" w:color="auto"/>
        <w:bottom w:val="none" w:sz="0" w:space="0" w:color="auto"/>
        <w:right w:val="none" w:sz="0" w:space="0" w:color="auto"/>
      </w:divBdr>
    </w:div>
    <w:div w:id="331221936">
      <w:bodyDiv w:val="1"/>
      <w:marLeft w:val="0"/>
      <w:marRight w:val="0"/>
      <w:marTop w:val="0"/>
      <w:marBottom w:val="0"/>
      <w:divBdr>
        <w:top w:val="none" w:sz="0" w:space="0" w:color="auto"/>
        <w:left w:val="none" w:sz="0" w:space="0" w:color="auto"/>
        <w:bottom w:val="none" w:sz="0" w:space="0" w:color="auto"/>
        <w:right w:val="none" w:sz="0" w:space="0" w:color="auto"/>
      </w:divBdr>
    </w:div>
    <w:div w:id="427585242">
      <w:bodyDiv w:val="1"/>
      <w:marLeft w:val="0"/>
      <w:marRight w:val="0"/>
      <w:marTop w:val="0"/>
      <w:marBottom w:val="0"/>
      <w:divBdr>
        <w:top w:val="none" w:sz="0" w:space="0" w:color="auto"/>
        <w:left w:val="none" w:sz="0" w:space="0" w:color="auto"/>
        <w:bottom w:val="none" w:sz="0" w:space="0" w:color="auto"/>
        <w:right w:val="none" w:sz="0" w:space="0" w:color="auto"/>
      </w:divBdr>
      <w:divsChild>
        <w:div w:id="93402799">
          <w:marLeft w:val="547"/>
          <w:marRight w:val="0"/>
          <w:marTop w:val="96"/>
          <w:marBottom w:val="0"/>
          <w:divBdr>
            <w:top w:val="none" w:sz="0" w:space="0" w:color="auto"/>
            <w:left w:val="none" w:sz="0" w:space="0" w:color="auto"/>
            <w:bottom w:val="none" w:sz="0" w:space="0" w:color="auto"/>
            <w:right w:val="none" w:sz="0" w:space="0" w:color="auto"/>
          </w:divBdr>
        </w:div>
        <w:div w:id="665354176">
          <w:marLeft w:val="547"/>
          <w:marRight w:val="0"/>
          <w:marTop w:val="96"/>
          <w:marBottom w:val="0"/>
          <w:divBdr>
            <w:top w:val="none" w:sz="0" w:space="0" w:color="auto"/>
            <w:left w:val="none" w:sz="0" w:space="0" w:color="auto"/>
            <w:bottom w:val="none" w:sz="0" w:space="0" w:color="auto"/>
            <w:right w:val="none" w:sz="0" w:space="0" w:color="auto"/>
          </w:divBdr>
        </w:div>
        <w:div w:id="1485392777">
          <w:marLeft w:val="547"/>
          <w:marRight w:val="0"/>
          <w:marTop w:val="96"/>
          <w:marBottom w:val="0"/>
          <w:divBdr>
            <w:top w:val="none" w:sz="0" w:space="0" w:color="auto"/>
            <w:left w:val="none" w:sz="0" w:space="0" w:color="auto"/>
            <w:bottom w:val="none" w:sz="0" w:space="0" w:color="auto"/>
            <w:right w:val="none" w:sz="0" w:space="0" w:color="auto"/>
          </w:divBdr>
        </w:div>
        <w:div w:id="1012341615">
          <w:marLeft w:val="547"/>
          <w:marRight w:val="0"/>
          <w:marTop w:val="96"/>
          <w:marBottom w:val="0"/>
          <w:divBdr>
            <w:top w:val="none" w:sz="0" w:space="0" w:color="auto"/>
            <w:left w:val="none" w:sz="0" w:space="0" w:color="auto"/>
            <w:bottom w:val="none" w:sz="0" w:space="0" w:color="auto"/>
            <w:right w:val="none" w:sz="0" w:space="0" w:color="auto"/>
          </w:divBdr>
        </w:div>
        <w:div w:id="1983920743">
          <w:marLeft w:val="547"/>
          <w:marRight w:val="0"/>
          <w:marTop w:val="96"/>
          <w:marBottom w:val="0"/>
          <w:divBdr>
            <w:top w:val="none" w:sz="0" w:space="0" w:color="auto"/>
            <w:left w:val="none" w:sz="0" w:space="0" w:color="auto"/>
            <w:bottom w:val="none" w:sz="0" w:space="0" w:color="auto"/>
            <w:right w:val="none" w:sz="0" w:space="0" w:color="auto"/>
          </w:divBdr>
        </w:div>
        <w:div w:id="382410848">
          <w:marLeft w:val="547"/>
          <w:marRight w:val="0"/>
          <w:marTop w:val="96"/>
          <w:marBottom w:val="0"/>
          <w:divBdr>
            <w:top w:val="none" w:sz="0" w:space="0" w:color="auto"/>
            <w:left w:val="none" w:sz="0" w:space="0" w:color="auto"/>
            <w:bottom w:val="none" w:sz="0" w:space="0" w:color="auto"/>
            <w:right w:val="none" w:sz="0" w:space="0" w:color="auto"/>
          </w:divBdr>
        </w:div>
        <w:div w:id="1253245715">
          <w:marLeft w:val="547"/>
          <w:marRight w:val="0"/>
          <w:marTop w:val="96"/>
          <w:marBottom w:val="0"/>
          <w:divBdr>
            <w:top w:val="none" w:sz="0" w:space="0" w:color="auto"/>
            <w:left w:val="none" w:sz="0" w:space="0" w:color="auto"/>
            <w:bottom w:val="none" w:sz="0" w:space="0" w:color="auto"/>
            <w:right w:val="none" w:sz="0" w:space="0" w:color="auto"/>
          </w:divBdr>
        </w:div>
        <w:div w:id="1445152560">
          <w:marLeft w:val="547"/>
          <w:marRight w:val="0"/>
          <w:marTop w:val="96"/>
          <w:marBottom w:val="0"/>
          <w:divBdr>
            <w:top w:val="none" w:sz="0" w:space="0" w:color="auto"/>
            <w:left w:val="none" w:sz="0" w:space="0" w:color="auto"/>
            <w:bottom w:val="none" w:sz="0" w:space="0" w:color="auto"/>
            <w:right w:val="none" w:sz="0" w:space="0" w:color="auto"/>
          </w:divBdr>
        </w:div>
        <w:div w:id="308022793">
          <w:marLeft w:val="547"/>
          <w:marRight w:val="0"/>
          <w:marTop w:val="96"/>
          <w:marBottom w:val="0"/>
          <w:divBdr>
            <w:top w:val="none" w:sz="0" w:space="0" w:color="auto"/>
            <w:left w:val="none" w:sz="0" w:space="0" w:color="auto"/>
            <w:bottom w:val="none" w:sz="0" w:space="0" w:color="auto"/>
            <w:right w:val="none" w:sz="0" w:space="0" w:color="auto"/>
          </w:divBdr>
        </w:div>
        <w:div w:id="917131670">
          <w:marLeft w:val="547"/>
          <w:marRight w:val="0"/>
          <w:marTop w:val="96"/>
          <w:marBottom w:val="0"/>
          <w:divBdr>
            <w:top w:val="none" w:sz="0" w:space="0" w:color="auto"/>
            <w:left w:val="none" w:sz="0" w:space="0" w:color="auto"/>
            <w:bottom w:val="none" w:sz="0" w:space="0" w:color="auto"/>
            <w:right w:val="none" w:sz="0" w:space="0" w:color="auto"/>
          </w:divBdr>
        </w:div>
      </w:divsChild>
    </w:div>
    <w:div w:id="850993399">
      <w:bodyDiv w:val="1"/>
      <w:marLeft w:val="0"/>
      <w:marRight w:val="0"/>
      <w:marTop w:val="0"/>
      <w:marBottom w:val="0"/>
      <w:divBdr>
        <w:top w:val="none" w:sz="0" w:space="0" w:color="auto"/>
        <w:left w:val="none" w:sz="0" w:space="0" w:color="auto"/>
        <w:bottom w:val="none" w:sz="0" w:space="0" w:color="auto"/>
        <w:right w:val="none" w:sz="0" w:space="0" w:color="auto"/>
      </w:divBdr>
      <w:divsChild>
        <w:div w:id="1325818284">
          <w:marLeft w:val="360"/>
          <w:marRight w:val="0"/>
          <w:marTop w:val="86"/>
          <w:marBottom w:val="60"/>
          <w:divBdr>
            <w:top w:val="none" w:sz="0" w:space="0" w:color="auto"/>
            <w:left w:val="none" w:sz="0" w:space="0" w:color="auto"/>
            <w:bottom w:val="none" w:sz="0" w:space="0" w:color="auto"/>
            <w:right w:val="none" w:sz="0" w:space="0" w:color="auto"/>
          </w:divBdr>
        </w:div>
        <w:div w:id="79841606">
          <w:marLeft w:val="360"/>
          <w:marRight w:val="0"/>
          <w:marTop w:val="86"/>
          <w:marBottom w:val="60"/>
          <w:divBdr>
            <w:top w:val="none" w:sz="0" w:space="0" w:color="auto"/>
            <w:left w:val="none" w:sz="0" w:space="0" w:color="auto"/>
            <w:bottom w:val="none" w:sz="0" w:space="0" w:color="auto"/>
            <w:right w:val="none" w:sz="0" w:space="0" w:color="auto"/>
          </w:divBdr>
        </w:div>
      </w:divsChild>
    </w:div>
    <w:div w:id="1180701683">
      <w:bodyDiv w:val="1"/>
      <w:marLeft w:val="0"/>
      <w:marRight w:val="0"/>
      <w:marTop w:val="0"/>
      <w:marBottom w:val="0"/>
      <w:divBdr>
        <w:top w:val="none" w:sz="0" w:space="0" w:color="auto"/>
        <w:left w:val="none" w:sz="0" w:space="0" w:color="auto"/>
        <w:bottom w:val="none" w:sz="0" w:space="0" w:color="auto"/>
        <w:right w:val="none" w:sz="0" w:space="0" w:color="auto"/>
      </w:divBdr>
      <w:divsChild>
        <w:div w:id="1929269689">
          <w:marLeft w:val="360"/>
          <w:marRight w:val="0"/>
          <w:marTop w:val="106"/>
          <w:marBottom w:val="60"/>
          <w:divBdr>
            <w:top w:val="none" w:sz="0" w:space="0" w:color="auto"/>
            <w:left w:val="none" w:sz="0" w:space="0" w:color="auto"/>
            <w:bottom w:val="none" w:sz="0" w:space="0" w:color="auto"/>
            <w:right w:val="none" w:sz="0" w:space="0" w:color="auto"/>
          </w:divBdr>
        </w:div>
      </w:divsChild>
    </w:div>
    <w:div w:id="1373964823">
      <w:bodyDiv w:val="1"/>
      <w:marLeft w:val="0"/>
      <w:marRight w:val="0"/>
      <w:marTop w:val="0"/>
      <w:marBottom w:val="0"/>
      <w:divBdr>
        <w:top w:val="none" w:sz="0" w:space="0" w:color="auto"/>
        <w:left w:val="none" w:sz="0" w:space="0" w:color="auto"/>
        <w:bottom w:val="none" w:sz="0" w:space="0" w:color="auto"/>
        <w:right w:val="none" w:sz="0" w:space="0" w:color="auto"/>
      </w:divBdr>
      <w:divsChild>
        <w:div w:id="2063140772">
          <w:marLeft w:val="547"/>
          <w:marRight w:val="0"/>
          <w:marTop w:val="0"/>
          <w:marBottom w:val="0"/>
          <w:divBdr>
            <w:top w:val="none" w:sz="0" w:space="0" w:color="auto"/>
            <w:left w:val="none" w:sz="0" w:space="0" w:color="auto"/>
            <w:bottom w:val="none" w:sz="0" w:space="0" w:color="auto"/>
            <w:right w:val="none" w:sz="0" w:space="0" w:color="auto"/>
          </w:divBdr>
        </w:div>
        <w:div w:id="784622694">
          <w:marLeft w:val="547"/>
          <w:marRight w:val="0"/>
          <w:marTop w:val="0"/>
          <w:marBottom w:val="0"/>
          <w:divBdr>
            <w:top w:val="none" w:sz="0" w:space="0" w:color="auto"/>
            <w:left w:val="none" w:sz="0" w:space="0" w:color="auto"/>
            <w:bottom w:val="none" w:sz="0" w:space="0" w:color="auto"/>
            <w:right w:val="none" w:sz="0" w:space="0" w:color="auto"/>
          </w:divBdr>
        </w:div>
        <w:div w:id="1331178074">
          <w:marLeft w:val="547"/>
          <w:marRight w:val="0"/>
          <w:marTop w:val="0"/>
          <w:marBottom w:val="0"/>
          <w:divBdr>
            <w:top w:val="none" w:sz="0" w:space="0" w:color="auto"/>
            <w:left w:val="none" w:sz="0" w:space="0" w:color="auto"/>
            <w:bottom w:val="none" w:sz="0" w:space="0" w:color="auto"/>
            <w:right w:val="none" w:sz="0" w:space="0" w:color="auto"/>
          </w:divBdr>
        </w:div>
        <w:div w:id="1244871549">
          <w:marLeft w:val="547"/>
          <w:marRight w:val="0"/>
          <w:marTop w:val="0"/>
          <w:marBottom w:val="0"/>
          <w:divBdr>
            <w:top w:val="none" w:sz="0" w:space="0" w:color="auto"/>
            <w:left w:val="none" w:sz="0" w:space="0" w:color="auto"/>
            <w:bottom w:val="none" w:sz="0" w:space="0" w:color="auto"/>
            <w:right w:val="none" w:sz="0" w:space="0" w:color="auto"/>
          </w:divBdr>
        </w:div>
        <w:div w:id="601452657">
          <w:marLeft w:val="547"/>
          <w:marRight w:val="0"/>
          <w:marTop w:val="0"/>
          <w:marBottom w:val="0"/>
          <w:divBdr>
            <w:top w:val="none" w:sz="0" w:space="0" w:color="auto"/>
            <w:left w:val="none" w:sz="0" w:space="0" w:color="auto"/>
            <w:bottom w:val="none" w:sz="0" w:space="0" w:color="auto"/>
            <w:right w:val="none" w:sz="0" w:space="0" w:color="auto"/>
          </w:divBdr>
        </w:div>
        <w:div w:id="717894649">
          <w:marLeft w:val="547"/>
          <w:marRight w:val="0"/>
          <w:marTop w:val="0"/>
          <w:marBottom w:val="0"/>
          <w:divBdr>
            <w:top w:val="none" w:sz="0" w:space="0" w:color="auto"/>
            <w:left w:val="none" w:sz="0" w:space="0" w:color="auto"/>
            <w:bottom w:val="none" w:sz="0" w:space="0" w:color="auto"/>
            <w:right w:val="none" w:sz="0" w:space="0" w:color="auto"/>
          </w:divBdr>
        </w:div>
        <w:div w:id="233129141">
          <w:marLeft w:val="547"/>
          <w:marRight w:val="0"/>
          <w:marTop w:val="86"/>
          <w:marBottom w:val="0"/>
          <w:divBdr>
            <w:top w:val="none" w:sz="0" w:space="0" w:color="auto"/>
            <w:left w:val="none" w:sz="0" w:space="0" w:color="auto"/>
            <w:bottom w:val="none" w:sz="0" w:space="0" w:color="auto"/>
            <w:right w:val="none" w:sz="0" w:space="0" w:color="auto"/>
          </w:divBdr>
        </w:div>
        <w:div w:id="1078672173">
          <w:marLeft w:val="547"/>
          <w:marRight w:val="0"/>
          <w:marTop w:val="86"/>
          <w:marBottom w:val="0"/>
          <w:divBdr>
            <w:top w:val="none" w:sz="0" w:space="0" w:color="auto"/>
            <w:left w:val="none" w:sz="0" w:space="0" w:color="auto"/>
            <w:bottom w:val="none" w:sz="0" w:space="0" w:color="auto"/>
            <w:right w:val="none" w:sz="0" w:space="0" w:color="auto"/>
          </w:divBdr>
        </w:div>
      </w:divsChild>
    </w:div>
    <w:div w:id="205025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7259</Words>
  <Characters>41381</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48543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DELL</cp:lastModifiedBy>
  <cp:revision>2</cp:revision>
  <dcterms:created xsi:type="dcterms:W3CDTF">2021-05-31T15:28:00Z</dcterms:created>
  <dcterms:modified xsi:type="dcterms:W3CDTF">2021-05-31T15:28:00Z</dcterms:modified>
</cp:coreProperties>
</file>