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7-МАЪРУЗА. ИҚТИСОДИЁТ РАҚОБАТБАРДОШЛИГИНИ ОШИРИШНИНГ ИЖТИМОИЙ ОМИЛЛАРИ</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7.1. Табиий маҳсулотларнинг рақобатбардошлиги</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7.2. Экологик тоза бизнес ва соғлиқни сақлаш сиёсати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7.3. Ўзбекистон Республикасида инсон капитали ривожланишининг бугунги баҳоси ва йўналишлари: назария ва амалиёт масалалари</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7.4. Иқтисодий фаол аҳоли рақобатбардошлигининг мамлакатлараро даражаси</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7.5. Таълим миллий иқтисодиёт рақобатбардошлигини оширишнинг омили сифатида</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маҳсулот, табиий маҳсулот, соғлиқни сақлаш, экология, бизнес, инсон капитал, иқтисодий фаол аҳоли, рақобатбардошлик, таълимрақобатбардошлик омиллари, баҳо, сифат, маркетинг қамрови, сервис хизмати.</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7.1. Табиий маҳсулотларнинг рақобатбардошлиги</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Товарнинг рақобатбардошлигини унинг энг якуний, яъни бозордаги тижорат муваффақияти белгилаб беради. Юқорида айтиб ўтганимиздек, рақобатбардошлик деганда, рақобат товарлари ва улар аналоглари катта миқдорда таклиф этилаётган шароитларда, уларнингбошқалардан устунлигини кўрсатувчи товар (маҳсулот)нинг  истеъмол ва қиймат (нарх) кўрсаткичлари тушунилади.</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Товар (маҳсулот)нинг юқори рақобатбардошлик даражасининг асоси унинг сифатидир (7.1-расм).</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1066800</wp:posOffset>
                </wp:positionH>
                <wp:positionV relativeFrom="paragraph">
                  <wp:posOffset>25400</wp:posOffset>
                </wp:positionV>
                <wp:extent cx="3409950" cy="2774950"/>
                <wp:effectExtent b="0" l="0" r="0" t="0"/>
                <wp:wrapNone/>
                <wp:docPr id="2" name=""/>
                <a:graphic>
                  <a:graphicData uri="http://schemas.microsoft.com/office/word/2010/wordprocessingGroup">
                    <wpg:wgp>
                      <wpg:cNvGrpSpPr/>
                      <wpg:grpSpPr>
                        <a:xfrm>
                          <a:off x="3641025" y="2392525"/>
                          <a:ext cx="3409950" cy="2774950"/>
                          <a:chOff x="3641025" y="2392525"/>
                          <a:chExt cx="3409950" cy="2774950"/>
                        </a:xfrm>
                      </wpg:grpSpPr>
                      <wpg:grpSp>
                        <wpg:cNvGrpSpPr/>
                        <wpg:grpSpPr>
                          <a:xfrm>
                            <a:off x="3641025" y="2392525"/>
                            <a:ext cx="3409950" cy="2774950"/>
                            <a:chOff x="2830" y="1180"/>
                            <a:chExt cx="5370" cy="4370"/>
                          </a:xfrm>
                        </wpg:grpSpPr>
                        <wps:wsp>
                          <wps:cNvSpPr/>
                          <wps:cNvPr id="3" name="Shape 3"/>
                          <wps:spPr>
                            <a:xfrm>
                              <a:off x="2830" y="1180"/>
                              <a:ext cx="5350" cy="4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3090" y="1180"/>
                              <a:ext cx="1320" cy="9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98.00000190734863" w:right="-116.00000381469727"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Меҳнат воситалари сифати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3" name="Shape 13"/>
                          <wps:spPr>
                            <a:xfrm>
                              <a:off x="6610" y="1180"/>
                              <a:ext cx="1320" cy="9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98.00000190734863" w:right="-116.00000381469727"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Предмет сифати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4" name="Shape 14"/>
                          <wps:spPr>
                            <a:xfrm>
                              <a:off x="4850" y="1180"/>
                              <a:ext cx="1320" cy="9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98.00000190734863" w:right="-116.00000381469727"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Меҳнат сифати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5" name="Shape 15"/>
                          <wps:spPr>
                            <a:xfrm>
                              <a:off x="3480" y="2430"/>
                              <a:ext cx="3980" cy="44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98.00000190734863" w:right="-116.00000381469727"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Иш сифати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6" name="Shape 16"/>
                          <wps:spPr>
                            <a:xfrm>
                              <a:off x="3560" y="5140"/>
                              <a:ext cx="3900" cy="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98.00000190734863" w:right="-116.00000381469727"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Рақобатбардошлик</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7" name="Shape 17"/>
                          <wps:spPr>
                            <a:xfrm>
                              <a:off x="3560" y="4430"/>
                              <a:ext cx="3900" cy="4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98.00000190734863" w:right="-116.00000381469727"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Ишлаб чиқариш самарадорлиги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8" name="Shape 18"/>
                          <wps:spPr>
                            <a:xfrm>
                              <a:off x="3090" y="3130"/>
                              <a:ext cx="1320" cy="9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98.00000190734863" w:right="-116.00000381469727"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Ялпи маҳсулот сифати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9" name="Shape 19"/>
                          <wps:spPr>
                            <a:xfrm>
                              <a:off x="4850" y="3150"/>
                              <a:ext cx="1320" cy="9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98.00000190734863" w:right="-116.00000381469727"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Маҳсулот сифати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20" name="Shape 20"/>
                          <wps:spPr>
                            <a:xfrm>
                              <a:off x="6610" y="3150"/>
                              <a:ext cx="1320" cy="9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98.00000190734863" w:right="-116.00000381469727"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Ресурслар тежами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a:off x="4410" y="1470"/>
                              <a:ext cx="440" cy="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6170" y="1470"/>
                              <a:ext cx="440" cy="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2830" y="1670"/>
                              <a:ext cx="260" cy="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a:off x="7930" y="1670"/>
                              <a:ext cx="270" cy="1"/>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a:off x="6170" y="1780"/>
                              <a:ext cx="440" cy="1"/>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a:off x="4410" y="1781"/>
                              <a:ext cx="440" cy="1"/>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7320" y="2170"/>
                              <a:ext cx="0" cy="26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3730" y="2170"/>
                              <a:ext cx="0" cy="26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3730" y="2870"/>
                              <a:ext cx="0" cy="26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5500" y="2890"/>
                              <a:ext cx="0" cy="26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5500" y="2170"/>
                              <a:ext cx="0" cy="26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7320" y="2890"/>
                              <a:ext cx="0" cy="26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5500" y="4140"/>
                              <a:ext cx="1" cy="29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5499" y="4850"/>
                              <a:ext cx="1" cy="29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7319" y="4140"/>
                              <a:ext cx="1" cy="29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3729" y="4140"/>
                              <a:ext cx="1" cy="29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2830" y="5350"/>
                              <a:ext cx="730" cy="1"/>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2830" y="3660"/>
                              <a:ext cx="260" cy="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2830" y="2620"/>
                              <a:ext cx="650" cy="1"/>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2830" y="4620"/>
                              <a:ext cx="740" cy="1"/>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2830" y="1670"/>
                              <a:ext cx="0" cy="368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a:off x="8200" y="1670"/>
                              <a:ext cx="0" cy="368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10800000">
                              <a:off x="7460" y="2632"/>
                              <a:ext cx="740" cy="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a:off x="7930" y="3548"/>
                              <a:ext cx="270" cy="1"/>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rot="10800000">
                              <a:off x="7460" y="4620"/>
                              <a:ext cx="740" cy="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rot="10800000">
                              <a:off x="7460" y="5352"/>
                              <a:ext cx="740" cy="0"/>
                            </a:xfrm>
                            <a:prstGeom prst="straightConnector1">
                              <a:avLst/>
                            </a:prstGeom>
                            <a:solidFill>
                              <a:srgbClr val="FFFFFF"/>
                            </a:solid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1066800</wp:posOffset>
                </wp:positionH>
                <wp:positionV relativeFrom="paragraph">
                  <wp:posOffset>25400</wp:posOffset>
                </wp:positionV>
                <wp:extent cx="3409950" cy="277495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409950" cy="2774950"/>
                        </a:xfrm>
                        <a:prstGeom prst="rect"/>
                        <a:ln/>
                      </pic:spPr>
                    </pic:pic>
                  </a:graphicData>
                </a:graphic>
              </wp:anchor>
            </w:drawing>
          </mc:Fallback>
        </mc:AlternateConten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7.1.-расм. Маҳсулот рақобатбардошлигининг шаклланиши</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Қишлоқ хўжалик маҳсулотлари кўп сонли номларда келтирилади. Унинг рақобатбардошлигини баҳолаш учун жуда кенг миқёсда нарх, талаб, рентабеллик, талаб ва ишлаб чиқариш ҳажми бўйича таклиф кўрсаткичларидан фойдаланиш керак бўлади.</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 баъзи олимлар қишлоқ хўжалик маҳсулотларининг рақобатбардошлик даражасини ҳосилдорлик, нархлар, таннарх ва рентабеллик ўлчамларига бевосита боғлиқлигини ҳам эътиборга оладилар. Яъни “ҳосилдорлик қанчалик юқори бўлса, маҳсулот рақобатбардошлиги ҳам шунчалик юқори бўлади” деган фикр мавжуд. Албатта, юқори даражада ҳосил етиштиришмақтовга лойиқ. Бироқ ҳосилдорликни оддий усуллар (ишлов беришни кўпайтириш, ўғитларни кўпроқ солиш, ўсимликлар касалланишининг олдини олиш бўйича тадбирлар ўтказиш) ёрдамида ошириш, одатда, қўшимча ресурслардан фойдаланиш самарадорлигини пасайиши билан бирга содир бўлади.</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Гап шундаки, ҳар қандай қишлоқ хўжалик маҳсулоти ҳосилдорлигининг энг юқори чегараси мавжуд бўлиб, унга яқинлашган сари ҳосилдорликни оширишнинг ҳар бир қўшимча центнери қимматлашиб боради. Бу жиҳатдан, ўзбек аграр бозорига хос бўлган молиявий ресурсларнинг чекланганлик шароитида, жуда кўп миқдорда ҳосил олиш учун харажатларнинг оддий равишда ошиб кетиши қишлоқ хўжалик корхоналарининг барқарор фаолият юритиши ва рақобатбардошлигини оширишга ёрдам бермайди.</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Корхоналарнинг бозорда эгаллаган ўрни мустаҳкамлиги уларнинг ишлаб чиқарган маҳсулотлари рақобатбардошлиги ҳамда рақобатлаша олиш имкониятлари билан ўлчанади. Рақобатбардошлик бозорда таклиф этилаётган маҳсулотларнинг сифат кўрсаткичларини акс эттиради. Маҳсулотнинг истеъмол ва қиймат кўрсаткичлари йиғиндиси унга тижорат муваффақиятини таъминлаган тақдирдагина у рақобатбардош ҳисобланади. Рақобатбардош маҳсулот-ўзининг сифат ва ижтимоий-иқтисодий белгилари билан худди шундай бошқа маҳсулотдан манфаатли тарзда ажралиб турувчи товардир. Бугунги кунда жаҳон озиқ-овқат бозорларига ўз маҳсулотларини экспорт қилувчи товар ишлаб чиқарувчилар олдида турган энг муҳим вазифалардан бири-маҳсулотларнинг рақобатбардошлик даражасини баҳолай олиш ва тўғри аниқлашдир.</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Маълумки, товарнинг харидорни ўзига жалб кила олиш хусусияти яъниунинг жозибадорлиги унинг рақобатбардошлигини, ўз навбатида корхонанинг ҳам рақобатда устунлигини таъминлайди. Шу сабабли биз рақобатбардошлик мезонлари ва уларнинг тавсифини 7.1.-жадвал маълумотларида келтирдик.</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 албатта, товарнинг қимматлигига мос ҳолда белгиланиши керак. Нарх ва товарнинг қимматлилигининг орасида чамбарчас боғлиқлик мавжуд. Озиқ-овқат маҳсулотлари ишлаб чикариш, тарқатиш ва сотиш билан боғлиқ соҳаларда фаолият юритаётган маркетологлар ёки маркетолог вазифасини бажариб турган ходимлар ана шу тамоилга ҳам амал килган ҳолда иш юритишлари мақсадга муфовик ҳисобланади.</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7.1.-жадвал</w:t>
      </w: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Товар рақобатбардошлигининг асосий омиллари</w:t>
      </w:r>
      <w:r w:rsidDel="00000000" w:rsidR="00000000" w:rsidRPr="00000000">
        <w:rPr>
          <w:rtl w:val="0"/>
        </w:rPr>
      </w:r>
    </w:p>
    <w:tbl>
      <w:tblPr>
        <w:tblStyle w:val="Table1"/>
        <w:tblW w:w="9463.0" w:type="dxa"/>
        <w:jc w:val="left"/>
        <w:tblInd w:w="108.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02"/>
        <w:gridCol w:w="6061"/>
        <w:tblGridChange w:id="0">
          <w:tblGrid>
            <w:gridCol w:w="3402"/>
            <w:gridCol w:w="6061"/>
          </w:tblGrid>
        </w:tblGridChange>
      </w:tblGrid>
      <w:tr>
        <w:tc>
          <w:tcPr>
            <w:vAlign w:val="top"/>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Таъсир килувчи омиллар</w:t>
            </w:r>
            <w:r w:rsidDel="00000000" w:rsidR="00000000" w:rsidRPr="00000000">
              <w:rPr>
                <w:rtl w:val="0"/>
              </w:rPr>
            </w:r>
          </w:p>
        </w:tc>
        <w:tc>
          <w:tcPr>
            <w:vAlign w:val="top"/>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Рақобатбардошлик мезонлари тавсифи</w:t>
            </w:r>
            <w:r w:rsidDel="00000000" w:rsidR="00000000" w:rsidRPr="00000000">
              <w:rPr>
                <w:rtl w:val="0"/>
              </w:rPr>
            </w:r>
          </w:p>
        </w:tc>
      </w:tr>
      <w:tr>
        <w:tc>
          <w:tcPr>
            <w:vAlign w:val="top"/>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Баҳо</w:t>
            </w:r>
          </w:p>
        </w:tc>
        <w:tc>
          <w:tcPr>
            <w:vAlign w:val="top"/>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Баҳони рақобатчилар баҳоси билан солиштириш;</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Талабга ва рақобатчилар баҳосига караб баҳони дифференциялаш системасининг мавжудлиги;</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Чегирма нархларнинг истеъмолчилар учун жизибадорлиги.</w:t>
            </w:r>
          </w:p>
        </w:tc>
      </w:tr>
      <w:tr>
        <w:tc>
          <w:tcPr>
            <w:vAlign w:val="top"/>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Сифат</w:t>
            </w:r>
          </w:p>
        </w:tc>
        <w:tc>
          <w:tcPr>
            <w:vAlign w:val="top"/>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Техник- эксплуатацияси тавсифлари (пишик- пухталиги, қулайлиги ва х.к) таркиби, экологик тозалиги, дизайни.</w:t>
            </w:r>
          </w:p>
        </w:tc>
      </w:tr>
      <w:tr>
        <w:tc>
          <w:tcPr>
            <w:vAlign w:val="top"/>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Сервис хизмати</w:t>
            </w:r>
          </w:p>
        </w:tc>
        <w:tc>
          <w:tcPr>
            <w:vAlign w:val="top"/>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Товарни етказиб бериш сифати;</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Савдо хизмати даражаси;</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Заҳира қисмларни мавжудлиги;</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сервис хизмати мавжудлиги.</w:t>
            </w:r>
          </w:p>
        </w:tc>
      </w:tr>
      <w:tr>
        <w:tc>
          <w:tcPr>
            <w:vAlign w:val="top"/>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Маркетинг қамрови</w:t>
            </w:r>
          </w:p>
        </w:tc>
        <w:tc>
          <w:tcPr>
            <w:vAlign w:val="top"/>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Маркетинг-логистика ташиш динамикаси;</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Реклама тадбирларининг самарадорлиги;</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Дизайн даражаси ва ўраб жойланиши;</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Товарнинг кафолатланганлиги.</w:t>
            </w:r>
          </w:p>
        </w:tc>
      </w:tr>
    </w:tbl>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Бугунги кунда дунё мамлакатлари даражасидаги рақобатларда нарх омиллари эмас, балки товар ва хизматларнинг сифати ва унинг канчалик аражада янгилиги биринчи уринга чикмокда. Шу сабабли дунёнинг кўпгина мамлакатлари товар ва хизматларнинг рақобатбардошлигининг инновацияларини қўллаш, юқори технологик маҳсулотларни яратиш орқали таъминламоқдалар. </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7.2. Экологик тоза бизнес ва соғлиқни сақлаш сиёсати</w:t>
      </w: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Бугунги кунда инсониятни ҳавф остида қолдираётган ҳодисалардан бири экологик вазият ҳисобланади. Жамиятни атроф-муҳит билан ўзаро бузилган алоқаси кенг жамоатчилик ўртасида катта ташвиш уйғотмоқда. Инсонни табиий бойликлардан (сув, ўсимлик, хайвонот дунёси, тупроқ, ер ости бойликлари) хаддан ташқари ортиқча фойдаланиш оқибатида саёрамизни қиёфаси ўзгариб бормоқда. Ўрмонлар йўқ бўлиб, ўсимликлар ва хайвонот турлари камаймоқда, фойдали қазилмалар тугаб бормоқда. Сув ҳавзалари ва атмосфера ҳавосининг ифлосланиши, чиқинди моддаларнинг ортиб бориши натижасида аҳолини озиқ-овқат билан таъминлаш, энергия ва чучук сув муаммолари борган саин мураккаблашмоқда.</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Республикамизнинг, қолаверса бутун Ўрта Осиё минтақаси доирасидаги кўплаб экологик муаммолар ҳам мавжуд.</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Экотизимларни турғунлиги ва мувозанатини экологик ифода этиш ана шулар жумласидандир.</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Ўрмонлар, ўтлоклар ва сув ҳавзалари, дашт, чўл ва бошқа табиий экотизимларда ўсимлик ва хайвонот турлари, озуқа занжирлари орасидаги муносабатлар об-ҳаво шароитини, йиртқичлар, паразит хашоратлар ва касаллик туғдирувчи микроорганизмлар мувозанатини сақлаб туради.</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Хар қандай жамоада мутлақо зарарли ва ортиқча турлар йўқ. Ҳамма турлар ўзига хос вазифани адо этади.</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Экотизимда бирга яшайдиган турлар сони ўз-ўзидан табиат томонидан бошқарилади. Турлар бир-бирига қанча мослашган бўлса, тизим шунча барқарор бўлади. Демак, табиатдаги экотизимларни уйғунлик, ўз-ўзини бошқариш жараёнларига иложи борича инсон аралашувини чеклаш лозим.</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Ф.Энгельс ўзини “Табиат диалектикаси” асарида бу хусусида шундай дейди: “Табиатда ҳеч қандай тасодиф йўқ, ортиқча предмет ёки жонзод йўқ, ҳамма табиатдаги предмет ва ҳодисалар бир-бири билан боғлиқ, доимо бири иккинчисига таъсир этиб узвий боғланишдадир”. Кейинги муаммо биоиндикациялардан кенг фойдаланш бўлиб, у ер юзида тарқалган организимларнинг яшаш шароитлари билан чамбарчас боғланган.</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Республикада экологик муаммолар ишлаб чиқаришни ривожлантириш ва уни режалаштириш жараёнида унинг кетидан келадиган нохушликларни олдиндан кўрмаслик оқибатида келиб чикади.</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 сиёсатининг мақсадли йўналишлари доирасида ўзбек моделининг ишлаб чиқилиши, босқичма-босқич амалга оширилаётган ижтимоий-сиёсий, иқтисодий, маънавий-маърифий тадбирлар ва уларнинг келажак истиқболи, қонунчилик базаси билан мустаҳкамланаётган тараққиёт мезонлари ягона талабга, яъни инсон манфаатларига хизмат қилиши билан янада аҳамиятлидир. “Соғлом юрт-соғлом миллат” тушунчасининг бош тиббий омил сифатида амалиётга киритилиши, нафақат тиббиёт ходимлари, балки кенг жамоатчиликнинг ҳам тенг ҳуқуқли, масъулиятли ва шарафли вазифасига айланмоғини давлатимиз раҳбари ўз фикрларида кўп бора ифода этадилар.</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Истиқлолнинг инсонлар саломатлигини яхшилаш борасида берган имкониятлари, яратилган шарт-шароитлар, хусусан, соғлом авлод тарбияси билан боғлиқ кенг қамровли лойиҳалар йилдан-йилга такомиллашиб, ўз самарасини кўрсатмоқда. Бунинг натижаси ўлароқ, барча соҳалар каби тиббиёт тармоғида мисли кўрилмаган ўзгаришлар рўй бермоқда. Демак, бу янгиланишларда кенг қатламли аҳолининг бирдек иштироки, фаоллиги ва масъулияти юқорилигини кўриш мумкин. Дарҳақиқат, Президентимизнинг соҳага оид чиқараётган Фармон ва Қарорлари замирида ҳам инсон саломатлиги ва унинг манфаатлари мужассамлиги бу-жамиятимиз тараққиётининг янада юксалиб бораётганлигидан далолатдир.</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7.3. Ўзбекистон Республикасида инсон капитали ривожланишининг бугунги баҳоси ва йўналишлари: назария ва амалиёт масалалари</w:t>
      </w: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Инсон капиталини такрор барпо қилишнинг замонавий концепциялари эркин рақобат механизмини идеаллаштиришни тадқид қилиш ва маълум маънода А.Маршаллнинг хўжалик юритувчи субъектларни субъектив баҳолашдан, яъни микроиқтисодий даражадаги тадқиқотлардан келиб чиқадиган танлаш эркинлиги концепциясига асосланади. Бу танқиддан сиёсий иқтисодда янги йўналиш пайдо бўлди ва “неоклассик” номини олди. Унинг энг “ҳосилдор” вакиллари - М.Фридмен (“Капитализм и свобода” (1962), “Свобода выбора” 1979) ва бошқалар. Ж.Мут, Р.Лукас, Т.Саржент ва Н.Уоллес ягона микроиқтисодий асосни макроиқтисодий муаммолар таҳлилига келтиришга, яъни “синтез” назариясини яратишга ҳаракат қилдилар. Мазкур назариянинг марказий бўғини ахборотдан оқилона фойдаланиш ҳисобига ўзгариб турувчи бозор шароитларига тез мослаша оладиган бозор агентларидир. Буни бугун тадбиркорлик деб ҳам атайдилар. Агар ҳар бир тадбиркор бозорнинг ўзгаришига мослаша олса, у ҳолда микродаражада давлат томонидан бошқарилиш зарурати кескин йўқолади ва шу тариқа танлаш эркинлиги таъминланади. Мазкур назариянинг заиф томони шундан иборатки, у бозор агентлари қобилиятларининг ва рационал ахборотдан фойдаланиш имкониятларининг бир хил эмаслигини ҳисобга олмайди.</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 муносабат билан институционал-социологик йўналиш пайдо бўлиб, мустақил йўналиш сифатида жадал ривожланмоқда. Ж.Р.Коммонс, У.К.Митчелл, Ж.К.Гэлбрейт ишларида “институтлар” тушунчасига корпорациялар, касаба уюшмалари, давлат ва шунингдек иқтисодий назария ва унинг предмети чегараларини кескин оширувчи психологик, ҳуқуқий, ахлоқий, техник ва бошқа ҳодисалар ҳам киритилган. Бу йўналиш XX аср охирида “постиндустриал”, “информацион”, “сервис” жамият назариялари таъсирида, турли ижтимоий-иқтисодий тизимларнинг конвергенцияси асосида оммавийлашди. Институционалистларнинг фикрича, тадқиқотнинг бош объекти  ҳар  томонлама  камол топган шахс бўлиши керак.</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XX асрнинг иккинчи ярмидан миллий бойлик капиталнинг ҳам моддий, ҳам моддий бўлмаган шакли томонидан яратилади, деган фикрга иқтисодий фанда деярли ҳеч ким қарши чиқмаган, шу билан “инсон капитал” расмий мавқега эга бўлди. АҚШда миллий бойликнинг кенгайтирилган талқини қарор топа бошлади ва у Т.Шульц-“инсон капитали” ва “инсонга инвестиция киритиш” назарияси бўйича ишлар муаллифи номи билан боғлиқ эди.</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XX асрнинг 60-йиллари ўртасида Г.Беккер инсон хулқ-атворига иқтисодий ёндашган ҳолда “инсон капитали” назарияси аппаратини яратди. Иқтисодий ёндашув деганда индивидларнинг оқилона, энг мақбул хатти-ҳаракати тамойили назарда тутилади. Бундай ёндашув негизида оқилона умидлар гипотезаси ётади, унга кўра инсон қарорлар қабул қилишда иқтисодий мақсадга мувофиқлик тамойилидан келиб чиқади, яъни энг кўп фойда, наф келтирадиган қарорларни қабул қилади. Г.Беккерга асосан, “инсон капитали”-бу туғма қобилиятлар ва орттирилган билимлар, кўникмалар ва асослар йиғиндиси бўлиб, улардан мақсадли фойдаланиш даромаднинг ошишига олиб келади (индивид, корхона ёки жамият даражасида).</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Иқтисодиётни эркинлаштириш шароитида инсон капитални такрор яратиш моҳиятини тушуниш томон ҳаракатга ўтиш иқтисодиёти мамлакатларида, жумладан, Ўзбекистонда сезилмоқда. Бу қатор МДҲ мамлакатлари тажрибасини ҳисобга олган ҳолда берилган муаммога нисбатан амалий фанда қарор топган нуқтаи назардир. Унга кўра, ишчи кучини такрор ишлаб чиқариш харажатлари иккита манба ҳисобига шаклланади:</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 берувчиларнинг ишчи кучига харажатлари, жумладан меҳнат ҳақи, овқатланиш, турар-жой нархлари, ижтимоий ҳимоя. Касбий ўқитиш, маданий-маиший хизматлар кўрсатиш ва ишчи кучидан фойдаланишга оид солиқлар;</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давлат ва маҳаллий бюджетларнинг ижтимоий мақсадларга харажатлари, жумладан, халқ таълими, кадрларни касбий тайёрлаш, соғлиқни сақлаш, жисмоний тарбия ва спорт, ижтимоий таъминот, ёшлар сиёсати соҳасидаги тадбирлар, турар-жой ва коммунал хўжалик, бепул ва имтиёзли турар-жой ажратиш ва ҳоказолар.</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Инсон капиталининг моҳияти меҳнатга лаёқат, маълумотга эга бўлиш, касбий билим, кўникма, саломатликни ўз ичига олади ва жамиятнинг ижтимоий-иқтисодий тизими таркиби билан белгиланади. Бундай боғлиқлик анча мураккаб бўлиб, ҳаётнинг ижтимоий ва иқтисодий соҳаси чегарасидан чиқиб кетади, чунки меҳнат умумий тусга эга ва жамият ҳаётининг деярли барча соҳасида, масалан, сиёсатда, мудофаада ва ҳоказоларда мавжуд. Шундан келиб чиқиб, биз мана шу тоифани таҳлил қилиш билан ва демак, уни қайта яратиш даражасида, жумладан, сифат жиҳатдан ўрганиш билан чекланишга мажбурмиз.</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Меҳнат инсон капиталининг жамиятнинг деярли барча соҳаларига хос бўлган шакли сифатида майдонга чиқади.</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76200</wp:posOffset>
                </wp:positionV>
                <wp:extent cx="5648325" cy="4413885"/>
                <wp:effectExtent b="0" l="0" r="0" t="0"/>
                <wp:wrapNone/>
                <wp:docPr id="1" name=""/>
                <a:graphic>
                  <a:graphicData uri="http://schemas.microsoft.com/office/word/2010/wordprocessingGroup">
                    <wpg:wgp>
                      <wpg:cNvGrpSpPr/>
                      <wpg:grpSpPr>
                        <a:xfrm>
                          <a:off x="2521838" y="1573058"/>
                          <a:ext cx="5648325" cy="4413885"/>
                          <a:chOff x="2521838" y="1573058"/>
                          <a:chExt cx="5648325" cy="4413885"/>
                        </a:xfrm>
                      </wpg:grpSpPr>
                      <wpg:grpSp>
                        <wpg:cNvGrpSpPr/>
                        <wpg:grpSpPr>
                          <a:xfrm>
                            <a:off x="2521838" y="1573058"/>
                            <a:ext cx="5648325" cy="4413885"/>
                            <a:chOff x="1443" y="7704"/>
                            <a:chExt cx="8895" cy="6951"/>
                          </a:xfrm>
                        </wpg:grpSpPr>
                        <wps:wsp>
                          <wps:cNvSpPr/>
                          <wps:cNvPr id="3" name="Shape 3"/>
                          <wps:spPr>
                            <a:xfrm>
                              <a:off x="1443" y="7704"/>
                              <a:ext cx="8875" cy="6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988" y="7704"/>
                              <a:ext cx="5760" cy="1174"/>
                            </a:xfrm>
                            <a:prstGeom prst="downArrowCallout">
                              <a:avLst>
                                <a:gd fmla="val 25000" name="adj1"/>
                                <a:gd fmla="val 25000" name="adj2"/>
                                <a:gd fmla="val 25000" name="adj3"/>
                                <a:gd fmla="val 64977" name="adj4"/>
                              </a:avLst>
                            </a:prstGeom>
                            <a:solidFill>
                              <a:srgbClr val="9BBB59"/>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Ишчи кучини такрор яратиш учун тўлиқ харажатлар</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5" name="Shape 5"/>
                          <wps:spPr>
                            <a:xfrm>
                              <a:off x="1443" y="8878"/>
                              <a:ext cx="4245" cy="900"/>
                            </a:xfrm>
                            <a:prstGeom prst="roundRect">
                              <a:avLst>
                                <a:gd fmla="val 16667" name="adj"/>
                              </a:avLst>
                            </a:prstGeom>
                            <a:gradFill>
                              <a:gsLst>
                                <a:gs pos="0">
                                  <a:srgbClr val="FFFFFF"/>
                                </a:gs>
                                <a:gs pos="100000">
                                  <a:srgbClr val="D7E4BD"/>
                                </a:gs>
                              </a:gsLst>
                              <a:lin ang="5400000" scaled="0"/>
                            </a:gradFill>
                            <a:ln cap="flat" cmpd="sng" w="12700">
                              <a:solidFill>
                                <a:srgbClr val="C3D6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Ишга ёлловчиларнинг ишчи кучига харажатлари, жумладан:</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6" name="Shape 6"/>
                          <wps:spPr>
                            <a:xfrm>
                              <a:off x="6093" y="8794"/>
                              <a:ext cx="4245" cy="1208"/>
                            </a:xfrm>
                            <a:prstGeom prst="roundRect">
                              <a:avLst>
                                <a:gd fmla="val 16667" name="adj"/>
                              </a:avLst>
                            </a:prstGeom>
                            <a:gradFill>
                              <a:gsLst>
                                <a:gs pos="0">
                                  <a:srgbClr val="FFFFFF"/>
                                </a:gs>
                                <a:gs pos="100000">
                                  <a:srgbClr val="D7E4BD"/>
                                </a:gs>
                              </a:gsLst>
                              <a:lin ang="5400000" scaled="0"/>
                            </a:gradFill>
                            <a:ln cap="flat" cmpd="sng" w="12700">
                              <a:solidFill>
                                <a:srgbClr val="C3D6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Давлат ва маҳаллий бюджетнинг ижтимоий мақсадларга харажати, жумладан:</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7" name="Shape 7"/>
                          <wps:spPr>
                            <a:xfrm>
                              <a:off x="1533" y="10002"/>
                              <a:ext cx="4050" cy="4653"/>
                            </a:xfrm>
                            <a:prstGeom prst="rect">
                              <a:avLst/>
                            </a:prstGeom>
                            <a:gradFill>
                              <a:gsLst>
                                <a:gs pos="0">
                                  <a:srgbClr val="FFFFFF"/>
                                </a:gs>
                                <a:gs pos="100000">
                                  <a:srgbClr val="D7E4BD"/>
                                </a:gs>
                              </a:gsLst>
                              <a:lin ang="5400000" scaled="0"/>
                            </a:gradFill>
                            <a:ln cap="flat" cmpd="sng" w="12700">
                              <a:solidFill>
                                <a:srgbClr val="C3D6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меҳнатга ҳақ тўлаш, жумладан:</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ишлаб берилган вақт учун ҳақ,</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ишланмаган вақт учун ҳақ,</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бир марталик рағбатлантирувчи тўловлар,</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овқатланиш қиймати ҳақи,</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хизматчини уй-жой билан таъминлаш уларни ижтимоий ҳимоя қилиш,</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касбий ўқитиш,</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маданий-маиший хизмат кўрсатиш,</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ишчи кучи учун бошқа харажатлар,</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ишчи кучидан фойдаланишга боғлиқ солиқлар.</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8" name="Shape 8"/>
                          <wps:spPr>
                            <a:xfrm>
                              <a:off x="6168" y="10215"/>
                              <a:ext cx="4050" cy="2999"/>
                            </a:xfrm>
                            <a:prstGeom prst="rect">
                              <a:avLst/>
                            </a:prstGeom>
                            <a:gradFill>
                              <a:gsLst>
                                <a:gs pos="0">
                                  <a:srgbClr val="FFFFFF"/>
                                </a:gs>
                                <a:gs pos="100000">
                                  <a:srgbClr val="D7E4BD"/>
                                </a:gs>
                              </a:gsLst>
                              <a:lin ang="5400000" scaled="0"/>
                            </a:gradFill>
                            <a:ln cap="flat" cmpd="sng" w="12700">
                              <a:solidFill>
                                <a:srgbClr val="C3D6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халқ таълими кадрларини касбий </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тайёрлаш;</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соғлиқни сақлаш, жисмоний тарбия ва спорт;</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ижтимоий таъминот, ёшлар сиёсатини амалга ошириш тадбирлари;</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турар-жой ва коммунал хўжалиги;</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бепул ва имтиёзли турар-жой ажратиш.</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a:off x="3483" y="9778"/>
                              <a:ext cx="0" cy="224"/>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8178" y="10002"/>
                              <a:ext cx="15" cy="213"/>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76200</wp:posOffset>
                </wp:positionV>
                <wp:extent cx="5648325" cy="4413885"/>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5648325" cy="4413885"/>
                        </a:xfrm>
                        <a:prstGeom prst="rect"/>
                        <a:ln/>
                      </pic:spPr>
                    </pic:pic>
                  </a:graphicData>
                </a:graphic>
              </wp:anchor>
            </w:drawing>
          </mc:Fallback>
        </mc:AlternateConten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7.2.-расм. Ишчи кучини такрор ишлаб чиқариш харажатлари таркиби</w:t>
      </w:r>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“Инсон капитали” назарияси таърифлари ва постулатларидан келиб чиққанда, кўрилаётган йиғинди ишчи кучини сотиш ва сотиб олишда, яъни ишга ёллаш пайтида инсон капиталига айланади. Инсон капиталнинг ўсиши меҳнат унумдорлигининг ва ишлаб чиқариш самарадорлигининг ўсишига ёрдам бериши керак. Инсон капиталдан мақсадди фойдаланиш ходим даромадларининг ўсишига олиб келиши лозим. Даромадларнинг кўпайиши ходимии саломатликка, билимларни ошириш, кўникмалар ва рағбатлардан кейинчалик янада самарали фойдаланиш учун таълим ва ҳоказоларга маблағ ажратишга ундайди.</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Ўтиш иқтисодиёти шароитида инсон капиталини такрор барпо қилиш назарияси, назарий қарашларни кенгайтириш билан бирга, хусусан, таълим ва соғлиқни сақлаш соҳаларида, давлат сиёсатини юритишда муҳим амалий ақамиятга эга.</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7.4. Иқтисодий фаол аҳоли рақобатбардошлигининг мамлакатлараро даражаси</w:t>
      </w: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Мазкур тадқиқотдаги муҳим демографик кўрсаткичлар сифатида аҳолининг 1975-2003 йиллардаги ўртача йиллик ўсиш суръатлари ҳамда иқтисодий фаол аҳолининг меҳнатга лаёқатли ёшдаги аҳоли умумий сонидаги ҳиссаси таҳлил этилди.</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1975-2003 йиллар мобайнида Ўзбекистон аҳолиси сонининг ўртача ўсиш суръатлари, Тожикистон ва Туркманистонда бўлганидек, 2,2% ни ташкил қилди ва МДҲ мамлакатлари ичида энг юқори кўрсаткичлардан бири сифатида эътироф этилди. Баъзи мамлакатларда эса аҳоли сонининг камайиши кузатилди Масалан, ўртача ўсиш сурьатларининг манфий қиймати Украинада (-0,1%) ва Грузияда (-0,3%) кузатилди.</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фаол аҳолининг меҳнатга лаёқатли аҳолининг умумий сонидаги қиссаси МДҲ нинг 5 та мамлакати - Россия, Украина, Ўзбекистон, Молдова ва Тожикистонда бўйича таҳлил қилинди. 2002 йилда бу кўрсаткичнинг энг юқори қиймати Россияда (79,6%) ва энг паст қиймати Тожикистонда (54,8%) қайд этилди. Ўзбекистонда бу кўрсаткич 71,1% га тенг бўлди.</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фаол аҳоли” устунидаги кўрсаткичларнинг бундай фарқи, биринчи галда, Ўзбекистон ва Тожикистонда аҳоли сони ўсишининг ўртача кўрсаткичлари юқорилиги ва Россия ва Молдовада аҳоли сони ўсиши суръатларининг пастлиги, Украинада эса ҳаттоки аҳоли ўртача пасайиши суръатлари мавжудлиги билан изоҳланади.</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Демографик омил, ўз навбатида, меҳнат вазиятига таъсир кўрсатади. Меҳнат омили иқтисодий фаол аҳолининг бандлиги даражаси ва ишсизлик, ишчи кучига талаб ва таклифнинг мувозанатлашганлиги, меҳнат бозоридаги кескинлик даражаси, кичик бизнес ва тадбиркорликни ривожлантириш учун шароитлар яратилиши билан белгиланади.</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фаол аҳоли сифат хусусиятларидан муҳими унинг касбий-таълим даражасидир. Таълим даражаси индекси бўйича МДҲ мамлакатлари ичида Россия биринчи ўринни эгаллайди (0,96), Ўрта Осиё республикалари, жумладан, Ўзбекистон 0,91 даражасида турибди. Энг паст таълим даражаси индекси Молдовага тегишли (0,85).</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фаол аҳоли рақобатбардошлигининг мамлакат бўйича даражасини баҳолаш шуни кўрсатдики, унинг даражаси Ўзбекистонда 0,41 ни ташкил қилди.</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фаол аҳоли рақобатбардошлигининг омиллар бўйича таҳлили қуйидагиларни намоён этди: иқтисодий аҳоли рақобатбардошлиги демографик омил бўйича 0,83, меҳнат омили бўйича - 0,33, таълим омили бўйича - 0,82, илмий-техникавий тараққиёт бўйича - 0,12, тиббий омил бўйича - 0,4, иқтисодий омил бўйича - 0,12 ва даромадлар дифференциацияси бўйича - 0,21 ни ташкил қилди. Шу муносабатда қуйидаги хулоса келиб чиқади: Ўзбекистоннинг иқтисодий фаол аҳолиси рақобатбардошлигининг мамлакат даражасини оширувчи омиллар демографик, таълим ва тиббий омиллардир.</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876300</wp:posOffset>
                </wp:positionH>
                <wp:positionV relativeFrom="paragraph">
                  <wp:posOffset>114300</wp:posOffset>
                </wp:positionV>
                <wp:extent cx="4541520" cy="1866900"/>
                <wp:effectExtent b="0" l="0" r="0" t="0"/>
                <wp:wrapNone/>
                <wp:docPr id="3" name=""/>
                <a:graphic>
                  <a:graphicData uri="http://schemas.microsoft.com/office/word/2010/wordprocessingGroup">
                    <wpg:wgp>
                      <wpg:cNvGrpSpPr/>
                      <wpg:grpSpPr>
                        <a:xfrm>
                          <a:off x="3075240" y="2846550"/>
                          <a:ext cx="4541520" cy="1866900"/>
                          <a:chOff x="3075240" y="2846550"/>
                          <a:chExt cx="4541520" cy="1866900"/>
                        </a:xfrm>
                      </wpg:grpSpPr>
                      <wpg:grpSp>
                        <wpg:cNvGrpSpPr/>
                        <wpg:grpSpPr>
                          <a:xfrm>
                            <a:off x="3075240" y="2846550"/>
                            <a:ext cx="4541520" cy="1866900"/>
                            <a:chOff x="2523" y="6153"/>
                            <a:chExt cx="7152" cy="2940"/>
                          </a:xfrm>
                        </wpg:grpSpPr>
                        <wps:wsp>
                          <wps:cNvSpPr/>
                          <wps:cNvPr id="3" name="Shape 3"/>
                          <wps:spPr>
                            <a:xfrm>
                              <a:off x="2523" y="6153"/>
                              <a:ext cx="7150" cy="29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8" name="Shape 48"/>
                          <wps:spPr>
                            <a:xfrm>
                              <a:off x="4748" y="6153"/>
                              <a:ext cx="2879" cy="795"/>
                            </a:xfrm>
                            <a:prstGeom prst="ellipse">
                              <a:avLst/>
                            </a:prstGeom>
                            <a:solidFill>
                              <a:srgbClr val="4BACC6"/>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ОМИЛЛАР</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49" name="Shape 49"/>
                          <wps:spPr>
                            <a:xfrm>
                              <a:off x="2523" y="7563"/>
                              <a:ext cx="2755" cy="645"/>
                            </a:xfrm>
                            <a:prstGeom prst="roundRect">
                              <a:avLst>
                                <a:gd fmla="val 16667" name="adj"/>
                              </a:avLst>
                            </a:prstGeom>
                            <a:gradFill>
                              <a:gsLst>
                                <a:gs pos="0">
                                  <a:srgbClr val="93CDDD"/>
                                </a:gs>
                                <a:gs pos="50000">
                                  <a:srgbClr val="DBEEF4"/>
                                </a:gs>
                                <a:gs pos="100000">
                                  <a:srgbClr val="93CDDD"/>
                                </a:gs>
                              </a:gsLst>
                              <a:lin ang="189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демографик</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50" name="Shape 50"/>
                          <wps:spPr>
                            <a:xfrm>
                              <a:off x="6920" y="7563"/>
                              <a:ext cx="2755" cy="645"/>
                            </a:xfrm>
                            <a:prstGeom prst="roundRect">
                              <a:avLst>
                                <a:gd fmla="val 16667" name="adj"/>
                              </a:avLst>
                            </a:prstGeom>
                            <a:gradFill>
                              <a:gsLst>
                                <a:gs pos="0">
                                  <a:srgbClr val="93CDDD"/>
                                </a:gs>
                                <a:gs pos="50000">
                                  <a:srgbClr val="DBEEF4"/>
                                </a:gs>
                                <a:gs pos="100000">
                                  <a:srgbClr val="93CDDD"/>
                                </a:gs>
                              </a:gsLst>
                              <a:lin ang="189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таълим</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51" name="Shape 51"/>
                          <wps:spPr>
                            <a:xfrm>
                              <a:off x="4836" y="8448"/>
                              <a:ext cx="2755" cy="645"/>
                            </a:xfrm>
                            <a:prstGeom prst="roundRect">
                              <a:avLst>
                                <a:gd fmla="val 16667" name="adj"/>
                              </a:avLst>
                            </a:prstGeom>
                            <a:gradFill>
                              <a:gsLst>
                                <a:gs pos="0">
                                  <a:srgbClr val="93CDDD"/>
                                </a:gs>
                                <a:gs pos="50000">
                                  <a:srgbClr val="DBEEF4"/>
                                </a:gs>
                                <a:gs pos="100000">
                                  <a:srgbClr val="93CDDD"/>
                                </a:gs>
                              </a:gsLst>
                              <a:lin ang="189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тиббий</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a:off x="6196" y="6948"/>
                              <a:ext cx="0" cy="150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a:off x="5278" y="6948"/>
                              <a:ext cx="918" cy="855"/>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6214" y="6948"/>
                              <a:ext cx="706" cy="855"/>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876300</wp:posOffset>
                </wp:positionH>
                <wp:positionV relativeFrom="paragraph">
                  <wp:posOffset>114300</wp:posOffset>
                </wp:positionV>
                <wp:extent cx="4541520" cy="1866900"/>
                <wp:effectExtent b="0" l="0" r="0" t="0"/>
                <wp:wrapNone/>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4541520" cy="1866900"/>
                        </a:xfrm>
                        <a:prstGeom prst="rect"/>
                        <a:ln/>
                      </pic:spPr>
                    </pic:pic>
                  </a:graphicData>
                </a:graphic>
              </wp:anchor>
            </w:drawing>
          </mc:Fallback>
        </mc:AlternateConten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7.3.-расм. Ўзбекистоннинг иқтисодий фаол аҳолиси рақобатбардошлигининг мамлакат даражасини оширувчи омиллар</w:t>
      </w:r>
      <w:r w:rsidDel="00000000" w:rsidR="00000000" w:rsidRPr="00000000">
        <w:rPr>
          <w:rtl w:val="0"/>
        </w:rPr>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Илмий-техникавий таракҳиёт омили эса энг паст рақобатбардошлик коэффициентига эга ва жадал ривожлантирилиши керак.</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Ижтимоий-иқтисодий ривожланишни жадаллаштириш, мулкдорларнинг ўрта синфини яратиш, ёлланма хизматчилар рақобатбардошлигини меҳнатга ҳақ тўлаш тизимини мукаммаллаштириш ва унинг унумдорлигини ошириш асносида аҳоли даромадларининг табақалашувини камайтириш ҳақида ҳам худди шу гапни айтиш мумкин.</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7.5. Таълим миллий иқтисодиёт рақобатбардошлигини оширишнинг омили сифатида</w:t>
      </w:r>
      <w:r w:rsidDel="00000000" w:rsidR="00000000" w:rsidRPr="00000000">
        <w:rPr>
          <w:rtl w:val="0"/>
        </w:rPr>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Таълим хизматларининг шакллантирилиши бозор иқтисодиёти мамлакатларидаги муҳим соҳалардан биридир. Таълим тизимидаги таълим хизматлари бозорини ўзгартириш зарурати муассасалар ва ташкилотларга сифатли сервис хизматларини кўрсатишга қодир бўлгантурли мутахассисларга бўлган талаб ва таклифнинг қарор топганлиги билан изоҳланади. Ўз касбини чуқур биладиган, кенг, ҳар томонлама гуманитар тайёргарликка эга бўлган, ривожланган ижодий қобилиятли, муқобил тафаккурли, мустақил қарор  қабул қила оладиган рақобатбардош мутахассисларни тайёрлаш зарурати  туғилди.</w:t>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Ривожланган мамлакатлар томонидан таълим соҳасида иқтисодий механизмларни шакллантиришда янги таълим тизимини қарор топтириш, таълим маҳсулотлари ва хизматлари бозорини ривожлантириш борасида амалга оширилган амалий ишлар қуйидаги хулосаларга олиб келди: ахборот технологиялари таъсирида норасмий тусдаги ғояларнинг амалий амал қилиши юз бермоқда. Яъни, таълим ўқув даргоҳи доираси билан чекланиб қолмаяпти.</w:t>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Шаклланаётган янги таълим тизимининг бошқа ўзига хос хусусияти таълимнинг индивидуаллиги бўлиб, жамоавий ўқитишга мўлжалланган анъанавий таълим тизимидан фарқли ўлароқ, таълим олаётганнинг ҳам, таълим  бераётганнинг ҳам имкониятларини ҳисобга олади. Бу жуда муҳимдир,  чунки  жамоавий тизим инсон қобилиятларини ёш хусусияти билан чегаралаб қўяр эди.</w:t>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Республикаси мустақиллик шароитида эски таълим тизимидан воз кечиб, узлуксиз таълимни ривожлантиришнинг ўз стратегиясини - Кадрлар тайёрлаш миллий дастурини ишлаб чиқди. Унинг моҳияти, таълимнинг замонавий мақсадларига мувофиқ, шахснинг ижтимоий зарур фаолликка қўшилиши учун ўзига ва жамиятга керак бўладиган қобилиятларини ривожлантириш, таълим тизимидан ташқарида билимини ошириш самарадорлигини таъминлашдир.</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Узлуксиз таълим Ўзбекистонда кадрлар тайёрлаш тизимининг асоси бўлиб, таълимнинг қуйидаги турларини ўз ичига олади:</w:t>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мактабгача таълим;</w:t>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умумий ўрта таълим;</w:t>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ўрта махсус, касбий таълим;</w:t>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олий таълим;</w:t>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олий ўқув юртидан кейинги таълим;</w:t>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малака ошириш ва кадрларни қайта тайёрлаш;</w:t>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мактабдан ташқари таълим.</w:t>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Тамомила янги ўрта махсус ўқув юртлари - касб-ҳунар коллежлари ва академик лицейлар  ташкил қилинди.</w:t>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Республикасида Кадрлар тйёрлаш миллий дастури қабул қилингандан кейин ўтган давр ичида замонавий ўқув-лаборатория ускуналари билан жиҳозланган 533 та касб-хунар коллежи ва 54 та академик лицей қурилди. Ҳар йили Ўзбекистоннинг турли ҳудудларида ўрта махсус ўқув юртларини қуриш ёки қайта жиҳозлаш бўйича чора-тадбирлар кўрилмоқда (Ўзбекистон Республикаси Вазирлар Маҳкамасининг 14.08.2001 йил 38-сон “Академик лицейлар ва касб-ҳунар коллежларининг моддий-техникавий базасини янада ривожлантириш чора-тадбирлари тўғрисида”ги қарорига мувофиқ). Академик лицейлар ҳукумат томонидан ёшларни олий ўқув юртларида ўқишни давом эттиришга тайёрлайдиган ўқув муассасалари сифатида қаралади.</w:t>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Республикада олиб борилаётган миллий таълим тизими ислоҳотлари ёш мутахассислар академик лицейлар, касб-ҳунар коллежлари, олий ўқув юртлари битирувчилари синфини яратиш имконини берди, ушбу синф вакиллари айни пайтда республикада амалга оширилаётган иқтисодий ислоҳотларга мослашишгақодирдир. </w:t>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АҚШ, Германия, Япония, Франция, Англия ва бошқа индустриал ҳамда интеллектуал ривожланган мамлакатларда кадрлар тайёрлаш тажрибасидан маълумки, таълимнинг энг муҳим вазифаси - заковат ва мантиқий тафаккурни шакллантиришдир. Мазкур вазифани ҳал қилишда ўқувчиларнинг мустақил иш олиб боришига алоҳида эътибор берилади, бу мутахассиснинг касбий, маънавий ва маданий даражасини бутун умр давомида ошириб боришда жуда зарурдир.</w:t>
      </w:r>
    </w:p>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Республикасида олий таълим шундай даражага етиши керакки, у мамлакатда ва хорижда илм-фан, техника, технологиялар ва иқтисодиётнинг ривожланишини ҳисобга олиб рақобатбардош кадрларни жадал суръатларда тайёрлаш имконини бериши керак. Рақобатбардош мутахассисларнинг янги авлоди истиқболини кўзлаб вазифаларни қўйиш ва уларни ҳал қилиш қобилиятига, юқори маданий тафаккур ва илмий-техникавий ва ижтимоий-иқтисодий ахборотлар оқимида мустақил ҳаракат қила олиш кўникмасига эга бўлиши лозим.</w:t>
      </w:r>
    </w:p>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Жамиятимизни мамлакатни олдинги қаторларга олиб чиқа оладиган раҳобатбардош мутахассислар билан таъминлаш учун биз ёшларни хорижий олий ўқув юртларида таълимни давом эттиришга тайёрлашимиз керак. Бунга Болония жараёни бўйича шериклар билан ҳамкорликда эришиш мумкин.</w:t>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Болония декларациясида яқин ўн йиллик учун аниқ мақсад қўйилган: Европа таълим бўшлиғини ташкил ҳилиш. Унинг асосида қуйидаги вазифалар белгиланган:</w:t>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аниқ белгиланган ва қиёсланадиган даражаларнинг умумий тавсифлаш тузилмасини яратиш;</w:t>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олий таълимнинг меҳнат бозори талабларини ҳисобга олувчи иккита даражасини жорий қилиш; бакалавриат ва магистратура;</w:t>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ECTS (European Credit Transfer Sistem) га мос келувчи кредитлар тизимини жорий қилиш;</w:t>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сифатни назорат қилишда европача ёндашувни таъминлаш;</w:t>
      </w:r>
    </w:p>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талабалар, аспирантлар ва ўқитувчиларнинг Европа бўйлаб эркин ҳаракат  қилишидаги тўсиқларни бартараф этиш.</w:t>
      </w:r>
    </w:p>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Буларнинг ҳал қилиниши қуйидагиларга олиб келади:</w:t>
      </w:r>
    </w:p>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олий маълумотли мутахассислар ва ўқитувчиларнинг мосланувчанлиги ва ишга жойлашиши;</w:t>
      </w:r>
    </w:p>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халқаро рақобатбардошлик ва Европа олий таълимининг дунё бўйлаб нуфузининг ортиши.</w:t>
      </w:r>
    </w:p>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Келажакда Европа олий таълими таркибини белгиловчи учта бош йўналиш қуйидагилардир:</w:t>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икки босқичли олий таълимни жорий этиш (бакалавриат ва магистратура);</w:t>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зачет бирликларини бир жойдан бошқасига ўтказиш ва тўлдиришни таъминловчи Европа кредит тизими ECTS га ўтиш;</w:t>
      </w:r>
    </w:p>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таълим дастурлари ва олий ўқув муассасалари аккредитациянинг мос тартибини яратиш.</w:t>
      </w:r>
    </w:p>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Республикаси таълим тизимининг Болония жараёнига интеграциялашуви қуйидагиларга ёрдам беради:</w:t>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Биринчидан, Болония жараёнининг мақсадлари-рақобатбардошлик, мосланувчанлик, сифат - Кадрлар тайёрлаш миллий дастури манфаатларига жавоб беради.</w:t>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Иккинчидан, Болония жараёни олий таълим сифати маданиятининг такомиллашувига таъсир кўрсатади. Сифатни аттестациялаш ва назорат қилишнинг янада мукаммал тизимини яратиш зарурати туғилди.</w:t>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Учинчидан, Ўзбекистон Республикаси олий таълими тизими ўз таркибига кўра ташкил қилинаётган Европа тизимига ўхшаш. Аммо ўқиш муддатларида фарқ мавжуд. Ўзбекистонда икки босқичли олий таълим 4 + 2 формуласига мувофиқ амал қилади, Болония декларациясида эса таълимнинг қатор йўналишлари учун 3 + 2 формула кўзда тутилган (бакалавриатда ижтимоий-иқтисодий фанлар блокини камайтириш ва уларни факультатив фанлар турига ўтказиш ҳисобига ўқишнинг меъёрий муддатлари қисқаради).</w:t>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Тўртинчидан, Ўзбекистон Республикасида талабалар билимини баҳолаш тизими ECTS да амал қиладиган тизимга осонликча ўзгартирилиши мумкин.</w:t>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АҚШ, Германия, Япония, Франция ва бошқа индустриал ва интеллектуал ривожланган мамлакатлар тажрибасининг таҳлили шуни кўрсатдики, барча даражадаги кадрларни тайёрлашнинг юқори сифати ва рақобатбардошлиги қуйидагилар орқали таъминланади:</w:t>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таълим, илм-фан ва ишлаб чиқаришнинг узвий боғлиқлиги;</w:t>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таълим муассасалари ва илм-фан, техника, технологиялар ва иқтисодиётнинг сўнгги ютуқлари асосида ишлаб чиқилган касб-ҳунар таълим дастурларининг турли-туманлиги;</w:t>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касбий таълим тизимини иқтисодиётнинг устувор ва юқори даромадли тармоғига айлантириш;</w:t>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таълим муассасаларини замонавий ўқув-услубий адабиётлар билан таъминлаш, касб-ҳунар таълими тизимига юқори малакали ўқитувчилар ва мутахассисларни жалб қилиш;</w:t>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таълим жараёнини рақамлаштириш ва ахборотлаштириш;</w:t>
      </w:r>
    </w:p>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кадрлар тайёрлаш сифатини объектив назорат қилиш ва баҳолаш тизимларидан фойдаланиш;</w:t>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тафаккурни, қобилиятни ва шахсга хос бўлган фазилатларни, шунингдек, касбий йўналтирилганликни ривожлантириш, ўлчаш ва баҳолаш муаммолари бўйича психологик-педагогик тадқиқотлар ўтказиш;</w:t>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ўқитувчиларнинг моддий ва ижтимоий ҳимояланганининг юқори даражасини таъминлаш.</w:t>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муҳокама учун саволлар</w:t>
      </w:r>
      <w:r w:rsidDel="00000000" w:rsidR="00000000" w:rsidRPr="00000000">
        <w:rPr>
          <w:rtl w:val="0"/>
        </w:rPr>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Табиий маҳсулотларга нималар киради?</w:t>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Табиий маҳсулотларнинг рақобатбардошлиги тушунчасини ёритиб беринг</w:t>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Экологик тоза бизнес тушунчасининг мазмунини тушунтириб беринг</w:t>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Давлатнинг соғлиқни сақлаш сиёсатининг мазмуни нимадан иборат?</w:t>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Экологик тоза бизнес билан соғлиқни сақлаш сиёсати орасидаги боғлиқликни тушунтириб беринг</w:t>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Инсон капитали деганда нимани тушунасиз?</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Ўзбекистон Республикасида инсон капитали ривожланишининг бугунги баҳоси ва йўналишлари ҳақида гапириб беринг</w:t>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Иқтисодий фаол аҳоли рақобатбардошлигининг мамлакатлараро даражасини ёритинг</w:t>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Таълим тизими деганда нимани тушунасиз?</w:t>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Миллий иқтисодиёт рақобатбардошлигини оширишда таълимнинг роли қандай?</w:t>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F">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D0">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D1">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D2">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D3">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D4">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D5">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D6">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D7">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D8">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D9">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DA">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DB">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DC">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table" w:styleId="Сеткатаблицы">
    <w:name w:val="Сетка таблицы"/>
    <w:basedOn w:val="Обычнаятаблица"/>
    <w:next w:val="Сеткатаблицы"/>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ru-RU"/>
    </w:rPr>
    <w:tblPr>
      <w:tblStyle w:val="Сеткатаблицы"/>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Абзацсписка">
    <w:name w:val="Абзац списка"/>
    <w:basedOn w:val="Обычный"/>
    <w:next w:val="Абзацсписка"/>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Times New Roman" w:hAnsi="Calibri"/>
      <w:color w:val="auto"/>
      <w:w w:val="100"/>
      <w:position w:val="-1"/>
      <w:sz w:val="22"/>
      <w:szCs w:val="22"/>
      <w:effect w:val="none"/>
      <w:vertAlign w:val="baseline"/>
      <w:cs w:val="0"/>
      <w:em w:val="none"/>
      <w:lang w:bidi="ar-SA" w:eastAsia="en-US" w:val="ru-RU"/>
    </w:rPr>
  </w:style>
  <w:style w:type="paragraph" w:styleId="Основнойтекст">
    <w:name w:val="Основной текст"/>
    <w:basedOn w:val="Обычный"/>
    <w:next w:val="Основнойтекст"/>
    <w:autoRedefine w:val="0"/>
    <w:hidden w:val="0"/>
    <w:qFormat w:val="0"/>
    <w:pPr>
      <w:suppressAutoHyphens w:val="1"/>
      <w:overflowPunct w:val="0"/>
      <w:autoSpaceDE w:val="0"/>
      <w:autoSpaceDN w:val="0"/>
      <w:adjustRightInd w:val="0"/>
      <w:spacing w:after="120" w:line="1" w:lineRule="atLeast"/>
      <w:ind w:leftChars="-1" w:rightChars="0" w:firstLineChars="-1"/>
      <w:textDirection w:val="btLr"/>
      <w:textAlignment w:val="baseline"/>
      <w:outlineLvl w:val="0"/>
    </w:pPr>
    <w:rPr>
      <w:rFonts w:ascii="PANDA Baltic UZ" w:cs="PANDA Baltic UZ" w:eastAsia="Batang" w:hAnsi="PANDA Baltic UZ"/>
      <w:color w:val="auto"/>
      <w:w w:val="100"/>
      <w:position w:val="-1"/>
      <w:sz w:val="28"/>
      <w:szCs w:val="28"/>
      <w:effect w:val="none"/>
      <w:vertAlign w:val="baseline"/>
      <w:cs w:val="0"/>
      <w:em w:val="none"/>
      <w:lang w:bidi="ar-SA" w:eastAsia="ru-RU" w:val="ru-RU"/>
    </w:rPr>
  </w:style>
  <w:style w:type="character" w:styleId="ОсновнойтекстЗнак">
    <w:name w:val="Основной текст Знак"/>
    <w:next w:val="ОсновнойтекстЗнак"/>
    <w:autoRedefine w:val="0"/>
    <w:hidden w:val="0"/>
    <w:qFormat w:val="0"/>
    <w:rPr>
      <w:rFonts w:ascii="PANDA Baltic UZ" w:cs="PANDA Baltic UZ" w:eastAsia="Batang" w:hAnsi="PANDA Baltic UZ"/>
      <w:w w:val="100"/>
      <w:position w:val="-1"/>
      <w:sz w:val="28"/>
      <w:szCs w:val="28"/>
      <w:effect w:val="none"/>
      <w:vertAlign w:val="baseline"/>
      <w:cs w:val="0"/>
      <w:em w:val="none"/>
      <w:lang w:eastAsia="ru-RU"/>
    </w:r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Courier New" w:eastAsia="Times New Roman" w:hAnsi="Courier New"/>
      <w:color w:val="auto"/>
      <w:w w:val="100"/>
      <w:position w:val="-1"/>
      <w:sz w:val="20"/>
      <w:effect w:val="none"/>
      <w:vertAlign w:val="baseline"/>
      <w:cs w:val="0"/>
      <w:em w:val="none"/>
      <w:lang w:bidi="ar-SA" w:eastAsia="ru-RU" w:val="ru-RU"/>
    </w:rPr>
  </w:style>
  <w:style w:type="paragraph" w:styleId="newstxt">
    <w:name w:val="newstxt"/>
    <w:basedOn w:val="Обычный"/>
    <w:next w:val="newstx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paragraph" w:styleId="Текствыноски">
    <w:name w:val="Текст выноски"/>
    <w:basedOn w:val="Обычный"/>
    <w:next w:val="Текствыноски"/>
    <w:autoRedefine w:val="0"/>
    <w:hidden w:val="0"/>
    <w:qFormat w:val="1"/>
    <w:pPr>
      <w:suppressAutoHyphens w:val="1"/>
      <w:spacing w:line="1" w:lineRule="atLeast"/>
      <w:ind w:leftChars="-1" w:rightChars="0" w:firstLineChars="-1"/>
      <w:textDirection w:val="btLr"/>
      <w:textAlignment w:val="top"/>
      <w:outlineLvl w:val="0"/>
    </w:pPr>
    <w:rPr>
      <w:rFonts w:ascii="Tahoma" w:cs="Tahoma" w:eastAsia="Times New Roman" w:hAnsi="Tahoma"/>
      <w:color w:val="000000"/>
      <w:w w:val="100"/>
      <w:position w:val="-1"/>
      <w:sz w:val="16"/>
      <w:szCs w:val="16"/>
      <w:effect w:val="none"/>
      <w:vertAlign w:val="baseline"/>
      <w:cs w:val="0"/>
      <w:em w:val="none"/>
      <w:lang w:bidi="ar-SA" w:eastAsia="ru-RU" w:val="ru-RU"/>
    </w:rPr>
  </w:style>
  <w:style w:type="character" w:styleId="ТекствыноскиЗнак">
    <w:name w:val="Текст выноски Знак"/>
    <w:next w:val="ТекствыноскиЗнак"/>
    <w:autoRedefine w:val="0"/>
    <w:hidden w:val="0"/>
    <w:qFormat w:val="0"/>
    <w:rPr>
      <w:rFonts w:ascii="Tahoma" w:cs="Tahoma" w:eastAsia="Times New Roman" w:hAnsi="Tahoma"/>
      <w:color w:val="000000"/>
      <w:w w:val="100"/>
      <w:position w:val="-1"/>
      <w:sz w:val="16"/>
      <w:szCs w:val="16"/>
      <w:effect w:val="none"/>
      <w:vertAlign w:val="baseline"/>
      <w:cs w:val="0"/>
      <w:em w:val="none"/>
      <w:lang w:eastAsia="ru-RU"/>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pNfBdEmJryMuan8eDYNQ4eD2Q==">AMUW2mVd154fE5oCSMK5mQnbt/kROuCb/xYrlBnHTxoyPXXYfdeE/vmIU5miVm8hrFI6qY2pvDzzmB0EN+azv4AhswqAdycaOMOPFI7A5xcr0UZ94swMGFE=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2021-04-29T04:14:00Z</dcterms:created>
  <dc:creator>Пользователь Windows</dc:creator>
</cp:coreProperties>
</file>