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themeOverride+xml" PartName="/word/theme/themeOverride2.xml"/>
  <Override ContentType="application/vnd.openxmlformats-officedocument.themeOverride+xml" PartName="/word/theme/themeOverride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drawingml.chart+xml" PartName="/word/charts/chart1.xml"/>
  <Override ContentType="application/vnd.openxmlformats-officedocument.drawingml.chart+xml" PartName="/word/charts/chart2.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14-МАЪРУЗА. ИЧКИ ВА ГЛОБАЛ ИҚТИСОДИЙ КЎРСАТКИЧЛАРНИ (ИҚТИСОДИЙ РИВОЖЛАНИШ КЎРСАТКИЧЛАРИ: DOING-BUSINESS, DOW JONES, START-UP ВА БОШҚАЛАР) ЎРГАНИШ АСОСИДА САНОАТ, КОМПАНИЯ, ФИРМАНИНГ КЕЛАЖАКДАГИ РИВОЖЛАНИШИНИ БАШОРАТ ҚИЛИШ</w:t>
      </w:r>
      <w:r w:rsidDel="00000000" w:rsidR="00000000" w:rsidRPr="00000000">
        <w:rPr>
          <w:rtl w:val="0"/>
        </w:rPr>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14.1. Саноат, компания, фирманинг келажакдаги ривожланишини башорат қилиш тадқиқотлари мазмуни</w:t>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14.2. Саноат, компания, фирманинг келажакдаги ривожланишини башорат қилиш тадқиқотлари жараёни</w:t>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14.3. Саноат, компания, фирманинг келажакдаги ривожланишини прогнозлаш усуллари</w:t>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Таянч иборалар: ички кўрсаткичлар, глобал кўрсаткичлар, иқтисодий ривожланиш кўрсаткичлари, башорат қилиш, саноат, компания, фирма. </w:t>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14.1. Саноат, компания, фирманинг келажакдаги ривожланишини башорат қилиш тадқиқотлари мазмуни</w:t>
      </w:r>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Саноат, компания, фирманинг келажакдаги ривожланишини башорат қилиш тадқиқотлари маҳсулотни илгари суришнинг барча даражаларида амалга оширилиши ва ўрганилиши мумкин - бошқарув функциялари тўплами сифатида - ишлаб чиқариш; маркетинг; савдо-сотиқни шакллантириш ва бошқалар. Бироқ, кенг қамровли ўрганиш энг самарали ҳисобланади. Аниқ натижалар - бу бозорда корхонанинг стратегияси ва тактикасини танлаш. Энг қиммат саноат, компания, фирманинг келажакдаги ривожланишини башорат қилиш тадқиқотлари эҳтиёжларни қисман қондирадиган ёки қондирмайдиган маҳсулот билан бозорга нотўғри ўйлаб кириш натижасида юзага келадиган чиқиндилар ва қўшимча харажатлар ҳажми билан таққосланмайди.</w:t>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Саноат, компания, фирманинг келажакдаги ривожланишини башорат қилиш тадқиқотлари тадқиқотлари бир қатор аҳолини қамраб олади:</w: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Бозор тадқиқотлари энг кенг тарқалган йўналишдир. Тадқиқот объекти - бозор ривожланиш тенденциялари ва жараёнлари, шу жумладан ўзгаришларни таҳлил қилиш: иқтисодий, илмий, техник, демографик, экологик, қонунчилик ва бошқа омиллар, шунингдек бозорнинг тузилиши, унинг географияси, имкониятлари, динамикаси. сотувлар, рақобат ҳолати, мавжуд бозор ҳолати, имкониятлар ва хатарлардир. Асосий вазифа - бозорга кириш ва ўз позицияларини сақлаб қолиш ва мустаҳкамлаш.</w: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Объекти улгуржи ва чакана савдо алоқалари, шунингдек алоҳида истеъмолчиларни тадқиқ қилиш. Тадқиқот мавзуси истеъмолчиларнинг хулқ-атвори, имкониятлари ва хусусиятлари мотивацияси; истеъмол таркиби, молиявий салоҳият ва ресурслар билан таъминланганлиги, ижтимоий-демографик хусусиятлари ва бошқалар. Натижалар истеъмолчилар типологияси ва хулқ-атвор ҳамда кутилаётган талабнинг башоратидир - уларнинг асосини бозорнинг мақсадли сегментларини танлаш ташкил этади.</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Рақобатчиларни тадқиқ қилиш - афзалликларни, ҳамкорлик имкониятларини, ишлаб чиқарилган маҳсулотнинг ўз позициясини мустаҳкамлаш, рақобатчиларнинг кучли ва заиф томонлари ҳақида маълумот бериш, улардан фойдаланиш, нархлар, хизмат кўрсатиш сифати, маҳсулот ёрлиқлари ва бошқаларни бошқариш учун зарур маълумотларни олиш. Натижада энг фойдали позицияни танлаш керак: етакчилик, етакчига эргашиш, ўртача позициялар.</w:t>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Корпоратив тузилмани ўрганиш - мумкин бўлган ва реал воситачиларни ўрганиш, уларнинг сони ва географиясини кенгайтириш, шунингдек маркетинг инфратузилмасини яратадиган транспорт-экспедиторлик, молиявий, консалтинг ва бошқа компаниялар.</w:t>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Товарларни ўрганиш - техник-иқтисодий кўрсаткичлар ва сифатнинг харидорларнинг талабларига мувофиқлигини ҳамда рақобатбардошлигини аниқлаш. Тадқиқотлар истеъмолчиларнинг устувор йўналишларини танлашни баҳолаш, реклама объекти ва мавзусини аниқлашга имкон беради. Объект - аналог маҳсулот ва рақобатдош товарларнинг истеъмол хусусиятлари, ассортиментга ва тегишли элементларга (қадоқлаш, дизайн, хизмат кўрсатиш ва бошқалар) нисбатан истиқболли талаблар. Натижада корпоратив идентификациянинг таърифи.</w:t>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Нархларни ўрганиш - бу нархларнинг даражаси ва нисбатларини аниқлашга қаратилган бўлиб, сизга фойда ва харажатлар даражасининг мос келадиган улушини танлашга имкон беради. Объект ўз харажатлари ва рақобатчиларнинг мос аналоглари учун харажатлари. Истеъмолчиларнинг нарх ўзгариши бўйича хатти-ҳаракатлари (+ ва -).</w:t>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Маҳсулотни илгари суриш ва сотишни ўрганиш сизнинг бозор муносабатларингиз шароитида маҳсулотни истеъмолчига идентификациянинг энг самарали усулларини (асосан бу логистика ҳаракати) аниқлашга қаратилган.</w:t>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Сотишни рағбатлантириш ва реклама тизимини ўрганиш, яъни. савдо-сотиқни рағбатлантириш, реклама кампаниялари ва тадбирларини муваффақиятли ўтказиш учун қачон ва нимани англатишини яхшироқ аниқлаш. Объектлар етказиб берувчилар, воситачилар, аҳоли, чегирмалар фоизи ва реклама харажатлари. Тадқиқот натижалари юқоридаги тадқиқот субъектлари билан муносабатлар сиёсатини ишлаб чиқишга имкон беради.</w:t>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Корхонанинг ички муҳитини ўрганиш, яъни фирма ичидаги фаолиятни, шу жумладан барча таркибий бўғинларни ташқи омиллар шароитларига мослашувчанлигини таҳлил қилиш, яъни бозорни ва умуман жамиятни микро ва макро даражада ривожлантириш зарур.</w:t>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Башорат қилиш гуруҳи тадқиқотчилар олдига қуйидаги вазифаларни қўяди (яъни фирма ёки компания ичидаги воқеа ишониб топширилган ходимлар):</w:t>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ахборотни йиғиш, қайта ишлаш ва умумлаштириш;</w:t>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бозор конъюнктурасини ва унинг иштирокчиларини таҳлил қилиш ва баҳолаш;</w:t>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компаниянинг ўз имкониятларини баҳолаш, таҳлил қилиш ва башорат қилиш;</w:t>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рақобатчиларни баҳолаш ва таҳлил қилиш (имкониятлар, сегментдаги улуш);</w:t>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бозор сиғими ҳолатини таҳлил қилиш (компания фаолият кўрсатадиган сегмент ва жой);</w:t>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истеъмолчилар талабини таҳлил қилиш ва прогноз қилиш;</w:t>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тижорат хавфини аниқлаш ва баҳолаш;</w:t>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маркетинг дастурининг ахборот-таҳлилий асосланиши ва уни тузатиш;</w:t>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бозорнинг нарх ҳолатини, сегментини ва компаниянинг нарх сиёсатини таҳлил қилиш ва баҳолаш;</w:t>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истеъмолчиларнинг афзалликлари, фикрлари, уларнинг салоҳияти ва истеъмолчилар талабидаги ўзгаришларни очиб бериш;</w:t>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рағбатлантириш ва реклама тадбирларининг самарадорлигини баҳолаш;</w:t>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бозор сегменти ассортименти сифатини баҳолаш ва синовдан ўтказиш;</w:t>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савдо тармоғи ва товар оқимининг самарадорлигини таҳлил қилиш;</w:t>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маркетинг дастурининг бажарилишини назорат қилиш;</w:t>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горизонтал ва вертикал структурадаги бошқарув звеноларининг тизимли маълумотлари.</w:t>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Башорат қилиш чуқурлигига қараб қуйидаги тадқиқот турлари мавжуд.</w:t>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Интеллектуал тадқиқотлар бозорнинг айрим элементларини ўрганади ёки ушбу турдаги тадқиқотлар батафсилроқ ва глобалроқдир. Асосий усул - экспресс-сўров.</w:t>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Таърифловчи тадқиқотлар оммавий ахборот воситаларининг статистик маълумотлари ёки бошқа иккиламчи маълумотлар асосида амалга оширилади. Бу қисмли тадқиқотлар. Асосий усул - учинчи томон маълумотларини кузатиш, кўриб чиқиш.</w:t>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Аналитик тадқиқотлар - бу деформация ёки бозор жараёнларини ислоҳ қилиш сабаблари ҳамда оқибатларини аниқлаш.</w:t>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Башорат қилишнинг барча вазифалари ва турлари қуйидаги принципларга асосланиши керак:</w:t>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мунтазамлик ва фаоллик;</w:t>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мураккаблик (тадқиқот маҳаллий бўлса ҳам, маркетинг функцияларидан бирини танлаб олиб борадиган бўлса ҳам);</w:t>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изчиллик (тасодифан эмас);</w:t>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самарадорлик (аввал режада белгиланган қатъий муддатлар);</w:t>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илмий ёндашув (объективлик, аниқлик, пухталик);</w:t>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 ишончлилик;</w:t>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7) адолатли рақобат тамойилларига риоя қилиш (Халқаро савдо палатаси ва Европа жамоатчилик фикрини ўрганиш ҳамда маркетинг тадқиқотларини ўрганиш бўйича жамият (ЕCОМАР) томонидан қабул қилинган), бошқаларнинг ишланмаларидан фойдаланиш ва бошқа ўғирликларга йўл қўймаслик;</w:t>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8) режалаштириш ва изчиллик;</w:t>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9) рентабеллик.</w:t>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14.2. Саноат, компания, фирманинг келажакдаги ривожланишини башорат қилиш тадқиқотлари жараёни</w:t>
      </w:r>
      <w:r w:rsidDel="00000000" w:rsidR="00000000" w:rsidRPr="00000000">
        <w:rPr>
          <w:rtl w:val="0"/>
        </w:rPr>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Саноат, компания, фирманинг келажакдаги ривожланишини башорат қилиш тадқиқотлари жараёни қуйидаги схема бўйича амалга оширилиши керак:</w:t>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Муаммонинг таърифи ва мақсадлари.</w:t>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1.1. Тадқиқотга эҳтиёжни аниқлаш:</w:t>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товар турлари ва уларни истеъмол қилиш хусусиятлари;</w:t>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бозорнинг тўйинганлиги даражаси;</w:t>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реклама каналлари;</w:t>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рақобатчиларнинг ҳаракатлари;</w:t>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келажакдаги талабни башорат қилиш;</w:t>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реклама самарадорлиги;</w:t>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маҳсулотни сотиш учун зарур бўлган нарх даражаси;</w:t>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маҳсулотнинг потенциал истеъмолчиларини аниқлаш.</w:t>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1.2. Бошқа муаммолар билан мураккабликни (ўзаро боғлиқликни) бекор қилмасдан, устувор муаммоларни аниқлаш ва аниқлаш, тадқиқот ишларини жамлаш.</w:t>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1.3. Тадқиқот мақсадларини шакллантириш, яъни ишлайдиган гипотезани ишлаб чиқиш. Якуний ҳужжат - техник топшириқлар (диққат вазифалари).</w:t>
      </w:r>
    </w:p>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Маркетинг тадқиқотлари режасини тузиш.</w:t>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 Тадқиқот усулларини аниқлаш (почта орқали сўровнома; телефондан фойдаланиш; кузатув, оммавий ахборот воситаларида нашрларни ўрганиш; тажриба).</w:t>
      </w:r>
    </w:p>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 Керакли маълумот турини аниқлаш (тавсиялар, прогноз, аналитик эслатма, структуравий диаграммалар, аудиовизуал изоҳлар ва бошқалар).</w:t>
      </w:r>
    </w:p>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2.3. Ахборотни йиғиш ва уни қайта ишлаш усулларини аниқлаш (саралаш, йўқ қилиш ва ҳ.к., қўлланма, машинани кодлаш тизими).</w:t>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2.4. Ахборот тўплаш шаклларини (анкеталар, жадваллар ва бошқалар) лойиҳалаштириш ва яратиш.</w:t>
      </w:r>
    </w:p>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2.5. Намуна ҳажми ва респондентлар сонини ишлаб чиқиш ва аниқлаш (таркиби ва миқдорини, вақтини аниқлаш).</w:t>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2.6. Ривожланиш бўйича мутахассислар сони.</w:t>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2.7. Тадқиқотнинг бошланиш ва тугаш саналари (босқичлар бўйича).</w:t>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2.8. Иш нархини ҳисоблаш.</w:t>
      </w:r>
    </w:p>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Маркетинг тадқиқотлари режасини амалга ошириш.</w:t>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3.1. Маълумотларни ташкил этиш ва йиғиш (дала тадқиқотлари) 2.5-банд асосида амалга оширилади.</w:t>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3.2. Маълумотларни қайта ишлаш 2.3-бандга асосланади.</w:t>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3.3. Маълумотларни таҳлил қилиш - бандларга асосланиб 2.3, 2.4.</w:t>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Маълумотларни баҳолаш ва талқин қилиш.</w:t>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4.1. Ҳисобот, таҳлилий эслатма тайёрлаш (2.2 - маркетинг дастури натижаларини талқин қилиш лойиҳаси ва бошқалар).</w:t>
      </w:r>
    </w:p>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4.2. Ҳисоботни ишчи гуруҳда муҳокама қилиш (ишлаб чиқувчи-тадқиқотчилар орасида).</w:t>
      </w:r>
    </w:p>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4.3. Мустақил эксперт (рақиб) томонидан ўзаро баҳолаш.</w:t>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4.4. Тадқиқот натижаларини 2.2 шаклида раҳбариятга тақдим этиш.</w:t>
      </w:r>
    </w:p>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4.5. Изоҳлар ва ҳал қилинмаган масалаларни муҳокама қилиш ва тасдиқлаш ёки қайта кўриб чиқиш.</w:t>
      </w:r>
    </w:p>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Соддалаштирилган шаклда саноат, компания, фирманинг келажакдаги ривожланишини башорат қилиш тадқиқотлари қуйидаги саволларга асосий жавобларга асосланади:</w:t>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Нима сотиб олинмоқда, қайси маҳсулот (маҳсулотлар тўплами) энг катта талабга эга?</w:t>
      </w:r>
    </w:p>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Нима учун улар маҳсулотни сотиб олишади?</w:t>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Маҳсулотни ким сотиб олади (уларнинг имкониятлари ва истиқболлари)?</w:t>
      </w:r>
    </w:p>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Қандай қилиб (улгуржи, чакана савдо, тўлов шартлари)?</w:t>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Қачон (вақт омили)?</w:t>
      </w:r>
    </w:p>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Қаерда (ҳудудий омил)?</w:t>
      </w:r>
    </w:p>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Ички ва ташқи омилларни, микро ва макро муҳитни ҳисобга олиш.</w:t>
      </w:r>
    </w:p>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Саноат, компания, фирманинг келажакдаги ривожланишини башорат қилиш тадқиқотларининг энг муҳим шарти аҳоли эҳтиёжларини қондириш экан, ушбу тизимда энг муҳими социологик тадқиқотлар усули ҳисобланади.</w:t>
      </w:r>
    </w:p>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Ҳозирги вақтда саноат, компания, фирманинг келажакдаги ривожланишини башорат қилиш тадқиқотларининг тамойиллари ва мақсадлари ҳанузгача долзарб бўлиб қолмоқда. Бироқ, рақобат шароитида янги тадқиқот вазифалари янги усулларни талаб қилади. Асосий мақсадлар:</w:t>
      </w:r>
    </w:p>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бозорни ўрганиш ва таҳлил қилиш;</w:t>
      </w:r>
    </w:p>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стратегияни ишлаб чиқиш ва барча бўлимларни эҳтиёжларини қондиришга йўналтириш;</w:t>
      </w:r>
    </w:p>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ишлаб чиқарилаётган маҳсулотларнинг истеъмол хусусиятларини ўрганиш;</w:t>
      </w:r>
    </w:p>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харидорларнинг талабларини ўрганиш;</w:t>
      </w:r>
    </w:p>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истеъмол хусусиятларининг талабларга боғлиқлиги;</w:t>
      </w:r>
    </w:p>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ўз маҳсулотингиз рақобатбардошлигини баҳолаш;</w:t>
      </w:r>
    </w:p>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бозор конъюнктурасини ўрганиш;</w:t>
      </w:r>
    </w:p>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жойлашишни аниқлаш ва сегментация, яъни. уларнинг истеъмолчиларини ушлаб қолиш.</w:t>
      </w:r>
    </w:p>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Талабни башорат қилиш - бу сабабли муносабатлар, тенденциялар ва қонуниятларни ўрганиш асосида вақт ўтиши билан бозор ривожланишининг илмий асосланган башоратидир.</w:t>
      </w:r>
    </w:p>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Савдо корхонасида талабни прогноз қилиш - бу келажакда сотишни башорат қилиш, товарларга бўлган эҳтиёжни ва сотиб олишнинг зарур ҳажмларини аниқлаш, товарларни етказиб бериш буюртмаларини тузиш.</w:t>
      </w:r>
    </w:p>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Вақтга қараб қуйидагилар фарқланади:</w:t>
      </w:r>
    </w:p>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Талабни башорат қилиш турлари:</w:t>
      </w:r>
    </w:p>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операцион - 1 ойгача;</w:t>
      </w:r>
    </w:p>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фурсат - 3 ойдан 6 ойгача;</w:t>
      </w:r>
    </w:p>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қисқа муддатли - 1 йилдан 2 йилгача;</w:t>
      </w:r>
    </w:p>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ўрта муддатли - 2 йилдан 5 йилгача;</w:t>
      </w:r>
    </w:p>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узоқ муддатли - 5 йилдан 10 йилгача;</w:t>
      </w:r>
    </w:p>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истиқболли - 10 йилдан ортиқ.</w:t>
      </w:r>
    </w:p>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Талабни башорат қилиш усуллари:</w:t>
      </w:r>
    </w:p>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Талабни башорат қилишнинг барча усулларини икки гуруҳга бўлиш мумкин: сифатли ва миқдорий.</w:t>
      </w:r>
    </w:p>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Сифатли прогнозлаш усуллари субъективдир, мутахассислар ва қарор қабул қилувчиларнинг фикрига ёки ҳатто сезги асосида. Одатда, ушбу усуллар қуйидаги ҳолларда қўлланилади:</w:t>
      </w:r>
    </w:p>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узоқ ва ўрта муддатли прогнозлаш учун, чунки:</w:t>
      </w:r>
    </w:p>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бундай нуқтаи назардан талабнинг ўзгариши катта эҳтимоллик билан юзага келади, улар шунчаки инерциал характерга эга эмас, балки маълум савдо бозоридаги шароитларнинг сезиларли ўзгаришини акс эттириши мумкин (макроиқтисодий ўзгаришлар, бозор таркибидаги ўзгаришлар, муҳим бозорнинг сезиларли даражада мустаҳкамланиши ёки заифлашиши иштирокчилар ва бошқалар);</w:t>
      </w:r>
    </w:p>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узоқ муддатли прогноз қилиш учун маркетинг тадқиқотларини ўтказиш натижасида олинган хулқ-атвор маълумотларига таяниш зарур;</w:t>
      </w:r>
    </w:p>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ўхшашлиги бўлмаган янги маҳсулотларга талабни башорат қилиш, бу эса тарихий ўхшашлик усулидан фойдаланишни имконсиз қилади;</w:t>
      </w:r>
    </w:p>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талаб ва алоқа профиллари беқарор;</w:t>
      </w:r>
    </w:p>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субъектив сабабларга кўра менежерлар ёки мутахассисларнинг фикрига таяниш зарурати туғилса;</w:t>
      </w:r>
    </w:p>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қисқа муддатли прогнозлаш учун ҳам миқдорий усулларни қўллаш имконияти бўлмаганда (масалан, миқдорий усулларни қўллаш учун зарур бўлган бошланғич маълумотлар миқдори йўқ бўлганда ёки башорат жуда тез олиниши керак бўлса ва бунга вақт қолмаса) зарур миқдорий таҳлилни амалга ошириш).</w:t>
      </w:r>
    </w:p>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Сифатли усуллар маълум камчиликларга эга бўлиб, уларни қўллашда тан олиниши керак:</w:t>
      </w:r>
    </w:p>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прогнознинг субъективлиги туфайли прогнознинг бир томонлама бўлиши эҳтимоли юқори, яъни унинг бу ёки бошқа йўналишда ҳақиқатдан мунтазам равишда четга чиқиши;</w:t>
      </w:r>
    </w:p>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қоида тариқасида, ҳужжатларнинг тўлиқсизлиги - камдан-кам ҳолларда прогнозни шу тарзда олишда мутахассислар нима учун улар бошқасини эмас, айнан шу прогнозни танлагани ҳақида батафсил тушунтиришлар билан бирга келади.</w:t>
      </w:r>
    </w:p>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маҳсулотларнинг юзлаб, ҳатто минглаб номенклатура турлари бўйича талаб прогнозини тайёрлаш зарур бўлганда, улар амалий эмас - одам бундай ҳажмдаги маълумот билан ишлай олмайди;</w:t>
      </w:r>
    </w:p>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эксперт хулосаларини бирлаштиришда (масалан, консенсус панели усулидан фойдаланганда) бир нуқтаи назар бошқаларга устун бўлиши хавфи мавжуд (масалан, етакчининг ёки таниқли экспертнинг нуқтаи назари); бу устун нуқтаи назар ҳақиқатга яқинроқ бўлиши ҳақиқат эмас.</w:t>
      </w:r>
    </w:p>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14.3. Саноат, компания, фирманинг келажакдаги ривожланишини прогнозлаш усуллари</w:t>
      </w:r>
      <w:r w:rsidDel="00000000" w:rsidR="00000000" w:rsidRPr="00000000">
        <w:rPr>
          <w:rtl w:val="0"/>
        </w:rPr>
      </w:r>
    </w:p>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Миқдорий усулларни иккита кичик гуруҳга бўлиш мумкин: экстраполяция ва регрессия.</w:t>
      </w:r>
    </w:p>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Экстраполяция усуллари (кузатилаётган тенденцияни келажакка кенгайтириш асосида) бир неча муҳим тахминларга асосланади:</w:t>
      </w:r>
    </w:p>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келажак ўтмишга ўхшайди, бозордаги кучлар мувозанатида жиддий ўзгаришлар бўлмайди;</w:t>
      </w:r>
    </w:p>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етарли узунликдаги дастлабки маълумотларнинг сифатли сериялари мавжуд;</w:t>
      </w:r>
    </w:p>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келажакдаги талаб профили ўтмишдагидек бўлади.</w:t>
      </w:r>
    </w:p>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Экстраполяция усуллари жуда кўп: ҳаракатланувчи ўртача усул, экспоненсиал текислаш усули, тренд экстраполяция усули, нейрон тармоқ моделлари ва бошқалар.</w:t>
      </w:r>
    </w:p>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Динамикалар қаторида қуйидаги асосий профилларни (таркибий қисмларни) ажратиш мумкин:</w:t>
      </w:r>
    </w:p>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бир қатор динамиканинг асосий ҳаракат йўналишини кўрсатадиган тенденция;</w:t>
      </w:r>
    </w:p>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мавсумий тебранишларни кўрсатадиган мавсумий компонент (ёз, қиш; ойнинг сўнгги ҳафталари, ҳафтанинг сўнгги кунлари ва бошқалар);</w:t>
      </w:r>
    </w:p>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тасодифий компонент - принципиал равишда олдиндан айтиб бўлмайдиган нарса;</w:t>
      </w:r>
    </w:p>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циклик компонент - жуда узоқ динамикалар учун ажратилган ва амалда корхоналарда камдан кам қўлланилади, чунки бу узоқ муддатли статистикани ва нисбатан ўзгармас шароитларни тўплашни талаб қилади.</w:t>
      </w:r>
    </w:p>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Экстраполяция усулларидан ҳар бири талабни прогноз қилиш учун ўтган режалаштириш даврларидаги талаблар тўғрисидаги маълумотларга таяниш кифоя қилади. Ушбу маълумотлар, қоида тариқасида, корпоратив маълумотлар базаларида сақланади (ERP тизимида), шунинг учун экстраполяция усулларидан фойдаланиш нисбатан арзон.</w:t>
      </w:r>
    </w:p>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Регрессия усуллари талаб миқдори ва унга таъсир этувчи омиллар ўртасида сабаб-таъсир муносабатларини ўрнатишга асосланган. Омиллар демографик ва иқтисодий характерга эга бўлиши мумкин. Регрессия усулларини қўллаш учун талаб қилинадиган маълумотлар ва талабга таъсир қилувчи омиллар тўғрисидаги маълумотлар етарли узунликдаги маълумотлар серияси талаб қилинади. Талабнинг прогноз қийматларини ҳисоблаш учун омиллар ва самарали кўрсаткични боғлайдиган регрессия модели тузилади. Биз ушбу усулларни энг мураккаб ва энг қиммат деб айта оламиз, чунки улар нафақат корхона учун нафақат ички, балки ташқи маълумотларни ҳам тўплаш ва қайта ишлашни талаб қилади. Регрессия моделини яратиш (битта факторли ёки янада мураккаб ҳолатда кўп ўзгарувчан) бир неча босқичларни талаб қилади:</w:t>
      </w:r>
    </w:p>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омиллар таркибини танлаш (одатда бу қадам мутахассислар томонидан амалга оширилади);</w:t>
      </w:r>
    </w:p>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натижавий белгига таъсир этувчи омилларни текшириш;</w:t>
      </w:r>
    </w:p>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бир томонлама таъсир кўрсатадиган кераксиз омилларни филтрлаш учун уларнинг ўзаро боғлиқлиги (уланиши) омилларини текшириш;</w:t>
      </w:r>
    </w:p>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регрессия муносабатларини ўрнатиш;</w:t>
      </w:r>
    </w:p>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келгуси режалаштириш даври (келажакни режалаштириш даврлари) учун регрессия моделининг ҳар бир омилининг қийматларини прогноз қилиш;</w:t>
      </w:r>
    </w:p>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регрессия моделини қўллаш асосида самарали кўрсаткич (яъни талаб) прогнозини шакллантириш.</w:t>
      </w:r>
    </w:p>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Юқоридаги рўйхатдан кўриниб турибдики, регрессия усуллари катта миқдордаги дастлабки маълумотларни ва уни статистик қайта ишлашда катта кўникмаларни талаб қилади. Шунинг учун бу усуллар бизнесда, қоида тариқасида, оддийроқ ва арзонроқ усуллар билан олинган прогноз корхонага мос келадиган сифатни бермаса ишлатилади.</w:t>
      </w:r>
    </w:p>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Кейин бир нечта ёндашувлар бўлиши мумкин. Биринчидан, сиз барча мавжуд маълумотларни дарҳол тасвирлаб берадиган функцияни қидиришингиз мумкин. Буни, масалан, Холт-Винтерс усули ёрдамида амалга ошириш мумкин. Иккинчидан, сиз ҳақиқий маълумотларни тренд ва мавсумийлик каби бир нечта таркибий қисмларга ажратишингиз ва уларнинг ҳар бирини алоҳида-алоҳида тахмин қилишингиз мумкин. Маълумотлар мавсумийликни ўз ичига олганлигини автокорреляция функциясидан фойдаланган ҳолда тушунишингиз мумкин, бу сизга вақт оралиғида боғлиқликлар мавжудлигини аниқлашга имкон беради. Агар, масалан, 12 ой давомида автокорреляция коэффициенти бирга яқин эканлиги кўриниб турса, унда аниқ йиллик мавсумийлик мавжуд. Ушбу ёндашув билан биз ҳақиқий маълумотларни учта компонентга ажратамиз:</w:t>
      </w:r>
    </w:p>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Lustria" w:cs="Lustria" w:eastAsia="Lustria" w:hAnsi="Lustria"/>
          <w:b w:val="0"/>
          <w:i w:val="1"/>
          <w:smallCaps w:val="0"/>
          <w:strike w:val="0"/>
          <w:color w:val="000000"/>
          <w:sz w:val="32"/>
          <w:szCs w:val="32"/>
          <w:u w:val="none"/>
          <w:shd w:fill="auto" w:val="clear"/>
          <w:vertAlign w:val="baseline"/>
          <w:rtl w:val="0"/>
        </w:rPr>
        <w:t xml:space="preserve">X(t)=Tr(t)+S(t)+e(t),</w:t>
      </w:r>
      <w:r w:rsidDel="00000000" w:rsidR="00000000" w:rsidRPr="00000000">
        <w:rPr>
          <w:rtl w:val="0"/>
        </w:rPr>
      </w:r>
    </w:p>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бу ерда,</w:t>
      </w:r>
    </w:p>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Lustria" w:cs="Lustria" w:eastAsia="Lustria" w:hAnsi="Lustria"/>
          <w:b w:val="0"/>
          <w:i w:val="1"/>
          <w:smallCaps w:val="0"/>
          <w:strike w:val="0"/>
          <w:color w:val="000000"/>
          <w:sz w:val="32"/>
          <w:szCs w:val="32"/>
          <w:u w:val="none"/>
          <w:shd w:fill="auto" w:val="clear"/>
          <w:vertAlign w:val="baseline"/>
          <w:rtl w:val="0"/>
        </w:rPr>
        <w:t xml:space="preserve">X(t)</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башорат қилинган қатор, </w:t>
      </w:r>
      <w:r w:rsidDel="00000000" w:rsidR="00000000" w:rsidRPr="00000000">
        <w:rPr>
          <w:rFonts w:ascii="Lustria" w:cs="Lustria" w:eastAsia="Lustria" w:hAnsi="Lustria"/>
          <w:b w:val="0"/>
          <w:i w:val="1"/>
          <w:smallCaps w:val="0"/>
          <w:strike w:val="0"/>
          <w:color w:val="000000"/>
          <w:sz w:val="32"/>
          <w:szCs w:val="32"/>
          <w:u w:val="none"/>
          <w:shd w:fill="auto" w:val="clear"/>
          <w:vertAlign w:val="baseline"/>
          <w:rtl w:val="0"/>
        </w:rPr>
        <w:t xml:space="preserve">Tr(t)</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тренд, </w:t>
      </w:r>
      <w:r w:rsidDel="00000000" w:rsidR="00000000" w:rsidRPr="00000000">
        <w:rPr>
          <w:rFonts w:ascii="Lustria" w:cs="Lustria" w:eastAsia="Lustria" w:hAnsi="Lustria"/>
          <w:b w:val="0"/>
          <w:i w:val="1"/>
          <w:smallCaps w:val="0"/>
          <w:strike w:val="0"/>
          <w:color w:val="000000"/>
          <w:sz w:val="32"/>
          <w:szCs w:val="32"/>
          <w:u w:val="none"/>
          <w:shd w:fill="auto" w:val="clear"/>
          <w:vertAlign w:val="baseline"/>
          <w:rtl w:val="0"/>
        </w:rPr>
        <w:t xml:space="preserve">S(t)</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мавсумийлик, </w:t>
      </w:r>
      <w:r w:rsidDel="00000000" w:rsidR="00000000" w:rsidRPr="00000000">
        <w:rPr>
          <w:rFonts w:ascii="Lustria" w:cs="Lustria" w:eastAsia="Lustria" w:hAnsi="Lustria"/>
          <w:b w:val="0"/>
          <w:i w:val="1"/>
          <w:smallCaps w:val="0"/>
          <w:strike w:val="0"/>
          <w:color w:val="000000"/>
          <w:sz w:val="32"/>
          <w:szCs w:val="32"/>
          <w:u w:val="none"/>
          <w:shd w:fill="auto" w:val="clear"/>
          <w:vertAlign w:val="baseline"/>
          <w:rtl w:val="0"/>
        </w:rPr>
        <w:t xml:space="preserve">e(t)</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хато.</w:t>
      </w:r>
    </w:p>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Ушбу ёндашувни кўриб чиқиш техникаси бир неча босқичлардан иборат:</w:t>
      </w:r>
    </w:p>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Маълумотларни характерли бўлмаган кўтарилиш ва пасайишдан тозалаш;</w:t>
      </w:r>
    </w:p>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Мавсумийликни таъкидлаш («мавсумни йўқ қилиш»). Шунга кўра, мавсумийликдан тозаланган ҳақиқий маълумотлар «десезонализациялаш» тренд (қисқартирилган ДСТ - Десезонализацияланган Тренд) ёки оддийгина тренд деб номланади;</w:t>
      </w:r>
    </w:p>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Тегишли усуллардан бири ёрдамида ДСТни экстраполяция қилиш;</w:t>
      </w:r>
    </w:p>
    <w:p w:rsidR="00000000" w:rsidDel="00000000" w:rsidP="00000000" w:rsidRDefault="00000000" w:rsidRPr="00000000" w14:paraId="000000A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Очиқ хатолар юз берганда, натижада прогнозни тузатиш;</w:t>
      </w:r>
    </w:p>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Олинган мавсумийлик прогнозини бекор қилиш. Олинган натижа дастлабки прогноз деб номланади;</w:t>
      </w:r>
    </w:p>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 Муайян ҳаракатлар туфайли дастлабки прогнозни ошириш ёки камайтириш, яъни якуний прогнозни олиш.</w:t>
      </w:r>
    </w:p>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Келинг, ушбу қадамларни мисол ёрдамида кўриб чиқамиз. Бунинг учун сабзавот ва мева джемларини ишлаб чиқарадиган ва сотадиган маълум бир Z компаниясини кўриб чиқайлик. Биз компаниянинг сотилишини 12 ой олдин башорат қилишимиз керак. Уларнинг маълумотлари қуйидагича:</w:t>
      </w:r>
    </w:p>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righ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1-жадвал. </w:t>
      </w:r>
    </w:p>
    <w:p w:rsidR="00000000" w:rsidDel="00000000" w:rsidP="00000000" w:rsidRDefault="00000000" w:rsidRPr="00000000" w14:paraId="000000A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Z компаниясининг 3 йиллик ҳақиқий сотуви</w:t>
      </w:r>
      <w:r w:rsidDel="00000000" w:rsidR="00000000" w:rsidRPr="00000000">
        <w:rPr>
          <w:rtl w:val="0"/>
        </w:rPr>
      </w:r>
    </w:p>
    <w:tbl>
      <w:tblPr>
        <w:tblStyle w:val="Table1"/>
        <w:tblW w:w="9883.0" w:type="dxa"/>
        <w:jc w:val="left"/>
        <w:tblInd w:w="8.0" w:type="dxa"/>
        <w:tblLayout w:type="fixed"/>
        <w:tblLook w:val="0000"/>
      </w:tblPr>
      <w:tblGrid>
        <w:gridCol w:w="993"/>
        <w:gridCol w:w="567"/>
        <w:gridCol w:w="708"/>
        <w:gridCol w:w="709"/>
        <w:gridCol w:w="607"/>
        <w:gridCol w:w="602"/>
        <w:gridCol w:w="770"/>
        <w:gridCol w:w="783"/>
        <w:gridCol w:w="588"/>
        <w:gridCol w:w="714"/>
        <w:gridCol w:w="602"/>
        <w:gridCol w:w="756"/>
        <w:gridCol w:w="602"/>
        <w:gridCol w:w="882"/>
        <w:tblGridChange w:id="0">
          <w:tblGrid>
            <w:gridCol w:w="993"/>
            <w:gridCol w:w="567"/>
            <w:gridCol w:w="708"/>
            <w:gridCol w:w="709"/>
            <w:gridCol w:w="607"/>
            <w:gridCol w:w="602"/>
            <w:gridCol w:w="770"/>
            <w:gridCol w:w="783"/>
            <w:gridCol w:w="588"/>
            <w:gridCol w:w="714"/>
            <w:gridCol w:w="602"/>
            <w:gridCol w:w="756"/>
            <w:gridCol w:w="602"/>
            <w:gridCol w:w="882"/>
          </w:tblGrid>
        </w:tblGridChange>
      </w:tblGrid>
      <w:tr>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A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Йил/Ой</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A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Янв.</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Февр.</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Март</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A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Апр.</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A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Май</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A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Июнь</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A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Июль</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A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Авг.</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A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Сент.</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B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Окт.</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B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Нояб.</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B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Дек.</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B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Сумма</w:t>
            </w:r>
          </w:p>
        </w:tc>
      </w:tr>
      <w:tr>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B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2018</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B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42</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B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46</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B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48</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B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49</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B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49</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B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47</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B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43</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B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38</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B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35</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B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33</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B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34</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C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38</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C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500</w:t>
            </w:r>
          </w:p>
        </w:tc>
      </w:tr>
      <w:tr>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C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2019</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C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43</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C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50</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C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55</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C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59</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C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89</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C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63</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C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61</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C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58</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C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56</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C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56</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C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60</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C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68</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C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716</w:t>
            </w:r>
          </w:p>
        </w:tc>
      </w:tr>
      <w:tr>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D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2020</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D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78</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D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60</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D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95</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D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98</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D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99</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D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96</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D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89</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D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79</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D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59</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D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72</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D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74</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D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81</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D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979</w:t>
            </w:r>
          </w:p>
        </w:tc>
      </w:tr>
    </w:tbl>
    <w:p w:rsidR="00000000" w:rsidDel="00000000" w:rsidP="00000000" w:rsidRDefault="00000000" w:rsidRPr="00000000" w14:paraId="000000D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114300" distR="114300">
            <wp:extent cx="4584700" cy="2755900"/>
            <wp:docPr id="1027" name=""/>
            <a:graphic>
              <a:graphicData uri="http://schemas.openxmlformats.org/drawingml/2006/chart">
                <c:chart r:id="rId7"/>
              </a:graphicData>
            </a:graphic>
          </wp:inline>
        </w:drawing>
      </w:r>
      <w:r w:rsidDel="00000000" w:rsidR="00000000" w:rsidRPr="00000000">
        <w:rPr>
          <w:rtl w:val="0"/>
        </w:rPr>
      </w:r>
    </w:p>
    <w:p w:rsidR="00000000" w:rsidDel="00000000" w:rsidP="00000000" w:rsidRDefault="00000000" w:rsidRPr="00000000" w14:paraId="000000E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Расм-1. Z компаниясининг 3 йил ичидаги ҳақиқий сотуви. </w:t>
      </w:r>
      <w:r w:rsidDel="00000000" w:rsidR="00000000" w:rsidRPr="00000000">
        <w:rPr>
          <w:rtl w:val="0"/>
        </w:rPr>
      </w:r>
    </w:p>
    <w:p w:rsidR="00000000" w:rsidDel="00000000" w:rsidP="00000000" w:rsidRDefault="00000000" w:rsidRPr="00000000" w14:paraId="000000E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2018 йил-кўк ранг, 2019 йил-қизил ранг, 2020 йил-яшил ранг</w:t>
      </w:r>
      <w:r w:rsidDel="00000000" w:rsidR="00000000" w:rsidRPr="00000000">
        <w:rPr>
          <w:rtl w:val="0"/>
        </w:rPr>
      </w:r>
    </w:p>
    <w:p w:rsidR="00000000" w:rsidDel="00000000" w:rsidP="00000000" w:rsidRDefault="00000000" w:rsidRPr="00000000" w14:paraId="000000E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Шубҳасиз, 2020 йил феврал ва сентябр ойларида, шунингдек 2019 йил май ойида ушбу даврларда компаниянинг сотувларига сезиларли таъсир кўрсатган баъзи воқеалар юз берди. Ушбу ҳодисалар тасодифий ёки олдиндан режалаштирилган бўлиши мумкин. Масалан, 2019 йил май ойида сотувларнинг кескин ўсиши фаол реклама кампанияси билан боғлиқ бўлиши мумкин.</w:t>
      </w:r>
    </w:p>
    <w:p w:rsidR="00000000" w:rsidDel="00000000" w:rsidP="00000000" w:rsidRDefault="00000000" w:rsidRPr="00000000" w14:paraId="000000E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Бизнинг мисолимизда, 2020 йил феврал ва сентябр ойларида савдо-сотиқнинг характерли бўлмаган пасайишига, шунингдек 2019 йил май ойида савдо-сотиқнинг ўсишига нима сабаб бўлганлиги ҳақидаги саволга чуқур тўхталмаймиз. Биз ушбу фикрларни ишончсиз деб чиқариб ташлаймиз ва уларнинг қадриятларини ушбу даврларга мос келадиган ҳодисалар билан алмаштирамиз, яъни 2019 йил май ойида 62, 2020 йил феврал ва сентябр ойларида 87,74. Энди жадвал ва график қуйидаги кўринишга эга бўлади:</w:t>
      </w:r>
    </w:p>
    <w:p w:rsidR="00000000" w:rsidDel="00000000" w:rsidP="00000000" w:rsidRDefault="00000000" w:rsidRPr="00000000" w14:paraId="000000E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righ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righ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2-жадвал. </w:t>
      </w:r>
    </w:p>
    <w:p w:rsidR="00000000" w:rsidDel="00000000" w:rsidP="00000000" w:rsidRDefault="00000000" w:rsidRPr="00000000" w14:paraId="000000E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Z компаниясининг 3 йил давомида тузатилган ҳақиқий сотуви</w:t>
      </w:r>
      <w:r w:rsidDel="00000000" w:rsidR="00000000" w:rsidRPr="00000000">
        <w:rPr>
          <w:rtl w:val="0"/>
        </w:rPr>
      </w:r>
    </w:p>
    <w:p w:rsidR="00000000" w:rsidDel="00000000" w:rsidP="00000000" w:rsidRDefault="00000000" w:rsidRPr="00000000" w14:paraId="000000E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bl>
      <w:tblPr>
        <w:tblStyle w:val="Table2"/>
        <w:tblW w:w="9797.0" w:type="dxa"/>
        <w:jc w:val="left"/>
        <w:tblInd w:w="8.0" w:type="dxa"/>
        <w:tblLayout w:type="fixed"/>
        <w:tblLook w:val="0000"/>
      </w:tblPr>
      <w:tblGrid>
        <w:gridCol w:w="1024"/>
        <w:gridCol w:w="617"/>
        <w:gridCol w:w="714"/>
        <w:gridCol w:w="714"/>
        <w:gridCol w:w="630"/>
        <w:gridCol w:w="560"/>
        <w:gridCol w:w="770"/>
        <w:gridCol w:w="728"/>
        <w:gridCol w:w="573"/>
        <w:gridCol w:w="686"/>
        <w:gridCol w:w="588"/>
        <w:gridCol w:w="784"/>
        <w:gridCol w:w="588"/>
        <w:gridCol w:w="821"/>
        <w:tblGridChange w:id="0">
          <w:tblGrid>
            <w:gridCol w:w="1024"/>
            <w:gridCol w:w="617"/>
            <w:gridCol w:w="714"/>
            <w:gridCol w:w="714"/>
            <w:gridCol w:w="630"/>
            <w:gridCol w:w="560"/>
            <w:gridCol w:w="770"/>
            <w:gridCol w:w="728"/>
            <w:gridCol w:w="573"/>
            <w:gridCol w:w="686"/>
            <w:gridCol w:w="588"/>
            <w:gridCol w:w="784"/>
            <w:gridCol w:w="588"/>
            <w:gridCol w:w="821"/>
          </w:tblGrid>
        </w:tblGridChange>
      </w:tblGrid>
      <w:tr>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E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Йил/Ой</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E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Янв.</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E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Февр.</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E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Март</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E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Апр.</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E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Май</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F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Июнь</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F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Июль</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F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Авг.</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F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Сент.</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F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Окт.</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F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Нояб.</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F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Дек.</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F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Сумма</w:t>
            </w:r>
          </w:p>
        </w:tc>
      </w:tr>
      <w:tr>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F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2018</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F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42</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F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46</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F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48</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F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49</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F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49</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F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47</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F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43</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1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38</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1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35</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1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33</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1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34</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1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38</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1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500</w:t>
            </w:r>
          </w:p>
        </w:tc>
      </w:tr>
      <w:tr>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1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2019</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1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43</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1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50</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1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55</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1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59</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1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62</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1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63</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1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61</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1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58</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1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56</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1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56</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1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60</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1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68</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1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689</w:t>
            </w:r>
          </w:p>
        </w:tc>
      </w:tr>
      <w:tr>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1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2020</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1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78</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1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87</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1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95</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1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98</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1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99</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1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96</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1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89</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1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79</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1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74</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1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72</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1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74</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1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81</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1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1021</w:t>
            </w:r>
          </w:p>
        </w:tc>
      </w:tr>
    </w:tbl>
    <w:p w:rsidR="00000000" w:rsidDel="00000000" w:rsidP="00000000" w:rsidRDefault="00000000" w:rsidRPr="00000000" w14:paraId="000001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114300" distR="114300">
            <wp:extent cx="5612130" cy="2752725"/>
            <wp:docPr id="1028" name=""/>
            <a:graphic>
              <a:graphicData uri="http://schemas.openxmlformats.org/drawingml/2006/chart">
                <c:chart r:id="rId8"/>
              </a:graphicData>
            </a:graphic>
          </wp:inline>
        </w:drawing>
      </w:r>
      <w:r w:rsidDel="00000000" w:rsidR="00000000" w:rsidRPr="00000000">
        <w:rPr>
          <w:rtl w:val="0"/>
        </w:rPr>
      </w:r>
    </w:p>
    <w:p w:rsidR="00000000" w:rsidDel="00000000" w:rsidP="00000000" w:rsidRDefault="00000000" w:rsidRPr="00000000" w14:paraId="000001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Расм-2. Z компаниясининг 3 йил давомида тузатилган ҳақиқий сотуви</w:t>
      </w:r>
      <w:r w:rsidDel="00000000" w:rsidR="00000000" w:rsidRPr="00000000">
        <w:rPr>
          <w:rtl w:val="0"/>
        </w:rPr>
      </w:r>
    </w:p>
    <w:p w:rsidR="00000000" w:rsidDel="00000000" w:rsidP="00000000" w:rsidRDefault="00000000" w:rsidRPr="00000000" w14:paraId="000001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2018 йил-кўк ранг, 2019 йил-қизил ранг, 2020 йил-яшил ранг</w:t>
      </w:r>
      <w:r w:rsidDel="00000000" w:rsidR="00000000" w:rsidRPr="00000000">
        <w:rPr>
          <w:rtl w:val="0"/>
        </w:rPr>
      </w:r>
    </w:p>
    <w:p w:rsidR="00000000" w:rsidDel="00000000" w:rsidP="00000000" w:rsidRDefault="00000000" w:rsidRPr="00000000" w14:paraId="000001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Кейинчалик, мавсумийлик омилларини ҳисоблашимиз керак. Ҳар бир аниқ ой учун мавсумийлик коэффициенти шу ойда сотилган маҳсулотнинг йил давомида ўртача ойлик сотувга нисбати сифатида ҳисобланади. Аммо бунинг учун бизда маълум бир, шундай қилиб айтганда, «идеал» йил бўлиши керак, бу йилги умумий тенденция бир текис бўлади. Агар тенденция кўтарилса ёки тушса, унда бу кўтарилиш (тушиш) мавсумийлик коеффитсиентларига ҳам тушади, бу албатта тўғри эмас. Шунинг учун, одатда мавсумийлик коеффитсиентларини ҳисоблашда, ҳаракатланувчи ўртача ёрдамида маълумотларни текислаш усули қўлланилади. Дарҳақиқат, текислаш ёрдамида биз маълумотларнинг тенденциясини аниқлаймиз ва сотувларни трендга тақсимлаймиз, шу билан унинг таъсирини йўқ қиламиз. Бу ҳолда маълум бир ойнинг мавсумийлик коэффициенти ушбу ойда сотилган маҳсулотнинг йил давомида ўртача савдога нисбати билан тенг бўлади, лекин йил тақвимий йил эмас, балки, айтганда, «атрофдаги» жорий ой (агар биз 12 ойни белгиласак). Бироқ, бу ҳолда, коеффициентларнинг йиғиндиси 12 га тенг бўлмайди ва шунинг учун натижада олинган қийматларни нормаллаштириш керак бўлади.</w:t>
      </w:r>
    </w:p>
    <w:p w:rsidR="00000000" w:rsidDel="00000000" w:rsidP="00000000" w:rsidRDefault="00000000" w:rsidRPr="00000000" w14:paraId="0000012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9">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Назорат ва муҳокама учун саволлар</w:t>
      </w:r>
      <w:r w:rsidDel="00000000" w:rsidR="00000000" w:rsidRPr="00000000">
        <w:rPr>
          <w:rtl w:val="0"/>
        </w:rPr>
      </w:r>
    </w:p>
    <w:p w:rsidR="00000000" w:rsidDel="00000000" w:rsidP="00000000" w:rsidRDefault="00000000" w:rsidRPr="00000000" w14:paraId="0000012A">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B">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Қандай ички ва глобал иқтисодий кўрсаткичлар мавжуд?</w:t>
      </w:r>
    </w:p>
    <w:p w:rsidR="00000000" w:rsidDel="00000000" w:rsidP="00000000" w:rsidRDefault="00000000" w:rsidRPr="00000000" w14:paraId="0000012C">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Иқтисодий ривожланиш кўрсаткичларини санаб беринг?</w:t>
      </w:r>
    </w:p>
    <w:p w:rsidR="00000000" w:rsidDel="00000000" w:rsidP="00000000" w:rsidRDefault="00000000" w:rsidRPr="00000000" w14:paraId="0000012D">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Саноат, компания, фирманинг келажакдаги ривожланишини башорат қилиш тадқиқотлари мазмуни? </w:t>
      </w:r>
    </w:p>
    <w:p w:rsidR="00000000" w:rsidDel="00000000" w:rsidP="00000000" w:rsidRDefault="00000000" w:rsidRPr="00000000" w14:paraId="0000012E">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Саноат, компания, фирманинг келажакдаги ривожланишини башорат қилиш тадқиқотлари жараёнини айтиб беринг?</w:t>
      </w:r>
    </w:p>
    <w:p w:rsidR="00000000" w:rsidDel="00000000" w:rsidP="00000000" w:rsidRDefault="00000000" w:rsidRPr="00000000" w14:paraId="0000012F">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Қандай саноат, компания, фирманинг келажакдаги ривожланишини прогнозлаш усуллари мавжуд?</w:t>
      </w:r>
    </w:p>
    <w:p w:rsidR="00000000" w:rsidDel="00000000" w:rsidP="00000000" w:rsidRDefault="00000000" w:rsidRPr="00000000" w14:paraId="00000130">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1211" w:right="0"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Адабиётлар</w:t>
      </w:r>
    </w:p>
    <w:p w:rsidR="00000000" w:rsidDel="00000000" w:rsidP="00000000" w:rsidRDefault="00000000" w:rsidRPr="00000000" w14:paraId="00000131">
      <w:pPr>
        <w:tabs>
          <w:tab w:val="left" w:pos="851"/>
        </w:tabs>
        <w:spacing w:after="240" w:before="240" w:lineRule="auto"/>
        <w:ind w:lef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Ўзбекистон иқтисодиётининг рақобатбардошлигини ошириш муаммолари: назария ва амалиёт. С.С.Ғуломов таҳрири остида. - Тошкент: Konsauditinform-Nashr, 2006. 440 б.</w:t>
      </w:r>
    </w:p>
    <w:p w:rsidR="00000000" w:rsidDel="00000000" w:rsidP="00000000" w:rsidRDefault="00000000" w:rsidRPr="00000000" w14:paraId="00000132">
      <w:pPr>
        <w:tabs>
          <w:tab w:val="left" w:pos="851"/>
        </w:tabs>
        <w:spacing w:after="240" w:before="240" w:lineRule="auto"/>
        <w:ind w:lef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Эргашходжаева Ш.Д. Халқаро рақобат. Ўқув қўлланма. Т.: ТДИУ, 2013.- 252 бет.</w:t>
      </w:r>
    </w:p>
    <w:p w:rsidR="00000000" w:rsidDel="00000000" w:rsidP="00000000" w:rsidRDefault="00000000" w:rsidRPr="00000000" w14:paraId="00000133">
      <w:pPr>
        <w:tabs>
          <w:tab w:val="left" w:pos="851"/>
        </w:tabs>
        <w:spacing w:after="240" w:before="240" w:lineRule="auto"/>
        <w:ind w:lef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Портер М. Конкуренция. Пер. с англ. – М.: Издательский дом “Вильямс”, 2005.-608 стр.</w:t>
      </w:r>
    </w:p>
    <w:p w:rsidR="00000000" w:rsidDel="00000000" w:rsidP="00000000" w:rsidRDefault="00000000" w:rsidRPr="00000000" w14:paraId="00000134">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Портер М., Майкл Э. Конкурентная стратегия: Методика анализа отраслей и конкурентов / Пер. с анг. Учебник. - 2-изд. - М.: Альпина Бизнес Букс, 2009. - 516 стр.</w:t>
      </w:r>
    </w:p>
    <w:p w:rsidR="00000000" w:rsidDel="00000000" w:rsidP="00000000" w:rsidRDefault="00000000" w:rsidRPr="00000000" w14:paraId="00000135">
      <w:pPr>
        <w:tabs>
          <w:tab w:val="left" w:pos="851"/>
        </w:tabs>
        <w:spacing w:after="240" w:before="240" w:lineRule="auto"/>
        <w:ind w:lef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World Economic Forum. 2003. Global Competitiveness Report 2002-2003. N.-Y.: Oxford University Press.</w:t>
      </w:r>
    </w:p>
    <w:p w:rsidR="00000000" w:rsidDel="00000000" w:rsidP="00000000" w:rsidRDefault="00000000" w:rsidRPr="00000000" w14:paraId="00000136">
      <w:pPr>
        <w:tabs>
          <w:tab w:val="left" w:pos="851"/>
        </w:tabs>
        <w:spacing w:after="240" w:before="240" w:lineRule="auto"/>
        <w:ind w:lef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 Горбунов А. Национальная конкурентоспособность. – М.: Анкил, 2010. – 256 стр.</w:t>
      </w:r>
    </w:p>
    <w:p w:rsidR="00000000" w:rsidDel="00000000" w:rsidP="00000000" w:rsidRDefault="00000000" w:rsidRPr="00000000" w14:paraId="00000137">
      <w:pPr>
        <w:tabs>
          <w:tab w:val="left" w:pos="851"/>
        </w:tabs>
        <w:spacing w:after="240" w:before="240" w:lineRule="auto"/>
        <w:ind w:lef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 Мазилкина Е.И, Паничкина Т.Г. Управление конкурентоспособностью. Учеб.пособ. – Омега-Л, 2009. – 325 стр.</w:t>
      </w:r>
    </w:p>
    <w:p w:rsidR="00000000" w:rsidDel="00000000" w:rsidP="00000000" w:rsidRDefault="00000000" w:rsidRPr="00000000" w14:paraId="00000138">
      <w:pPr>
        <w:tabs>
          <w:tab w:val="left" w:pos="851"/>
        </w:tabs>
        <w:spacing w:after="240" w:before="240" w:lineRule="auto"/>
        <w:ind w:lef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 Носова Н.С. Конкурентная стратегия компании или маркетинговые методы конкурентной борьбы / Н.С. Носова.- 2-е изд. - М.: Дашков и К; Саратов: ООО Англейс, 2010.- 256 стр.</w:t>
      </w:r>
    </w:p>
    <w:p w:rsidR="00000000" w:rsidDel="00000000" w:rsidP="00000000" w:rsidRDefault="00000000" w:rsidRPr="00000000" w14:paraId="00000139">
      <w:pPr>
        <w:tabs>
          <w:tab w:val="left" w:pos="851"/>
        </w:tabs>
        <w:spacing w:after="240" w:before="240" w:lineRule="auto"/>
        <w:ind w:lef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 Нешитой А.С. Инвестиции: Учебник. – 4-е изд. -М.: Дашков и К, 2008.- 580 стр.</w:t>
      </w:r>
    </w:p>
    <w:p w:rsidR="00000000" w:rsidDel="00000000" w:rsidP="00000000" w:rsidRDefault="00000000" w:rsidRPr="00000000" w14:paraId="0000013A">
      <w:pPr>
        <w:tabs>
          <w:tab w:val="left" w:pos="851"/>
        </w:tabs>
        <w:spacing w:before="240" w:lineRule="auto"/>
        <w:ind w:lef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 Качалина Л.Н. Конкурентоспособный менеджмент. – М.: Эксмо, 2009.</w:t>
      </w:r>
    </w:p>
    <w:p w:rsidR="00000000" w:rsidDel="00000000" w:rsidP="00000000" w:rsidRDefault="00000000" w:rsidRPr="00000000" w14:paraId="0000013B">
      <w:pPr>
        <w:tabs>
          <w:tab w:val="left" w:pos="851"/>
        </w:tabs>
        <w:spacing w:after="240" w:before="240" w:lineRule="auto"/>
        <w:ind w:lef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 European Commission (2002): «The Lisbon strategy — making change happen», Communication from the Commission to the Spring European Council in Barcelona, COM (2002) 14, 15.01.2002.</w:t>
      </w:r>
    </w:p>
    <w:p w:rsidR="00000000" w:rsidDel="00000000" w:rsidP="00000000" w:rsidRDefault="00000000" w:rsidRPr="00000000" w14:paraId="0000013C">
      <w:pPr>
        <w:tabs>
          <w:tab w:val="left" w:pos="851"/>
        </w:tabs>
        <w:spacing w:after="240" w:before="240" w:lineRule="auto"/>
        <w:ind w:lef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 European Commission (2002): «Productivity: The key to competitiveness of European Economies and Enterprises», Communication from the Commission to the Council and the European Parliament, Brussels, COM (2002) 262, 21.05.2002.</w:t>
      </w:r>
    </w:p>
    <w:p w:rsidR="00000000" w:rsidDel="00000000" w:rsidP="00000000" w:rsidRDefault="00000000" w:rsidRPr="00000000" w14:paraId="0000013D">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 Фатхутдинов Р.А</w:t>
      </w:r>
      <w:r w:rsidDel="00000000" w:rsidR="00000000" w:rsidRPr="00000000">
        <w:rPr>
          <w:rFonts w:ascii="Times New Roman" w:cs="Times New Roman" w:eastAsia="Times New Roman" w:hAnsi="Times New Roman"/>
          <w:i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Управление конкурентоспособностью организации: Учебник. Н.: ЭКСМО, 2004. - 544 стр.</w:t>
      </w:r>
    </w:p>
    <w:p w:rsidR="00000000" w:rsidDel="00000000" w:rsidP="00000000" w:rsidRDefault="00000000" w:rsidRPr="00000000" w14:paraId="0000013E">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1211" w:right="0" w:firstLine="0"/>
        <w:rPr>
          <w:rFonts w:ascii="Times New Roman" w:cs="Times New Roman" w:eastAsia="Times New Roman" w:hAnsi="Times New Roman"/>
          <w:sz w:val="28"/>
          <w:szCs w:val="28"/>
        </w:rPr>
      </w:pPr>
      <w:r w:rsidDel="00000000" w:rsidR="00000000" w:rsidRPr="00000000">
        <w:rPr>
          <w:rtl w:val="0"/>
        </w:rPr>
      </w:r>
    </w:p>
    <w:sectPr>
      <w:pgSz w:h="16838" w:w="11906" w:orient="portrait"/>
      <w:pgMar w:bottom="1134" w:top="1134"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Lustria">
    <w:embedRegular w:fontKey="{00000000-0000-0000-0000-000000000000}" r:id="rId1"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1211" w:hanging="360"/>
      </w:pPr>
      <w:rPr>
        <w:vertAlign w:val="baseline"/>
      </w:rPr>
    </w:lvl>
    <w:lvl w:ilvl="1">
      <w:start w:val="1"/>
      <w:numFmt w:val="lowerLetter"/>
      <w:lvlText w:val="%2."/>
      <w:lvlJc w:val="left"/>
      <w:pPr>
        <w:ind w:left="1931" w:hanging="360"/>
      </w:pPr>
      <w:rPr>
        <w:vertAlign w:val="baseline"/>
      </w:rPr>
    </w:lvl>
    <w:lvl w:ilvl="2">
      <w:start w:val="1"/>
      <w:numFmt w:val="lowerRoman"/>
      <w:lvlText w:val="%3."/>
      <w:lvlJc w:val="right"/>
      <w:pPr>
        <w:ind w:left="2651" w:hanging="180"/>
      </w:pPr>
      <w:rPr>
        <w:vertAlign w:val="baseline"/>
      </w:rPr>
    </w:lvl>
    <w:lvl w:ilvl="3">
      <w:start w:val="1"/>
      <w:numFmt w:val="decimal"/>
      <w:lvlText w:val="%4."/>
      <w:lvlJc w:val="left"/>
      <w:pPr>
        <w:ind w:left="3371" w:hanging="360"/>
      </w:pPr>
      <w:rPr>
        <w:vertAlign w:val="baseline"/>
      </w:rPr>
    </w:lvl>
    <w:lvl w:ilvl="4">
      <w:start w:val="1"/>
      <w:numFmt w:val="lowerLetter"/>
      <w:lvlText w:val="%5."/>
      <w:lvlJc w:val="left"/>
      <w:pPr>
        <w:ind w:left="4091" w:hanging="360"/>
      </w:pPr>
      <w:rPr>
        <w:vertAlign w:val="baseline"/>
      </w:rPr>
    </w:lvl>
    <w:lvl w:ilvl="5">
      <w:start w:val="1"/>
      <w:numFmt w:val="lowerRoman"/>
      <w:lvlText w:val="%6."/>
      <w:lvlJc w:val="right"/>
      <w:pPr>
        <w:ind w:left="4811" w:hanging="180"/>
      </w:pPr>
      <w:rPr>
        <w:vertAlign w:val="baseline"/>
      </w:rPr>
    </w:lvl>
    <w:lvl w:ilvl="6">
      <w:start w:val="1"/>
      <w:numFmt w:val="decimal"/>
      <w:lvlText w:val="%7."/>
      <w:lvlJc w:val="left"/>
      <w:pPr>
        <w:ind w:left="5531" w:hanging="360"/>
      </w:pPr>
      <w:rPr>
        <w:vertAlign w:val="baseline"/>
      </w:rPr>
    </w:lvl>
    <w:lvl w:ilvl="7">
      <w:start w:val="1"/>
      <w:numFmt w:val="lowerLetter"/>
      <w:lvlText w:val="%8."/>
      <w:lvlJc w:val="left"/>
      <w:pPr>
        <w:ind w:left="6251" w:hanging="360"/>
      </w:pPr>
      <w:rPr>
        <w:vertAlign w:val="baseline"/>
      </w:rPr>
    </w:lvl>
    <w:lvl w:ilvl="8">
      <w:start w:val="1"/>
      <w:numFmt w:val="lowerRoman"/>
      <w:lvlText w:val="%9."/>
      <w:lvlJc w:val="right"/>
      <w:pPr>
        <w:ind w:left="6971" w:hanging="180"/>
      </w:pPr>
      <w:rP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lang w:val="ru-RU"/>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Обычный">
    <w:name w:val="Обычный"/>
    <w:next w:val="Обычный"/>
    <w:autoRedefine w:val="0"/>
    <w:hidden w:val="0"/>
    <w:qFormat w:val="0"/>
    <w:pPr>
      <w:suppressAutoHyphens w:val="1"/>
      <w:spacing w:after="200" w:line="276" w:lineRule="auto"/>
      <w:ind w:leftChars="-1" w:rightChars="0" w:firstLineChars="-1"/>
      <w:textDirection w:val="btLr"/>
      <w:textAlignment w:val="top"/>
      <w:outlineLvl w:val="0"/>
    </w:pPr>
    <w:rPr>
      <w:w w:val="100"/>
      <w:position w:val="-1"/>
      <w:sz w:val="22"/>
      <w:szCs w:val="22"/>
      <w:effect w:val="none"/>
      <w:vertAlign w:val="baseline"/>
      <w:cs w:val="0"/>
      <w:em w:val="none"/>
      <w:lang w:bidi="ar-SA" w:eastAsia="en-US" w:val="ru-RU"/>
    </w:rPr>
  </w:style>
  <w:style w:type="character" w:styleId="Основнойшрифтабзаца">
    <w:name w:val="Основной шрифт абзаца"/>
    <w:next w:val="Основнойшрифтабзаца"/>
    <w:autoRedefine w:val="0"/>
    <w:hidden w:val="0"/>
    <w:qFormat w:val="1"/>
    <w:rPr>
      <w:w w:val="100"/>
      <w:position w:val="-1"/>
      <w:effect w:val="none"/>
      <w:vertAlign w:val="baseline"/>
      <w:cs w:val="0"/>
      <w:em w:val="none"/>
      <w:lang/>
    </w:rPr>
  </w:style>
  <w:style w:type="table" w:styleId="Обычнаятаблица">
    <w:name w:val="Обычная таблица"/>
    <w:next w:val="Обычнаятаблица"/>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Нетсписка">
    <w:name w:val="Нет списка"/>
    <w:next w:val="Нетсписка"/>
    <w:autoRedefine w:val="0"/>
    <w:hidden w:val="0"/>
    <w:qFormat w:val="1"/>
    <w:pPr>
      <w:suppressAutoHyphens w:val="1"/>
      <w:spacing w:line="1" w:lineRule="atLeast"/>
      <w:ind w:leftChars="-1" w:rightChars="0" w:firstLineChars="-1"/>
      <w:textDirection w:val="btLr"/>
      <w:textAlignment w:val="top"/>
      <w:outlineLvl w:val="0"/>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chart" Target="charts/chart1.xml"/><Relationship Id="rId8" Type="http://schemas.openxmlformats.org/officeDocument/2006/relationships/chart" Target="charts/chart2.xml"/></Relationships>
</file>

<file path=word/_rels/fontTable.xml.rels><?xml version="1.0" encoding="UTF-8" standalone="yes"?><Relationships xmlns="http://schemas.openxmlformats.org/package/2006/relationships"><Relationship Id="rId1" Type="http://schemas.openxmlformats.org/officeDocument/2006/relationships/font" Target="fonts/Lustria-regular.ttf"/></Relationships>
</file>

<file path=word/charts/_rels/chart1.xml.rels><?xml version="1.0" encoding="UTF-8" standalone="yes"?><Relationships xmlns="http://schemas.openxmlformats.org/package/2006/relationships"><Relationship Id="rId1" Type="http://schemas.openxmlformats.org/officeDocument/2006/relationships/themeOverride" Target="../theme/themeOverride1.xml"/><Relationship Id="rId2" Type="http://schemas.openxmlformats.org/officeDocument/2006/relationships/oleObject" Target="&#1050;&#1085;&#1080;&#1075;&#1072;1" TargetMode="External"/></Relationships>
</file>

<file path=word/charts/_rels/chart2.xml.rels><?xml version="1.0" encoding="UTF-8" standalone="yes"?><Relationships xmlns="http://schemas.openxmlformats.org/package/2006/relationships"><Relationship Id="rId1" Type="http://schemas.openxmlformats.org/officeDocument/2006/relationships/themeOverride" Target="../theme/themeOverride2.xml"/><Relationship Id="rId2" Type="http://schemas.openxmlformats.org/officeDocument/2006/relationships/oleObject" Target="&#1050;&#1085;&#1080;&#1075;&#1072;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cked"/>
        <c:varyColors val="0"/>
        <c:ser>
          <c:idx val="0"/>
          <c:order val="0"/>
          <c:cat>
            <c:strRef>
              <c:f>Лист1!$B$8:$M$8</c:f>
              <c:strCache>
                <c:ptCount val="12"/>
                <c:pt idx="0">
                  <c:v>Янв.</c:v>
                </c:pt>
                <c:pt idx="1">
                  <c:v>Февр.</c:v>
                </c:pt>
                <c:pt idx="2">
                  <c:v>Март</c:v>
                </c:pt>
                <c:pt idx="3">
                  <c:v>Апр.</c:v>
                </c:pt>
                <c:pt idx="4">
                  <c:v>Май</c:v>
                </c:pt>
                <c:pt idx="5">
                  <c:v>Июнь</c:v>
                </c:pt>
                <c:pt idx="6">
                  <c:v>Июль</c:v>
                </c:pt>
                <c:pt idx="7">
                  <c:v>Авг.</c:v>
                </c:pt>
                <c:pt idx="8">
                  <c:v>Сент.</c:v>
                </c:pt>
                <c:pt idx="9">
                  <c:v>Окт.</c:v>
                </c:pt>
                <c:pt idx="10">
                  <c:v>Нояб.</c:v>
                </c:pt>
                <c:pt idx="11">
                  <c:v>Дек.</c:v>
                </c:pt>
              </c:strCache>
            </c:strRef>
          </c:cat>
          <c:val>
            <c:numRef>
              <c:f>Лист1!$B$9:$M$9</c:f>
              <c:numCache>
                <c:formatCode>General</c:formatCode>
                <c:ptCount val="12"/>
                <c:pt idx="0">
                  <c:v>42</c:v>
                </c:pt>
                <c:pt idx="1">
                  <c:v>46</c:v>
                </c:pt>
                <c:pt idx="2">
                  <c:v>48</c:v>
                </c:pt>
                <c:pt idx="3">
                  <c:v>49</c:v>
                </c:pt>
                <c:pt idx="4">
                  <c:v>49</c:v>
                </c:pt>
                <c:pt idx="5">
                  <c:v>47</c:v>
                </c:pt>
                <c:pt idx="6">
                  <c:v>43</c:v>
                </c:pt>
                <c:pt idx="7">
                  <c:v>38</c:v>
                </c:pt>
                <c:pt idx="8">
                  <c:v>35</c:v>
                </c:pt>
                <c:pt idx="9">
                  <c:v>33</c:v>
                </c:pt>
                <c:pt idx="10">
                  <c:v>34</c:v>
                </c:pt>
                <c:pt idx="11">
                  <c:v>38</c:v>
                </c:pt>
              </c:numCache>
            </c:numRef>
          </c:val>
          <c:smooth val="0"/>
        </c:ser>
        <c:ser>
          <c:idx val="1"/>
          <c:order val="1"/>
          <c:cat>
            <c:strRef>
              <c:f>Лист1!$B$8:$M$8</c:f>
              <c:strCache>
                <c:ptCount val="12"/>
                <c:pt idx="0">
                  <c:v>Янв.</c:v>
                </c:pt>
                <c:pt idx="1">
                  <c:v>Февр.</c:v>
                </c:pt>
                <c:pt idx="2">
                  <c:v>Март</c:v>
                </c:pt>
                <c:pt idx="3">
                  <c:v>Апр.</c:v>
                </c:pt>
                <c:pt idx="4">
                  <c:v>Май</c:v>
                </c:pt>
                <c:pt idx="5">
                  <c:v>Июнь</c:v>
                </c:pt>
                <c:pt idx="6">
                  <c:v>Июль</c:v>
                </c:pt>
                <c:pt idx="7">
                  <c:v>Авг.</c:v>
                </c:pt>
                <c:pt idx="8">
                  <c:v>Сент.</c:v>
                </c:pt>
                <c:pt idx="9">
                  <c:v>Окт.</c:v>
                </c:pt>
                <c:pt idx="10">
                  <c:v>Нояб.</c:v>
                </c:pt>
                <c:pt idx="11">
                  <c:v>Дек.</c:v>
                </c:pt>
              </c:strCache>
            </c:strRef>
          </c:cat>
          <c:val>
            <c:numRef>
              <c:f>Лист1!$B$10:$M$10</c:f>
              <c:numCache>
                <c:formatCode>General</c:formatCode>
                <c:ptCount val="12"/>
                <c:pt idx="0">
                  <c:v>43</c:v>
                </c:pt>
                <c:pt idx="1">
                  <c:v>50</c:v>
                </c:pt>
                <c:pt idx="2">
                  <c:v>55</c:v>
                </c:pt>
                <c:pt idx="3">
                  <c:v>59</c:v>
                </c:pt>
                <c:pt idx="4">
                  <c:v>89</c:v>
                </c:pt>
                <c:pt idx="5">
                  <c:v>63</c:v>
                </c:pt>
                <c:pt idx="6">
                  <c:v>61</c:v>
                </c:pt>
                <c:pt idx="7">
                  <c:v>58</c:v>
                </c:pt>
                <c:pt idx="8">
                  <c:v>56</c:v>
                </c:pt>
                <c:pt idx="9">
                  <c:v>56</c:v>
                </c:pt>
                <c:pt idx="10">
                  <c:v>60</c:v>
                </c:pt>
                <c:pt idx="11">
                  <c:v>68</c:v>
                </c:pt>
              </c:numCache>
            </c:numRef>
          </c:val>
          <c:smooth val="0"/>
        </c:ser>
        <c:ser>
          <c:idx val="2"/>
          <c:order val="2"/>
          <c:cat>
            <c:strRef>
              <c:f>Лист1!$B$8:$M$8</c:f>
              <c:strCache>
                <c:ptCount val="12"/>
                <c:pt idx="0">
                  <c:v>Янв.</c:v>
                </c:pt>
                <c:pt idx="1">
                  <c:v>Февр.</c:v>
                </c:pt>
                <c:pt idx="2">
                  <c:v>Март</c:v>
                </c:pt>
                <c:pt idx="3">
                  <c:v>Апр.</c:v>
                </c:pt>
                <c:pt idx="4">
                  <c:v>Май</c:v>
                </c:pt>
                <c:pt idx="5">
                  <c:v>Июнь</c:v>
                </c:pt>
                <c:pt idx="6">
                  <c:v>Июль</c:v>
                </c:pt>
                <c:pt idx="7">
                  <c:v>Авг.</c:v>
                </c:pt>
                <c:pt idx="8">
                  <c:v>Сент.</c:v>
                </c:pt>
                <c:pt idx="9">
                  <c:v>Окт.</c:v>
                </c:pt>
                <c:pt idx="10">
                  <c:v>Нояб.</c:v>
                </c:pt>
                <c:pt idx="11">
                  <c:v>Дек.</c:v>
                </c:pt>
              </c:strCache>
            </c:strRef>
          </c:cat>
          <c:val>
            <c:numRef>
              <c:f>Лист1!$B$11:$M$11</c:f>
              <c:numCache>
                <c:formatCode>General</c:formatCode>
                <c:ptCount val="12"/>
                <c:pt idx="0">
                  <c:v>78</c:v>
                </c:pt>
                <c:pt idx="1">
                  <c:v>60</c:v>
                </c:pt>
                <c:pt idx="2">
                  <c:v>95</c:v>
                </c:pt>
                <c:pt idx="3">
                  <c:v>98</c:v>
                </c:pt>
                <c:pt idx="4">
                  <c:v>99</c:v>
                </c:pt>
                <c:pt idx="5">
                  <c:v>96</c:v>
                </c:pt>
                <c:pt idx="6">
                  <c:v>89</c:v>
                </c:pt>
                <c:pt idx="7">
                  <c:v>79</c:v>
                </c:pt>
                <c:pt idx="8">
                  <c:v>59</c:v>
                </c:pt>
                <c:pt idx="9">
                  <c:v>72</c:v>
                </c:pt>
                <c:pt idx="10">
                  <c:v>74</c:v>
                </c:pt>
                <c:pt idx="11">
                  <c:v>81</c:v>
                </c:pt>
              </c:numCache>
            </c:numRef>
          </c:val>
          <c:smooth val="0"/>
        </c:ser>
        <c:dLbls>
          <c:showLegendKey val="0"/>
          <c:showVal val="0"/>
          <c:showCatName val="0"/>
          <c:showSerName val="0"/>
          <c:showPercent val="0"/>
          <c:showBubbleSize val="0"/>
        </c:dLbls>
        <c:marker val="1"/>
        <c:smooth val="0"/>
        <c:axId val="38459264"/>
        <c:axId val="122244096"/>
      </c:lineChart>
      <c:catAx>
        <c:axId val="38459264"/>
        <c:scaling>
          <c:orientation val="minMax"/>
        </c:scaling>
        <c:delete val="0"/>
        <c:axPos val="b"/>
        <c:majorTickMark val="out"/>
        <c:minorTickMark val="none"/>
        <c:tickLblPos val="nextTo"/>
        <c:crossAx val="122244096"/>
        <c:crosses val="autoZero"/>
        <c:auto val="1"/>
        <c:lblAlgn val="ctr"/>
        <c:lblOffset val="100"/>
        <c:noMultiLvlLbl val="0"/>
      </c:catAx>
      <c:valAx>
        <c:axId val="122244096"/>
        <c:scaling>
          <c:orientation val="minMax"/>
        </c:scaling>
        <c:delete val="1"/>
        <c:axPos val="l"/>
        <c:majorGridlines/>
        <c:numFmt formatCode="General" sourceLinked="1"/>
        <c:majorTickMark val="out"/>
        <c:minorTickMark val="none"/>
        <c:tickLblPos val="nextTo"/>
        <c:crossAx val="38459264"/>
        <c:crosses val="autoZero"/>
        <c:crossBetween val="between"/>
      </c:valAx>
    </c:plotArea>
    <c:plotVisOnly val="1"/>
    <c:dispBlanksAs val="zero"/>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cked"/>
        <c:varyColors val="0"/>
        <c:ser>
          <c:idx val="0"/>
          <c:order val="0"/>
          <c:cat>
            <c:strRef>
              <c:f>Лист1!$B$1:$M$1</c:f>
              <c:strCache>
                <c:ptCount val="12"/>
                <c:pt idx="0">
                  <c:v>Янв.</c:v>
                </c:pt>
                <c:pt idx="1">
                  <c:v>Февр.</c:v>
                </c:pt>
                <c:pt idx="2">
                  <c:v>Март</c:v>
                </c:pt>
                <c:pt idx="3">
                  <c:v>Апр.</c:v>
                </c:pt>
                <c:pt idx="4">
                  <c:v>Май</c:v>
                </c:pt>
                <c:pt idx="5">
                  <c:v>Июнь</c:v>
                </c:pt>
                <c:pt idx="6">
                  <c:v>Июль</c:v>
                </c:pt>
                <c:pt idx="7">
                  <c:v>Авг.</c:v>
                </c:pt>
                <c:pt idx="8">
                  <c:v>Сент.</c:v>
                </c:pt>
                <c:pt idx="9">
                  <c:v>Окт.</c:v>
                </c:pt>
                <c:pt idx="10">
                  <c:v>Нояб.</c:v>
                </c:pt>
                <c:pt idx="11">
                  <c:v>Дек.</c:v>
                </c:pt>
              </c:strCache>
            </c:strRef>
          </c:cat>
          <c:val>
            <c:numRef>
              <c:f>Лист1!$B$2:$M$2</c:f>
              <c:numCache>
                <c:formatCode>General</c:formatCode>
                <c:ptCount val="12"/>
                <c:pt idx="0">
                  <c:v>42</c:v>
                </c:pt>
                <c:pt idx="1">
                  <c:v>46</c:v>
                </c:pt>
                <c:pt idx="2">
                  <c:v>48</c:v>
                </c:pt>
                <c:pt idx="3">
                  <c:v>49</c:v>
                </c:pt>
                <c:pt idx="4">
                  <c:v>49</c:v>
                </c:pt>
                <c:pt idx="5">
                  <c:v>47</c:v>
                </c:pt>
                <c:pt idx="6">
                  <c:v>43</c:v>
                </c:pt>
                <c:pt idx="7">
                  <c:v>38</c:v>
                </c:pt>
                <c:pt idx="8">
                  <c:v>35</c:v>
                </c:pt>
                <c:pt idx="9">
                  <c:v>33</c:v>
                </c:pt>
                <c:pt idx="10">
                  <c:v>34</c:v>
                </c:pt>
                <c:pt idx="11">
                  <c:v>38</c:v>
                </c:pt>
              </c:numCache>
            </c:numRef>
          </c:val>
          <c:smooth val="0"/>
        </c:ser>
        <c:ser>
          <c:idx val="1"/>
          <c:order val="1"/>
          <c:cat>
            <c:strRef>
              <c:f>Лист1!$B$1:$M$1</c:f>
              <c:strCache>
                <c:ptCount val="12"/>
                <c:pt idx="0">
                  <c:v>Янв.</c:v>
                </c:pt>
                <c:pt idx="1">
                  <c:v>Февр.</c:v>
                </c:pt>
                <c:pt idx="2">
                  <c:v>Март</c:v>
                </c:pt>
                <c:pt idx="3">
                  <c:v>Апр.</c:v>
                </c:pt>
                <c:pt idx="4">
                  <c:v>Май</c:v>
                </c:pt>
                <c:pt idx="5">
                  <c:v>Июнь</c:v>
                </c:pt>
                <c:pt idx="6">
                  <c:v>Июль</c:v>
                </c:pt>
                <c:pt idx="7">
                  <c:v>Авг.</c:v>
                </c:pt>
                <c:pt idx="8">
                  <c:v>Сент.</c:v>
                </c:pt>
                <c:pt idx="9">
                  <c:v>Окт.</c:v>
                </c:pt>
                <c:pt idx="10">
                  <c:v>Нояб.</c:v>
                </c:pt>
                <c:pt idx="11">
                  <c:v>Дек.</c:v>
                </c:pt>
              </c:strCache>
            </c:strRef>
          </c:cat>
          <c:val>
            <c:numRef>
              <c:f>Лист1!$B$3:$M$3</c:f>
              <c:numCache>
                <c:formatCode>General</c:formatCode>
                <c:ptCount val="12"/>
                <c:pt idx="0">
                  <c:v>43</c:v>
                </c:pt>
                <c:pt idx="1">
                  <c:v>50</c:v>
                </c:pt>
                <c:pt idx="2">
                  <c:v>55</c:v>
                </c:pt>
                <c:pt idx="3">
                  <c:v>59</c:v>
                </c:pt>
                <c:pt idx="4">
                  <c:v>62</c:v>
                </c:pt>
                <c:pt idx="5">
                  <c:v>63</c:v>
                </c:pt>
                <c:pt idx="6">
                  <c:v>61</c:v>
                </c:pt>
                <c:pt idx="7">
                  <c:v>58</c:v>
                </c:pt>
                <c:pt idx="8">
                  <c:v>56</c:v>
                </c:pt>
                <c:pt idx="9">
                  <c:v>56</c:v>
                </c:pt>
                <c:pt idx="10">
                  <c:v>60</c:v>
                </c:pt>
                <c:pt idx="11">
                  <c:v>68</c:v>
                </c:pt>
              </c:numCache>
            </c:numRef>
          </c:val>
          <c:smooth val="0"/>
        </c:ser>
        <c:ser>
          <c:idx val="2"/>
          <c:order val="2"/>
          <c:cat>
            <c:strRef>
              <c:f>Лист1!$B$1:$M$1</c:f>
              <c:strCache>
                <c:ptCount val="12"/>
                <c:pt idx="0">
                  <c:v>Янв.</c:v>
                </c:pt>
                <c:pt idx="1">
                  <c:v>Февр.</c:v>
                </c:pt>
                <c:pt idx="2">
                  <c:v>Март</c:v>
                </c:pt>
                <c:pt idx="3">
                  <c:v>Апр.</c:v>
                </c:pt>
                <c:pt idx="4">
                  <c:v>Май</c:v>
                </c:pt>
                <c:pt idx="5">
                  <c:v>Июнь</c:v>
                </c:pt>
                <c:pt idx="6">
                  <c:v>Июль</c:v>
                </c:pt>
                <c:pt idx="7">
                  <c:v>Авг.</c:v>
                </c:pt>
                <c:pt idx="8">
                  <c:v>Сент.</c:v>
                </c:pt>
                <c:pt idx="9">
                  <c:v>Окт.</c:v>
                </c:pt>
                <c:pt idx="10">
                  <c:v>Нояб.</c:v>
                </c:pt>
                <c:pt idx="11">
                  <c:v>Дек.</c:v>
                </c:pt>
              </c:strCache>
            </c:strRef>
          </c:cat>
          <c:val>
            <c:numRef>
              <c:f>Лист1!$B$4:$M$4</c:f>
              <c:numCache>
                <c:formatCode>General</c:formatCode>
                <c:ptCount val="12"/>
                <c:pt idx="0">
                  <c:v>78</c:v>
                </c:pt>
                <c:pt idx="1">
                  <c:v>87</c:v>
                </c:pt>
                <c:pt idx="2">
                  <c:v>95</c:v>
                </c:pt>
                <c:pt idx="3">
                  <c:v>98</c:v>
                </c:pt>
                <c:pt idx="4">
                  <c:v>99</c:v>
                </c:pt>
                <c:pt idx="5">
                  <c:v>96</c:v>
                </c:pt>
                <c:pt idx="6">
                  <c:v>89</c:v>
                </c:pt>
                <c:pt idx="7">
                  <c:v>79</c:v>
                </c:pt>
                <c:pt idx="8">
                  <c:v>74</c:v>
                </c:pt>
                <c:pt idx="9">
                  <c:v>72</c:v>
                </c:pt>
                <c:pt idx="10">
                  <c:v>74</c:v>
                </c:pt>
                <c:pt idx="11">
                  <c:v>81</c:v>
                </c:pt>
              </c:numCache>
            </c:numRef>
          </c:val>
          <c:smooth val="0"/>
        </c:ser>
        <c:dLbls>
          <c:showLegendKey val="0"/>
          <c:showVal val="0"/>
          <c:showCatName val="0"/>
          <c:showSerName val="0"/>
          <c:showPercent val="0"/>
          <c:showBubbleSize val="0"/>
        </c:dLbls>
        <c:marker val="1"/>
        <c:smooth val="0"/>
        <c:axId val="133229184"/>
        <c:axId val="173932928"/>
      </c:lineChart>
      <c:catAx>
        <c:axId val="133229184"/>
        <c:scaling>
          <c:orientation val="minMax"/>
        </c:scaling>
        <c:delete val="0"/>
        <c:axPos val="b"/>
        <c:majorTickMark val="out"/>
        <c:minorTickMark val="none"/>
        <c:tickLblPos val="nextTo"/>
        <c:crossAx val="173932928"/>
        <c:crossesAt val="0"/>
        <c:auto val="1"/>
        <c:lblAlgn val="ctr"/>
        <c:lblOffset val="100"/>
        <c:noMultiLvlLbl val="0"/>
      </c:catAx>
      <c:valAx>
        <c:axId val="173932928"/>
        <c:scaling>
          <c:orientation val="minMax"/>
        </c:scaling>
        <c:delete val="1"/>
        <c:axPos val="l"/>
        <c:majorGridlines/>
        <c:numFmt formatCode="General" sourceLinked="1"/>
        <c:majorTickMark val="none"/>
        <c:minorTickMark val="none"/>
        <c:tickLblPos val="nextTo"/>
        <c:crossAx val="133229184"/>
        <c:crosses val="autoZero"/>
        <c:crossBetween val="between"/>
      </c:valAx>
    </c:plotArea>
    <c:plotVisOnly val="1"/>
    <c:dispBlanksAs val="zero"/>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EF0Q2G68yxsR4zMZzpcqWqxFloQ==">AMUW2mW4XcCG/51jh2pwelN2gYqISBkxXdkpwWFh/D/wpGj9xZ2dfGr9GPSOSInp1oIxJOD0ZMhLmCJf8qIcU17vqpeu7yCfL5hunPBJtB9FBBJZHOP81sM=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2021-05-27T10:27:00Z</dcterms:created>
  <dc:creator>Пользователь Windows</dc:creator>
</cp:coreProperties>
</file>