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071" w:rsidRPr="00B22071" w:rsidRDefault="00B22071" w:rsidP="00B22071">
      <w:pPr>
        <w:widowControl/>
        <w:wordWrap/>
        <w:autoSpaceDE/>
        <w:autoSpaceDN/>
        <w:spacing w:line="240" w:lineRule="auto"/>
        <w:jc w:val="center"/>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LECTURE NINE</w:t>
      </w:r>
    </w:p>
    <w:p w:rsidR="00B22071" w:rsidRPr="00B22071" w:rsidRDefault="00B22071" w:rsidP="00B22071">
      <w:pPr>
        <w:widowControl/>
        <w:wordWrap/>
        <w:autoSpaceDE/>
        <w:autoSpaceDN/>
        <w:spacing w:line="240" w:lineRule="auto"/>
        <w:jc w:val="center"/>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THE LANGUAGE OF ACADEMIC WRITING</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1.0 Objectives</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By the end of this lecture, you should be able to:</w:t>
      </w:r>
    </w:p>
    <w:p w:rsidR="00B22071" w:rsidRPr="00B22071" w:rsidRDefault="00B22071" w:rsidP="00B22071">
      <w:pPr>
        <w:widowControl/>
        <w:numPr>
          <w:ilvl w:val="0"/>
          <w:numId w:val="1"/>
        </w:numPr>
        <w:wordWrap/>
        <w:autoSpaceDE/>
        <w:autoSpaceDN/>
        <w:spacing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Explain what tone, voice, and style of academic writing is.</w:t>
      </w:r>
    </w:p>
    <w:p w:rsidR="00B22071" w:rsidRPr="00B22071" w:rsidRDefault="00B22071" w:rsidP="00B22071">
      <w:pPr>
        <w:widowControl/>
        <w:numPr>
          <w:ilvl w:val="0"/>
          <w:numId w:val="1"/>
        </w:numPr>
        <w:wordWrap/>
        <w:autoSpaceDE/>
        <w:autoSpaceDN/>
        <w:spacing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Write an effective paper with the correct academic writing style and language.</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1.1 Introduction</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In the previous lecture, we looked at the structure of English sentences and how to write effective paragraphs. We continue with this conversation by looking at how we can better our sentence and paragraph writing by looking at the writer’s tone, style, and voice, use of transitions, and commonly misused words. </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1.2 Tone, Style and Voice</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Academic writing is essentially formal and thrives on objectivity hence the tone, style, and voice should be formal. According to the University of Maryland University College (UMUC, 2020), the style, tone, and voice in academic writing should capture the writer’s attitude at the moment of writing in relation to the subject and audience. This is different from informal language that can take personal style. </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Style is concerned with the way the writer uses the mechanics of language to play on the sensations of the reader. Style adds impact to writing, strengthens the contact with the reader, and heightens their awareness.</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According to UMUC (2020), style refers to the overall effect created by the writer concerning attitude, language, and the writing mechanics. There should be consistency in the way ideas are patterned, and coherence in writing with the style supporting the content. Different styles apply to different disciplines, so ensure to follow the appropriate style. </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Voice is who the reader hears speaking in the paper or assignment while tone is how you write (UMUC, 2020). Voice can be formal, objective, or personal (including your own) while the tone can be informative or affective/persuasive (UMUC, 2020). Style and attitude toward the subject combine to create the writer’s tone and voice (UMUC, 2020). You cannot have an acceptable academic writing tone, voice, and style if you have not understood the material in your discipline to discuss it effectively. The goal of academic writing is to convey facts and opinions in an organized, systematic, formal manner. </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Walden University (WU) (2020) opines that tone is what the reader perceives as the writer’s attitude, bias, or personality. In WU’s opinion, most writers confuse a scholarly tone with dull, boring language with intelligent-sounding words, rather complicated, and without style. Academic writing can be engaging and interesting provided you employ the correct style, tone, and voice. WU advises that an academic writer ought to speak like an objective social scientist, that is, be unbiased, scholarly and evidential.</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The following tips by WU (2020) drawn from APA (2020) can assist you arrive at an acceptable level of academic writing where tone, voice, and style befit an academic paper. </w:t>
      </w:r>
    </w:p>
    <w:p w:rsidR="00B22071" w:rsidRPr="00B22071" w:rsidRDefault="00B22071" w:rsidP="00B22071">
      <w:pPr>
        <w:widowControl/>
        <w:numPr>
          <w:ilvl w:val="0"/>
          <w:numId w:val="2"/>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 xml:space="preserve">Don’t generalize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always, never</w:t>
      </w:r>
    </w:p>
    <w:p w:rsidR="00B22071" w:rsidRPr="00B22071" w:rsidRDefault="00B22071" w:rsidP="00B22071">
      <w:pPr>
        <w:widowControl/>
        <w:numPr>
          <w:ilvl w:val="0"/>
          <w:numId w:val="2"/>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lastRenderedPageBreak/>
        <w:t xml:space="preserve">Don’t use sweeping adjectives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outstanding, obvious</w:t>
      </w:r>
    </w:p>
    <w:p w:rsidR="00B22071" w:rsidRPr="00B22071" w:rsidRDefault="00B22071" w:rsidP="00B22071">
      <w:pPr>
        <w:widowControl/>
        <w:numPr>
          <w:ilvl w:val="0"/>
          <w:numId w:val="2"/>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 xml:space="preserve">Don’t use adverbs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really, clearly</w:t>
      </w:r>
    </w:p>
    <w:p w:rsidR="00B22071" w:rsidRPr="00B22071" w:rsidRDefault="00B22071" w:rsidP="00B22071">
      <w:pPr>
        <w:widowControl/>
        <w:numPr>
          <w:ilvl w:val="0"/>
          <w:numId w:val="2"/>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 xml:space="preserve">Don’t use qualifiers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a little, definitely</w:t>
      </w:r>
    </w:p>
    <w:p w:rsidR="00B22071" w:rsidRPr="00B22071" w:rsidRDefault="00B22071" w:rsidP="00B22071">
      <w:pPr>
        <w:widowControl/>
        <w:numPr>
          <w:ilvl w:val="0"/>
          <w:numId w:val="2"/>
        </w:numPr>
        <w:wordWrap/>
        <w:autoSpaceDE/>
        <w:autoSpaceDN/>
        <w:spacing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 xml:space="preserve">Don’t use emotional language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heartbreaking</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 xml:space="preserve">WU </w:t>
      </w:r>
      <w:proofErr w:type="gramStart"/>
      <w:r w:rsidRPr="00B22071">
        <w:rPr>
          <w:rFonts w:ascii="Times New Roman" w:eastAsia="굴림" w:hAnsi="Times New Roman" w:cs="Times New Roman"/>
          <w:color w:val="000000"/>
          <w:kern w:val="0"/>
          <w:sz w:val="24"/>
          <w:szCs w:val="24"/>
        </w:rPr>
        <w:t>( 2020</w:t>
      </w:r>
      <w:proofErr w:type="gramEnd"/>
      <w:r w:rsidRPr="00B22071">
        <w:rPr>
          <w:rFonts w:ascii="Times New Roman" w:eastAsia="굴림" w:hAnsi="Times New Roman" w:cs="Times New Roman"/>
          <w:color w:val="000000"/>
          <w:kern w:val="0"/>
          <w:sz w:val="24"/>
          <w:szCs w:val="24"/>
        </w:rPr>
        <w:t>) also advises against slang, text-message spellings, clichés, and contractions in academic writing. Examples include casual phrases like ‘let the cat out of the bag,’ ‘maxed out,’ ‘hit through the roof,’ and so on. </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WU (2020) offers the following example paragraphs. Paragraph 1 is informal while paragraph 2 is formal.</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Paragraph 1</w:t>
      </w:r>
    </w:p>
    <w:p w:rsidR="00B22071" w:rsidRPr="00B22071" w:rsidRDefault="00B22071" w:rsidP="00B22071">
      <w:pPr>
        <w:widowControl/>
        <w:wordWrap/>
        <w:autoSpaceDE/>
        <w:autoSpaceDN/>
        <w:spacing w:after="300" w:line="240" w:lineRule="auto"/>
        <w:ind w:left="720"/>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When I got my students to think science was wicked cool, their test scores went through the roof! When I asked for their spin on their improvement, they just said the test felt like a piece of cake to them after I had implemented the new curriculum changes.</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Paragraph 2</w:t>
      </w:r>
    </w:p>
    <w:p w:rsidR="00B22071" w:rsidRPr="00B22071" w:rsidRDefault="00B22071" w:rsidP="00B22071">
      <w:pPr>
        <w:widowControl/>
        <w:wordWrap/>
        <w:autoSpaceDE/>
        <w:autoSpaceDN/>
        <w:spacing w:after="300" w:line="240" w:lineRule="auto"/>
        <w:ind w:left="720"/>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When I was able to engage my students and get them interested in science, their test scores improved significantly. I asked a few students why they thought the scores had improved, and they admitted that the test seemed much easier because of the new curriculum.</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The following tips are derived from the University of California (2020) on how tone, voice, and style will assist a good piece of academic writing.</w:t>
      </w:r>
    </w:p>
    <w:p w:rsidR="00B22071" w:rsidRPr="00B22071" w:rsidRDefault="00B22071" w:rsidP="00B22071">
      <w:pPr>
        <w:widowControl/>
        <w:numPr>
          <w:ilvl w:val="0"/>
          <w:numId w:val="3"/>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The Big picture</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 xml:space="preserve">Overall, academic writing follows a formal and logical structure. There is distinct </w:t>
      </w:r>
      <w:proofErr w:type="spellStart"/>
      <w:r w:rsidRPr="00B22071">
        <w:rPr>
          <w:rFonts w:ascii="Times New Roman" w:eastAsia="굴림" w:hAnsi="Times New Roman" w:cs="Times New Roman"/>
          <w:color w:val="000000"/>
          <w:kern w:val="0"/>
          <w:sz w:val="24"/>
          <w:szCs w:val="24"/>
        </w:rPr>
        <w:t>organisation</w:t>
      </w:r>
      <w:proofErr w:type="spellEnd"/>
      <w:r w:rsidRPr="00B22071">
        <w:rPr>
          <w:rFonts w:ascii="Times New Roman" w:eastAsia="굴림" w:hAnsi="Times New Roman" w:cs="Times New Roman"/>
          <w:color w:val="000000"/>
          <w:kern w:val="0"/>
          <w:sz w:val="24"/>
          <w:szCs w:val="24"/>
        </w:rPr>
        <w:t>, cohesion, and logical flow of ideas. The work feels whole because the various parts are connected. For example, the introduction, points in the body, conclusion, references and title all fit nicely together into a coherent, unified whole. There is use of connectors that link sentences and paragraphs together to enable the reader to follow your argument.</w:t>
      </w:r>
    </w:p>
    <w:p w:rsidR="00B22071" w:rsidRPr="00B22071" w:rsidRDefault="00B22071" w:rsidP="00B22071">
      <w:pPr>
        <w:widowControl/>
        <w:numPr>
          <w:ilvl w:val="0"/>
          <w:numId w:val="4"/>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Tone</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Your tone conveys the overall attitude conveyed in your writing. Fairness should be the hallmark of your writing so that if you must present other people’s arguments, then do so fairly. For instance, you may deeply be against LGBT rights or be a pro-life activist, so when presenting arguments by those who support what you abhor, ensure that your tone remains unbiased and objective. Instead, investigate your subject of discussion from an authoritative point of view so that you provide evidential reasoning to back your arguments and deflate the opposing view. Remember it’s not emotion that should convince a reader of the validity of your arguments but logic, which often falls on the objective side. Use neutral language devoid of confrontation. </w:t>
      </w:r>
    </w:p>
    <w:p w:rsidR="00B22071" w:rsidRPr="00B22071" w:rsidRDefault="00B22071" w:rsidP="00B22071">
      <w:pPr>
        <w:widowControl/>
        <w:numPr>
          <w:ilvl w:val="0"/>
          <w:numId w:val="5"/>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Diction</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lastRenderedPageBreak/>
        <w:t>It’s important to be aware of your diction, or word choice. Be particularly wary of connotations and denotations. Connotations are implied meanings while denotations are dictionary meanings. For example, authority and consultant are synonymous but may not necessarily mean the exact same thing. Words and terminology can evolve “a nuanced meaning that describes a particular idea, concept, or phenomenon derived from the epistemological culture of that discipline.” It’s advisable to use concrete words to convey specific meanings.</w:t>
      </w:r>
    </w:p>
    <w:p w:rsidR="00B22071" w:rsidRPr="00B22071" w:rsidRDefault="00B22071" w:rsidP="00B22071">
      <w:pPr>
        <w:widowControl/>
        <w:numPr>
          <w:ilvl w:val="0"/>
          <w:numId w:val="6"/>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Language</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 xml:space="preserve">Good grammar should be used alongside unambiguous language, and well-structured paragraphs with clear topic sentences to enable easier reading. Use clear, formal, and precise language. Vague words and expressions should be avoided such as ‘they,’ ‘we,’ ‘the </w:t>
      </w:r>
      <w:proofErr w:type="spellStart"/>
      <w:r w:rsidRPr="00B22071">
        <w:rPr>
          <w:rFonts w:ascii="Times New Roman" w:eastAsia="굴림" w:hAnsi="Times New Roman" w:cs="Times New Roman"/>
          <w:color w:val="000000"/>
          <w:kern w:val="0"/>
          <w:sz w:val="24"/>
          <w:szCs w:val="24"/>
        </w:rPr>
        <w:t>organisation</w:t>
      </w:r>
      <w:proofErr w:type="spellEnd"/>
      <w:r w:rsidRPr="00B22071">
        <w:rPr>
          <w:rFonts w:ascii="Times New Roman" w:eastAsia="굴림" w:hAnsi="Times New Roman" w:cs="Times New Roman"/>
          <w:color w:val="000000"/>
          <w:kern w:val="0"/>
          <w:sz w:val="24"/>
          <w:szCs w:val="24"/>
        </w:rPr>
        <w:t xml:space="preserve">,’ and so on. Equally avoid abbreviations like </w:t>
      </w:r>
      <w:proofErr w:type="spellStart"/>
      <w:r w:rsidRPr="00B22071">
        <w:rPr>
          <w:rFonts w:ascii="Times New Roman" w:eastAsia="굴림" w:hAnsi="Times New Roman" w:cs="Times New Roman"/>
          <w:color w:val="000000"/>
          <w:kern w:val="0"/>
          <w:sz w:val="24"/>
          <w:szCs w:val="24"/>
        </w:rPr>
        <w:t>ie</w:t>
      </w:r>
      <w:proofErr w:type="spellEnd"/>
      <w:r w:rsidRPr="00B22071">
        <w:rPr>
          <w:rFonts w:ascii="Times New Roman" w:eastAsia="굴림" w:hAnsi="Times New Roman" w:cs="Times New Roman"/>
          <w:color w:val="000000"/>
          <w:kern w:val="0"/>
          <w:sz w:val="24"/>
          <w:szCs w:val="24"/>
        </w:rPr>
        <w:t xml:space="preserve"> or </w:t>
      </w:r>
      <w:proofErr w:type="spellStart"/>
      <w:r w:rsidRPr="00B22071">
        <w:rPr>
          <w:rFonts w:ascii="Times New Roman" w:eastAsia="굴림" w:hAnsi="Times New Roman" w:cs="Times New Roman"/>
          <w:color w:val="000000"/>
          <w:kern w:val="0"/>
          <w:sz w:val="24"/>
          <w:szCs w:val="24"/>
        </w:rPr>
        <w:t>a.k.</w:t>
      </w:r>
      <w:proofErr w:type="gramStart"/>
      <w:r w:rsidRPr="00B22071">
        <w:rPr>
          <w:rFonts w:ascii="Times New Roman" w:eastAsia="굴림" w:hAnsi="Times New Roman" w:cs="Times New Roman"/>
          <w:color w:val="000000"/>
          <w:kern w:val="0"/>
          <w:sz w:val="24"/>
          <w:szCs w:val="24"/>
        </w:rPr>
        <w:t>a</w:t>
      </w:r>
      <w:proofErr w:type="spellEnd"/>
      <w:proofErr w:type="gramEnd"/>
      <w:r w:rsidRPr="00B22071">
        <w:rPr>
          <w:rFonts w:ascii="Times New Roman" w:eastAsia="굴림" w:hAnsi="Times New Roman" w:cs="Times New Roman"/>
          <w:color w:val="000000"/>
          <w:kern w:val="0"/>
          <w:sz w:val="24"/>
          <w:szCs w:val="24"/>
        </w:rPr>
        <w:t xml:space="preserve"> and determinate words that are not specific such as ‘</w:t>
      </w:r>
      <w:proofErr w:type="spellStart"/>
      <w:r w:rsidRPr="00B22071">
        <w:rPr>
          <w:rFonts w:ascii="Times New Roman" w:eastAsia="굴림" w:hAnsi="Times New Roman" w:cs="Times New Roman"/>
          <w:color w:val="000000"/>
          <w:kern w:val="0"/>
          <w:sz w:val="24"/>
          <w:szCs w:val="24"/>
        </w:rPr>
        <w:t>super,’very</w:t>
      </w:r>
      <w:proofErr w:type="spellEnd"/>
      <w:r w:rsidRPr="00B22071">
        <w:rPr>
          <w:rFonts w:ascii="Times New Roman" w:eastAsia="굴림" w:hAnsi="Times New Roman" w:cs="Times New Roman"/>
          <w:color w:val="000000"/>
          <w:kern w:val="0"/>
          <w:sz w:val="24"/>
          <w:szCs w:val="24"/>
        </w:rPr>
        <w:t>,’ and ‘incredible.’</w:t>
      </w:r>
    </w:p>
    <w:p w:rsidR="00B22071" w:rsidRPr="00B22071" w:rsidRDefault="00B22071" w:rsidP="00B22071">
      <w:pPr>
        <w:widowControl/>
        <w:numPr>
          <w:ilvl w:val="0"/>
          <w:numId w:val="7"/>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Punctuation</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Punctuation marks have assigned meanings, therefore, knowing when to use them is critical. For example, an exclamation mark could connote strong emotion of surprise, anger, joy, and so on. In academic writing where we aim to achieve objectivity, exclamation marks have no place. </w:t>
      </w:r>
    </w:p>
    <w:p w:rsidR="00B22071" w:rsidRPr="00B22071" w:rsidRDefault="00B22071" w:rsidP="00B22071">
      <w:pPr>
        <w:widowControl/>
        <w:numPr>
          <w:ilvl w:val="0"/>
          <w:numId w:val="8"/>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Academic Conventions</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We have extensively covered these in a previous lecture. They include conventions related to references and citations. Other issues of concern include appropriate headings, sub-headings, spelling, and avoiding slang or colloquial language, emotive language, contractions, unsupported points, and use of first and second person. That is, use the first and second language only when it’s necessary.</w:t>
      </w:r>
    </w:p>
    <w:p w:rsidR="00B22071" w:rsidRPr="00B22071" w:rsidRDefault="00B22071" w:rsidP="00B22071">
      <w:pPr>
        <w:widowControl/>
        <w:numPr>
          <w:ilvl w:val="0"/>
          <w:numId w:val="9"/>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Evidence-based Reasoning</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Evidence-based reasoning demonstrates that you have a sound understanding of the pertinent body of knowledge and academic debates in your discipline. Always support your opinion with scholarly sources ensuring that it is objective and logical. “The quality of your evidence will determine the strength of your argument.” </w:t>
      </w:r>
    </w:p>
    <w:p w:rsidR="00B22071" w:rsidRPr="00B22071" w:rsidRDefault="00B22071" w:rsidP="00B22071">
      <w:pPr>
        <w:widowControl/>
        <w:numPr>
          <w:ilvl w:val="0"/>
          <w:numId w:val="10"/>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Thesis-driven</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Your essay or paper must proceed along a clear path so that it’s clear in the mind of the reader what you are writing about. To do this, your writing needs to be thesis driven. That means you start from a particular position, then as you move on, prove or disprove that position. Your problem will be stated in the thesis statement, or problem statement which you will proceed to answer or provide solutions using scientific means and language.</w:t>
      </w:r>
    </w:p>
    <w:p w:rsidR="00B22071" w:rsidRPr="00B22071" w:rsidRDefault="00B22071" w:rsidP="00B22071">
      <w:pPr>
        <w:widowControl/>
        <w:numPr>
          <w:ilvl w:val="0"/>
          <w:numId w:val="11"/>
        </w:numPr>
        <w:wordWrap/>
        <w:autoSpaceDE/>
        <w:autoSpaceDN/>
        <w:spacing w:after="30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Complexity and Higher-order Thinking</w:t>
      </w:r>
    </w:p>
    <w:p w:rsidR="00B22071" w:rsidRPr="00B22071" w:rsidRDefault="00B22071" w:rsidP="00B22071">
      <w:pPr>
        <w:widowControl/>
        <w:wordWrap/>
        <w:autoSpaceDE/>
        <w:autoSpaceDN/>
        <w:spacing w:after="30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lastRenderedPageBreak/>
        <w:t>With academic writing, you are dealing with complex issues requiring higher-order thinking skills. Critical, reflective, logical, and creative thinking is needed as opposed to descriptive or prescriptive thinking. The following quote from UOC aptly captures this point:</w:t>
      </w:r>
    </w:p>
    <w:p w:rsidR="00B22071" w:rsidRPr="00B22071" w:rsidRDefault="00B22071" w:rsidP="00B22071">
      <w:pPr>
        <w:widowControl/>
        <w:wordWrap/>
        <w:autoSpaceDE/>
        <w:autoSpaceDN/>
        <w:spacing w:after="300" w:line="240" w:lineRule="auto"/>
        <w:ind w:left="720"/>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“Higher-order thinking skills include cognitive processes that are used to comprehend, solve problems, and express concepts or that describe abstract ideas that cannot be easily acted out, pointed to, or shown with images. Think of your writing this way: One of the most important attributes of a good teacher is the ability to explain complexity in a way that is understandable and relatable to the topic being presented. This is also one of the main functions of academic writing--examining and explaining the significance of complex ideas as clearly as possible.  As a writer, you must adopt the role of a good teacher by summarizing a lot of complex information into a well-organized synthesis of ideas, concepts, and recommendations that contribute to a better understanding of the research problem.”</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General tips/guidelines concerning tone, voice, and style of academic writing</w:t>
      </w:r>
    </w:p>
    <w:p w:rsidR="00B22071" w:rsidRPr="00B22071" w:rsidRDefault="00B22071" w:rsidP="00B22071">
      <w:pPr>
        <w:widowControl/>
        <w:numPr>
          <w:ilvl w:val="0"/>
          <w:numId w:val="12"/>
        </w:numPr>
        <w:wordWrap/>
        <w:autoSpaceDE/>
        <w:autoSpaceDN/>
        <w:spacing w:after="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Presentation and format</w:t>
      </w:r>
    </w:p>
    <w:p w:rsidR="00B22071" w:rsidRPr="00B22071" w:rsidRDefault="00B22071" w:rsidP="00B22071">
      <w:pPr>
        <w:widowControl/>
        <w:wordWrap/>
        <w:autoSpaceDE/>
        <w:autoSpaceDN/>
        <w:spacing w:after="0" w:line="240" w:lineRule="auto"/>
        <w:jc w:val="left"/>
        <w:rPr>
          <w:rFonts w:ascii="굴림" w:eastAsia="굴림" w:hAnsi="굴림" w:cs="굴림"/>
          <w:kern w:val="0"/>
          <w:sz w:val="24"/>
          <w:szCs w:val="24"/>
        </w:rPr>
      </w:pPr>
    </w:p>
    <w:p w:rsidR="00B22071" w:rsidRPr="00B22071" w:rsidRDefault="00B22071" w:rsidP="00B22071">
      <w:pPr>
        <w:widowControl/>
        <w:numPr>
          <w:ilvl w:val="0"/>
          <w:numId w:val="13"/>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The format should be the same throughout the entire document, and the spacing aligned with the demands. </w:t>
      </w:r>
    </w:p>
    <w:p w:rsidR="00B22071" w:rsidRPr="00B22071" w:rsidRDefault="00B22071" w:rsidP="00B22071">
      <w:pPr>
        <w:widowControl/>
        <w:numPr>
          <w:ilvl w:val="0"/>
          <w:numId w:val="13"/>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Follow style guides accordingly. For example, if asked to use MLA, then stick to it. Be diligent enough to find templates so that you 100% align your paper to MLA.</w:t>
      </w:r>
    </w:p>
    <w:p w:rsidR="00B22071" w:rsidRPr="00B22071" w:rsidRDefault="00B22071" w:rsidP="00B22071">
      <w:pPr>
        <w:widowControl/>
        <w:numPr>
          <w:ilvl w:val="0"/>
          <w:numId w:val="13"/>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Keep it neat. Nothing annoys more than a careless presentation. Avoid things like too much spacing between paragraphs, lack of alignment, unnecessary bold or italics, widows and orphans, and so on.</w:t>
      </w:r>
    </w:p>
    <w:p w:rsidR="00B22071" w:rsidRPr="00B22071" w:rsidRDefault="00B22071" w:rsidP="00B22071">
      <w:pPr>
        <w:widowControl/>
        <w:wordWrap/>
        <w:autoSpaceDE/>
        <w:autoSpaceDN/>
        <w:spacing w:after="0" w:line="240" w:lineRule="auto"/>
        <w:jc w:val="left"/>
        <w:rPr>
          <w:rFonts w:ascii="굴림" w:eastAsia="굴림" w:hAnsi="굴림" w:cs="굴림"/>
          <w:kern w:val="0"/>
          <w:sz w:val="24"/>
          <w:szCs w:val="24"/>
        </w:rPr>
      </w:pPr>
    </w:p>
    <w:p w:rsidR="00B22071" w:rsidRPr="00B22071" w:rsidRDefault="00B22071" w:rsidP="00B22071">
      <w:pPr>
        <w:widowControl/>
        <w:numPr>
          <w:ilvl w:val="0"/>
          <w:numId w:val="14"/>
        </w:numPr>
        <w:wordWrap/>
        <w:autoSpaceDE/>
        <w:autoSpaceDN/>
        <w:spacing w:after="0" w:line="240" w:lineRule="auto"/>
        <w:textAlignment w:val="baseline"/>
        <w:rPr>
          <w:rFonts w:ascii="Times New Roman" w:eastAsia="굴림" w:hAnsi="Times New Roman" w:cs="Times New Roman"/>
          <w:i/>
          <w:iCs/>
          <w:color w:val="000000"/>
          <w:kern w:val="0"/>
          <w:sz w:val="24"/>
          <w:szCs w:val="24"/>
        </w:rPr>
      </w:pPr>
      <w:r w:rsidRPr="00B22071">
        <w:rPr>
          <w:rFonts w:ascii="Times New Roman" w:eastAsia="굴림" w:hAnsi="Times New Roman" w:cs="Times New Roman"/>
          <w:i/>
          <w:iCs/>
          <w:color w:val="000000"/>
          <w:kern w:val="0"/>
          <w:sz w:val="24"/>
          <w:szCs w:val="24"/>
        </w:rPr>
        <w:t>On Content</w:t>
      </w:r>
    </w:p>
    <w:p w:rsidR="00B22071" w:rsidRPr="00B22071" w:rsidRDefault="00B22071" w:rsidP="00B22071">
      <w:pPr>
        <w:widowControl/>
        <w:wordWrap/>
        <w:autoSpaceDE/>
        <w:autoSpaceDN/>
        <w:spacing w:after="0" w:line="240" w:lineRule="auto"/>
        <w:jc w:val="left"/>
        <w:rPr>
          <w:rFonts w:ascii="굴림" w:eastAsia="굴림" w:hAnsi="굴림" w:cs="굴림"/>
          <w:kern w:val="0"/>
          <w:sz w:val="24"/>
          <w:szCs w:val="24"/>
        </w:rPr>
      </w:pPr>
    </w:p>
    <w:p w:rsidR="00B22071" w:rsidRPr="00B22071" w:rsidRDefault="00B22071" w:rsidP="00B22071">
      <w:pPr>
        <w:widowControl/>
        <w:numPr>
          <w:ilvl w:val="0"/>
          <w:numId w:val="15"/>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The thesis sentence should be clear. The reader need not struggle to get the point. </w:t>
      </w:r>
    </w:p>
    <w:p w:rsidR="00B22071" w:rsidRPr="00B22071" w:rsidRDefault="00B22071" w:rsidP="00B22071">
      <w:pPr>
        <w:widowControl/>
        <w:numPr>
          <w:ilvl w:val="0"/>
          <w:numId w:val="15"/>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Have a good introduction with clear, background information.</w:t>
      </w:r>
    </w:p>
    <w:p w:rsidR="00B22071" w:rsidRPr="00B22071" w:rsidRDefault="00B22071" w:rsidP="00B22071">
      <w:pPr>
        <w:widowControl/>
        <w:numPr>
          <w:ilvl w:val="0"/>
          <w:numId w:val="15"/>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Good paragraphing is essential.  Have topic sentences for each body paragraph which should tie back to the thesis statement. In each paragraph, use specific details and examples to support the central idea. Uses a variety of sentences. </w:t>
      </w:r>
    </w:p>
    <w:p w:rsidR="00B22071" w:rsidRPr="00B22071" w:rsidRDefault="00B22071" w:rsidP="00B22071">
      <w:pPr>
        <w:widowControl/>
        <w:numPr>
          <w:ilvl w:val="0"/>
          <w:numId w:val="15"/>
        </w:numPr>
        <w:wordWrap/>
        <w:autoSpaceDE/>
        <w:autoSpaceDN/>
        <w:spacing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Use unity, coherence and clarity by use of connectors, linking words, and so on. Use appropriate connectors, which will provide a logical flow while creating sentence variety.</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1.4 Language, Grammar, Vocabulary, &amp; Mechanics</w:t>
      </w:r>
    </w:p>
    <w:p w:rsidR="00B22071" w:rsidRPr="00B22071" w:rsidRDefault="00B22071" w:rsidP="00B22071">
      <w:pPr>
        <w:widowControl/>
        <w:numPr>
          <w:ilvl w:val="0"/>
          <w:numId w:val="16"/>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Do not use unnecessary words, phrases, or sentences.</w:t>
      </w:r>
    </w:p>
    <w:p w:rsidR="00B22071" w:rsidRPr="00B22071" w:rsidRDefault="00B22071" w:rsidP="00B22071">
      <w:pPr>
        <w:widowControl/>
        <w:numPr>
          <w:ilvl w:val="0"/>
          <w:numId w:val="16"/>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Let your work be free from grammatical errors. Use words that will exactly and vividly convey the message to the reader. The development of word power comes only with practice. It demands an inquiring mind and a careful attitude.</w:t>
      </w:r>
    </w:p>
    <w:p w:rsidR="00B22071" w:rsidRPr="00B22071" w:rsidRDefault="00B22071" w:rsidP="00B22071">
      <w:pPr>
        <w:widowControl/>
        <w:numPr>
          <w:ilvl w:val="0"/>
          <w:numId w:val="16"/>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Uses proper punctuation and mechanics.</w:t>
      </w:r>
    </w:p>
    <w:p w:rsidR="00B22071" w:rsidRPr="00B22071" w:rsidRDefault="00B22071" w:rsidP="00B22071">
      <w:pPr>
        <w:widowControl/>
        <w:numPr>
          <w:ilvl w:val="0"/>
          <w:numId w:val="16"/>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To achieve unity and coherence, omit irrelevant details and comments and use only those details that support your point.</w:t>
      </w:r>
    </w:p>
    <w:p w:rsidR="00B22071" w:rsidRPr="00B22071" w:rsidRDefault="00B22071" w:rsidP="00B22071">
      <w:pPr>
        <w:widowControl/>
        <w:numPr>
          <w:ilvl w:val="0"/>
          <w:numId w:val="16"/>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Avoid repetition, unless it’s significant.</w:t>
      </w:r>
    </w:p>
    <w:p w:rsidR="00B22071" w:rsidRPr="00B22071" w:rsidRDefault="00B22071" w:rsidP="00B22071">
      <w:pPr>
        <w:widowControl/>
        <w:numPr>
          <w:ilvl w:val="0"/>
          <w:numId w:val="16"/>
        </w:numPr>
        <w:wordWrap/>
        <w:autoSpaceDE/>
        <w:autoSpaceDN/>
        <w:spacing w:after="0" w:line="240" w:lineRule="auto"/>
        <w:textAlignment w:val="baseline"/>
        <w:rPr>
          <w:rFonts w:ascii="Arial" w:eastAsia="굴림" w:hAnsi="Arial" w:cs="Arial"/>
          <w:color w:val="000000"/>
          <w:kern w:val="0"/>
          <w:sz w:val="24"/>
          <w:szCs w:val="24"/>
        </w:rPr>
      </w:pPr>
      <w:r w:rsidRPr="00B22071">
        <w:rPr>
          <w:rFonts w:ascii="Times New Roman" w:eastAsia="굴림" w:hAnsi="Times New Roman" w:cs="Times New Roman"/>
          <w:color w:val="000000"/>
          <w:kern w:val="0"/>
          <w:sz w:val="24"/>
          <w:szCs w:val="24"/>
        </w:rPr>
        <w:t>Be careful about the vocabulary you use. Examples include:</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lastRenderedPageBreak/>
        <w:t>Posh words, that is, pompous, pretentious words. These are examples of circumlocution or euphemism. Use plain words instead. </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 xml:space="preserve">Vogue words means using long words as a fashion statement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‘the eponymous protagonist’ to describe Hamlet.</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 xml:space="preserve">Jargon is specialized vocabulary, familiar to the members of a group, trade, or profession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domiciliary unit (home)</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Slang. Ask yourself if the reader will understand it. Has the word become accepted? Does it fit the context?</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Euphemism. Avoid going around in circles and call a spade a spade.</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Swear words. Not acceptable in formal writing. </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 xml:space="preserve">Ambiguous words have two possible meanings and can cause confusion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gay, shambles</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 xml:space="preserve">Homonyms are confusing pairs. They sound similar but are totally different in meaning </w:t>
      </w:r>
      <w:proofErr w:type="spellStart"/>
      <w:r w:rsidRPr="00B22071">
        <w:rPr>
          <w:rFonts w:ascii="Times New Roman" w:eastAsia="굴림" w:hAnsi="Times New Roman" w:cs="Times New Roman"/>
          <w:color w:val="000000"/>
          <w:kern w:val="0"/>
          <w:sz w:val="24"/>
          <w:szCs w:val="24"/>
        </w:rPr>
        <w:t>eg</w:t>
      </w:r>
      <w:proofErr w:type="spellEnd"/>
      <w:r w:rsidRPr="00B22071">
        <w:rPr>
          <w:rFonts w:ascii="Times New Roman" w:eastAsia="굴림" w:hAnsi="Times New Roman" w:cs="Times New Roman"/>
          <w:color w:val="000000"/>
          <w:kern w:val="0"/>
          <w:sz w:val="24"/>
          <w:szCs w:val="24"/>
        </w:rPr>
        <w:t xml:space="preserve"> right/write.</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Redundant words such as ‘true facts’, ‘fill up a bottle’, ‘for the month of January’. </w:t>
      </w:r>
    </w:p>
    <w:p w:rsidR="00B22071" w:rsidRPr="00B22071" w:rsidRDefault="00B22071" w:rsidP="00B22071">
      <w:pPr>
        <w:widowControl/>
        <w:numPr>
          <w:ilvl w:val="0"/>
          <w:numId w:val="17"/>
        </w:numPr>
        <w:wordWrap/>
        <w:autoSpaceDE/>
        <w:autoSpaceDN/>
        <w:spacing w:after="0"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Empty words such as ‘simply’, ‘basically’, ‘I mean’, ‘by and large’, ‘you know’ should be avoided.</w:t>
      </w:r>
    </w:p>
    <w:p w:rsidR="00B22071" w:rsidRPr="00B22071" w:rsidRDefault="00B22071" w:rsidP="00B22071">
      <w:pPr>
        <w:widowControl/>
        <w:numPr>
          <w:ilvl w:val="0"/>
          <w:numId w:val="17"/>
        </w:numPr>
        <w:wordWrap/>
        <w:autoSpaceDE/>
        <w:autoSpaceDN/>
        <w:spacing w:line="240" w:lineRule="auto"/>
        <w:textAlignment w:val="baseline"/>
        <w:rPr>
          <w:rFonts w:ascii="Times New Roman" w:eastAsia="굴림" w:hAnsi="Times New Roman" w:cs="Times New Roman"/>
          <w:color w:val="000000"/>
          <w:kern w:val="0"/>
          <w:sz w:val="24"/>
          <w:szCs w:val="24"/>
        </w:rPr>
      </w:pPr>
      <w:r w:rsidRPr="00B22071">
        <w:rPr>
          <w:rFonts w:ascii="Times New Roman" w:eastAsia="굴림" w:hAnsi="Times New Roman" w:cs="Times New Roman"/>
          <w:color w:val="000000"/>
          <w:kern w:val="0"/>
          <w:sz w:val="24"/>
          <w:szCs w:val="24"/>
        </w:rPr>
        <w:t>American vs British English. Stick to the version used at your institution. </w:t>
      </w:r>
    </w:p>
    <w:p w:rsidR="00B22071" w:rsidRPr="00B22071" w:rsidRDefault="00B22071" w:rsidP="00B22071">
      <w:pPr>
        <w:widowControl/>
        <w:wordWrap/>
        <w:autoSpaceDE/>
        <w:autoSpaceDN/>
        <w:spacing w:after="0" w:line="240" w:lineRule="auto"/>
        <w:jc w:val="left"/>
        <w:rPr>
          <w:rFonts w:ascii="굴림" w:eastAsia="굴림" w:hAnsi="굴림" w:cs="굴림"/>
          <w:kern w:val="0"/>
          <w:sz w:val="24"/>
          <w:szCs w:val="24"/>
        </w:rPr>
      </w:pP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1.5 Use of Transitions</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In academic writing, you investigate a phenomenon and come back to put it all together using parts of speech, or sentences, or paragraphs. For you to make sense and turn out a good, clear, understandable paper, you need to connect your ideas to form a complete whole. This is where transitional words and phrases come in. They will help you to be intentional in how you structure your paper to achieve your writing objectives. Through them, you will be able to guide your readers through the connections you are making in your paper by using transitions in individual sentences. </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Transitional words and phrases are categorized according to the function they play. For example, do you want to combine two related ideas? Do you want to contrast them instead? Do you wish to add a time element? Hence, transitions are grouped according to the common kinds of relationships writers establish between ideas. However, note that even though words may be grouped together, they may not necessarily carry the exact same meaning, so you need to be sure of a word before using it. There are some words that may not fit a particular context. Again, not every sentence needs a transitional word. Use them only when there is need. The following table lists some of the commonly used transitional words and phrases. The source is University of Wisconsin (2020).</w:t>
      </w:r>
    </w:p>
    <w:p w:rsidR="00B22071" w:rsidRPr="00B22071" w:rsidRDefault="00B22071" w:rsidP="00B22071">
      <w:pPr>
        <w:widowControl/>
        <w:wordWrap/>
        <w:autoSpaceDE/>
        <w:autoSpaceDN/>
        <w:spacing w:after="0" w:line="240" w:lineRule="auto"/>
        <w:jc w:val="left"/>
        <w:rPr>
          <w:rFonts w:ascii="굴림" w:eastAsia="굴림" w:hAnsi="굴림" w:cs="굴림"/>
          <w:kern w:val="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603"/>
        <w:gridCol w:w="2944"/>
        <w:gridCol w:w="4469"/>
      </w:tblGrid>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Type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Relationship/Purpose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Example</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Causation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Connects the instigator to the consequence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Accordingly, as a result, and so, because, consequently, for that reason, hence, on account of, since, therefore, thus</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Chronology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When events occur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After, afterwards, always, at length, during,</w:t>
            </w:r>
            <w:r w:rsidRPr="00B22071">
              <w:rPr>
                <w:rFonts w:ascii="Times New Roman" w:eastAsia="굴림" w:hAnsi="Times New Roman" w:cs="Times New Roman"/>
                <w:color w:val="000000"/>
                <w:kern w:val="0"/>
                <w:sz w:val="24"/>
                <w:szCs w:val="24"/>
              </w:rPr>
              <w:br/>
              <w:t xml:space="preserve">earlier, following, immediately, in the meantime, later, never, next, now, once, simultaneously, so far, sometimes, soon, </w:t>
            </w:r>
            <w:r w:rsidRPr="00B22071">
              <w:rPr>
                <w:rFonts w:ascii="Times New Roman" w:eastAsia="굴림" w:hAnsi="Times New Roman" w:cs="Times New Roman"/>
                <w:color w:val="000000"/>
                <w:kern w:val="0"/>
                <w:sz w:val="24"/>
                <w:szCs w:val="24"/>
              </w:rPr>
              <w:lastRenderedPageBreak/>
              <w:t>subsequently, then, this time, until now, when, whenever, while</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lastRenderedPageBreak/>
              <w:t>Combinations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Link numerous elements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Additionally, again, also, and, or, not, as a result, besides, even more, finally, first, firstly, further, furthermore, in addition, in the first place, in the second place, last, lastly, moreover, next, second, secondly </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Contrast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How two different things are connected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After all, although, and yet, at the same time, but, despite, however, in contrast, nevertheless, nonetheless, notwithstanding, on the contrary, on the other hand, otherwise, though, yet</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Example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Connect a general idea to specific instance of the idea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As an illustration, for example, for instance, specifically, that is, to demonstrate, to illustrate</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Importance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Connect the critical to the inconsequential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Chiefly, critically, foundationally, most importantly, of less importance, primarily</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Location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Place elements according to their placement in a relationship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Above, adjacent to, below, beyond, centrally, here, nearby, neighboring on, opposite to, peripherally, there, wherever</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Similarity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Connecting things that are alike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By the same token, in like manner, in similar fashion, here, in the same way, likewise, wherever</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Clarification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To make a point clear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In other words, that is, that is to say, to clarify, to explain, to put it another way, to rephrase it</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Concession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To concede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Granted, it is true, naturally, of course, to be sure</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Conclusion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To conclude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Finally, lastly, in conclusion, in the end, to conclude</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Intensification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To stress a point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In fact, indeed, no of course, surely, to repeat, undoubtedly, without doubt</w:t>
            </w:r>
            <w:r w:rsidRPr="00B22071">
              <w:rPr>
                <w:rFonts w:ascii="Times New Roman" w:eastAsia="굴림" w:hAnsi="Times New Roman" w:cs="Times New Roman"/>
                <w:color w:val="000000"/>
                <w:kern w:val="0"/>
                <w:sz w:val="24"/>
                <w:szCs w:val="24"/>
              </w:rPr>
              <w:br/>
              <w:t>yes</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Purpose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To show purpose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For this purpose, in order that, so that, to that end, to this end</w:t>
            </w:r>
          </w:p>
        </w:tc>
      </w:tr>
      <w:tr w:rsidR="00B22071" w:rsidRPr="00B22071" w:rsidTr="00B2207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Summary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To summarize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22071" w:rsidRPr="00B22071" w:rsidRDefault="00B22071" w:rsidP="00B22071">
            <w:pPr>
              <w:widowControl/>
              <w:shd w:val="clear" w:color="auto" w:fill="FFFFFF"/>
              <w:wordWrap/>
              <w:autoSpaceDE/>
              <w:autoSpaceDN/>
              <w:spacing w:after="0"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In brief, in sum, in summary, in short, to sum up, to summarize</w:t>
            </w:r>
          </w:p>
        </w:tc>
      </w:tr>
    </w:tbl>
    <w:p w:rsidR="00B22071" w:rsidRPr="00B22071" w:rsidRDefault="00B22071" w:rsidP="00B22071">
      <w:pPr>
        <w:widowControl/>
        <w:wordWrap/>
        <w:autoSpaceDE/>
        <w:autoSpaceDN/>
        <w:spacing w:after="0" w:line="240" w:lineRule="auto"/>
        <w:jc w:val="left"/>
        <w:rPr>
          <w:rFonts w:ascii="굴림" w:eastAsia="굴림" w:hAnsi="굴림" w:cs="굴림"/>
          <w:kern w:val="0"/>
          <w:sz w:val="24"/>
          <w:szCs w:val="24"/>
        </w:rPr>
      </w:pP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1.6 Commonly Misused Words</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 xml:space="preserve">You need to watch out words that may not add value to your writing. Every use should be intentional. There are confusing words that you should guard against such as homonyms. Examples include: compliment/complement; effect/affect; except/accept; insure/ensure; its/it’s; their/there/they’re; that/which; you/you’re; advice/advise; among/amongst; among/between/; breath/breathe; capital/capitol; disinterested/uninterested; </w:t>
      </w:r>
      <w:proofErr w:type="spellStart"/>
      <w:r w:rsidRPr="00B22071">
        <w:rPr>
          <w:rFonts w:ascii="Times New Roman" w:eastAsia="굴림" w:hAnsi="Times New Roman" w:cs="Times New Roman"/>
          <w:color w:val="000000"/>
          <w:kern w:val="0"/>
          <w:sz w:val="24"/>
          <w:szCs w:val="24"/>
        </w:rPr>
        <w:t>defence</w:t>
      </w:r>
      <w:proofErr w:type="spellEnd"/>
      <w:r w:rsidRPr="00B22071">
        <w:rPr>
          <w:rFonts w:ascii="Times New Roman" w:eastAsia="굴림" w:hAnsi="Times New Roman" w:cs="Times New Roman"/>
          <w:color w:val="000000"/>
          <w:kern w:val="0"/>
          <w:sz w:val="24"/>
          <w:szCs w:val="24"/>
        </w:rPr>
        <w:t>/defense; emigrate/immigrate; empathy/sympathy; farther/further; flaunt/flout; gray/grey; historical/historic; imply/infer; lay/lie; lead/led; learnt/learned; loose/lose; principle/principal; inquiry/enquiry; stationary/stationery; toward/towards; and whose/who’s.</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lastRenderedPageBreak/>
        <w:t>1.7 Summary</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In this lecture, we have seen that the tone, voice, and style of your writing matters since the goal is to convey ideas to your readers in a way that they will understand. How you structure your sentences, paragraphs, and the language you use will determine the output of your writing. You need to know how to connect your ideas and which connections work best. You need a working knowledge of commonly misused words and avoid confusing the reader. </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b/>
          <w:bCs/>
          <w:color w:val="000000"/>
          <w:kern w:val="0"/>
          <w:sz w:val="24"/>
          <w:szCs w:val="24"/>
        </w:rPr>
        <w:t>1.8 References</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Rose, B. (2020). Top 30 commonly confused words in English. Retrieved from</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hyperlink r:id="rId5" w:history="1">
        <w:r w:rsidRPr="00B22071">
          <w:rPr>
            <w:rFonts w:ascii="Times New Roman" w:eastAsia="굴림" w:hAnsi="Times New Roman" w:cs="Times New Roman"/>
            <w:color w:val="0000FF"/>
            <w:kern w:val="0"/>
            <w:sz w:val="24"/>
            <w:szCs w:val="24"/>
            <w:u w:val="single"/>
          </w:rPr>
          <w:t>https://www.grammarly.com/blog/commonly-confused-words/</w:t>
        </w:r>
      </w:hyperlink>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University of Maryland University College (2020). A word about style, voice, and tone. Retrieved from</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hyperlink r:id="rId6" w:history="1">
        <w:r w:rsidRPr="00B22071">
          <w:rPr>
            <w:rFonts w:ascii="Times New Roman" w:eastAsia="굴림" w:hAnsi="Times New Roman" w:cs="Times New Roman"/>
            <w:color w:val="0000FF"/>
            <w:kern w:val="0"/>
            <w:sz w:val="24"/>
            <w:szCs w:val="24"/>
            <w:u w:val="single"/>
          </w:rPr>
          <w:t>https://www.umgc.edu/current-students/learning-resources/writing-center/online-guide-to-writing/tutorial/chapter3/ch3-21.html</w:t>
        </w:r>
      </w:hyperlink>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University of Southern California (2020). The importance of good academic writing. Retrieved from</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hyperlink r:id="rId7" w:history="1">
        <w:r w:rsidRPr="00B22071">
          <w:rPr>
            <w:rFonts w:ascii="Times New Roman" w:eastAsia="굴림" w:hAnsi="Times New Roman" w:cs="Times New Roman"/>
            <w:color w:val="0000FF"/>
            <w:kern w:val="0"/>
            <w:sz w:val="24"/>
            <w:szCs w:val="24"/>
            <w:u w:val="single"/>
          </w:rPr>
          <w:t>https://libguides.usc.edu/writingguide/academicwriting</w:t>
        </w:r>
      </w:hyperlink>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University of Wisconsin (2020). Transitional words and phrases. Retrieved from </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hyperlink r:id="rId8" w:history="1">
        <w:r w:rsidRPr="00B22071">
          <w:rPr>
            <w:rFonts w:ascii="Times New Roman" w:eastAsia="굴림" w:hAnsi="Times New Roman" w:cs="Times New Roman"/>
            <w:color w:val="0000FF"/>
            <w:kern w:val="0"/>
            <w:sz w:val="24"/>
            <w:szCs w:val="24"/>
            <w:u w:val="single"/>
          </w:rPr>
          <w:t>https://writing.wisc.edu/handbook/style/transitions/</w:t>
        </w:r>
      </w:hyperlink>
    </w:p>
    <w:p w:rsidR="00B22071" w:rsidRPr="00B22071" w:rsidRDefault="00B22071" w:rsidP="00B22071">
      <w:pPr>
        <w:widowControl/>
        <w:wordWrap/>
        <w:autoSpaceDE/>
        <w:autoSpaceDN/>
        <w:spacing w:line="240" w:lineRule="auto"/>
        <w:rPr>
          <w:rFonts w:ascii="굴림" w:eastAsia="굴림" w:hAnsi="굴림" w:cs="굴림"/>
          <w:kern w:val="0"/>
          <w:sz w:val="24"/>
          <w:szCs w:val="24"/>
        </w:rPr>
      </w:pPr>
      <w:r w:rsidRPr="00B22071">
        <w:rPr>
          <w:rFonts w:ascii="Times New Roman" w:eastAsia="굴림" w:hAnsi="Times New Roman" w:cs="Times New Roman"/>
          <w:color w:val="000000"/>
          <w:kern w:val="0"/>
          <w:sz w:val="24"/>
          <w:szCs w:val="24"/>
        </w:rPr>
        <w:t>Walden University (2020). Scholarly voice: Tone. Retrieved from</w:t>
      </w:r>
    </w:p>
    <w:p w:rsidR="00B22071" w:rsidRPr="00B22071" w:rsidRDefault="00B22071" w:rsidP="00B22071">
      <w:pPr>
        <w:widowControl/>
        <w:wordWrap/>
        <w:autoSpaceDE/>
        <w:autoSpaceDN/>
        <w:spacing w:line="240" w:lineRule="auto"/>
        <w:rPr>
          <w:rFonts w:ascii="굴림" w:eastAsia="굴림" w:hAnsi="굴림" w:cs="굴림"/>
          <w:kern w:val="0"/>
          <w:sz w:val="24"/>
          <w:szCs w:val="24"/>
        </w:rPr>
      </w:pPr>
      <w:hyperlink r:id="rId9" w:history="1">
        <w:r w:rsidRPr="00B22071">
          <w:rPr>
            <w:rFonts w:ascii="Times New Roman" w:eastAsia="굴림" w:hAnsi="Times New Roman" w:cs="Times New Roman"/>
            <w:color w:val="0000FF"/>
            <w:kern w:val="0"/>
            <w:sz w:val="24"/>
            <w:szCs w:val="24"/>
            <w:u w:val="single"/>
          </w:rPr>
          <w:t>https://academicguides.waldenu.edu/writingcenter/scholarlyvoice/tone</w:t>
        </w:r>
      </w:hyperlink>
    </w:p>
    <w:p w:rsidR="00C06E39" w:rsidRPr="00B22071" w:rsidRDefault="00B22071" w:rsidP="00B22071">
      <w:r w:rsidRPr="00B22071">
        <w:rPr>
          <w:rFonts w:ascii="굴림" w:eastAsia="굴림" w:hAnsi="굴림" w:cs="굴림"/>
          <w:kern w:val="0"/>
          <w:sz w:val="24"/>
          <w:szCs w:val="24"/>
        </w:rPr>
        <w:br/>
      </w:r>
      <w:r w:rsidRPr="00B22071">
        <w:rPr>
          <w:rFonts w:ascii="굴림" w:eastAsia="굴림" w:hAnsi="굴림" w:cs="굴림"/>
          <w:kern w:val="0"/>
          <w:sz w:val="24"/>
          <w:szCs w:val="24"/>
        </w:rPr>
        <w:br/>
      </w:r>
      <w:r w:rsidRPr="00B22071">
        <w:rPr>
          <w:rFonts w:ascii="굴림" w:eastAsia="굴림" w:hAnsi="굴림" w:cs="굴림"/>
          <w:kern w:val="0"/>
          <w:sz w:val="24"/>
          <w:szCs w:val="24"/>
        </w:rPr>
        <w:br/>
      </w:r>
      <w:bookmarkStart w:id="0" w:name="_GoBack"/>
      <w:bookmarkEnd w:id="0"/>
    </w:p>
    <w:sectPr w:rsidR="00C06E39" w:rsidRPr="00B22071">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C1443"/>
    <w:multiLevelType w:val="multilevel"/>
    <w:tmpl w:val="17F8DE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22809"/>
    <w:multiLevelType w:val="multilevel"/>
    <w:tmpl w:val="58D0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20CEE"/>
    <w:multiLevelType w:val="multilevel"/>
    <w:tmpl w:val="6DACD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EE18BE"/>
    <w:multiLevelType w:val="multilevel"/>
    <w:tmpl w:val="E0C234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F67823"/>
    <w:multiLevelType w:val="multilevel"/>
    <w:tmpl w:val="4F1418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365A1F"/>
    <w:multiLevelType w:val="multilevel"/>
    <w:tmpl w:val="1D26C5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847116"/>
    <w:multiLevelType w:val="hybridMultilevel"/>
    <w:tmpl w:val="429CA71E"/>
    <w:lvl w:ilvl="0" w:tplc="C9AA1F70">
      <w:start w:val="2"/>
      <w:numFmt w:val="lowerLetter"/>
      <w:lvlText w:val="%1."/>
      <w:lvlJc w:val="left"/>
      <w:pPr>
        <w:tabs>
          <w:tab w:val="num" w:pos="720"/>
        </w:tabs>
        <w:ind w:left="720" w:hanging="360"/>
      </w:pPr>
    </w:lvl>
    <w:lvl w:ilvl="1" w:tplc="5540CCCC" w:tentative="1">
      <w:start w:val="1"/>
      <w:numFmt w:val="decimal"/>
      <w:lvlText w:val="%2."/>
      <w:lvlJc w:val="left"/>
      <w:pPr>
        <w:tabs>
          <w:tab w:val="num" w:pos="1440"/>
        </w:tabs>
        <w:ind w:left="1440" w:hanging="360"/>
      </w:pPr>
    </w:lvl>
    <w:lvl w:ilvl="2" w:tplc="4BAA41DA" w:tentative="1">
      <w:start w:val="1"/>
      <w:numFmt w:val="decimal"/>
      <w:lvlText w:val="%3."/>
      <w:lvlJc w:val="left"/>
      <w:pPr>
        <w:tabs>
          <w:tab w:val="num" w:pos="2160"/>
        </w:tabs>
        <w:ind w:left="2160" w:hanging="360"/>
      </w:pPr>
    </w:lvl>
    <w:lvl w:ilvl="3" w:tplc="B7220996" w:tentative="1">
      <w:start w:val="1"/>
      <w:numFmt w:val="decimal"/>
      <w:lvlText w:val="%4."/>
      <w:lvlJc w:val="left"/>
      <w:pPr>
        <w:tabs>
          <w:tab w:val="num" w:pos="2880"/>
        </w:tabs>
        <w:ind w:left="2880" w:hanging="360"/>
      </w:pPr>
    </w:lvl>
    <w:lvl w:ilvl="4" w:tplc="3CE0D1E6" w:tentative="1">
      <w:start w:val="1"/>
      <w:numFmt w:val="decimal"/>
      <w:lvlText w:val="%5."/>
      <w:lvlJc w:val="left"/>
      <w:pPr>
        <w:tabs>
          <w:tab w:val="num" w:pos="3600"/>
        </w:tabs>
        <w:ind w:left="3600" w:hanging="360"/>
      </w:pPr>
    </w:lvl>
    <w:lvl w:ilvl="5" w:tplc="02667890" w:tentative="1">
      <w:start w:val="1"/>
      <w:numFmt w:val="decimal"/>
      <w:lvlText w:val="%6."/>
      <w:lvlJc w:val="left"/>
      <w:pPr>
        <w:tabs>
          <w:tab w:val="num" w:pos="4320"/>
        </w:tabs>
        <w:ind w:left="4320" w:hanging="360"/>
      </w:pPr>
    </w:lvl>
    <w:lvl w:ilvl="6" w:tplc="8E1C6DA6" w:tentative="1">
      <w:start w:val="1"/>
      <w:numFmt w:val="decimal"/>
      <w:lvlText w:val="%7."/>
      <w:lvlJc w:val="left"/>
      <w:pPr>
        <w:tabs>
          <w:tab w:val="num" w:pos="5040"/>
        </w:tabs>
        <w:ind w:left="5040" w:hanging="360"/>
      </w:pPr>
    </w:lvl>
    <w:lvl w:ilvl="7" w:tplc="12046B3A" w:tentative="1">
      <w:start w:val="1"/>
      <w:numFmt w:val="decimal"/>
      <w:lvlText w:val="%8."/>
      <w:lvlJc w:val="left"/>
      <w:pPr>
        <w:tabs>
          <w:tab w:val="num" w:pos="5760"/>
        </w:tabs>
        <w:ind w:left="5760" w:hanging="360"/>
      </w:pPr>
    </w:lvl>
    <w:lvl w:ilvl="8" w:tplc="E8E05CA2" w:tentative="1">
      <w:start w:val="1"/>
      <w:numFmt w:val="decimal"/>
      <w:lvlText w:val="%9."/>
      <w:lvlJc w:val="left"/>
      <w:pPr>
        <w:tabs>
          <w:tab w:val="num" w:pos="6480"/>
        </w:tabs>
        <w:ind w:left="6480" w:hanging="360"/>
      </w:pPr>
    </w:lvl>
  </w:abstractNum>
  <w:abstractNum w:abstractNumId="7" w15:restartNumberingAfterBreak="0">
    <w:nsid w:val="2E7D2F96"/>
    <w:multiLevelType w:val="multilevel"/>
    <w:tmpl w:val="9064D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2C59EE"/>
    <w:multiLevelType w:val="multilevel"/>
    <w:tmpl w:val="6B9CCD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5A29E5"/>
    <w:multiLevelType w:val="multilevel"/>
    <w:tmpl w:val="014E5C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5A786B"/>
    <w:multiLevelType w:val="multilevel"/>
    <w:tmpl w:val="095C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06C48"/>
    <w:multiLevelType w:val="multilevel"/>
    <w:tmpl w:val="942CD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DD1576"/>
    <w:multiLevelType w:val="multilevel"/>
    <w:tmpl w:val="E6BE9A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9A7089"/>
    <w:multiLevelType w:val="multilevel"/>
    <w:tmpl w:val="F6D6F3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1110EB"/>
    <w:multiLevelType w:val="multilevel"/>
    <w:tmpl w:val="6AAA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205AA8"/>
    <w:multiLevelType w:val="multilevel"/>
    <w:tmpl w:val="5222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6A7D21"/>
    <w:multiLevelType w:val="multilevel"/>
    <w:tmpl w:val="6D40C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lvlOverride w:ilvl="0">
      <w:lvl w:ilvl="0">
        <w:numFmt w:val="lowerLetter"/>
        <w:lvlText w:val="%1."/>
        <w:lvlJc w:val="left"/>
      </w:lvl>
    </w:lvlOverride>
  </w:num>
  <w:num w:numId="2">
    <w:abstractNumId w:val="15"/>
  </w:num>
  <w:num w:numId="3">
    <w:abstractNumId w:val="7"/>
  </w:num>
  <w:num w:numId="4">
    <w:abstractNumId w:val="9"/>
    <w:lvlOverride w:ilvl="0">
      <w:lvl w:ilvl="0">
        <w:numFmt w:val="decimal"/>
        <w:lvlText w:val="%1."/>
        <w:lvlJc w:val="left"/>
      </w:lvl>
    </w:lvlOverride>
  </w:num>
  <w:num w:numId="5">
    <w:abstractNumId w:val="0"/>
    <w:lvlOverride w:ilvl="0">
      <w:lvl w:ilvl="0">
        <w:numFmt w:val="decimal"/>
        <w:lvlText w:val="%1."/>
        <w:lvlJc w:val="left"/>
      </w:lvl>
    </w:lvlOverride>
  </w:num>
  <w:num w:numId="6">
    <w:abstractNumId w:val="8"/>
    <w:lvlOverride w:ilvl="0">
      <w:lvl w:ilvl="0">
        <w:numFmt w:val="decimal"/>
        <w:lvlText w:val="%1."/>
        <w:lvlJc w:val="left"/>
      </w:lvl>
    </w:lvlOverride>
  </w:num>
  <w:num w:numId="7">
    <w:abstractNumId w:val="13"/>
    <w:lvlOverride w:ilvl="0">
      <w:lvl w:ilvl="0">
        <w:numFmt w:val="decimal"/>
        <w:lvlText w:val="%1."/>
        <w:lvlJc w:val="left"/>
      </w:lvl>
    </w:lvlOverride>
  </w:num>
  <w:num w:numId="8">
    <w:abstractNumId w:val="3"/>
    <w:lvlOverride w:ilvl="0">
      <w:lvl w:ilvl="0">
        <w:numFmt w:val="decimal"/>
        <w:lvlText w:val="%1."/>
        <w:lvlJc w:val="left"/>
      </w:lvl>
    </w:lvlOverride>
  </w:num>
  <w:num w:numId="9">
    <w:abstractNumId w:val="12"/>
    <w:lvlOverride w:ilvl="0">
      <w:lvl w:ilvl="0">
        <w:numFmt w:val="decimal"/>
        <w:lvlText w:val="%1."/>
        <w:lvlJc w:val="left"/>
      </w:lvl>
    </w:lvlOverride>
  </w:num>
  <w:num w:numId="10">
    <w:abstractNumId w:val="5"/>
    <w:lvlOverride w:ilvl="0">
      <w:lvl w:ilvl="0">
        <w:numFmt w:val="decimal"/>
        <w:lvlText w:val="%1."/>
        <w:lvlJc w:val="left"/>
      </w:lvl>
    </w:lvlOverride>
  </w:num>
  <w:num w:numId="11">
    <w:abstractNumId w:val="4"/>
    <w:lvlOverride w:ilvl="0">
      <w:lvl w:ilvl="0">
        <w:numFmt w:val="decimal"/>
        <w:lvlText w:val="%1."/>
        <w:lvlJc w:val="left"/>
      </w:lvl>
    </w:lvlOverride>
  </w:num>
  <w:num w:numId="12">
    <w:abstractNumId w:val="2"/>
    <w:lvlOverride w:ilvl="0">
      <w:lvl w:ilvl="0">
        <w:numFmt w:val="lowerLetter"/>
        <w:lvlText w:val="%1."/>
        <w:lvlJc w:val="left"/>
      </w:lvl>
    </w:lvlOverride>
  </w:num>
  <w:num w:numId="13">
    <w:abstractNumId w:val="10"/>
  </w:num>
  <w:num w:numId="14">
    <w:abstractNumId w:val="6"/>
  </w:num>
  <w:num w:numId="15">
    <w:abstractNumId w:val="1"/>
  </w:num>
  <w:num w:numId="16">
    <w:abstractNumId w:val="14"/>
  </w:num>
  <w:num w:numId="17">
    <w:abstractNumId w:val="11"/>
    <w:lvlOverride w:ilvl="0">
      <w:lvl w:ilvl="0">
        <w:numFmt w:val="lowerLetter"/>
        <w:lvlText w:val="%1."/>
        <w:lvlJc w:val="left"/>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52"/>
    <w:rsid w:val="00861452"/>
    <w:rsid w:val="00AC5DE5"/>
    <w:rsid w:val="00B22071"/>
    <w:rsid w:val="00C06E3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700A6-BC06-4B9A-B944-AC462C62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4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Hyperlink"/>
    <w:basedOn w:val="a0"/>
    <w:uiPriority w:val="99"/>
    <w:semiHidden/>
    <w:unhideWhenUsed/>
    <w:rsid w:val="00861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673135">
      <w:bodyDiv w:val="1"/>
      <w:marLeft w:val="0"/>
      <w:marRight w:val="0"/>
      <w:marTop w:val="0"/>
      <w:marBottom w:val="0"/>
      <w:divBdr>
        <w:top w:val="none" w:sz="0" w:space="0" w:color="auto"/>
        <w:left w:val="none" w:sz="0" w:space="0" w:color="auto"/>
        <w:bottom w:val="none" w:sz="0" w:space="0" w:color="auto"/>
        <w:right w:val="none" w:sz="0" w:space="0" w:color="auto"/>
      </w:divBdr>
      <w:divsChild>
        <w:div w:id="1933472428">
          <w:marLeft w:val="-108"/>
          <w:marRight w:val="0"/>
          <w:marTop w:val="0"/>
          <w:marBottom w:val="0"/>
          <w:divBdr>
            <w:top w:val="none" w:sz="0" w:space="0" w:color="auto"/>
            <w:left w:val="none" w:sz="0" w:space="0" w:color="auto"/>
            <w:bottom w:val="none" w:sz="0" w:space="0" w:color="auto"/>
            <w:right w:val="none" w:sz="0" w:space="0" w:color="auto"/>
          </w:divBdr>
        </w:div>
      </w:divsChild>
    </w:div>
    <w:div w:id="1559977702">
      <w:bodyDiv w:val="1"/>
      <w:marLeft w:val="0"/>
      <w:marRight w:val="0"/>
      <w:marTop w:val="0"/>
      <w:marBottom w:val="0"/>
      <w:divBdr>
        <w:top w:val="none" w:sz="0" w:space="0" w:color="auto"/>
        <w:left w:val="none" w:sz="0" w:space="0" w:color="auto"/>
        <w:bottom w:val="none" w:sz="0" w:space="0" w:color="auto"/>
        <w:right w:val="none" w:sz="0" w:space="0" w:color="auto"/>
      </w:divBdr>
    </w:div>
    <w:div w:id="2058775221">
      <w:bodyDiv w:val="1"/>
      <w:marLeft w:val="0"/>
      <w:marRight w:val="0"/>
      <w:marTop w:val="0"/>
      <w:marBottom w:val="0"/>
      <w:divBdr>
        <w:top w:val="none" w:sz="0" w:space="0" w:color="auto"/>
        <w:left w:val="none" w:sz="0" w:space="0" w:color="auto"/>
        <w:bottom w:val="none" w:sz="0" w:space="0" w:color="auto"/>
        <w:right w:val="none" w:sz="0" w:space="0" w:color="auto"/>
      </w:divBdr>
      <w:divsChild>
        <w:div w:id="1679578191">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iting.wisc.edu/handbook/style/transitions/" TargetMode="External"/><Relationship Id="rId3" Type="http://schemas.openxmlformats.org/officeDocument/2006/relationships/settings" Target="settings.xml"/><Relationship Id="rId7" Type="http://schemas.openxmlformats.org/officeDocument/2006/relationships/hyperlink" Target="https://libguides.usc.edu/writingguide/academicwri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mgc.edu/current-students/learning-resources/writing-center/online-guide-to-writing/tutorial/chapter3/ch3-21.html" TargetMode="External"/><Relationship Id="rId11" Type="http://schemas.openxmlformats.org/officeDocument/2006/relationships/theme" Target="theme/theme1.xml"/><Relationship Id="rId5" Type="http://schemas.openxmlformats.org/officeDocument/2006/relationships/hyperlink" Target="https://www.grammarly.com/blog/commonly-confused-word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ademicguides.waldenu.edu/writingcenter/scholarlyvoice/tone"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2641</Words>
  <Characters>15060</Characters>
  <Application>Microsoft Office Word</Application>
  <DocSecurity>0</DocSecurity>
  <Lines>125</Lines>
  <Paragraphs>35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2020-06-09T07:39:00Z</dcterms:created>
  <dcterms:modified xsi:type="dcterms:W3CDTF">2020-06-09T07:39:00Z</dcterms:modified>
</cp:coreProperties>
</file>