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p>
    <w:p w:rsidR="006D5CC7" w:rsidRDefault="001E7923" w:rsidP="001E7923">
      <w:pPr>
        <w:spacing w:line="276" w:lineRule="auto"/>
        <w:ind w:firstLine="0"/>
        <w:jc w:val="center"/>
        <w:outlineLvl w:val="1"/>
        <w:rPr>
          <w:rFonts w:ascii="Times New Roman" w:eastAsia="Times New Roman" w:hAnsi="Times New Roman" w:cs="Times New Roman"/>
          <w:b/>
          <w:bCs/>
          <w:color w:val="002060"/>
          <w:sz w:val="24"/>
          <w:lang w:val="en-US" w:eastAsia="ru-RU"/>
        </w:rPr>
      </w:pPr>
      <w:r w:rsidRPr="001E7923">
        <w:rPr>
          <w:rFonts w:ascii="Times New Roman" w:eastAsia="Times New Roman" w:hAnsi="Times New Roman" w:cs="Times New Roman"/>
          <w:b/>
          <w:bCs/>
          <w:color w:val="002060"/>
          <w:lang w:val="en-US" w:eastAsia="ru-RU"/>
        </w:rPr>
        <w:t>LECTURE_5</w:t>
      </w:r>
      <w:proofErr w:type="gramStart"/>
      <w:r w:rsidR="006D5CC7" w:rsidRPr="001E7923">
        <w:rPr>
          <w:rFonts w:ascii="Times New Roman" w:eastAsia="Times New Roman" w:hAnsi="Times New Roman" w:cs="Times New Roman"/>
          <w:b/>
          <w:bCs/>
          <w:color w:val="002060"/>
          <w:lang w:val="en-US" w:eastAsia="ru-RU"/>
        </w:rPr>
        <w:t>:</w:t>
      </w:r>
      <w:r w:rsidRPr="001E7923">
        <w:rPr>
          <w:rFonts w:ascii="Times New Roman" w:eastAsia="Times New Roman" w:hAnsi="Times New Roman" w:cs="Times New Roman"/>
          <w:b/>
          <w:bCs/>
          <w:color w:val="002060"/>
          <w:sz w:val="24"/>
          <w:lang w:val="en-US" w:eastAsia="ru-RU"/>
        </w:rPr>
        <w:t>DISORDERS</w:t>
      </w:r>
      <w:proofErr w:type="gramEnd"/>
      <w:r w:rsidRPr="001E7923">
        <w:rPr>
          <w:rFonts w:ascii="Times New Roman" w:eastAsia="Times New Roman" w:hAnsi="Times New Roman" w:cs="Times New Roman"/>
          <w:b/>
          <w:bCs/>
          <w:color w:val="002060"/>
          <w:sz w:val="24"/>
          <w:lang w:val="en-US" w:eastAsia="ru-RU"/>
        </w:rPr>
        <w:t xml:space="preserve"> OF MINERAL METABOLISM.</w:t>
      </w:r>
    </w:p>
    <w:p w:rsidR="001E7923" w:rsidRPr="001E7923" w:rsidRDefault="001E7923" w:rsidP="001E7923">
      <w:pPr>
        <w:spacing w:line="276" w:lineRule="auto"/>
        <w:ind w:firstLine="0"/>
        <w:jc w:val="center"/>
        <w:outlineLvl w:val="1"/>
        <w:rPr>
          <w:rFonts w:ascii="Times New Roman" w:eastAsia="Times New Roman" w:hAnsi="Times New Roman" w:cs="Times New Roman"/>
          <w:b/>
          <w:bCs/>
          <w:color w:val="002060"/>
          <w:sz w:val="24"/>
          <w:lang w:val="en-US" w:eastAsia="ru-RU"/>
        </w:rPr>
      </w:pPr>
    </w:p>
    <w:p w:rsidR="006D5CC7" w:rsidRDefault="006D5CC7" w:rsidP="001E7923">
      <w:pPr>
        <w:spacing w:line="276" w:lineRule="auto"/>
        <w:ind w:firstLine="0"/>
        <w:jc w:val="center"/>
        <w:outlineLvl w:val="1"/>
        <w:rPr>
          <w:rFonts w:ascii="Times New Roman" w:eastAsia="Times New Roman" w:hAnsi="Times New Roman" w:cs="Times New Roman"/>
          <w:b/>
          <w:bCs/>
          <w:color w:val="002060"/>
          <w:lang w:eastAsia="ru-RU"/>
        </w:rPr>
      </w:pPr>
      <w:r w:rsidRPr="001E7923">
        <w:rPr>
          <w:rFonts w:ascii="Times New Roman" w:eastAsia="Times New Roman" w:hAnsi="Times New Roman" w:cs="Times New Roman"/>
          <w:b/>
          <w:bCs/>
          <w:color w:val="002060"/>
          <w:lang w:eastAsia="ru-RU"/>
        </w:rPr>
        <w:t>ТЕМА</w:t>
      </w:r>
      <w:r w:rsidR="001E7923" w:rsidRPr="001E7923">
        <w:rPr>
          <w:rFonts w:ascii="Times New Roman" w:eastAsia="Times New Roman" w:hAnsi="Times New Roman" w:cs="Times New Roman"/>
          <w:b/>
          <w:bCs/>
          <w:color w:val="002060"/>
          <w:lang w:val="en-US" w:eastAsia="ru-RU"/>
        </w:rPr>
        <w:t>_5</w:t>
      </w:r>
      <w:r w:rsidRPr="001E7923">
        <w:rPr>
          <w:rFonts w:ascii="Times New Roman" w:eastAsia="Times New Roman" w:hAnsi="Times New Roman" w:cs="Times New Roman"/>
          <w:b/>
          <w:bCs/>
          <w:color w:val="002060"/>
          <w:lang w:val="en-US" w:eastAsia="ru-RU"/>
        </w:rPr>
        <w:t xml:space="preserve">: </w:t>
      </w:r>
      <w:r w:rsidRPr="001E7923">
        <w:rPr>
          <w:rFonts w:ascii="Times New Roman" w:eastAsia="Times New Roman" w:hAnsi="Times New Roman" w:cs="Times New Roman"/>
          <w:b/>
          <w:bCs/>
          <w:color w:val="002060"/>
          <w:lang w:eastAsia="ru-RU"/>
        </w:rPr>
        <w:t>НАРУШЕНИЯ</w:t>
      </w:r>
      <w:r w:rsidRPr="001E7923">
        <w:rPr>
          <w:rFonts w:ascii="Times New Roman" w:eastAsia="Times New Roman" w:hAnsi="Times New Roman" w:cs="Times New Roman"/>
          <w:b/>
          <w:bCs/>
          <w:color w:val="002060"/>
          <w:lang w:val="en-US" w:eastAsia="ru-RU"/>
        </w:rPr>
        <w:t xml:space="preserve"> </w:t>
      </w:r>
      <w:r w:rsidRPr="001E7923">
        <w:rPr>
          <w:rFonts w:ascii="Times New Roman" w:eastAsia="Times New Roman" w:hAnsi="Times New Roman" w:cs="Times New Roman"/>
          <w:b/>
          <w:bCs/>
          <w:color w:val="002060"/>
          <w:lang w:eastAsia="ru-RU"/>
        </w:rPr>
        <w:t>МИНЕРАЛЬНОГО</w:t>
      </w:r>
      <w:r w:rsidRPr="001E7923">
        <w:rPr>
          <w:rFonts w:ascii="Times New Roman" w:eastAsia="Times New Roman" w:hAnsi="Times New Roman" w:cs="Times New Roman"/>
          <w:b/>
          <w:bCs/>
          <w:color w:val="002060"/>
          <w:lang w:val="en-US" w:eastAsia="ru-RU"/>
        </w:rPr>
        <w:t xml:space="preserve"> </w:t>
      </w:r>
      <w:r w:rsidRPr="001E7923">
        <w:rPr>
          <w:rFonts w:ascii="Times New Roman" w:eastAsia="Times New Roman" w:hAnsi="Times New Roman" w:cs="Times New Roman"/>
          <w:b/>
          <w:bCs/>
          <w:color w:val="002060"/>
          <w:lang w:eastAsia="ru-RU"/>
        </w:rPr>
        <w:t>ОБМЕНА</w:t>
      </w:r>
    </w:p>
    <w:p w:rsidR="001E7923" w:rsidRPr="001E7923" w:rsidRDefault="001E7923" w:rsidP="001E7923">
      <w:pPr>
        <w:spacing w:line="276" w:lineRule="auto"/>
        <w:ind w:firstLine="0"/>
        <w:jc w:val="center"/>
        <w:outlineLvl w:val="1"/>
        <w:rPr>
          <w:rFonts w:ascii="Times New Roman" w:eastAsia="Times New Roman" w:hAnsi="Times New Roman" w:cs="Times New Roman"/>
          <w:b/>
          <w:bCs/>
          <w:color w:val="002060"/>
          <w:lang w:val="en-US" w:eastAsia="ru-RU"/>
        </w:rPr>
      </w:pPr>
    </w:p>
    <w:p w:rsidR="006D5CC7" w:rsidRPr="001E7923" w:rsidRDefault="006D5CC7" w:rsidP="003276B5">
      <w:pPr>
        <w:spacing w:line="276" w:lineRule="auto"/>
        <w:ind w:firstLine="0"/>
        <w:outlineLvl w:val="1"/>
        <w:rPr>
          <w:rFonts w:ascii="Times New Roman" w:eastAsia="Times New Roman" w:hAnsi="Times New Roman" w:cs="Times New Roman"/>
          <w:b/>
          <w:bCs/>
          <w:lang w:eastAsia="ru-RU"/>
        </w:rPr>
      </w:pPr>
      <w:r w:rsidRPr="001E7923">
        <w:rPr>
          <w:rFonts w:ascii="Times New Roman" w:eastAsia="Times New Roman" w:hAnsi="Times New Roman" w:cs="Times New Roman"/>
          <w:b/>
          <w:bCs/>
          <w:lang w:eastAsia="ru-RU"/>
        </w:rPr>
        <w:t>План лекции:</w:t>
      </w:r>
    </w:p>
    <w:p w:rsidR="001E7923" w:rsidRPr="001E7923" w:rsidRDefault="001E7923" w:rsidP="001E7923">
      <w:pPr>
        <w:pStyle w:val="a8"/>
        <w:numPr>
          <w:ilvl w:val="0"/>
          <w:numId w:val="4"/>
        </w:numPr>
        <w:spacing w:line="276" w:lineRule="auto"/>
        <w:ind w:left="284"/>
        <w:outlineLvl w:val="1"/>
        <w:rPr>
          <w:rFonts w:ascii="Times New Roman" w:eastAsia="Times New Roman" w:hAnsi="Times New Roman" w:cs="Times New Roman"/>
          <w:bCs/>
          <w:lang w:eastAsia="ru-RU"/>
        </w:rPr>
      </w:pPr>
      <w:r w:rsidRPr="001E7923">
        <w:rPr>
          <w:rFonts w:ascii="Times New Roman" w:eastAsia="Times New Roman" w:hAnsi="Times New Roman" w:cs="Times New Roman"/>
          <w:bCs/>
          <w:lang w:eastAsia="ru-RU"/>
        </w:rPr>
        <w:t>Нарушения обмена кальция и фосфора у взрослых</w:t>
      </w:r>
    </w:p>
    <w:p w:rsidR="00000000" w:rsidRPr="001E7923" w:rsidRDefault="00A14C57" w:rsidP="001E7923">
      <w:pPr>
        <w:numPr>
          <w:ilvl w:val="0"/>
          <w:numId w:val="4"/>
        </w:numPr>
        <w:spacing w:line="276" w:lineRule="auto"/>
        <w:ind w:left="284"/>
        <w:outlineLvl w:val="1"/>
        <w:rPr>
          <w:rFonts w:ascii="Times New Roman" w:eastAsia="Times New Roman" w:hAnsi="Times New Roman" w:cs="Times New Roman"/>
          <w:bCs/>
          <w:lang w:eastAsia="ru-RU"/>
        </w:rPr>
      </w:pPr>
      <w:r w:rsidRPr="001E7923">
        <w:rPr>
          <w:rFonts w:ascii="Times New Roman" w:eastAsia="Times New Roman" w:hAnsi="Times New Roman" w:cs="Times New Roman"/>
          <w:bCs/>
          <w:lang w:eastAsia="ru-RU"/>
        </w:rPr>
        <w:t xml:space="preserve">Гиперкальциемия </w:t>
      </w:r>
    </w:p>
    <w:p w:rsidR="00000000" w:rsidRPr="001E7923" w:rsidRDefault="001E7923" w:rsidP="001E7923">
      <w:pPr>
        <w:numPr>
          <w:ilvl w:val="0"/>
          <w:numId w:val="4"/>
        </w:numPr>
        <w:spacing w:line="276" w:lineRule="auto"/>
        <w:ind w:left="284"/>
        <w:outlineLvl w:val="1"/>
        <w:rPr>
          <w:rFonts w:ascii="Times New Roman" w:eastAsia="Times New Roman" w:hAnsi="Times New Roman" w:cs="Times New Roman"/>
          <w:bCs/>
          <w:lang w:eastAsia="ru-RU"/>
        </w:rPr>
      </w:pPr>
      <w:r>
        <w:rPr>
          <w:rFonts w:ascii="Times New Roman" w:eastAsia="Times New Roman" w:hAnsi="Times New Roman" w:cs="Times New Roman"/>
          <w:bCs/>
          <w:lang w:eastAsia="ru-RU"/>
        </w:rPr>
        <w:t>Гиперкальциемический криз</w:t>
      </w:r>
    </w:p>
    <w:p w:rsidR="00000000" w:rsidRPr="001E7923" w:rsidRDefault="00A14C57" w:rsidP="001E7923">
      <w:pPr>
        <w:numPr>
          <w:ilvl w:val="0"/>
          <w:numId w:val="4"/>
        </w:numPr>
        <w:spacing w:line="276" w:lineRule="auto"/>
        <w:ind w:left="284"/>
        <w:outlineLvl w:val="1"/>
        <w:rPr>
          <w:rFonts w:ascii="Times New Roman" w:eastAsia="Times New Roman" w:hAnsi="Times New Roman" w:cs="Times New Roman"/>
          <w:bCs/>
          <w:lang w:eastAsia="ru-RU"/>
        </w:rPr>
      </w:pPr>
      <w:r w:rsidRPr="001E7923">
        <w:rPr>
          <w:rFonts w:ascii="Times New Roman" w:eastAsia="Times New Roman" w:hAnsi="Times New Roman" w:cs="Times New Roman"/>
          <w:bCs/>
          <w:lang w:eastAsia="ru-RU"/>
        </w:rPr>
        <w:t xml:space="preserve">Гипокальциемия </w:t>
      </w:r>
    </w:p>
    <w:p w:rsidR="00000000" w:rsidRPr="001E7923" w:rsidRDefault="00A14C57" w:rsidP="001E7923">
      <w:pPr>
        <w:numPr>
          <w:ilvl w:val="0"/>
          <w:numId w:val="4"/>
        </w:numPr>
        <w:spacing w:line="276" w:lineRule="auto"/>
        <w:ind w:left="284"/>
        <w:outlineLvl w:val="1"/>
        <w:rPr>
          <w:rFonts w:ascii="Times New Roman" w:eastAsia="Times New Roman" w:hAnsi="Times New Roman" w:cs="Times New Roman"/>
          <w:bCs/>
          <w:lang w:eastAsia="ru-RU"/>
        </w:rPr>
      </w:pPr>
      <w:r w:rsidRPr="001E7923">
        <w:rPr>
          <w:rFonts w:ascii="Times New Roman" w:eastAsia="Times New Roman" w:hAnsi="Times New Roman" w:cs="Times New Roman"/>
          <w:bCs/>
          <w:lang w:eastAsia="ru-RU"/>
        </w:rPr>
        <w:t>Метаболические</w:t>
      </w:r>
      <w:r w:rsidRPr="001E7923">
        <w:rPr>
          <w:rFonts w:ascii="Times New Roman" w:eastAsia="Times New Roman" w:hAnsi="Times New Roman" w:cs="Times New Roman"/>
          <w:bCs/>
          <w:lang w:eastAsia="ru-RU"/>
        </w:rPr>
        <w:t xml:space="preserve"> болезни костей </w:t>
      </w:r>
    </w:p>
    <w:p w:rsidR="00000000" w:rsidRPr="001E7923" w:rsidRDefault="00A14C57" w:rsidP="001E7923">
      <w:pPr>
        <w:numPr>
          <w:ilvl w:val="0"/>
          <w:numId w:val="4"/>
        </w:numPr>
        <w:spacing w:line="276" w:lineRule="auto"/>
        <w:ind w:left="284"/>
        <w:outlineLvl w:val="1"/>
        <w:rPr>
          <w:rFonts w:ascii="Times New Roman" w:eastAsia="Times New Roman" w:hAnsi="Times New Roman" w:cs="Times New Roman"/>
          <w:bCs/>
          <w:lang w:eastAsia="ru-RU"/>
        </w:rPr>
      </w:pPr>
      <w:r w:rsidRPr="001E7923">
        <w:rPr>
          <w:rFonts w:ascii="Times New Roman" w:eastAsia="Times New Roman" w:hAnsi="Times New Roman" w:cs="Times New Roman"/>
          <w:bCs/>
          <w:lang w:eastAsia="ru-RU"/>
        </w:rPr>
        <w:t>Остеопения</w:t>
      </w:r>
    </w:p>
    <w:p w:rsidR="00000000" w:rsidRPr="001E7923" w:rsidRDefault="00A14C57" w:rsidP="001E7923">
      <w:pPr>
        <w:numPr>
          <w:ilvl w:val="0"/>
          <w:numId w:val="4"/>
        </w:numPr>
        <w:spacing w:line="276" w:lineRule="auto"/>
        <w:ind w:left="284"/>
        <w:outlineLvl w:val="1"/>
        <w:rPr>
          <w:rFonts w:ascii="Times New Roman" w:eastAsia="Times New Roman" w:hAnsi="Times New Roman" w:cs="Times New Roman"/>
          <w:bCs/>
          <w:lang w:eastAsia="ru-RU"/>
        </w:rPr>
      </w:pPr>
      <w:r w:rsidRPr="001E7923">
        <w:rPr>
          <w:rFonts w:ascii="Times New Roman" w:eastAsia="Times New Roman" w:hAnsi="Times New Roman" w:cs="Times New Roman"/>
          <w:bCs/>
          <w:lang w:eastAsia="ru-RU"/>
        </w:rPr>
        <w:t>Остеомаляция и рахит</w:t>
      </w:r>
    </w:p>
    <w:p w:rsidR="00000000" w:rsidRPr="001E7923" w:rsidRDefault="00A14C57" w:rsidP="001E7923">
      <w:pPr>
        <w:numPr>
          <w:ilvl w:val="0"/>
          <w:numId w:val="4"/>
        </w:numPr>
        <w:spacing w:line="276" w:lineRule="auto"/>
        <w:ind w:left="284"/>
        <w:outlineLvl w:val="1"/>
        <w:rPr>
          <w:rFonts w:ascii="Times New Roman" w:eastAsia="Times New Roman" w:hAnsi="Times New Roman" w:cs="Times New Roman"/>
          <w:bCs/>
          <w:lang w:eastAsia="ru-RU"/>
        </w:rPr>
      </w:pPr>
      <w:r w:rsidRPr="001E7923">
        <w:rPr>
          <w:rFonts w:ascii="Times New Roman" w:eastAsia="Times New Roman" w:hAnsi="Times New Roman" w:cs="Times New Roman"/>
          <w:bCs/>
          <w:lang w:eastAsia="ru-RU"/>
        </w:rPr>
        <w:t>Гипофосфа</w:t>
      </w:r>
      <w:r w:rsidRPr="001E7923">
        <w:rPr>
          <w:rFonts w:ascii="Times New Roman" w:eastAsia="Times New Roman" w:hAnsi="Times New Roman" w:cs="Times New Roman"/>
          <w:bCs/>
          <w:lang w:eastAsia="ru-RU"/>
        </w:rPr>
        <w:t>темия</w:t>
      </w:r>
    </w:p>
    <w:p w:rsidR="00000000" w:rsidRPr="001E7923" w:rsidRDefault="00A14C57" w:rsidP="001E7923">
      <w:pPr>
        <w:numPr>
          <w:ilvl w:val="0"/>
          <w:numId w:val="4"/>
        </w:numPr>
        <w:spacing w:line="276" w:lineRule="auto"/>
        <w:ind w:left="284"/>
        <w:outlineLvl w:val="1"/>
        <w:rPr>
          <w:rFonts w:ascii="Times New Roman" w:eastAsia="Times New Roman" w:hAnsi="Times New Roman" w:cs="Times New Roman"/>
          <w:bCs/>
          <w:lang w:eastAsia="ru-RU"/>
        </w:rPr>
      </w:pPr>
      <w:r w:rsidRPr="001E7923">
        <w:rPr>
          <w:rFonts w:ascii="Times New Roman" w:eastAsia="Times New Roman" w:hAnsi="Times New Roman" w:cs="Times New Roman"/>
          <w:bCs/>
          <w:lang w:eastAsia="ru-RU"/>
        </w:rPr>
        <w:t xml:space="preserve">Болезнь Педжета (деформирующий остоз) </w:t>
      </w:r>
    </w:p>
    <w:p w:rsidR="006D5CC7" w:rsidRPr="001E7923" w:rsidRDefault="006D5CC7" w:rsidP="001E7923">
      <w:pPr>
        <w:pStyle w:val="a8"/>
        <w:numPr>
          <w:ilvl w:val="0"/>
          <w:numId w:val="4"/>
        </w:numPr>
        <w:spacing w:line="276" w:lineRule="auto"/>
        <w:ind w:left="284"/>
        <w:outlineLvl w:val="1"/>
        <w:rPr>
          <w:rFonts w:ascii="Times New Roman" w:eastAsia="Times New Roman" w:hAnsi="Times New Roman" w:cs="Times New Roman"/>
          <w:bCs/>
          <w:lang w:eastAsia="ru-RU"/>
        </w:rPr>
      </w:pPr>
      <w:r w:rsidRPr="001E7923">
        <w:rPr>
          <w:rFonts w:ascii="Times New Roman" w:eastAsia="Times New Roman" w:hAnsi="Times New Roman" w:cs="Times New Roman"/>
          <w:bCs/>
          <w:lang w:eastAsia="ru-RU"/>
        </w:rPr>
        <w:t>Литература.</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p>
    <w:p w:rsid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ПЛАН 1.Нарушения обмена кальция и фосфора у взрослых</w:t>
      </w:r>
    </w:p>
    <w:p w:rsidR="00F22105" w:rsidRPr="006D5CC7" w:rsidRDefault="00F22105" w:rsidP="003276B5">
      <w:pPr>
        <w:spacing w:line="276" w:lineRule="auto"/>
        <w:ind w:firstLine="0"/>
        <w:outlineLvl w:val="1"/>
        <w:rPr>
          <w:rFonts w:ascii="Times New Roman" w:eastAsia="Times New Roman" w:hAnsi="Times New Roman" w:cs="Times New Roman"/>
          <w:bCs/>
          <w:lang w:eastAsia="ru-RU"/>
        </w:rPr>
      </w:pPr>
      <w:bookmarkStart w:id="0" w:name="_GoBack"/>
      <w:bookmarkEnd w:id="0"/>
    </w:p>
    <w:p w:rsidR="006D5CC7" w:rsidRPr="006D5CC7" w:rsidRDefault="006D5CC7" w:rsidP="003276B5">
      <w:pPr>
        <w:spacing w:line="276" w:lineRule="auto"/>
        <w:ind w:firstLine="0"/>
        <w:outlineLvl w:val="1"/>
        <w:rPr>
          <w:rFonts w:ascii="Times New Roman" w:eastAsia="Times New Roman" w:hAnsi="Times New Roman" w:cs="Times New Roman"/>
          <w:b/>
          <w:bCs/>
          <w:lang w:eastAsia="ru-RU"/>
        </w:rPr>
      </w:pPr>
      <w:r w:rsidRPr="006D5CC7">
        <w:rPr>
          <w:rFonts w:ascii="Times New Roman" w:eastAsia="Times New Roman" w:hAnsi="Times New Roman" w:cs="Times New Roman"/>
          <w:b/>
          <w:bCs/>
          <w:lang w:eastAsia="ru-RU"/>
        </w:rPr>
        <w:t>Регуляция обмена кальция и фосфора</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Главные регуляторы обмена кальция и фосфора — ПТГ, витамин D и кальцитонин. Мишени этих гормонов — костная ткань, почки и тонкая кишка. В регуляции метаболизма кальция и фосфора участвуют и другие факторы: ПТГ-подобные пептиды, цитокины (интерлейкины-1, -2, -6; трансформирующие факторы роста альфа и бета; факторы некроза опухолей альфа и бета), тромбоцитарный фактор роста, ИФР-I, ИФР-II, а также ИФР- связывающие белки.</w:t>
      </w:r>
    </w:p>
    <w:p w:rsidR="006D5CC7" w:rsidRDefault="006D5CC7" w:rsidP="003276B5">
      <w:pPr>
        <w:spacing w:line="276" w:lineRule="auto"/>
        <w:ind w:firstLine="0"/>
        <w:outlineLvl w:val="1"/>
        <w:rPr>
          <w:rFonts w:ascii="Times New Roman" w:eastAsia="Times New Roman" w:hAnsi="Times New Roman" w:cs="Times New Roman"/>
          <w:b/>
          <w:bCs/>
          <w:lang w:eastAsia="ru-RU"/>
        </w:rPr>
      </w:pPr>
      <w:r w:rsidRPr="006D5CC7">
        <w:rPr>
          <w:rFonts w:ascii="Times New Roman" w:eastAsia="Times New Roman" w:hAnsi="Times New Roman" w:cs="Times New Roman"/>
          <w:b/>
          <w:bCs/>
          <w:lang w:eastAsia="ru-RU"/>
        </w:rPr>
        <w:t>ПТГ</w:t>
      </w:r>
    </w:p>
    <w:p w:rsidR="006D5CC7" w:rsidRPr="006D5CC7" w:rsidRDefault="006D5CC7" w:rsidP="003276B5">
      <w:pPr>
        <w:spacing w:line="276" w:lineRule="auto"/>
        <w:ind w:firstLine="0"/>
        <w:outlineLvl w:val="1"/>
        <w:rPr>
          <w:rFonts w:ascii="Times New Roman" w:eastAsia="Times New Roman" w:hAnsi="Times New Roman" w:cs="Times New Roman"/>
          <w:b/>
          <w:bCs/>
          <w:lang w:eastAsia="ru-RU"/>
        </w:rPr>
      </w:pP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
          <w:bCs/>
          <w:lang w:eastAsia="ru-RU"/>
        </w:rPr>
        <w:t>А. Синтез и структура.</w:t>
      </w:r>
      <w:r w:rsidRPr="006D5CC7">
        <w:rPr>
          <w:rFonts w:ascii="Times New Roman" w:eastAsia="Times New Roman" w:hAnsi="Times New Roman" w:cs="Times New Roman"/>
          <w:bCs/>
          <w:lang w:eastAsia="ru-RU"/>
        </w:rPr>
        <w:t xml:space="preserve"> ПТГ синтезируется в паращитовидных железах в виде предшественника — препроПТГ, содержащего 115 аминокислот. В ходе процессинга препроПТГ превращается в проПТГ (90 аминокислот) и затем в зрелый секретируемый ПТГ. Зрелый ПТГ содержит 84 аминокислоты (ПТГ1—84). В печени, почках, костях и самих паращитовидных железах ПТГ1—84 метаболизируется с образованием C- концевого, N-концевого и срединного фрагментов. Гормональной активностью обладают ПТГ1—84 и N-концевой фрагмент (содержащий, по крайней мере, первые 26 аминокислот). Именно эта часть молекулы ПТГ отвечает за связывание с рецепторами на клетках-мишенях. Роль C-концевого фрагмента точно не установлена. При определении содержания ПТГ в сыворотке нужно учитывать следующее:</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ПТГ1—84 метаболизируется в клетках-мишенях и потому исчезает из сыворотки быстрее, чем C-концевой фрагмент.</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N-концевой фрагмент ПТГ в свободном виде в сыворотке не обнаруживается.</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C-концевой фрагмент фильтруется в почечных клубочках и разрушается в эпителии проксимальных канальцев, поэтому его уровень в сыворотке повышается при почечной недостаточности.</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ПТГ1—84 не фильтруется в почечных клубочках, поэтому его определение особенно информативно при почечной недостаточности.</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lastRenderedPageBreak/>
        <w:t>Ранее для определения содержания ПТГ в сыворотке методом РИА использовали антитела к C-концевому фрагменту ПТГ. При этом нередко получали ложноположительные результаты: высокий уровень C-концевого фрагмента маскировал дефицит ПТГ1—84. В последнее время используют двойной иммунорадиометрический метод, который позволяет точн</w:t>
      </w:r>
      <w:r>
        <w:rPr>
          <w:rFonts w:ascii="Times New Roman" w:eastAsia="Times New Roman" w:hAnsi="Times New Roman" w:cs="Times New Roman"/>
          <w:bCs/>
          <w:lang w:eastAsia="ru-RU"/>
        </w:rPr>
        <w:t>о измерить концентрацию ПТГ1—84</w:t>
      </w:r>
      <w:r w:rsidRPr="006D5CC7">
        <w:rPr>
          <w:rFonts w:ascii="Times New Roman" w:eastAsia="Times New Roman" w:hAnsi="Times New Roman" w:cs="Times New Roman"/>
          <w:bCs/>
          <w:lang w:eastAsia="ru-RU"/>
        </w:rPr>
        <w:t>.</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
          <w:bCs/>
          <w:lang w:eastAsia="ru-RU"/>
        </w:rPr>
        <w:t>Б. Регуляция секреции.</w:t>
      </w:r>
      <w:r w:rsidRPr="006D5CC7">
        <w:rPr>
          <w:rFonts w:ascii="Times New Roman" w:eastAsia="Times New Roman" w:hAnsi="Times New Roman" w:cs="Times New Roman"/>
          <w:bCs/>
          <w:lang w:eastAsia="ru-RU"/>
        </w:rPr>
        <w:t xml:space="preserve"> Скорость секреции ПТГ зависит прежде всего от концентрации Ca2+ (свободного или ионизированного кальция) в сыворотке. На клетках паращитовидных желез имеются рецепторы Ca2+, сопряженные с G-белками. Даже незначительное снижение концентрации кальция быстро стимулирует секрецию ПТГ. На секрецию влияют также изменения концентрации магния в крови и изменения запасов магния в тканях: повышение концентрации Mg2+ подавляет секрецию ПТГ. Транскрипция гена ПТГ и синтез препроПТГ контролируются 1,25(OH)2D3.</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
          <w:bCs/>
          <w:lang w:eastAsia="ru-RU"/>
        </w:rPr>
        <w:t>В. Физиологическая роль.</w:t>
      </w:r>
      <w:r w:rsidRPr="006D5CC7">
        <w:rPr>
          <w:rFonts w:ascii="Times New Roman" w:eastAsia="Times New Roman" w:hAnsi="Times New Roman" w:cs="Times New Roman"/>
          <w:bCs/>
          <w:lang w:eastAsia="ru-RU"/>
        </w:rPr>
        <w:t xml:space="preserve"> Главная функция ПТГ — поддержание постоянства концентрации кальция в крови. ПТГ стимулирует резорбцию костной ткани и тем самым усиливает поступление кальция в кровь. ПТГ снижает экскрецию кальция в почках и усиливает всасывание кальция в тонкой кишке.</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Действие ПТГ на костную ткань. ПТГ — один из главных регуляторов перестройки кости. Рецепторы ПТГ присутствуют на остеобластах и остеоцитах, но отсутствуют на остеокластах. Тем не менее при повышении уровня ПТГ происходит активация остеокластов и усиливается резорбция костной ткани. Этот эффект ПТГ опосредуется остеобластами: под влиянием ПТГ они начинают усиленно секретировать ИФР-I и цитокины (например, интерлейкин-1 и гранулоцитарно- макрофагальный колониестимулирующий фактор). Эти вещества, в свою очередь, активируют остеокласты. Возрастание концентрации кальция в сыворотке наблюдается уже через 30—60 мин после усиления секреции ПТГ. При постоянно повышенном уровне ПТГ (при гиперпаратиреозе) резорбция костной ткани преобладает над ее образованием, что приводит к остеопении. Предполагают, что усиленная резорбция костной ткани при гиперпаратиреозе обусловлена не только секрецией факторов роста и цитокинов, но и ускоренной пролиферацией клеток — предшественников остеокластов (эти клетки несут рецепторы ПТГ). ПТГ стимулирует продукцию компонентов органического матрикса остеобластами. Поэтому при кратковременном периодическом введении ПТГ (в течение нескольких дней) проявляется его анаболический эффект: образование костной ткани преобладает над резорбцией.</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Действие ПТГ на почки. ПТГ стимулирует реабсорбцию кальция в дистальных извитых канальцах и тем самым снижает экскрецию кальция с мочой. ПТГ подавляет канальцевую реабсорбцию фосфата и регулирует канальцевый транспорт бикарбоната и магния. Кроме того, ПТГ стимулирует синтез 1,25(OH)2D3 из 25(OH)D3 в проксимальных извитых канальцах. 1,25(OH)2D3 усиливает всасывание кальция в тонкой кишке.</w:t>
      </w:r>
    </w:p>
    <w:p w:rsid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Действие ПТГ на другие органы. Рецепторы ПТГ обнаружены не только в костной ткани и почках, но и во многих других тканях и органах. Это надо учитывать при оценке эффектов ПТГ.</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p>
    <w:p w:rsidR="006D5CC7" w:rsidRDefault="006D5CC7" w:rsidP="003276B5">
      <w:pPr>
        <w:spacing w:line="276" w:lineRule="auto"/>
        <w:ind w:firstLine="0"/>
        <w:outlineLvl w:val="1"/>
        <w:rPr>
          <w:rFonts w:ascii="Times New Roman" w:eastAsia="Times New Roman" w:hAnsi="Times New Roman" w:cs="Times New Roman"/>
          <w:b/>
          <w:bCs/>
          <w:lang w:eastAsia="ru-RU"/>
        </w:rPr>
      </w:pPr>
      <w:r w:rsidRPr="006D5CC7">
        <w:rPr>
          <w:rFonts w:ascii="Times New Roman" w:eastAsia="Times New Roman" w:hAnsi="Times New Roman" w:cs="Times New Roman"/>
          <w:b/>
          <w:bCs/>
          <w:lang w:eastAsia="ru-RU"/>
        </w:rPr>
        <w:t>Витамин D</w:t>
      </w:r>
    </w:p>
    <w:p w:rsidR="006D5CC7" w:rsidRPr="006D5CC7" w:rsidRDefault="006D5CC7" w:rsidP="003276B5">
      <w:pPr>
        <w:spacing w:line="276" w:lineRule="auto"/>
        <w:ind w:firstLine="0"/>
        <w:outlineLvl w:val="1"/>
        <w:rPr>
          <w:rFonts w:ascii="Times New Roman" w:eastAsia="Times New Roman" w:hAnsi="Times New Roman" w:cs="Times New Roman"/>
          <w:b/>
          <w:bCs/>
          <w:lang w:eastAsia="ru-RU"/>
        </w:rPr>
      </w:pP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Под этим названием объединяют несколько жирорастворимых веществ, в том числе — 1,25(OH)2D3, холекальциферол и эргокальциферол. 1,25(OH)2D3 (1,25- дигидроксивитамин D3, кальцитриол) образуется из холекальциферола (витамина D3) или эргокальциферола (витамина D2). Холекальциферол синтезируется в организме человека и поступает в него с пищей, а эргокальциферол поступает только с пищей.</w:t>
      </w:r>
    </w:p>
    <w:p w:rsidR="006D5CC7" w:rsidRPr="006D5CC7" w:rsidRDefault="006D5CC7" w:rsidP="003276B5">
      <w:pPr>
        <w:spacing w:line="276" w:lineRule="auto"/>
        <w:ind w:firstLine="0"/>
        <w:outlineLvl w:val="1"/>
        <w:rPr>
          <w:rFonts w:ascii="Times New Roman" w:eastAsia="Times New Roman" w:hAnsi="Times New Roman" w:cs="Times New Roman"/>
          <w:b/>
          <w:bCs/>
          <w:lang w:eastAsia="ru-RU"/>
        </w:rPr>
      </w:pPr>
      <w:r w:rsidRPr="006D5CC7">
        <w:rPr>
          <w:rFonts w:ascii="Times New Roman" w:eastAsia="Times New Roman" w:hAnsi="Times New Roman" w:cs="Times New Roman"/>
          <w:b/>
          <w:bCs/>
          <w:lang w:eastAsia="ru-RU"/>
        </w:rPr>
        <w:t>А. Холекальциферол и эргокальциферол</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lastRenderedPageBreak/>
        <w:t>Предшественник холекальциферола — превитамин D3 — синтезируется в эпидермисе из провитамина D3 (7-дегидрохолестерина) под действием ультрафиолетового облучения. Превитамин D3 превращается в холекальциферол путем термической изомеризации (при температуре тела). В эпидермисе холекальциферол связывается с витамин-D-связывающим белком и в таком виде поступает в кровь и переносится в печень. Витамин-D-связывающий белок транспортирует и другие производные холекальциферола и эргокальциферола, в том числе 1,25(OH)2D3. Холекальциферол содержится во многих продуктах. Его особенно много в рыбьем жире, печени млекопитающих, птиц и рыб, а также в яичном желтке.</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Эргокальциферол образуется в клетках растений из эргостерола. Основные источники эргокальциферола — хлеб и молоко. Эргокальциферол, всосавшийся в кишечнике, переносится в печень витамин-D-связывающим белком.</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Холекальциферол и эргокальциферол входят в состав многих витаминных препаратов. Их также добавляют к пищевым продуктам, в частности — к молоку и крупам.</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С диагностическими целями обычно определяют суммарное содержание холекальциферола и эргокальциферола и их производных в сыворотке, но можно измерять концентрации каждого вещества по отдельности. Суммарная концентрация холекальциферола и эргокальциферола в сыворотке обычно составляет 1—2 нг/мл.</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Холекальциферол и эргокальциферол гормонально-неактивны.</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
          <w:bCs/>
          <w:lang w:eastAsia="ru-RU"/>
        </w:rPr>
        <w:t>Б. 25(OH)D3</w:t>
      </w:r>
      <w:r w:rsidRPr="006D5CC7">
        <w:rPr>
          <w:rFonts w:ascii="Times New Roman" w:eastAsia="Times New Roman" w:hAnsi="Times New Roman" w:cs="Times New Roman"/>
          <w:bCs/>
          <w:lang w:eastAsia="ru-RU"/>
        </w:rPr>
        <w:t>. В печени холекальциферол и эргокальциферол превращаются в 25(OH)D3 (25-гидроксивитамин D3, кальцидиол) путем 25-гидроксилирования. 25(OH)D3 — это основной циркулирующий метаболит холекальциферола и эргокальциферола. Поэтому по концентрации 25(OH)D3 можно судить о содержании в организме всех форм витамина D. В норме концентрация 25(OH)D3 в сыворотке составляет 15— 60 нг/мл. Надо учитывать, что уровень 25(OH)D3 максимален летом и минимален зимой и ранней весной. Гормональная активность 25(OH)D3 в 10—100 раз ниже активности 1,25(OH)2D3.</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
          <w:bCs/>
          <w:lang w:eastAsia="ru-RU"/>
        </w:rPr>
        <w:t>В. 1,25(OH)2D3.</w:t>
      </w:r>
      <w:r w:rsidRPr="006D5CC7">
        <w:rPr>
          <w:rFonts w:ascii="Times New Roman" w:eastAsia="Times New Roman" w:hAnsi="Times New Roman" w:cs="Times New Roman"/>
          <w:bCs/>
          <w:lang w:eastAsia="ru-RU"/>
        </w:rPr>
        <w:t xml:space="preserve"> Образовавшийся в печени 25(OH)D3 в комплексе с витамин-D- связывающим белком поступает в кровь и переносится к почкам. В клетках проксимальных извитых канальцев 25(OH)D3 подвергается 1- или 24- гидроксилированию. В результате образуются гормонально-активная форма витамина D — 1,25(OH)2D3 (кальцитриол) либо гормонально-неактивная форма — 24,25(OH)2D3 (24,25-дигидроксивитамин D3). Обе реакции катализируются митохондриальным ферментом 1альфа-гидроксилазой.</w:t>
      </w:r>
    </w:p>
    <w:p w:rsidR="006D5CC7" w:rsidRPr="006D5CC7" w:rsidRDefault="006D5CC7" w:rsidP="003276B5">
      <w:pPr>
        <w:spacing w:line="276" w:lineRule="auto"/>
        <w:ind w:firstLine="708"/>
        <w:outlineLvl w:val="1"/>
        <w:rPr>
          <w:rFonts w:ascii="Times New Roman" w:eastAsia="Times New Roman" w:hAnsi="Times New Roman" w:cs="Times New Roman"/>
          <w:bCs/>
          <w:lang w:eastAsia="ru-RU"/>
        </w:rPr>
      </w:pPr>
      <w:r w:rsidRPr="006D5CC7">
        <w:rPr>
          <w:rFonts w:ascii="Times New Roman" w:eastAsia="Times New Roman" w:hAnsi="Times New Roman" w:cs="Times New Roman"/>
          <w:b/>
          <w:bCs/>
          <w:lang w:eastAsia="ru-RU"/>
        </w:rPr>
        <w:t>Регуляция синтеза.</w:t>
      </w:r>
      <w:r w:rsidRPr="006D5CC7">
        <w:rPr>
          <w:rFonts w:ascii="Times New Roman" w:eastAsia="Times New Roman" w:hAnsi="Times New Roman" w:cs="Times New Roman"/>
          <w:bCs/>
          <w:lang w:eastAsia="ru-RU"/>
        </w:rPr>
        <w:t xml:space="preserve"> Скорость образования 1,25(OH)2D3 зависит от количества и состава пищи и от сывороточной концентрации кальция, фосфата, ПТГ и, возможно, других гормонов — кальцитонина, эстрогенов, СТГ, инсулина. ПТГ непосредственно стимулирует синтез 1,25(OH)2D3, активируя 1альфа- гидроксилазу. Синтез 1,25(OH)2D3 усиливается при снижении внутри- и внеклеточной концентрации кальция и фосфора. Изменения концентрации кальция и фосфора влияют на синтез 1,25(OH)2D3 опосредованно, через ПТГ: при гипокальциемии и гипофосфатемии секреция ПТГ усиливается, при гиперкальциемии и гиперфосфатемии — подавляется.</w:t>
      </w:r>
    </w:p>
    <w:p w:rsidR="006D5CC7" w:rsidRPr="006D5CC7" w:rsidRDefault="006D5CC7" w:rsidP="003276B5">
      <w:pPr>
        <w:spacing w:line="276" w:lineRule="auto"/>
        <w:ind w:firstLine="708"/>
        <w:outlineLvl w:val="1"/>
        <w:rPr>
          <w:rFonts w:ascii="Times New Roman" w:eastAsia="Times New Roman" w:hAnsi="Times New Roman" w:cs="Times New Roman"/>
          <w:bCs/>
          <w:lang w:eastAsia="ru-RU"/>
        </w:rPr>
      </w:pPr>
      <w:r w:rsidRPr="006D5CC7">
        <w:rPr>
          <w:rFonts w:ascii="Times New Roman" w:eastAsia="Times New Roman" w:hAnsi="Times New Roman" w:cs="Times New Roman"/>
          <w:b/>
          <w:bCs/>
          <w:lang w:eastAsia="ru-RU"/>
        </w:rPr>
        <w:t>Физиологическая роль.</w:t>
      </w:r>
      <w:r w:rsidRPr="006D5CC7">
        <w:rPr>
          <w:rFonts w:ascii="Times New Roman" w:eastAsia="Times New Roman" w:hAnsi="Times New Roman" w:cs="Times New Roman"/>
          <w:bCs/>
          <w:lang w:eastAsia="ru-RU"/>
        </w:rPr>
        <w:t xml:space="preserve"> Как и ПТГ, 1,25(OH)2D3 регулирует перестройку костной ткани. 1,25(OH)2D3 — это главный стимулятор всасывания кальция в кишечнике. Благодаря действию 1,25(OH)2D3 концентрация Ca2+ во внеклеточной жидкости поддерживается на уровне, необходимом для минерализации органического матрикса костной ткани. При дефиците 1,25(OH)2D3 нарушается образование аморфного фосфата кальция и кристаллов гидроксиапатита в органическом матриксе, что </w:t>
      </w:r>
      <w:r w:rsidRPr="006D5CC7">
        <w:rPr>
          <w:rFonts w:ascii="Times New Roman" w:eastAsia="Times New Roman" w:hAnsi="Times New Roman" w:cs="Times New Roman"/>
          <w:bCs/>
          <w:lang w:eastAsia="ru-RU"/>
        </w:rPr>
        <w:lastRenderedPageBreak/>
        <w:t>приводит к рахиту или остеомаляции. Недавно было установлено, что 1,25(OH)2D3 усиливает резорбцию костной ткани. В опытах на культурах клеток паращитовидных желез показали, что 1,25(OH)2D3 подавляет секрецию ПТГ.</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ab/>
        <w:t xml:space="preserve">Роль 24,25(OH)2D3 окончательно не выяснена. Считается, что образование 24,25(OH)2D3 — это главный способ катаболизма и экскреции производных витамина D, поскольку 24,25(OH)2D3 превращается в водорастворимую кальцитроевую кислоту. </w:t>
      </w:r>
      <w:proofErr w:type="gramStart"/>
      <w:r w:rsidRPr="006D5CC7">
        <w:rPr>
          <w:rFonts w:ascii="Times New Roman" w:eastAsia="Times New Roman" w:hAnsi="Times New Roman" w:cs="Times New Roman"/>
          <w:bCs/>
          <w:lang w:eastAsia="ru-RU"/>
        </w:rPr>
        <w:t>Вероятно</w:t>
      </w:r>
      <w:proofErr w:type="gramEnd"/>
      <w:r w:rsidRPr="006D5CC7">
        <w:rPr>
          <w:rFonts w:ascii="Times New Roman" w:eastAsia="Times New Roman" w:hAnsi="Times New Roman" w:cs="Times New Roman"/>
          <w:bCs/>
          <w:lang w:eastAsia="ru-RU"/>
        </w:rPr>
        <w:t xml:space="preserve"> также, что при нарушении синтеза 1,25(OH)2D3 (т. е. при нарушении 1-гидроксилирования) происходит «переключение» метаболизма 25(OH)D3: он превращается преимущественно в 24,25(OH)2D3, а не в 1,25(OH)2D3. Кроме того, показано, что 24,25(OH)2D3 участвует в перестройке кости.</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Г. Рецепторы 1,25(OH)2D3, 25(OH)D3 и 24,25(OH)2D3 обнаружены не только в тонкой кишке и костях, но и в почках, поджелудочной железе, скелетных мышцах, гладких мышцах сосудов, клетках костного мозга, лимфоцитах. По-видимому, роль метаболитов витамина D не ограничивается регуляцией уровня кальция во внеклеточной жидкости.</w:t>
      </w:r>
    </w:p>
    <w:p w:rsidR="006D5CC7" w:rsidRPr="006D5CC7" w:rsidRDefault="006D5CC7" w:rsidP="003276B5">
      <w:pPr>
        <w:spacing w:line="276" w:lineRule="auto"/>
        <w:ind w:firstLine="708"/>
        <w:outlineLvl w:val="1"/>
        <w:rPr>
          <w:rFonts w:ascii="Times New Roman" w:eastAsia="Times New Roman" w:hAnsi="Times New Roman" w:cs="Times New Roman"/>
          <w:b/>
          <w:bCs/>
          <w:lang w:eastAsia="ru-RU"/>
        </w:rPr>
      </w:pPr>
      <w:r w:rsidRPr="006D5CC7">
        <w:rPr>
          <w:rFonts w:ascii="Times New Roman" w:eastAsia="Times New Roman" w:hAnsi="Times New Roman" w:cs="Times New Roman"/>
          <w:b/>
          <w:bCs/>
          <w:lang w:eastAsia="ru-RU"/>
        </w:rPr>
        <w:t>Кальцитонин</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А. Синтез и секреция. Этот пептид, состоящий из 32 аминокислот, синтезируется в парафолликулярных C-клетках щитовидной железы. Секреция кальцитонина усиливается при повышении концентрации кальция в крови и регулируется гастроэнтеропанкреатическими гормонами, в частности гастрином.</w:t>
      </w:r>
    </w:p>
    <w:p w:rsidR="006D5CC7" w:rsidRPr="006D5CC7" w:rsidRDefault="006D5CC7" w:rsidP="003276B5">
      <w:pPr>
        <w:spacing w:line="276" w:lineRule="auto"/>
        <w:ind w:left="708" w:firstLine="0"/>
        <w:outlineLvl w:val="1"/>
        <w:rPr>
          <w:rFonts w:ascii="Times New Roman" w:eastAsia="Times New Roman" w:hAnsi="Times New Roman" w:cs="Times New Roman"/>
          <w:b/>
          <w:bCs/>
          <w:lang w:eastAsia="ru-RU"/>
        </w:rPr>
      </w:pPr>
      <w:r w:rsidRPr="006D5CC7">
        <w:rPr>
          <w:rFonts w:ascii="Times New Roman" w:eastAsia="Times New Roman" w:hAnsi="Times New Roman" w:cs="Times New Roman"/>
          <w:b/>
          <w:bCs/>
          <w:lang w:eastAsia="ru-RU"/>
        </w:rPr>
        <w:t>Б. Физиологическая роль</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Кальцитонин — антагонист ПТГ. Кальцитонин тормозит резорбцию костной ткани, снижая активность остеокластов. Кроме того, кальцитонин стимулирует остеобласты, способствуя образованию костной ткани.</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Кальцитонин подавляет канальцевую реабсорбцию кальция в почках и тем самым усиливает его экскрецию.</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Кальцитонин тормозит всасывание кальция в тонкой кишке. Это свойство кальцитонина используется для лечения тяжелой гиперкальциемии и гиперкальциемических кризов.</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Скорость секреции кальцитонина у женщин сильно зависит от уровня эстрогенов. При дефиците эстрогенов, обусловленном менопаузой или заболеванием яичников, секреция кальцитонина снижается, что способствует ускоренной резорбции костной ткани и приводит к остеопорозу.</w:t>
      </w:r>
    </w:p>
    <w:p w:rsidR="006D5CC7" w:rsidRPr="006D5CC7" w:rsidRDefault="006D5CC7" w:rsidP="003276B5">
      <w:pPr>
        <w:spacing w:line="276" w:lineRule="auto"/>
        <w:ind w:firstLine="708"/>
        <w:outlineLvl w:val="1"/>
        <w:rPr>
          <w:rFonts w:ascii="Times New Roman" w:eastAsia="Times New Roman" w:hAnsi="Times New Roman" w:cs="Times New Roman"/>
          <w:bCs/>
          <w:lang w:eastAsia="ru-RU"/>
        </w:rPr>
      </w:pPr>
      <w:r w:rsidRPr="006D5CC7">
        <w:rPr>
          <w:rFonts w:ascii="Times New Roman" w:eastAsia="Times New Roman" w:hAnsi="Times New Roman" w:cs="Times New Roman"/>
          <w:b/>
          <w:bCs/>
          <w:lang w:eastAsia="ru-RU"/>
        </w:rPr>
        <w:t>В. Диагностическое значение.</w:t>
      </w:r>
      <w:r w:rsidRPr="006D5CC7">
        <w:rPr>
          <w:rFonts w:ascii="Times New Roman" w:eastAsia="Times New Roman" w:hAnsi="Times New Roman" w:cs="Times New Roman"/>
          <w:bCs/>
          <w:lang w:eastAsia="ru-RU"/>
        </w:rPr>
        <w:t xml:space="preserve"> Уровень кальцитонина резко повышается при медуллярном раке щитовидной железы. Для оценки скорости роста опухоли и метастазов определяют базальный и стимулированный пентагастрином и кальцием уровень кальцитонина. Уровень кальцитонина возрастает и при раке легкого, толстой кишки, молочной железы, поджелудочной железы и желудка. Почечная недостаточность или желудочно-кишечное кровотечение также могут сопровождаться повышением уровня кальцитонина.</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ПТГ-подобные пептиды</w:t>
      </w:r>
    </w:p>
    <w:p w:rsidR="006D5CC7" w:rsidRPr="006D5CC7" w:rsidRDefault="006D5CC7" w:rsidP="003276B5">
      <w:pPr>
        <w:spacing w:line="276" w:lineRule="auto"/>
        <w:ind w:firstLine="708"/>
        <w:outlineLvl w:val="1"/>
        <w:rPr>
          <w:rFonts w:ascii="Times New Roman" w:eastAsia="Times New Roman" w:hAnsi="Times New Roman" w:cs="Times New Roman"/>
          <w:bCs/>
          <w:lang w:eastAsia="ru-RU"/>
        </w:rPr>
      </w:pPr>
      <w:r w:rsidRPr="006D5CC7">
        <w:rPr>
          <w:rFonts w:ascii="Times New Roman" w:eastAsia="Times New Roman" w:hAnsi="Times New Roman" w:cs="Times New Roman"/>
          <w:b/>
          <w:bCs/>
          <w:lang w:eastAsia="ru-RU"/>
        </w:rPr>
        <w:t>А. Структура.</w:t>
      </w:r>
      <w:r w:rsidRPr="006D5CC7">
        <w:rPr>
          <w:rFonts w:ascii="Times New Roman" w:eastAsia="Times New Roman" w:hAnsi="Times New Roman" w:cs="Times New Roman"/>
          <w:bCs/>
          <w:lang w:eastAsia="ru-RU"/>
        </w:rPr>
        <w:t xml:space="preserve"> Эти пептиды, в отличие от ПТГ, содержат не менее 130 аминокислот. Разные ПТГ-подобные пептиды образуются путем альтернативного сплайсинга. Их N- концевые фрагменты (первые 30 аминокислот) идентичны N-концевому фрагменту ПТГ. Ген, кодирующий ПТГ-подобные пептиды, находится на 12-й хромосоме, тогда как ген ПТГ — на 11-й хромосоме. Полагают, что эти гены имеют общее происхождение. Сходство гормональной активности ПТГ и ПТГ-подобных пептидов объясняют идентичностью их N-концевых фрагментов. Различия ПТГ и ПТГ-подобных пептидов обусловлены, по-видимому, размерами C-концевых фрагментов: у ПТГ- подобных пептидов они значительно больше, чем </w:t>
      </w:r>
      <w:r w:rsidRPr="006D5CC7">
        <w:rPr>
          <w:rFonts w:ascii="Times New Roman" w:eastAsia="Times New Roman" w:hAnsi="Times New Roman" w:cs="Times New Roman"/>
          <w:bCs/>
          <w:lang w:eastAsia="ru-RU"/>
        </w:rPr>
        <w:lastRenderedPageBreak/>
        <w:t>у ПТГ. Специфические рецепторы ПТГ-подобных пептидов не обнаружены; они связываются с рецепторами ПТГ.</w:t>
      </w:r>
    </w:p>
    <w:p w:rsidR="006D5CC7" w:rsidRPr="006D5CC7" w:rsidRDefault="006D5CC7" w:rsidP="003276B5">
      <w:pPr>
        <w:spacing w:line="276" w:lineRule="auto"/>
        <w:ind w:firstLine="708"/>
        <w:outlineLvl w:val="1"/>
        <w:rPr>
          <w:rFonts w:ascii="Times New Roman" w:eastAsia="Times New Roman" w:hAnsi="Times New Roman" w:cs="Times New Roman"/>
          <w:b/>
          <w:bCs/>
          <w:lang w:eastAsia="ru-RU"/>
        </w:rPr>
      </w:pPr>
      <w:r w:rsidRPr="006D5CC7">
        <w:rPr>
          <w:rFonts w:ascii="Times New Roman" w:eastAsia="Times New Roman" w:hAnsi="Times New Roman" w:cs="Times New Roman"/>
          <w:b/>
          <w:bCs/>
          <w:lang w:eastAsia="ru-RU"/>
        </w:rPr>
        <w:t>Б. Физиологическая роль</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Роль ПТГ-подобных пептидов в минеральном обмене до конца не выяснена. Поскольку ПТГ-подобные пептиды в большом количестве содержатся в грудном молоке, считают, что они участвуют в метаболизме кальция и фосфора в молочных железах.</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 xml:space="preserve">ПТГ-подобные пептиды регулируют минеральный обмен в плаценте и у плода. Недавно показали, что уровень ПТГ-подобных пептидов в сыворотке значительно </w:t>
      </w:r>
      <w:proofErr w:type="gramStart"/>
      <w:r w:rsidRPr="006D5CC7">
        <w:rPr>
          <w:rFonts w:ascii="Times New Roman" w:eastAsia="Times New Roman" w:hAnsi="Times New Roman" w:cs="Times New Roman"/>
          <w:bCs/>
          <w:lang w:eastAsia="ru-RU"/>
        </w:rPr>
        <w:t>повышен  при</w:t>
      </w:r>
      <w:proofErr w:type="gramEnd"/>
      <w:r w:rsidRPr="006D5CC7">
        <w:rPr>
          <w:rFonts w:ascii="Times New Roman" w:eastAsia="Times New Roman" w:hAnsi="Times New Roman" w:cs="Times New Roman"/>
          <w:bCs/>
          <w:lang w:eastAsia="ru-RU"/>
        </w:rPr>
        <w:t xml:space="preserve">  синдроме  Вильямса  (идиопатической  гиперкальциемии</w:t>
      </w:r>
      <w:r>
        <w:rPr>
          <w:rFonts w:ascii="Times New Roman" w:eastAsia="Times New Roman" w:hAnsi="Times New Roman" w:cs="Times New Roman"/>
          <w:bCs/>
          <w:lang w:eastAsia="ru-RU"/>
        </w:rPr>
        <w:t xml:space="preserve"> </w:t>
      </w:r>
      <w:r w:rsidRPr="006D5CC7">
        <w:rPr>
          <w:rFonts w:ascii="Times New Roman" w:eastAsia="Times New Roman" w:hAnsi="Times New Roman" w:cs="Times New Roman"/>
          <w:bCs/>
          <w:lang w:eastAsia="ru-RU"/>
        </w:rPr>
        <w:t>новорожденных). Предполагают, что ПТГ-подобные пептиды участвуют в патогенезе этого синдрома.</w:t>
      </w:r>
      <w:r>
        <w:rPr>
          <w:rFonts w:ascii="Times New Roman" w:eastAsia="Times New Roman" w:hAnsi="Times New Roman" w:cs="Times New Roman"/>
          <w:bCs/>
          <w:lang w:eastAsia="ru-RU"/>
        </w:rPr>
        <w:t xml:space="preserve"> </w:t>
      </w:r>
      <w:r w:rsidRPr="006D5CC7">
        <w:rPr>
          <w:rFonts w:ascii="Times New Roman" w:eastAsia="Times New Roman" w:hAnsi="Times New Roman" w:cs="Times New Roman"/>
          <w:bCs/>
          <w:lang w:eastAsia="ru-RU"/>
        </w:rPr>
        <w:t>ПТГ-подобные пептиды обнаружены во многих тканях. Высокая концентрация ПТГ- подобных пептидов в различных гладкомышечных клетках свидетельствует об их участии в регуляции мышечного сокращения.ПТГ-</w:t>
      </w:r>
      <w:proofErr w:type="gramStart"/>
      <w:r w:rsidRPr="006D5CC7">
        <w:rPr>
          <w:rFonts w:ascii="Times New Roman" w:eastAsia="Times New Roman" w:hAnsi="Times New Roman" w:cs="Times New Roman"/>
          <w:bCs/>
          <w:lang w:eastAsia="ru-RU"/>
        </w:rPr>
        <w:t>подобные  пептиды</w:t>
      </w:r>
      <w:proofErr w:type="gramEnd"/>
      <w:r w:rsidRPr="006D5CC7">
        <w:rPr>
          <w:rFonts w:ascii="Times New Roman" w:eastAsia="Times New Roman" w:hAnsi="Times New Roman" w:cs="Times New Roman"/>
          <w:bCs/>
          <w:lang w:eastAsia="ru-RU"/>
        </w:rPr>
        <w:t xml:space="preserve">  выявляются  в  сыворотке  у  60—80% больных  с</w:t>
      </w:r>
      <w:r>
        <w:rPr>
          <w:rFonts w:ascii="Times New Roman" w:eastAsia="Times New Roman" w:hAnsi="Times New Roman" w:cs="Times New Roman"/>
          <w:bCs/>
          <w:lang w:eastAsia="ru-RU"/>
        </w:rPr>
        <w:t xml:space="preserve"> </w:t>
      </w:r>
      <w:r w:rsidRPr="006D5CC7">
        <w:rPr>
          <w:rFonts w:ascii="Times New Roman" w:eastAsia="Times New Roman" w:hAnsi="Times New Roman" w:cs="Times New Roman"/>
          <w:bCs/>
          <w:lang w:eastAsia="ru-RU"/>
        </w:rPr>
        <w:t xml:space="preserve">паранеопластической гиперкальциемией </w:t>
      </w:r>
    </w:p>
    <w:p w:rsidR="006D5CC7" w:rsidRDefault="006D5CC7" w:rsidP="003276B5">
      <w:pPr>
        <w:spacing w:line="276" w:lineRule="auto"/>
        <w:ind w:firstLine="708"/>
        <w:outlineLvl w:val="1"/>
        <w:rPr>
          <w:rFonts w:ascii="Times New Roman" w:eastAsia="Times New Roman" w:hAnsi="Times New Roman" w:cs="Times New Roman"/>
          <w:b/>
          <w:bCs/>
          <w:lang w:eastAsia="ru-RU"/>
        </w:rPr>
      </w:pPr>
    </w:p>
    <w:p w:rsidR="006D5CC7" w:rsidRPr="001E7923" w:rsidRDefault="006D5CC7" w:rsidP="003276B5">
      <w:pPr>
        <w:spacing w:line="276" w:lineRule="auto"/>
        <w:ind w:firstLine="708"/>
        <w:outlineLvl w:val="1"/>
        <w:rPr>
          <w:rFonts w:ascii="Times New Roman" w:eastAsia="Times New Roman" w:hAnsi="Times New Roman" w:cs="Times New Roman"/>
          <w:bCs/>
          <w:sz w:val="24"/>
          <w:lang w:eastAsia="ru-RU"/>
        </w:rPr>
      </w:pPr>
      <w:r w:rsidRPr="001E7923">
        <w:rPr>
          <w:rFonts w:ascii="Times New Roman" w:eastAsia="Times New Roman" w:hAnsi="Times New Roman" w:cs="Times New Roman"/>
          <w:bCs/>
          <w:sz w:val="24"/>
          <w:lang w:eastAsia="ru-RU"/>
        </w:rPr>
        <w:t>ПЛАН 2.</w:t>
      </w:r>
      <w:r w:rsidR="001E7923" w:rsidRPr="001E7923">
        <w:rPr>
          <w:rFonts w:ascii="Times New Roman" w:eastAsia="Times New Roman" w:hAnsi="Times New Roman" w:cs="Times New Roman"/>
          <w:bCs/>
          <w:sz w:val="24"/>
          <w:lang w:eastAsia="ru-RU"/>
        </w:rPr>
        <w:t xml:space="preserve"> </w:t>
      </w:r>
      <w:r w:rsidRPr="001E7923">
        <w:rPr>
          <w:rFonts w:ascii="Times New Roman" w:eastAsia="Times New Roman" w:hAnsi="Times New Roman" w:cs="Times New Roman"/>
          <w:bCs/>
          <w:sz w:val="24"/>
          <w:lang w:eastAsia="ru-RU"/>
        </w:rPr>
        <w:t>ГИПЕРКАЛЬЦИЕМИЯ</w:t>
      </w:r>
    </w:p>
    <w:p w:rsidR="006D5CC7" w:rsidRPr="006D5CC7" w:rsidRDefault="006D5CC7" w:rsidP="003276B5">
      <w:pPr>
        <w:spacing w:line="276" w:lineRule="auto"/>
        <w:ind w:firstLine="708"/>
        <w:outlineLvl w:val="1"/>
        <w:rPr>
          <w:rFonts w:ascii="Times New Roman" w:eastAsia="Times New Roman" w:hAnsi="Times New Roman" w:cs="Times New Roman"/>
          <w:b/>
          <w:bCs/>
          <w:lang w:eastAsia="ru-RU"/>
        </w:rPr>
      </w:pPr>
    </w:p>
    <w:p w:rsidR="006D5CC7" w:rsidRDefault="006D5CC7" w:rsidP="003276B5">
      <w:pPr>
        <w:spacing w:line="276" w:lineRule="auto"/>
        <w:ind w:firstLine="0"/>
        <w:outlineLvl w:val="1"/>
        <w:rPr>
          <w:rFonts w:ascii="Times New Roman" w:eastAsia="Times New Roman" w:hAnsi="Times New Roman" w:cs="Times New Roman"/>
          <w:b/>
          <w:bCs/>
          <w:lang w:eastAsia="ru-RU"/>
        </w:rPr>
      </w:pPr>
      <w:r w:rsidRPr="006D5CC7">
        <w:rPr>
          <w:rFonts w:ascii="Times New Roman" w:eastAsia="Times New Roman" w:hAnsi="Times New Roman" w:cs="Times New Roman"/>
          <w:b/>
          <w:bCs/>
          <w:lang w:eastAsia="ru-RU"/>
        </w:rPr>
        <w:t>Общие сведения</w:t>
      </w:r>
    </w:p>
    <w:p w:rsidR="006D5CC7" w:rsidRPr="006D5CC7" w:rsidRDefault="006D5CC7" w:rsidP="003276B5">
      <w:pPr>
        <w:spacing w:line="276" w:lineRule="auto"/>
        <w:ind w:firstLine="0"/>
        <w:outlineLvl w:val="1"/>
        <w:rPr>
          <w:rFonts w:ascii="Times New Roman" w:eastAsia="Times New Roman" w:hAnsi="Times New Roman" w:cs="Times New Roman"/>
          <w:b/>
          <w:bCs/>
          <w:lang w:eastAsia="ru-RU"/>
        </w:rPr>
      </w:pP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А. Причины гиперкальциемии многообразны, но тщательно собранный анамнез и несколько простых лабораторных проб позволяют значительно сократить список возможных причин. Чаще всего гиперкальциемия обусловлена гиперпаратиреозом, злокачественными новообразованиями, гранулематозами, лекарственными средствами. Разумно классифицировать причины гиперкальциемии в соответствии с механизмами ее патогенеза:</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Усиленное вымывание кальция из костной ткани.</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Усиленное всасывание кальция в кишечнике.</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Пониженная экскреция кальция в почках.</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Пониженное поглощение кальция костной тканью.</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Сочетание перечисленных причин.</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В некоторых случаях причину гиперкальциемии установить не удается.</w:t>
      </w:r>
    </w:p>
    <w:p w:rsidR="006D5CC7" w:rsidRPr="006D5CC7" w:rsidRDefault="006D5CC7" w:rsidP="003276B5">
      <w:pPr>
        <w:spacing w:line="276" w:lineRule="auto"/>
        <w:ind w:firstLine="708"/>
        <w:outlineLvl w:val="1"/>
        <w:rPr>
          <w:rFonts w:ascii="Times New Roman" w:eastAsia="Times New Roman" w:hAnsi="Times New Roman" w:cs="Times New Roman"/>
          <w:bCs/>
          <w:lang w:eastAsia="ru-RU"/>
        </w:rPr>
      </w:pPr>
      <w:r w:rsidRPr="006D5CC7">
        <w:rPr>
          <w:rFonts w:ascii="Times New Roman" w:eastAsia="Times New Roman" w:hAnsi="Times New Roman" w:cs="Times New Roman"/>
          <w:b/>
          <w:bCs/>
          <w:lang w:eastAsia="ru-RU"/>
        </w:rPr>
        <w:t>Б. Клинические проявления</w:t>
      </w:r>
      <w:r w:rsidRPr="006D5CC7">
        <w:rPr>
          <w:rFonts w:ascii="Times New Roman" w:eastAsia="Times New Roman" w:hAnsi="Times New Roman" w:cs="Times New Roman"/>
          <w:bCs/>
          <w:lang w:eastAsia="ru-RU"/>
        </w:rPr>
        <w:t xml:space="preserve"> гиперкальциемии зависят от ее причины, тяжести, длительности и скорости развития, а также от возраста больного и сопутствующих заболеваний. Молодые легко переносят значительную гиперкальциемию, если она развивается постепенно, и очень тяжело переносят легкую или умеренную гиперкальциемию, если она возникает остро. Пожилые чувствительны даже к легкой гиперкальциемии. Клиническая картина при гиперкальциемии определяется поражениями ЦНС, сердечно-сосудистой системы, почек и ЖКТ.</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 xml:space="preserve">ЦНС: слабость, отсутствие аппетита, тошнота, рвота; нарушения общего состояния от вялости, депрессии и оглушенности до сопора и комы. Могут нарушаться когнитивные функции, особенно у пожилых больных. При уровне общего кальция в </w:t>
      </w:r>
      <w:proofErr w:type="gramStart"/>
      <w:r w:rsidRPr="006D5CC7">
        <w:rPr>
          <w:rFonts w:ascii="Times New Roman" w:eastAsia="Times New Roman" w:hAnsi="Times New Roman" w:cs="Times New Roman"/>
          <w:bCs/>
          <w:lang w:eastAsia="ru-RU"/>
        </w:rPr>
        <w:t>сыворотке &gt;</w:t>
      </w:r>
      <w:proofErr w:type="gramEnd"/>
      <w:r w:rsidRPr="006D5CC7">
        <w:rPr>
          <w:rFonts w:ascii="Times New Roman" w:eastAsia="Times New Roman" w:hAnsi="Times New Roman" w:cs="Times New Roman"/>
          <w:bCs/>
          <w:lang w:eastAsia="ru-RU"/>
        </w:rPr>
        <w:t xml:space="preserve"> 3,5—3,75 ммоль/л нередко отмечается возбуждение, вплоть до психоза.</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Сердечно-сосудистая система: артериальная гипертония, аритмии, укорочение интервала QT, повышенная чувствительность к сердечным гликозидам. При снижении ОЦК может развиться артериальная гипотония.</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lastRenderedPageBreak/>
        <w:tab/>
        <w:t>Почки: снижение СКФ и концентрационной способности, полиурия, жажда, нефрокальциноз и мочекаменная болезнь. В зависимости от причины гиперкальциемии экскреция кальция может колебаться от низкой до значительно повышенной.</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ab/>
        <w:t>ЖКТ: язвенная болезнь, желудочно-пищеводный рефлюкс, острый панкреатит, запоры.</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Первичный</w:t>
      </w:r>
      <w:r w:rsidRPr="006D5CC7">
        <w:rPr>
          <w:rFonts w:ascii="Times New Roman" w:eastAsia="Times New Roman" w:hAnsi="Times New Roman" w:cs="Times New Roman"/>
          <w:bCs/>
          <w:lang w:eastAsia="ru-RU"/>
        </w:rPr>
        <w:tab/>
        <w:t>гиперпаратиреоз.</w:t>
      </w:r>
      <w:r w:rsidRPr="006D5CC7">
        <w:rPr>
          <w:rFonts w:ascii="Times New Roman" w:eastAsia="Times New Roman" w:hAnsi="Times New Roman" w:cs="Times New Roman"/>
          <w:bCs/>
          <w:lang w:eastAsia="ru-RU"/>
        </w:rPr>
        <w:tab/>
        <w:t>Это</w:t>
      </w:r>
      <w:r w:rsidRPr="006D5CC7">
        <w:rPr>
          <w:rFonts w:ascii="Times New Roman" w:eastAsia="Times New Roman" w:hAnsi="Times New Roman" w:cs="Times New Roman"/>
          <w:bCs/>
          <w:lang w:eastAsia="ru-RU"/>
        </w:rPr>
        <w:tab/>
        <w:t>самая</w:t>
      </w:r>
      <w:r w:rsidRPr="006D5CC7">
        <w:rPr>
          <w:rFonts w:ascii="Times New Roman" w:eastAsia="Times New Roman" w:hAnsi="Times New Roman" w:cs="Times New Roman"/>
          <w:bCs/>
          <w:lang w:eastAsia="ru-RU"/>
        </w:rPr>
        <w:tab/>
        <w:t>частая</w:t>
      </w:r>
      <w:r w:rsidRPr="006D5CC7">
        <w:rPr>
          <w:rFonts w:ascii="Times New Roman" w:eastAsia="Times New Roman" w:hAnsi="Times New Roman" w:cs="Times New Roman"/>
          <w:bCs/>
          <w:lang w:eastAsia="ru-RU"/>
        </w:rPr>
        <w:tab/>
        <w:t>причина</w:t>
      </w:r>
      <w:r w:rsidRPr="006D5CC7">
        <w:rPr>
          <w:rFonts w:ascii="Times New Roman" w:eastAsia="Times New Roman" w:hAnsi="Times New Roman" w:cs="Times New Roman"/>
          <w:bCs/>
          <w:lang w:eastAsia="ru-RU"/>
        </w:rPr>
        <w:tab/>
        <w:t>гиперкальциемии. Распространенность первичного гиперпаратиреоза составляет 0,05—0,1%; у женщин он встречается в 4 раза чаще, чем у мужчин. Пик заболеваемости приходится на 60—70 лет. А. Этиология</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Аденомы паращитовидных желез, одиночные или множественные, обнаруживаются у 80—85% больных.</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 xml:space="preserve"> </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Гиперплазия паращитовидных желез обнаруживается у 15—20% больных.</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Рак паращитовидных желез встречается менее чем в 1% случаев.</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 xml:space="preserve">Гиперпаратиреоз, обусловленный гиперплазией или новообразованиями паращитовидных желез, </w:t>
      </w:r>
      <w:proofErr w:type="gramStart"/>
      <w:r w:rsidRPr="006D5CC7">
        <w:rPr>
          <w:rFonts w:ascii="Times New Roman" w:eastAsia="Times New Roman" w:hAnsi="Times New Roman" w:cs="Times New Roman"/>
          <w:bCs/>
          <w:lang w:eastAsia="ru-RU"/>
        </w:rPr>
        <w:t>может быть</w:t>
      </w:r>
      <w:proofErr w:type="gramEnd"/>
      <w:r w:rsidRPr="006D5CC7">
        <w:rPr>
          <w:rFonts w:ascii="Times New Roman" w:eastAsia="Times New Roman" w:hAnsi="Times New Roman" w:cs="Times New Roman"/>
          <w:bCs/>
          <w:lang w:eastAsia="ru-RU"/>
        </w:rPr>
        <w:t xml:space="preserve"> как спорадическим, так и семейным (с аутосомно- доминантным наследованием). Наследственный первичный гиперпаратиреоз — один из компонентов синдромов МЭН. Он имеется у 90% больных МЭН типа I и у 50% больных МЭН типа IIa (см. гл. 45, п. II). В обоих случаях гиперпаратиреоз обычно обусловлен гиперплазией всех паращитовидных желез, реже — аденомами. Обычно гиперпаратиреоз бывает первым проявлением МЭН типа I.</w:t>
      </w:r>
    </w:p>
    <w:p w:rsidR="006D5CC7" w:rsidRPr="006D5CC7" w:rsidRDefault="006D5CC7" w:rsidP="003276B5">
      <w:pPr>
        <w:spacing w:line="276" w:lineRule="auto"/>
        <w:ind w:firstLine="708"/>
        <w:outlineLvl w:val="1"/>
        <w:rPr>
          <w:rFonts w:ascii="Times New Roman" w:eastAsia="Times New Roman" w:hAnsi="Times New Roman" w:cs="Times New Roman"/>
          <w:bCs/>
          <w:lang w:eastAsia="ru-RU"/>
        </w:rPr>
      </w:pPr>
      <w:r w:rsidRPr="006D5CC7">
        <w:rPr>
          <w:rFonts w:ascii="Times New Roman" w:eastAsia="Times New Roman" w:hAnsi="Times New Roman" w:cs="Times New Roman"/>
          <w:b/>
          <w:bCs/>
          <w:lang w:eastAsia="ru-RU"/>
        </w:rPr>
        <w:t>Б. Патогенез.</w:t>
      </w:r>
      <w:r w:rsidRPr="006D5CC7">
        <w:rPr>
          <w:rFonts w:ascii="Times New Roman" w:eastAsia="Times New Roman" w:hAnsi="Times New Roman" w:cs="Times New Roman"/>
          <w:bCs/>
          <w:lang w:eastAsia="ru-RU"/>
        </w:rPr>
        <w:t xml:space="preserve"> При первичном гиперпаратиреозе нарушен механизм подавления секреции ПТГ в ответ на гиперкальциемию. Порог чувствительности гиперпластических или опухолевых клеток к кальцию значительно повышен по сравнению с нормой либо вообще отсутствует. В результате эти клетки секретируют избыточные количества ПТГ. Избыток ПТГ ускоряет резорбцию костной ткани и усиливает вымывание кальция из костей, что приводит к гиперкальциемии. Под влиянием избытка ПТГ снижается порог реабсорбции фосфата в почках; в результате возникают фосфатурия и гипофосфатемия. Канальцевая реабсорбция кальция усиливается, но этот эффект ПТГ нивелируется повышенной клубочковой фильтрацией кальция вследствие гиперкальциемии, поэтому экскреция кальция с мочой увеличивается. Избыток ПТГ и гипофосфатемия стимулируют синтез 1,25(OH)2D3 в почечных канальцах. Под влиянием 1,25(OH)2D3 усиливается всасывание кальция в кишечнике, что еще больше усиливает гиперкальциемию. Гиперкальциурия и усиленное всасывание кальция в кишечнике отмечаются соответственно у 40 и 60% больных первичным гиперпаратиреозом.</w:t>
      </w:r>
    </w:p>
    <w:p w:rsidR="006D5CC7" w:rsidRPr="006D5CC7" w:rsidRDefault="006D5CC7" w:rsidP="003276B5">
      <w:pPr>
        <w:spacing w:line="276" w:lineRule="auto"/>
        <w:ind w:firstLine="708"/>
        <w:outlineLvl w:val="1"/>
        <w:rPr>
          <w:rFonts w:ascii="Times New Roman" w:eastAsia="Times New Roman" w:hAnsi="Times New Roman" w:cs="Times New Roman"/>
          <w:b/>
          <w:bCs/>
          <w:lang w:eastAsia="ru-RU"/>
        </w:rPr>
      </w:pPr>
      <w:r w:rsidRPr="006D5CC7">
        <w:rPr>
          <w:rFonts w:ascii="Times New Roman" w:eastAsia="Times New Roman" w:hAnsi="Times New Roman" w:cs="Times New Roman"/>
          <w:b/>
          <w:bCs/>
          <w:lang w:eastAsia="ru-RU"/>
        </w:rPr>
        <w:t>В. Клиническая картина</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ab/>
        <w:t>Примерно в 50% случаев болезнь протекает бессимптомно, и только случайно обнаруженная гиперкальциемия позволяет заподозрить гиперпаратиреоз. При обследовании у большинства больных с гиперкальциемией выявляют клинические признаки первичного гиперпаратиреоза. У молодых больных клиническая картина обычно не соответствует тяжести гиперкальциемии.</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Тяжелые поражения костей (фиброзно-кистозный остит, замещение кроветворной ткани костного мозга соединительной тканью) 20—40 лет назад обнаруживались у 10—25% больных первичным гиперпаратиреозом и считались патогномоничным признаком этого заболевания. В последнее время эти поражения встречаются гораздо реже, обычно у больных с почечной недостаточностью.</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Для подтверждения диагноза показана биопсия костной ткани. У большинства больных независимо от тяжести заболевания имеются характерные гистологические признаки первичного гиперпаратиреоза: истончение компактного вещества трубчатых костей, кисты и так называемые бурые опухоли (очаги замещения костной ткани фиброзной тканью с большим количеством остеокластов и макрофагов, нагруженных гемосидерином). Примерно у трети больных выявляется остеопения.</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lastRenderedPageBreak/>
        <w:t>При денситометрии костей выявляется значительное снижение плотности костной ткани.</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При первичном гиперпаратиреозе увеличен риск переломов костей предплечья, бедренных костей и позвоночника.</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ab/>
        <w:t>Повышение активности щелочной фосфатазы и уровня остеокальцина в сыворотке свидетельствует об ускоренной перестройке и нарушениях метаболизма костной ткани.</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Мочекаменная болезнь с образованием кальциевых камней либо нефрокальциноз отмечаются у 40—50% больных с клиническими признаками первичного гиперпаратиреоза. В то же время менее 5% больных с кальциевыми камнями почек страдают первичным гиперпаратиреозом. Мочекаменная болезнь чаще поражает молодых больных первичным гиперпаратиреозом; пик заболеваемости приходится на 20—40 лет. Предполагают, что это связано с более высоким уровнем 1,25(OH)2D3 в молодом возрасте. Действительно, у молодых больных существует четкое соответствие между степенью гиперкальциурии, уровнем 1,25(OH)2D3 и образованием камней в почках.Артериальная гипертония наблюдается у 30—50% больных первичным гиперпаратиреозом. Известно, что острая гиперкальциемия сопровождается подъемом АД и у здоровых людей. Механизмы развития артериальной гипертонии при первичном гиперпаратиреозе не выяснены.</w:t>
      </w:r>
    </w:p>
    <w:p w:rsidR="006D5CC7" w:rsidRPr="006D5CC7" w:rsidRDefault="006D5CC7" w:rsidP="003276B5">
      <w:pPr>
        <w:spacing w:line="276" w:lineRule="auto"/>
        <w:ind w:firstLine="708"/>
        <w:outlineLvl w:val="1"/>
        <w:rPr>
          <w:rFonts w:ascii="Times New Roman" w:eastAsia="Times New Roman" w:hAnsi="Times New Roman" w:cs="Times New Roman"/>
          <w:b/>
          <w:bCs/>
          <w:lang w:eastAsia="ru-RU"/>
        </w:rPr>
      </w:pPr>
      <w:r w:rsidRPr="006D5CC7">
        <w:rPr>
          <w:rFonts w:ascii="Times New Roman" w:eastAsia="Times New Roman" w:hAnsi="Times New Roman" w:cs="Times New Roman"/>
          <w:b/>
          <w:bCs/>
          <w:lang w:eastAsia="ru-RU"/>
        </w:rPr>
        <w:t>Г. Лабораторная диагностика</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ab/>
        <w:t>Гиперкальциемия имеется у большинства больных. Если при подозрении на гиперпаратиреоз уровень общего кальция лишь незначительно превышает норму либо повышается эпизодически, следует определить концентрацию свободного кальция. У некоторых больных с повышенным уровнем ПТГ концентрация свободного кальция в сыворотке оказывается нормальной. Это состояние принято называть нормокальциемическим гиперпаратиреозом. Причины нормокальциемического гиперпаратиреоза:</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а. Почечная недостаточность (нарушение канальцевой реабсорбции кальция).</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б. Нарушение всасывания кальция в кишечнике.</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в. Авитаминоз D. Признак авитаминоза D — остеомаляция. Чтобы отличить гиперпаратиреоз с авитаминозом D от изолированного авитаминоза D, проводят пробное лечение витамином D. На фоне заместительной терапии витамином D у больных с гиперпаратиреозом возникает гиперкальциемия, а у больных с изолированным авитаминозом D восстанавливается нормокальциемия.</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г. Преходящая нормокальциемия может встречаться на ранних стадиях развития первичного гиперпаратиреоза.</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д. Чтобы подтвердить диагноз гиперпаратиреоза у больных с рецидивирующей мочекаменной болезнью и нормокальциемией натощак, можно попытаться выявить гиперкальциемию после приема пищи на фоне повышенного уровня ПТГ. Можно также провести провокационную пробу с тиазидными диуретиками. Их назначают на 1—2 нед. У больных без гиперпаратиреоза уровень кальция повышается умеренно (до верхней границы нормы). Поскольку регуляция обмена кальция у таких больных не нарушена, уровень кальция возвращается к исходному уже во время приема препаратов (обычно к концу 1-й недели). У больных первичным гиперпаратиреозом уровень кальция повышается значительно и нормализуется только через несколько суток после отмены препаратов.</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Уровень ПТГ в сыворотке определяют методом РИА с антителами к срединному фрагменту гормона (аминокислоты 43—68). Более точен иммунорадиометрический метод с использованием двух антител (к N- и C-концевым фрагментам ПТГ). Этот метод позволяет измерить концентрацию ПТГ1—84. В последнее время для определения концентрации ПТГ1—84</w:t>
      </w:r>
      <w:r w:rsidRPr="006D5CC7">
        <w:rPr>
          <w:rFonts w:ascii="Times New Roman" w:eastAsia="Times New Roman" w:hAnsi="Times New Roman" w:cs="Times New Roman"/>
          <w:bCs/>
          <w:lang w:eastAsia="ru-RU"/>
        </w:rPr>
        <w:tab/>
        <w:t>используют также ИФА и иммунохемилюминесцентный метод. Одновременно с уровнем ПТГ1—84 измеряют уровень общего или свободного кальция. В большинстве случаев этих исследований достаточно для установления диагноза.</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lastRenderedPageBreak/>
        <w:t>Измерение уровня общего или нефрогенного цАМФ в моче позволяет оценить действие ПТГ на почки. В последнее время эти исследования редко используют в диагностике первичного гиперпаратиреоза, поскольку доступны чувствительные методы определения ПТГ1—84. Однако оценка экскреции цАМФ полезна для выяснения причин других нарушений минерального обмена.</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Уровень кальция в моче может быть нормальным или повышенным. Экскреция кальция зависит от его потребления с пищей, всасывания в кишечнике, концентрации в сыворотке, фильтрации в почечных клубочках и от влияния ПТГ на канальцевую реабсорбцию кальция. Таким образом, гиперкальциемия при первичном гиперпаратиреозе не всегда сопровождается повышением уровня кальция в моче. Для гиперкальциемии иного происхождения характерна повышенная экскреция кальция, поэтому его нормальная экскреция на фоне гиперкальциемии подтверждает диагноз первичного гиперпаратиреоза гораздо убедительнее, чем изолированное повышение экскреции кальция. При первичном гиперпаратиреозе экскреция кальция коррелирует с повышением уровня 1,25(OH)2D3.</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Гипофосфатемию обнаруживают примерно у половины больных; она обусловлена снижением порога канальцевой реабсорбции фосфата. Уменьшается также отношение максимальная канальцевая реабсорбция фосфата/СКФ.</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 xml:space="preserve">Увеличение отношения хлорид/фосфат в сыворотке (в норме </w:t>
      </w:r>
      <w:proofErr w:type="gramStart"/>
      <w:r w:rsidRPr="006D5CC7">
        <w:rPr>
          <w:rFonts w:ascii="Times New Roman" w:eastAsia="Times New Roman" w:hAnsi="Times New Roman" w:cs="Times New Roman"/>
          <w:bCs/>
          <w:lang w:eastAsia="ru-RU"/>
        </w:rPr>
        <w:t>&lt; 32</w:t>
      </w:r>
      <w:proofErr w:type="gramEnd"/>
      <w:r w:rsidRPr="006D5CC7">
        <w:rPr>
          <w:rFonts w:ascii="Times New Roman" w:eastAsia="Times New Roman" w:hAnsi="Times New Roman" w:cs="Times New Roman"/>
          <w:bCs/>
          <w:lang w:eastAsia="ru-RU"/>
        </w:rPr>
        <w:t>) отмечается у 60—70% больных первичным гиперпаратиреозом, что связано со снижением канальцевой экскреции бикарбоната под действием ПТГ.</w:t>
      </w:r>
    </w:p>
    <w:p w:rsidR="006D5CC7" w:rsidRPr="006D5CC7" w:rsidRDefault="006D5CC7" w:rsidP="003276B5">
      <w:pPr>
        <w:spacing w:line="276" w:lineRule="auto"/>
        <w:ind w:firstLine="708"/>
        <w:outlineLvl w:val="1"/>
        <w:rPr>
          <w:rFonts w:ascii="Times New Roman" w:eastAsia="Times New Roman" w:hAnsi="Times New Roman" w:cs="Times New Roman"/>
          <w:b/>
          <w:bCs/>
          <w:lang w:eastAsia="ru-RU"/>
        </w:rPr>
      </w:pPr>
      <w:r w:rsidRPr="006D5CC7">
        <w:rPr>
          <w:rFonts w:ascii="Times New Roman" w:eastAsia="Times New Roman" w:hAnsi="Times New Roman" w:cs="Times New Roman"/>
          <w:b/>
          <w:bCs/>
          <w:lang w:eastAsia="ru-RU"/>
        </w:rPr>
        <w:t>Д. Предоперационное исследование паращитовидных желез</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УЗИ позволяет обнаружить увеличение паращитовидных желез в 50—60% случаев. Более информативны КТ с контрастированием и МРТ. КТ позволяет выявлять поражения паращитовидных желез более чем в 90% случаев.</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ab/>
        <w:t>Увеличение паращитовидных желез определяют также с помощью субтракционной сцинтиграфии с 201Tl и 99mTc. Метод основан на том, что технеций захватывается только щитовидной железой, а таллий — как щитовидной, так и паращитовидными железами. По чувствительности этот метод близок к УЗИ.</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Флебография (селективная катетеризация непарного щитовидного сплетения) с определением концентраций ПТГ1—84 позволяет выявить гиперплазию или аденому паращитовидных желез в 80—95% случаев. Это технически сложное и опасное вмешательство, поэтому его применяют только в тех случаях, когда локализацию аденомы не удается установить с помощью неинвазивных методов исследования.</w:t>
      </w:r>
    </w:p>
    <w:p w:rsidR="006D5CC7" w:rsidRPr="006D5CC7" w:rsidRDefault="006D5CC7" w:rsidP="003276B5">
      <w:pPr>
        <w:spacing w:line="276" w:lineRule="auto"/>
        <w:ind w:firstLine="708"/>
        <w:outlineLvl w:val="1"/>
        <w:rPr>
          <w:rFonts w:ascii="Times New Roman" w:eastAsia="Times New Roman" w:hAnsi="Times New Roman" w:cs="Times New Roman"/>
          <w:b/>
          <w:bCs/>
          <w:lang w:eastAsia="ru-RU"/>
        </w:rPr>
      </w:pPr>
      <w:r w:rsidRPr="006D5CC7">
        <w:rPr>
          <w:rFonts w:ascii="Times New Roman" w:eastAsia="Times New Roman" w:hAnsi="Times New Roman" w:cs="Times New Roman"/>
          <w:b/>
          <w:bCs/>
          <w:lang w:eastAsia="ru-RU"/>
        </w:rPr>
        <w:t>Е. Лечение</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ab/>
        <w:t>Общие сведения. Если первичный гиперпаратиреоз проявляется симптомами гиперкальциемии, единственный способ лечения — хирургический. Если гиперпаратиреоз протекает бессимптомно, приходится выбирать между хирургическим вмешательством и медикаментозным лечением. Главные недостатки медикаментозного лечения: невозможность прогнозировать течение болезни, невозможность предупредить прогрессирующую потерю массы костей, возрастание риска переломов. На совещании по гиперпаратиреозу, проведенном Национальным институтом здоровья США в 1991 г., были приняты следующие рекомендации:</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а. Если нет противопоказаний, предпочтительным методом лечения первичного гиперпаратиреоза всегда является хирургическое вмешательство. Оно показано в первую очередь больным моложе 50 лет.</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б. Медикаментозное лечение может быть назначено больным старше 50 лет с умеренной гиперкальциемией, нормальной или незначительно сниженной массой костей и нормальной или незначительно нарушенной функцией почек.</w:t>
      </w:r>
    </w:p>
    <w:p w:rsidR="006D5CC7" w:rsidRPr="006D5CC7" w:rsidRDefault="006D5CC7" w:rsidP="003276B5">
      <w:pPr>
        <w:spacing w:line="276" w:lineRule="auto"/>
        <w:ind w:firstLine="708"/>
        <w:outlineLvl w:val="1"/>
        <w:rPr>
          <w:rFonts w:ascii="Times New Roman" w:eastAsia="Times New Roman" w:hAnsi="Times New Roman" w:cs="Times New Roman"/>
          <w:b/>
          <w:bCs/>
          <w:lang w:eastAsia="ru-RU"/>
        </w:rPr>
      </w:pPr>
      <w:r w:rsidRPr="006D5CC7">
        <w:rPr>
          <w:rFonts w:ascii="Times New Roman" w:eastAsia="Times New Roman" w:hAnsi="Times New Roman" w:cs="Times New Roman"/>
          <w:b/>
          <w:bCs/>
          <w:lang w:eastAsia="ru-RU"/>
        </w:rPr>
        <w:lastRenderedPageBreak/>
        <w:t xml:space="preserve">Хирургическое лечение </w:t>
      </w:r>
    </w:p>
    <w:p w:rsidR="006D5CC7" w:rsidRPr="003276B5" w:rsidRDefault="006D5CC7" w:rsidP="003276B5">
      <w:pPr>
        <w:spacing w:line="276" w:lineRule="auto"/>
        <w:ind w:firstLine="0"/>
        <w:outlineLvl w:val="1"/>
        <w:rPr>
          <w:rFonts w:ascii="Times New Roman" w:eastAsia="Times New Roman" w:hAnsi="Times New Roman" w:cs="Times New Roman"/>
          <w:bCs/>
          <w:lang w:eastAsia="ru-RU"/>
        </w:rPr>
      </w:pPr>
      <w:r w:rsidRPr="003276B5">
        <w:rPr>
          <w:rFonts w:ascii="Times New Roman" w:eastAsia="Times New Roman" w:hAnsi="Times New Roman" w:cs="Times New Roman"/>
          <w:bCs/>
          <w:lang w:eastAsia="ru-RU"/>
        </w:rPr>
        <w:t>а. Показания</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Клинические проявления гиперкальциемии.</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Концентрация общего кальция в сыворотке на 0,25—0,4 ммоль/л превышает норму, установленную в данной лаборатории для данной возрастной группы.</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Гиперкальциемические кризы в анамнезе (например, на фоне дегидратации или сопутствующих заболеваний).</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Снижение СКФ более чем на 30% по сравнению с нормой, установленной в данной лаборатории для данной возрастной группы.</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Мочекаменная болезнь, подтвержденная рентгенографически.</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Снижение массы костей более чем на 2 стандартных отклонения от возрастной нормы.</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 xml:space="preserve">Суточная экскреция </w:t>
      </w:r>
      <w:proofErr w:type="gramStart"/>
      <w:r w:rsidRPr="006D5CC7">
        <w:rPr>
          <w:rFonts w:ascii="Times New Roman" w:eastAsia="Times New Roman" w:hAnsi="Times New Roman" w:cs="Times New Roman"/>
          <w:bCs/>
          <w:lang w:eastAsia="ru-RU"/>
        </w:rPr>
        <w:t>кальция &gt;</w:t>
      </w:r>
      <w:proofErr w:type="gramEnd"/>
      <w:r w:rsidRPr="006D5CC7">
        <w:rPr>
          <w:rFonts w:ascii="Times New Roman" w:eastAsia="Times New Roman" w:hAnsi="Times New Roman" w:cs="Times New Roman"/>
          <w:bCs/>
          <w:lang w:eastAsia="ru-RU"/>
        </w:rPr>
        <w:t xml:space="preserve"> 10 ммоль.</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 xml:space="preserve">Возраст </w:t>
      </w:r>
      <w:proofErr w:type="gramStart"/>
      <w:r w:rsidRPr="006D5CC7">
        <w:rPr>
          <w:rFonts w:ascii="Times New Roman" w:eastAsia="Times New Roman" w:hAnsi="Times New Roman" w:cs="Times New Roman"/>
          <w:bCs/>
          <w:lang w:eastAsia="ru-RU"/>
        </w:rPr>
        <w:t>&lt; 50</w:t>
      </w:r>
      <w:proofErr w:type="gramEnd"/>
      <w:r w:rsidRPr="006D5CC7">
        <w:rPr>
          <w:rFonts w:ascii="Times New Roman" w:eastAsia="Times New Roman" w:hAnsi="Times New Roman" w:cs="Times New Roman"/>
          <w:bCs/>
          <w:lang w:eastAsia="ru-RU"/>
        </w:rPr>
        <w:t xml:space="preserve"> лет.</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Невозможность длительного наблюдения за больным.</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б. Радикальное лечение — удаление всех паращитовидных желез с немедленной аутотрансплантацией части измельченной паратиреоидной ткани в мышцы предплечья. Паратиреоэктомия приводит к излечению в 90—95% случаев. У большинства больных в 1—2-е сутки после операции наблюдается бессимптомная гипокальциемия. Осложнения:</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Синдром голодных костей — тяжелая преходящая гипокальциемия, обусловленная быстрым захватом кальция остеобластами. Чаще всего встречается после операции у больных с тяжелой гиперкальциемией.</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Стойкий гипопаратиреоз.</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Повреждение возвратного гортанного нерва.</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в. Паллиативное лечение. При гиперплазии или аденоме одной железы удаляют только пораженную железу, проводят биопсию остальных желез и исследуют замороженные срезы. Паллиативные операции сложнее, чем радикальные, поскольку необходимо обеспечить нормальное кровоснабжение оставшихся желез. Поэтому эти операции должен проводить хирург, имеющий большой опыт лечения гиперпаратиреоза.</w:t>
      </w:r>
    </w:p>
    <w:p w:rsidR="006D5CC7" w:rsidRPr="003276B5" w:rsidRDefault="006D5CC7" w:rsidP="003276B5">
      <w:pPr>
        <w:spacing w:line="276" w:lineRule="auto"/>
        <w:ind w:firstLine="0"/>
        <w:outlineLvl w:val="1"/>
        <w:rPr>
          <w:rFonts w:ascii="Times New Roman" w:eastAsia="Times New Roman" w:hAnsi="Times New Roman" w:cs="Times New Roman"/>
          <w:b/>
          <w:bCs/>
          <w:lang w:eastAsia="ru-RU"/>
        </w:rPr>
      </w:pPr>
      <w:r w:rsidRPr="003276B5">
        <w:rPr>
          <w:rFonts w:ascii="Times New Roman" w:eastAsia="Times New Roman" w:hAnsi="Times New Roman" w:cs="Times New Roman"/>
          <w:b/>
          <w:bCs/>
          <w:lang w:eastAsia="ru-RU"/>
        </w:rPr>
        <w:t>Другие инвазивные методы лечения</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а. В одном специализированном центре удалось добиться излечения первичного гиперпаратиреоза путем инъекции больших количеств рентгеноконтрастных средств в артерии, питающие паращитовидные железы.</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б. В нескольких центрах применяли чрескожное введение этанола в аденому паращитовидной железы под контролем УЗИ. Такое лечение сопровождалось различными осложнениями, в частности — повреждением возвратного гортанного нерва.</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ab/>
        <w:t>Медикаментозное лечение назначают после безуспешной операции, при противопоказаниях к операции или отказе больного от операции.</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 xml:space="preserve">а. Фосфаты (в пересчете на фосфор) назначают в дозах 0,5—3 г/сут. Иногда таким способом удается устранить гиперкальциемию и предупредить образование почечных камней из оксалата кальция и гидроксиапатита. Это лечение противопоказано при почечной недостаточности, концентрации общего кальция в </w:t>
      </w:r>
      <w:proofErr w:type="gramStart"/>
      <w:r w:rsidRPr="006D5CC7">
        <w:rPr>
          <w:rFonts w:ascii="Times New Roman" w:eastAsia="Times New Roman" w:hAnsi="Times New Roman" w:cs="Times New Roman"/>
          <w:bCs/>
          <w:lang w:eastAsia="ru-RU"/>
        </w:rPr>
        <w:t>сыворотке &gt;</w:t>
      </w:r>
      <w:proofErr w:type="gramEnd"/>
      <w:r w:rsidRPr="006D5CC7">
        <w:rPr>
          <w:rFonts w:ascii="Times New Roman" w:eastAsia="Times New Roman" w:hAnsi="Times New Roman" w:cs="Times New Roman"/>
          <w:bCs/>
          <w:lang w:eastAsia="ru-RU"/>
        </w:rPr>
        <w:t xml:space="preserve"> 3 ммоль/л, дегидратации. Лечение фосфатами нередко повышает уровень ПТГ и может приводить к образованию почечных камней из фосфата кальция.</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б. Эстрогены в сочетании с прогестагенами или без них устраняют гиперкальциемию у женщин с первичным гиперпаратиреозом в постменопаузе.</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lastRenderedPageBreak/>
        <w:t>в. Дифосфонаты подавляют резорбцию кости (см. также гл. 24, п. XVI.Б.1.б). Для лечения гиперкальциемии при первичном гиперпаратиреозе чаще всего применяют памидронат натрия. Однократное в/в введение 60—90 мг препарата позволяет нормализовать уровень кальция на срок до нескольких недель у 80— 100% больных.</w:t>
      </w:r>
    </w:p>
    <w:p w:rsidR="003276B5" w:rsidRDefault="003276B5" w:rsidP="003276B5">
      <w:pPr>
        <w:spacing w:line="276" w:lineRule="auto"/>
        <w:ind w:firstLine="0"/>
        <w:outlineLvl w:val="1"/>
        <w:rPr>
          <w:rFonts w:ascii="Times New Roman" w:eastAsia="Times New Roman" w:hAnsi="Times New Roman" w:cs="Times New Roman"/>
          <w:bCs/>
          <w:lang w:eastAsia="ru-RU"/>
        </w:rPr>
      </w:pPr>
    </w:p>
    <w:p w:rsidR="006D5CC7" w:rsidRPr="003276B5" w:rsidRDefault="006D5CC7" w:rsidP="003276B5">
      <w:pPr>
        <w:spacing w:line="276" w:lineRule="auto"/>
        <w:ind w:firstLine="0"/>
        <w:outlineLvl w:val="1"/>
        <w:rPr>
          <w:rFonts w:ascii="Times New Roman" w:eastAsia="Times New Roman" w:hAnsi="Times New Roman" w:cs="Times New Roman"/>
          <w:b/>
          <w:bCs/>
          <w:lang w:eastAsia="ru-RU"/>
        </w:rPr>
      </w:pPr>
      <w:r w:rsidRPr="003276B5">
        <w:rPr>
          <w:rFonts w:ascii="Times New Roman" w:eastAsia="Times New Roman" w:hAnsi="Times New Roman" w:cs="Times New Roman"/>
          <w:b/>
          <w:bCs/>
          <w:lang w:eastAsia="ru-RU"/>
        </w:rPr>
        <w:t>Гиперкальциемия, обусловленная дефектами рецепторов Ca2+</w:t>
      </w:r>
    </w:p>
    <w:p w:rsidR="003276B5" w:rsidRDefault="003276B5" w:rsidP="003276B5">
      <w:pPr>
        <w:spacing w:line="276" w:lineRule="auto"/>
        <w:ind w:firstLine="0"/>
        <w:outlineLvl w:val="1"/>
        <w:rPr>
          <w:rFonts w:ascii="Times New Roman" w:eastAsia="Times New Roman" w:hAnsi="Times New Roman" w:cs="Times New Roman"/>
          <w:bCs/>
          <w:lang w:eastAsia="ru-RU"/>
        </w:rPr>
      </w:pPr>
    </w:p>
    <w:p w:rsidR="006D5CC7" w:rsidRPr="003276B5" w:rsidRDefault="006D5CC7" w:rsidP="003276B5">
      <w:pPr>
        <w:spacing w:line="276" w:lineRule="auto"/>
        <w:ind w:firstLine="0"/>
        <w:outlineLvl w:val="1"/>
        <w:rPr>
          <w:rFonts w:ascii="Times New Roman" w:eastAsia="Times New Roman" w:hAnsi="Times New Roman" w:cs="Times New Roman"/>
          <w:b/>
          <w:bCs/>
          <w:lang w:eastAsia="ru-RU"/>
        </w:rPr>
      </w:pPr>
      <w:r w:rsidRPr="003276B5">
        <w:rPr>
          <w:rFonts w:ascii="Times New Roman" w:eastAsia="Times New Roman" w:hAnsi="Times New Roman" w:cs="Times New Roman"/>
          <w:b/>
          <w:bCs/>
          <w:lang w:eastAsia="ru-RU"/>
        </w:rPr>
        <w:t>А. Семейная доброкачественная гиперкальциемия (гетерозиготная гипокальциурическая гиперкальциемия)</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ab/>
      </w:r>
      <w:r w:rsidRPr="003276B5">
        <w:rPr>
          <w:rFonts w:ascii="Times New Roman" w:eastAsia="Times New Roman" w:hAnsi="Times New Roman" w:cs="Times New Roman"/>
          <w:b/>
          <w:bCs/>
          <w:lang w:eastAsia="ru-RU"/>
        </w:rPr>
        <w:t>Этиология и патогенез.</w:t>
      </w:r>
      <w:r w:rsidRPr="006D5CC7">
        <w:rPr>
          <w:rFonts w:ascii="Times New Roman" w:eastAsia="Times New Roman" w:hAnsi="Times New Roman" w:cs="Times New Roman"/>
          <w:bCs/>
          <w:lang w:eastAsia="ru-RU"/>
        </w:rPr>
        <w:t xml:space="preserve"> Это редкое заболевание с аутосомно-доминантным наследованием, обусловленное дефектами рецепторов Ca2+ на паратироцитах и клетках почечных канальцев. Причина — инактивирующие мутации гена рецептора. Мутации доминантно-негативные, т. е. мутантный ген подавляет экспрессию нормального гена. Мутантные рецепторы связывают Ca2+ хуже, чем нормальные рецепторы. Поэтому клетки — носители мутантных рецепторов — реагируют на их сигнал так, как будто концентрация кальция в сыворотке понижена. В результате в паращитовидных железах секретируются избыточные количества ПТГ, а в почках усиливается реабсорбция кальция. Паращитовидные железы обычно не изменены; иногда наблюдается гиперплазия главных паратироцитов.</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ab/>
        <w:t>Клиническая картина. Заболевание обычно протекает бессимптомно, но гиперкальциемия иногда выявляется уже в первые дни жизни. Клинических признаков первичного гиперпаратиреоза нет, другие эндокринные нарушения отсутствуют. У некоторых подростков и взрослых больных, а также у их родственников обнаруживают панкреатит. Семейную доброкачественную гиперкальциемию следует заподозрить в таких ситуациях:</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а. Случайно обнаруженная гиперкальциемия у грудного ребенка.</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б. У родственников — гиперкальциемия в сочетании с гипокальциурией.</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в. Безуспешное хирургическое лечение гиперпаратиреоза у родственников.</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Лабораторная диагностика а. Гиперкальциемия.</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 xml:space="preserve">б. Суточная экскреция кальция </w:t>
      </w:r>
      <w:proofErr w:type="gramStart"/>
      <w:r w:rsidRPr="006D5CC7">
        <w:rPr>
          <w:rFonts w:ascii="Times New Roman" w:eastAsia="Times New Roman" w:hAnsi="Times New Roman" w:cs="Times New Roman"/>
          <w:bCs/>
          <w:lang w:eastAsia="ru-RU"/>
        </w:rPr>
        <w:t>&lt; 1</w:t>
      </w:r>
      <w:proofErr w:type="gramEnd"/>
      <w:r w:rsidRPr="006D5CC7">
        <w:rPr>
          <w:rFonts w:ascii="Times New Roman" w:eastAsia="Times New Roman" w:hAnsi="Times New Roman" w:cs="Times New Roman"/>
          <w:bCs/>
          <w:lang w:eastAsia="ru-RU"/>
        </w:rPr>
        <w:t>,5 ммоль; экскреция магния также снижена.</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в. Концентрация магния в сыворотке повышена; концентрация фосфата может быть нормальной, повышенной или пониженной.</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г. Концентрация ПТГ1—84 в сыворотке нормальная или слегка повышена.</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д. Концентрация общего и нефрогенного цАМФ в моче нормальная или слегка повышена.</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е. Концентрации 1,25(OH)2D3 и 25(OH)D3 в сыворотке нормальные.</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ab/>
        <w:t>Дифференциальная диагностика. Семейную доброкачественную гиперкальциемию можно спутать с первичным гиперпаратиреозом и с гиперпаратиреозом при синдромах МЭН типа I и IIa. Для дифференциального диагноза важны следующие признаки:</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а. Повышенный уровень кальция в сыворотке при семейной доброкачественной гиперкальциемии обнаруживается в возрасте до 10 лет, а при первичном гиперпаратиреозе и синдромах МЭН типа I и IIa — гораздо позже.</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 xml:space="preserve">б. У большинства больных семейной доброкачественной гиперкальциемией канальцевая реабсорбция </w:t>
      </w:r>
      <w:proofErr w:type="gramStart"/>
      <w:r w:rsidRPr="006D5CC7">
        <w:rPr>
          <w:rFonts w:ascii="Times New Roman" w:eastAsia="Times New Roman" w:hAnsi="Times New Roman" w:cs="Times New Roman"/>
          <w:bCs/>
          <w:lang w:eastAsia="ru-RU"/>
        </w:rPr>
        <w:t>кальция &gt;</w:t>
      </w:r>
      <w:proofErr w:type="gramEnd"/>
      <w:r w:rsidRPr="006D5CC7">
        <w:rPr>
          <w:rFonts w:ascii="Times New Roman" w:eastAsia="Times New Roman" w:hAnsi="Times New Roman" w:cs="Times New Roman"/>
          <w:bCs/>
          <w:lang w:eastAsia="ru-RU"/>
        </w:rPr>
        <w:t xml:space="preserve"> 99%, а у больных первичным гиперпаратиреозом &lt; 99%.</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 xml:space="preserve">в. Повышение уровня ПТГ при первичном гиперпаратиреозе и синдромах МЭН типа I и IIa соответствует степени гиперкальциемии (поскольку она обусловлена избыточной секрецией ПТГ). Уровень ПТГ может </w:t>
      </w:r>
      <w:r w:rsidRPr="006D5CC7">
        <w:rPr>
          <w:rFonts w:ascii="Times New Roman" w:eastAsia="Times New Roman" w:hAnsi="Times New Roman" w:cs="Times New Roman"/>
          <w:bCs/>
          <w:lang w:eastAsia="ru-RU"/>
        </w:rPr>
        <w:lastRenderedPageBreak/>
        <w:t>быть повышен и при семейной доброкачественной гиперкальциемии, однако он не соответствует уровню кальция в сыворотке.</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г. Для семейной доброкачественной гиперкальциемии характерна пониженная экскреция кальция.</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д. При семейной доброкачественной гиперкальциемии уровень магния в сыворотке обычно выше, чем при первичном гиперпаратиреозе.</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е. Диагноз семейной доброкачественной гиперкальциемии может быть подтвержден молекулярно-генетическими исследованиями (выявлением мутаций гена рецептора Ca2+). Такие исследования проводятся только в специализированных лабораториях.</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Лечение. Поскольку причиной заболевания являются дефекты рецепторов Ca2+, а не гиперплазия или аденома паращитовидных желез, хирургическое лечение лишено смысла. Паратиреоэктомия показана только больным с тяжелым рецидивирующим панкреатитом. В таких случаях после операции назначают препараты витамина D и кальция для предупреждения гипокальциемии. При бессимптомной гиперкальциемии не требуется и медикаментозное лечение. В настоящее время разрабатываются лекарственные средства, способные активировать рецепторы Ca2+ («кальцимиметики»).</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Б. Тяжелый гиперпаратиреоз новорожденных (гомозиготная гипокальциурическая гиперкальциемия). Это заболевание встречается редко, проявляется тяжелой, угрожающей жизни гиперкальциемией и требует неотложного лечения. Наследование аутосомно-рецессивное. Заболевание чаще всего возникает у детей больных семейной доброкачественной гиперкальциемией; риск особенно высок при близкородственном браке. Клиническая картина: симптомы тяжелой гиперкальциемии, аномалии скелета, задержка развития, умственная отсталость. Биохимические признаки: значительное снижение экскреции кальция, выраженная гиперкальциемия, значительное повышение уровня ПТГ. Как правило, имеется гиперплазия главных паратироцитов. Молекулярно- генетические исследования показали, что в большинстве случаев это заболевание представляет собой гомозиготную форму семейной доброкачественной гиперкальциемии. Описаны и спорадические случаи, обусловленные крупными инактивирующими мутациями гена рецептора Ca2+. Хирургическое лечение (паратиреоэктомия с аутотрансплантацией фрагментов ткани паращитовидных желез в мышцы предплечья) позволяет устранить гиперкальциемию и нормализовать рост и развитие. После паратиреоэктомии назначают препараты витамина D и препараты кальция.</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3276B5">
        <w:rPr>
          <w:rFonts w:ascii="Times New Roman" w:eastAsia="Times New Roman" w:hAnsi="Times New Roman" w:cs="Times New Roman"/>
          <w:b/>
          <w:bCs/>
          <w:lang w:eastAsia="ru-RU"/>
        </w:rPr>
        <w:t>Метафизарная хондродисплазия, тип Янсена.</w:t>
      </w:r>
      <w:r w:rsidRPr="006D5CC7">
        <w:rPr>
          <w:rFonts w:ascii="Times New Roman" w:eastAsia="Times New Roman" w:hAnsi="Times New Roman" w:cs="Times New Roman"/>
          <w:bCs/>
          <w:lang w:eastAsia="ru-RU"/>
        </w:rPr>
        <w:t xml:space="preserve"> Это редкое наследственное заболевание, обусловленное мутациями гена рецептора ПТГ, активирующими эти рецепторы. Постоянная активация рецепторов приводит к усилению резорбции кости, задержке кальция в почках и к подавлению секреции ПТГ. Заболевание проявляется у грудных детей. Основные признаки: низкорослость, искривление конечностей, нарушение развития трубчатых костей, дисплазия метафизов, зоны остеолиза в диафизах и метафизах, умеренная или тяжелая гиперкальциемия, гипофосфатемия. ПТГ в сыворотке не выявляется. Лечение — медикаментозное; направлено на устранение гиперкальциемии. Без лечения большинство больных не доживает до 15 лет.</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Паранеопластическая гиперкальциемия</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 xml:space="preserve">А. Общие сведения. Злокачественные новообразования — самая распространенная причина гиперкальциемии у госпитализированных больных. Считается, что 10—15% злокачественных новообразований сопровождается гиперкальциемией. Патогенез и клинические проявления паранеопластической гиперкальциемии зависят прежде всего от типа опухоли. Чаще всего гиперкальциемия наблюдается при плоскоклеточном раке легкого, почек и мочевого пузыря, при раке </w:t>
      </w:r>
      <w:r w:rsidRPr="006D5CC7">
        <w:rPr>
          <w:rFonts w:ascii="Times New Roman" w:eastAsia="Times New Roman" w:hAnsi="Times New Roman" w:cs="Times New Roman"/>
          <w:bCs/>
          <w:lang w:eastAsia="ru-RU"/>
        </w:rPr>
        <w:lastRenderedPageBreak/>
        <w:t>молочной железы, миеломной болезни, лимфомах и лейкозах. Реже она встречается при раке толстой кишки и предстательной железы.</w:t>
      </w:r>
    </w:p>
    <w:p w:rsidR="006D5CC7" w:rsidRPr="003276B5" w:rsidRDefault="006D5CC7" w:rsidP="003276B5">
      <w:pPr>
        <w:spacing w:line="276" w:lineRule="auto"/>
        <w:ind w:firstLine="0"/>
        <w:outlineLvl w:val="1"/>
        <w:rPr>
          <w:rFonts w:ascii="Times New Roman" w:eastAsia="Times New Roman" w:hAnsi="Times New Roman" w:cs="Times New Roman"/>
          <w:b/>
          <w:bCs/>
          <w:lang w:eastAsia="ru-RU"/>
        </w:rPr>
      </w:pPr>
      <w:r w:rsidRPr="003276B5">
        <w:rPr>
          <w:rFonts w:ascii="Times New Roman" w:eastAsia="Times New Roman" w:hAnsi="Times New Roman" w:cs="Times New Roman"/>
          <w:b/>
          <w:bCs/>
          <w:lang w:eastAsia="ru-RU"/>
        </w:rPr>
        <w:t>Классификация</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ab/>
        <w:t>Гуморальная паранеопластическая гиперкальциемия. На ее долю приходится 70—80% всех случаев паранеопластической гиперкальциемии.</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а. ПТГ-подобные пептиды секретируются многими злокачественными новообразованиями, чаще всего — плоскоклеточным раком. Недавно показали, что клетки рака молочной железы и T-клеточного лейкоза, вызванного T- лимфотропным вирусом лейкоза человека типа 1, также секретируют ПТГ- подобные пептиды. В большинстве случаев именно эти пептиды вызывают гиперкальциемию. N-концевые фрагменты ПТГ-подобных пептидов гомологичны N-концевому фрагменту ПТГ, поэтому ПТГ-подобные пептиды по гормональной активности сходны с ПТГ (см. гл. 24, п. IV). Специфические рецепторы ПТГ- подобных пептидов не найдены; они связываются с рецепторами ПТГ. В настоящее время выпускают диагностические наборы (ИФА и РИА) для определения ПТГ-подобных пептидов в сыворотке. Основные биохимические признаки гиперкальциемии, вызванной ПТГ-подобными пептидами (см. табл. 24.3):</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Уровень ПТГ-подобных пептидов в сыворотке повышен.</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Уровень ПТГ1—84 в сыворотке низкий, либо ПТГ1—84 не определяется.</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Концентрация фосфата в сыворотке падает из-за снижения порога его канальцевой реабсорбции. Уменьшается также отношение максимальная канальцевая реабсорбция фосфата/СКФ.</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Уровень нефрогенного цАМФ в моче увеличен.</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Экскреция кальция нормальная либо слегка повышена.</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Уровень 25(OH)D3 в сыворотке понижен.</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б. Эктопическая секреция ПТГ. Опухоли, происходящие не из паращитовидных желез и секретирующие ПТГ, встречаются редко. После удаления таких опухолей уровень ПТГ в сыворотке нормализуется, гиперкальциемия исчезает. Для подтверждения диагноза используют следующие приемы:</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Определяют ПТГ1—84 в экстрактах опухолевой ткани.</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Определяют градиент концентраций ПТГ1—84 в крови, притекающей к опухоли и оттекающей от нее.</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Выявляют мРНК ПТГ в опухолевых клетках.</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Культивируют</w:t>
      </w:r>
      <w:r w:rsidRPr="006D5CC7">
        <w:rPr>
          <w:rFonts w:ascii="Times New Roman" w:eastAsia="Times New Roman" w:hAnsi="Times New Roman" w:cs="Times New Roman"/>
          <w:bCs/>
          <w:lang w:eastAsia="ru-RU"/>
        </w:rPr>
        <w:tab/>
        <w:t>опухолевые</w:t>
      </w:r>
      <w:r w:rsidRPr="006D5CC7">
        <w:rPr>
          <w:rFonts w:ascii="Times New Roman" w:eastAsia="Times New Roman" w:hAnsi="Times New Roman" w:cs="Times New Roman"/>
          <w:bCs/>
          <w:lang w:eastAsia="ru-RU"/>
        </w:rPr>
        <w:tab/>
        <w:t>клетки</w:t>
      </w:r>
      <w:r w:rsidRPr="006D5CC7">
        <w:rPr>
          <w:rFonts w:ascii="Times New Roman" w:eastAsia="Times New Roman" w:hAnsi="Times New Roman" w:cs="Times New Roman"/>
          <w:bCs/>
          <w:lang w:eastAsia="ru-RU"/>
        </w:rPr>
        <w:tab/>
        <w:t>in</w:t>
      </w:r>
      <w:r w:rsidRPr="006D5CC7">
        <w:rPr>
          <w:rFonts w:ascii="Times New Roman" w:eastAsia="Times New Roman" w:hAnsi="Times New Roman" w:cs="Times New Roman"/>
          <w:bCs/>
          <w:lang w:eastAsia="ru-RU"/>
        </w:rPr>
        <w:tab/>
        <w:t>vitro</w:t>
      </w:r>
      <w:r w:rsidRPr="006D5CC7">
        <w:rPr>
          <w:rFonts w:ascii="Times New Roman" w:eastAsia="Times New Roman" w:hAnsi="Times New Roman" w:cs="Times New Roman"/>
          <w:bCs/>
          <w:lang w:eastAsia="ru-RU"/>
        </w:rPr>
        <w:tab/>
        <w:t>и</w:t>
      </w:r>
      <w:r w:rsidRPr="006D5CC7">
        <w:rPr>
          <w:rFonts w:ascii="Times New Roman" w:eastAsia="Times New Roman" w:hAnsi="Times New Roman" w:cs="Times New Roman"/>
          <w:bCs/>
          <w:lang w:eastAsia="ru-RU"/>
        </w:rPr>
        <w:tab/>
        <w:t>определяют</w:t>
      </w:r>
      <w:r w:rsidRPr="006D5CC7">
        <w:rPr>
          <w:rFonts w:ascii="Times New Roman" w:eastAsia="Times New Roman" w:hAnsi="Times New Roman" w:cs="Times New Roman"/>
          <w:bCs/>
          <w:lang w:eastAsia="ru-RU"/>
        </w:rPr>
        <w:tab/>
        <w:t>ПТГ1—84 в культуральной жидкости.</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в. 1,25(OH)2D3 секретируется B-клеточными лимфомами и некоторыми другими опухолями. Он усиливает резорбцию кости и всасывание кальция в кишечнике.</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 xml:space="preserve">г. Простагландины группы E стимулируют резорбцию кости. Эти простагландины секретируются некоторыми плоскоклеточными или низкодифференцированными опухолями, </w:t>
      </w:r>
      <w:proofErr w:type="gramStart"/>
      <w:r w:rsidRPr="006D5CC7">
        <w:rPr>
          <w:rFonts w:ascii="Times New Roman" w:eastAsia="Times New Roman" w:hAnsi="Times New Roman" w:cs="Times New Roman"/>
          <w:bCs/>
          <w:lang w:eastAsia="ru-RU"/>
        </w:rPr>
        <w:t>например</w:t>
      </w:r>
      <w:proofErr w:type="gramEnd"/>
      <w:r w:rsidRPr="006D5CC7">
        <w:rPr>
          <w:rFonts w:ascii="Times New Roman" w:eastAsia="Times New Roman" w:hAnsi="Times New Roman" w:cs="Times New Roman"/>
          <w:bCs/>
          <w:lang w:eastAsia="ru-RU"/>
        </w:rPr>
        <w:t xml:space="preserve"> раком молочной железы. Лечение ингибиторами простагландинсинтетазы — аспирином или индометацином — снижает уровень простагландинов E в моче и уменьшает тяжесть гиперкальциемии.</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ab/>
      </w:r>
      <w:r w:rsidRPr="00064610">
        <w:rPr>
          <w:rFonts w:ascii="Times New Roman" w:eastAsia="Times New Roman" w:hAnsi="Times New Roman" w:cs="Times New Roman"/>
          <w:b/>
          <w:bCs/>
          <w:lang w:eastAsia="ru-RU"/>
        </w:rPr>
        <w:t>Остеолитическая паранеопластическая</w:t>
      </w:r>
      <w:r w:rsidRPr="006D5CC7">
        <w:rPr>
          <w:rFonts w:ascii="Times New Roman" w:eastAsia="Times New Roman" w:hAnsi="Times New Roman" w:cs="Times New Roman"/>
          <w:bCs/>
          <w:lang w:eastAsia="ru-RU"/>
        </w:rPr>
        <w:t xml:space="preserve"> </w:t>
      </w:r>
      <w:r w:rsidRPr="00064610">
        <w:rPr>
          <w:rFonts w:ascii="Times New Roman" w:eastAsia="Times New Roman" w:hAnsi="Times New Roman" w:cs="Times New Roman"/>
          <w:b/>
          <w:bCs/>
          <w:lang w:eastAsia="ru-RU"/>
        </w:rPr>
        <w:t>гиперкальциемия</w:t>
      </w:r>
      <w:r w:rsidRPr="006D5CC7">
        <w:rPr>
          <w:rFonts w:ascii="Times New Roman" w:eastAsia="Times New Roman" w:hAnsi="Times New Roman" w:cs="Times New Roman"/>
          <w:bCs/>
          <w:lang w:eastAsia="ru-RU"/>
        </w:rPr>
        <w:t xml:space="preserve"> обусловлена первичными злокачественными новообразованиями костной ткани или костного мозга либо метастазами. Опухолевые клетки могут непосредственно разрушать кость, однако чаще они выделяют факторы, активирующие остеокласты. Как правило, остеолитическая паранеопластическая гиперкальциемия наблюдается при метастазах рака молочной железы, при лимфомах, лейкозах и миеломной болезни.</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 xml:space="preserve">а. При миеломной болезни и лимфомах опухолевые клетки секретируют ряд цитокинов: интерлейкины-1альфа и -1бета, факторы некроза опухолей альфа и бета, трансформирующие факторы роста альфа и бета. </w:t>
      </w:r>
      <w:r w:rsidRPr="006D5CC7">
        <w:rPr>
          <w:rFonts w:ascii="Times New Roman" w:eastAsia="Times New Roman" w:hAnsi="Times New Roman" w:cs="Times New Roman"/>
          <w:bCs/>
          <w:lang w:eastAsia="ru-RU"/>
        </w:rPr>
        <w:lastRenderedPageBreak/>
        <w:t>Все эти цитокины, в особенности интерлейкин-1бета и фактор некроза опухолей бета, активируют остеокласты и тем самым усиливают резорбцию кости.</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б. Метастазы рака молочной железы секретируют простагландины группы E.</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в. Цитокины, выделяемые опухолевыми клетками, стимулируют секрецию факторов роста нормальными клетками костной ткани. Некоторые из этих факторов активируют остеокласты и приводят к дальнейшему усилению резорбции кости.</w:t>
      </w:r>
    </w:p>
    <w:p w:rsidR="006D5CC7" w:rsidRPr="006D5CC7" w:rsidRDefault="006D5CC7" w:rsidP="00064610">
      <w:pPr>
        <w:spacing w:line="276" w:lineRule="auto"/>
        <w:ind w:firstLine="708"/>
        <w:outlineLvl w:val="1"/>
        <w:rPr>
          <w:rFonts w:ascii="Times New Roman" w:eastAsia="Times New Roman" w:hAnsi="Times New Roman" w:cs="Times New Roman"/>
          <w:bCs/>
          <w:lang w:eastAsia="ru-RU"/>
        </w:rPr>
      </w:pPr>
      <w:r w:rsidRPr="00064610">
        <w:rPr>
          <w:rFonts w:ascii="Times New Roman" w:eastAsia="Times New Roman" w:hAnsi="Times New Roman" w:cs="Times New Roman"/>
          <w:b/>
          <w:bCs/>
          <w:lang w:eastAsia="ru-RU"/>
        </w:rPr>
        <w:t>Д. Лечение.</w:t>
      </w:r>
      <w:r w:rsidRPr="006D5CC7">
        <w:rPr>
          <w:rFonts w:ascii="Times New Roman" w:eastAsia="Times New Roman" w:hAnsi="Times New Roman" w:cs="Times New Roman"/>
          <w:bCs/>
          <w:lang w:eastAsia="ru-RU"/>
        </w:rPr>
        <w:t xml:space="preserve"> При умеренной гиперкальциемии (уровень общего кальция в сыворотке 2,6— 3,5 ммоль/л) проводят инфузию жидкости. Чтобы предупредить объемную перегрузку, назначают фуросемид. В/в введение памидроната натрия или других дифосфонатов подавляет резорбцию кости. Комбинированное лечение дифосфонатами и диуретиками позволяет за неделю нормализовать уровень кальция у 80% больных. При остеолитической паранеопластической гиперкальциемии для подавления секреции цитокинов применяют кортикостероиды. При тяжелой гиперкальциемии назначают кальцитонин, 4—8 ед/кг/сут в/м или подкожно. Если кальцитонин неэффективен, назначают пликамицин или галлия нитрат.</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Е. Лечение рака молочной железы эстрогенами или антиэстрогенами (тамоксифеном) иногда вызывает гиперкальциемию и приливы. Механизм их возникновения неясен.</w:t>
      </w:r>
    </w:p>
    <w:p w:rsidR="006D5CC7" w:rsidRPr="006D5CC7" w:rsidRDefault="00064610" w:rsidP="003276B5">
      <w:pPr>
        <w:spacing w:line="276" w:lineRule="auto"/>
        <w:ind w:firstLine="0"/>
        <w:outlineLvl w:val="1"/>
        <w:rPr>
          <w:rFonts w:ascii="Times New Roman" w:eastAsia="Times New Roman" w:hAnsi="Times New Roman" w:cs="Times New Roman"/>
          <w:bCs/>
          <w:lang w:eastAsia="ru-RU"/>
        </w:rPr>
      </w:pPr>
      <w:r>
        <w:rPr>
          <w:rFonts w:ascii="Times New Roman" w:eastAsia="Times New Roman" w:hAnsi="Times New Roman" w:cs="Times New Roman"/>
          <w:bCs/>
          <w:lang w:eastAsia="ru-RU"/>
        </w:rPr>
        <w:tab/>
        <w:t>Гранулематозы</w:t>
      </w:r>
      <w:r w:rsidR="006D5CC7" w:rsidRPr="006D5CC7">
        <w:rPr>
          <w:rFonts w:ascii="Times New Roman" w:eastAsia="Times New Roman" w:hAnsi="Times New Roman" w:cs="Times New Roman"/>
          <w:bCs/>
          <w:lang w:eastAsia="ru-RU"/>
        </w:rPr>
        <w:t>. Гиперкальциурия, часто в сочетании с гиперкальциемией, наблюдается у больных с активным саркоидозом легких.</w:t>
      </w:r>
    </w:p>
    <w:p w:rsidR="006D5CC7" w:rsidRPr="006D5CC7" w:rsidRDefault="006D5CC7" w:rsidP="00064610">
      <w:pPr>
        <w:spacing w:line="276" w:lineRule="auto"/>
        <w:ind w:firstLine="708"/>
        <w:outlineLvl w:val="1"/>
        <w:rPr>
          <w:rFonts w:ascii="Times New Roman" w:eastAsia="Times New Roman" w:hAnsi="Times New Roman" w:cs="Times New Roman"/>
          <w:bCs/>
          <w:lang w:eastAsia="ru-RU"/>
        </w:rPr>
      </w:pPr>
      <w:r w:rsidRPr="00064610">
        <w:rPr>
          <w:rFonts w:ascii="Times New Roman" w:eastAsia="Times New Roman" w:hAnsi="Times New Roman" w:cs="Times New Roman"/>
          <w:b/>
          <w:bCs/>
          <w:lang w:eastAsia="ru-RU"/>
        </w:rPr>
        <w:t>А. Этиология.</w:t>
      </w:r>
      <w:r w:rsidRPr="006D5CC7">
        <w:rPr>
          <w:rFonts w:ascii="Times New Roman" w:eastAsia="Times New Roman" w:hAnsi="Times New Roman" w:cs="Times New Roman"/>
          <w:bCs/>
          <w:lang w:eastAsia="ru-RU"/>
        </w:rPr>
        <w:t xml:space="preserve"> Причина гиперкальциемии при саркоидозе легких — эктопический синтез и секреция 1,25(OH)2D3. Его синтезируют прежде всего альвеолярные макрофаги, входящие в состав саркоидозных гранулем. Кроме того, при саркоидозе нарушается регуляция метаболизма 1,25(OH)2D3: его синтез не подавляется при повышении уровня кальция и не зависит от ПТГ. При саркоидозе гиперкальциемия легко развивается в ответ на поступление витамина D с пищей или после инсоляции. При диссеминированном саркоидозе усиливается синтез 1,25(OH)2D3 и в костной ткани. Гиперкальциемия встречается и при других гранулематозах. В большинстве случаев она обусловлена избыточным синтезом и секрецией 1,25(OH)2D3, однако бывают случаи, когда уровень 1,25(OH)2D3 в сыворотке не повышается.</w:t>
      </w:r>
    </w:p>
    <w:p w:rsidR="006D5CC7" w:rsidRPr="006D5CC7" w:rsidRDefault="006D5CC7" w:rsidP="00064610">
      <w:pPr>
        <w:spacing w:line="276" w:lineRule="auto"/>
        <w:ind w:firstLine="708"/>
        <w:outlineLvl w:val="1"/>
        <w:rPr>
          <w:rFonts w:ascii="Times New Roman" w:eastAsia="Times New Roman" w:hAnsi="Times New Roman" w:cs="Times New Roman"/>
          <w:bCs/>
          <w:lang w:eastAsia="ru-RU"/>
        </w:rPr>
      </w:pPr>
      <w:r w:rsidRPr="00064610">
        <w:rPr>
          <w:rFonts w:ascii="Times New Roman" w:eastAsia="Times New Roman" w:hAnsi="Times New Roman" w:cs="Times New Roman"/>
          <w:b/>
          <w:bCs/>
          <w:lang w:eastAsia="ru-RU"/>
        </w:rPr>
        <w:t>Б. Дифференциальная диагностика.</w:t>
      </w:r>
      <w:r w:rsidRPr="006D5CC7">
        <w:rPr>
          <w:rFonts w:ascii="Times New Roman" w:eastAsia="Times New Roman" w:hAnsi="Times New Roman" w:cs="Times New Roman"/>
          <w:bCs/>
          <w:lang w:eastAsia="ru-RU"/>
        </w:rPr>
        <w:t xml:space="preserve"> Чтобы различить гиперкальциемию при саркоидозе и при первичном гиперпаратиреозе, применяют супрессивную пробу с глюкокортикоидами. Эта проба основана на подавлении синтеза 1,25(OH)2D3. Один раз в сутки на протяжении 7—10 сут вводят гидрокортизон в/в в дозе 150 мг или дают 40—60 мг преднизона внутрь. Затем определяют уровень кальция в сыворотке. Поскольку при саркоидозе гиперкальциемия обусловлена избытком 1,25(OH)2D3, а не избытком ПТГ, уровень кальция в сыворотке всегда снижается после введения кортикостероидов. Напротив, при первичном гиперпаратиреозе уровень кальция не снижается.</w:t>
      </w:r>
    </w:p>
    <w:p w:rsidR="006D5CC7" w:rsidRPr="00064610" w:rsidRDefault="006D5CC7" w:rsidP="00064610">
      <w:pPr>
        <w:spacing w:line="276" w:lineRule="auto"/>
        <w:ind w:firstLine="708"/>
        <w:outlineLvl w:val="1"/>
        <w:rPr>
          <w:rFonts w:ascii="Times New Roman" w:eastAsia="Times New Roman" w:hAnsi="Times New Roman" w:cs="Times New Roman"/>
          <w:b/>
          <w:bCs/>
          <w:lang w:eastAsia="ru-RU"/>
        </w:rPr>
      </w:pPr>
      <w:r w:rsidRPr="00064610">
        <w:rPr>
          <w:rFonts w:ascii="Times New Roman" w:eastAsia="Times New Roman" w:hAnsi="Times New Roman" w:cs="Times New Roman"/>
          <w:b/>
          <w:bCs/>
          <w:lang w:eastAsia="ru-RU"/>
        </w:rPr>
        <w:t>В. Лечение</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Проводят гидратационную терапию и ограничивают поступление кальция с пищей.</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Для устранения гиперкальциемии и гиперкальциурии назначают глюкокортикоиды.</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Ингибитор синтеза стероидов кетоконазол блокирует синтез 1,25(OH)2D3 в почках. У больных саркоидозом он подавляет синтез 1,25(OH)2D3 клетками гранулем и снижает содержание кальция в сыворотке.</w:t>
      </w:r>
    </w:p>
    <w:p w:rsidR="00064610" w:rsidRDefault="00064610" w:rsidP="003276B5">
      <w:pPr>
        <w:spacing w:line="276" w:lineRule="auto"/>
        <w:ind w:firstLine="0"/>
        <w:outlineLvl w:val="1"/>
        <w:rPr>
          <w:rFonts w:ascii="Times New Roman" w:eastAsia="Times New Roman" w:hAnsi="Times New Roman" w:cs="Times New Roman"/>
          <w:bCs/>
          <w:lang w:eastAsia="ru-RU"/>
        </w:rPr>
      </w:pPr>
    </w:p>
    <w:p w:rsidR="006D5CC7" w:rsidRPr="00064610" w:rsidRDefault="006D5CC7" w:rsidP="003276B5">
      <w:pPr>
        <w:spacing w:line="276" w:lineRule="auto"/>
        <w:ind w:firstLine="0"/>
        <w:outlineLvl w:val="1"/>
        <w:rPr>
          <w:rFonts w:ascii="Times New Roman" w:eastAsia="Times New Roman" w:hAnsi="Times New Roman" w:cs="Times New Roman"/>
          <w:b/>
          <w:bCs/>
          <w:lang w:eastAsia="ru-RU"/>
        </w:rPr>
      </w:pPr>
      <w:r w:rsidRPr="00064610">
        <w:rPr>
          <w:rFonts w:ascii="Times New Roman" w:eastAsia="Times New Roman" w:hAnsi="Times New Roman" w:cs="Times New Roman"/>
          <w:b/>
          <w:bCs/>
          <w:lang w:eastAsia="ru-RU"/>
        </w:rPr>
        <w:t>Гипервитаминоз D</w:t>
      </w:r>
    </w:p>
    <w:p w:rsidR="006D5CC7" w:rsidRPr="006D5CC7" w:rsidRDefault="006D5CC7" w:rsidP="00064610">
      <w:pPr>
        <w:spacing w:line="276" w:lineRule="auto"/>
        <w:ind w:firstLine="708"/>
        <w:outlineLvl w:val="1"/>
        <w:rPr>
          <w:rFonts w:ascii="Times New Roman" w:eastAsia="Times New Roman" w:hAnsi="Times New Roman" w:cs="Times New Roman"/>
          <w:bCs/>
          <w:lang w:eastAsia="ru-RU"/>
        </w:rPr>
      </w:pPr>
      <w:r w:rsidRPr="00064610">
        <w:rPr>
          <w:rFonts w:ascii="Times New Roman" w:eastAsia="Times New Roman" w:hAnsi="Times New Roman" w:cs="Times New Roman"/>
          <w:b/>
          <w:bCs/>
          <w:lang w:eastAsia="ru-RU"/>
        </w:rPr>
        <w:lastRenderedPageBreak/>
        <w:t>А. Патогенез.</w:t>
      </w:r>
      <w:r w:rsidRPr="006D5CC7">
        <w:rPr>
          <w:rFonts w:ascii="Times New Roman" w:eastAsia="Times New Roman" w:hAnsi="Times New Roman" w:cs="Times New Roman"/>
          <w:bCs/>
          <w:lang w:eastAsia="ru-RU"/>
        </w:rPr>
        <w:t xml:space="preserve"> При длительном лечении эргокальциферолом или холекальциферолом гиперкальциемия обычно обусловлена накоплением 25(OH)D3, но может быть вызвана одновременным избыточным потреблением пищевых продуктов, содержащих много кальция, например — молочных продуктов. Гипервитаминоз D описан также при употреблении молочных продуктов, обогащенных витамином D. При гипервитаминозе D уровень 25(OH)D3 в сыворотке может в 5—10 раз превышать норму, а уровень 1,25(OH)2D3 обычно нормальный или слегка повышен. Гиперкальциемия и гиперкальциурия возникают вследствие действия 25(OH)D3 на рецепторы витамина D в тонкой кишке и, возможно, в костной ткани. Из-за накопления 25(OH)D3 в мышцах и жировой ткани и медленного его высвобождения высокий уровень 25(OH)D3 в сыворотке и проявления гипервитаминоза сохраняются на протяжении недель и месяцев после прекращения приема витамина D.</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Риск гиперкальциемии повышен при приеме препаратов, более активных, чем эргокальциферол и холекальциферол. К ним относятся кальцифедиол, кальцитриол и синтетические препараты дигидротахистерол и альфакальцидол. В печени дигидротахистерол и альфакальцидол превращаются в гормонально-активные вещества — 25(OH)дигидротахистерол и 1,25(OH)2D3 соответственно. Поскольку все</w:t>
      </w:r>
      <w:r w:rsidR="00064610">
        <w:rPr>
          <w:rFonts w:ascii="Times New Roman" w:eastAsia="Times New Roman" w:hAnsi="Times New Roman" w:cs="Times New Roman"/>
          <w:bCs/>
          <w:lang w:eastAsia="ru-RU"/>
        </w:rPr>
        <w:t xml:space="preserve"> </w:t>
      </w:r>
      <w:r w:rsidRPr="006D5CC7">
        <w:rPr>
          <w:rFonts w:ascii="Times New Roman" w:eastAsia="Times New Roman" w:hAnsi="Times New Roman" w:cs="Times New Roman"/>
          <w:bCs/>
          <w:lang w:eastAsia="ru-RU"/>
        </w:rPr>
        <w:t>перечисленные препараты метаболизируются быстро, продолжительность гиперкальциемии после прекращения их приема меньше, чем после прекращения приема эргокальциферола и холекальциферола.</w:t>
      </w:r>
    </w:p>
    <w:p w:rsidR="006D5CC7" w:rsidRPr="006D5CC7" w:rsidRDefault="006D5CC7" w:rsidP="00064610">
      <w:pPr>
        <w:spacing w:line="276" w:lineRule="auto"/>
        <w:ind w:firstLine="708"/>
        <w:outlineLvl w:val="1"/>
        <w:rPr>
          <w:rFonts w:ascii="Times New Roman" w:eastAsia="Times New Roman" w:hAnsi="Times New Roman" w:cs="Times New Roman"/>
          <w:bCs/>
          <w:lang w:eastAsia="ru-RU"/>
        </w:rPr>
      </w:pPr>
      <w:r w:rsidRPr="00064610">
        <w:rPr>
          <w:rFonts w:ascii="Times New Roman" w:eastAsia="Times New Roman" w:hAnsi="Times New Roman" w:cs="Times New Roman"/>
          <w:b/>
          <w:bCs/>
          <w:lang w:eastAsia="ru-RU"/>
        </w:rPr>
        <w:t>Б. Лечение.</w:t>
      </w:r>
      <w:r w:rsidRPr="006D5CC7">
        <w:rPr>
          <w:rFonts w:ascii="Times New Roman" w:eastAsia="Times New Roman" w:hAnsi="Times New Roman" w:cs="Times New Roman"/>
          <w:bCs/>
          <w:lang w:eastAsia="ru-RU"/>
        </w:rPr>
        <w:t xml:space="preserve"> Отмена препаратов витамина D и ограничение потребления кальция с пищей. При тяжелой гиперкальциемии на несколько недель или месяцев назначают глюкокортикоиды, </w:t>
      </w:r>
      <w:proofErr w:type="gramStart"/>
      <w:r w:rsidRPr="006D5CC7">
        <w:rPr>
          <w:rFonts w:ascii="Times New Roman" w:eastAsia="Times New Roman" w:hAnsi="Times New Roman" w:cs="Times New Roman"/>
          <w:bCs/>
          <w:lang w:eastAsia="ru-RU"/>
        </w:rPr>
        <w:t>например</w:t>
      </w:r>
      <w:proofErr w:type="gramEnd"/>
      <w:r w:rsidRPr="006D5CC7">
        <w:rPr>
          <w:rFonts w:ascii="Times New Roman" w:eastAsia="Times New Roman" w:hAnsi="Times New Roman" w:cs="Times New Roman"/>
          <w:bCs/>
          <w:lang w:eastAsia="ru-RU"/>
        </w:rPr>
        <w:t xml:space="preserve"> преднизон внутрь, 40—60 мг/сут. Кортикостероиды блокируют действие витамина D на тонкую кишку и кости.</w:t>
      </w:r>
    </w:p>
    <w:p w:rsidR="006D5CC7" w:rsidRPr="00064610" w:rsidRDefault="006D5CC7" w:rsidP="00064610">
      <w:pPr>
        <w:spacing w:line="276" w:lineRule="auto"/>
        <w:ind w:firstLine="0"/>
        <w:jc w:val="center"/>
        <w:outlineLvl w:val="1"/>
        <w:rPr>
          <w:rFonts w:ascii="Times New Roman" w:eastAsia="Times New Roman" w:hAnsi="Times New Roman" w:cs="Times New Roman"/>
          <w:b/>
          <w:bCs/>
          <w:lang w:eastAsia="ru-RU"/>
        </w:rPr>
      </w:pPr>
      <w:r w:rsidRPr="00064610">
        <w:rPr>
          <w:rFonts w:ascii="Times New Roman" w:eastAsia="Times New Roman" w:hAnsi="Times New Roman" w:cs="Times New Roman"/>
          <w:b/>
          <w:bCs/>
          <w:lang w:eastAsia="ru-RU"/>
        </w:rPr>
        <w:t>Тиреотоксикоз. Гиперкальциемия выявляется у 15—20% больных. Она вызвана усилением резорбции кости под влиянием избытка T4.</w:t>
      </w:r>
    </w:p>
    <w:p w:rsidR="00064610" w:rsidRDefault="00064610" w:rsidP="003276B5">
      <w:pPr>
        <w:spacing w:line="276" w:lineRule="auto"/>
        <w:ind w:firstLine="0"/>
        <w:outlineLvl w:val="1"/>
        <w:rPr>
          <w:rFonts w:ascii="Times New Roman" w:eastAsia="Times New Roman" w:hAnsi="Times New Roman" w:cs="Times New Roman"/>
          <w:bCs/>
          <w:lang w:eastAsia="ru-RU"/>
        </w:rPr>
      </w:pPr>
    </w:p>
    <w:p w:rsidR="006D5CC7" w:rsidRPr="006D5CC7" w:rsidRDefault="006D5CC7" w:rsidP="00064610">
      <w:pPr>
        <w:spacing w:line="276" w:lineRule="auto"/>
        <w:ind w:firstLine="708"/>
        <w:outlineLvl w:val="1"/>
        <w:rPr>
          <w:rFonts w:ascii="Times New Roman" w:eastAsia="Times New Roman" w:hAnsi="Times New Roman" w:cs="Times New Roman"/>
          <w:bCs/>
          <w:lang w:eastAsia="ru-RU"/>
        </w:rPr>
      </w:pPr>
      <w:r w:rsidRPr="00064610">
        <w:rPr>
          <w:rFonts w:ascii="Times New Roman" w:eastAsia="Times New Roman" w:hAnsi="Times New Roman" w:cs="Times New Roman"/>
          <w:b/>
          <w:bCs/>
          <w:lang w:eastAsia="ru-RU"/>
        </w:rPr>
        <w:t>А. Диагноз несложен</w:t>
      </w:r>
      <w:r w:rsidRPr="006D5CC7">
        <w:rPr>
          <w:rFonts w:ascii="Times New Roman" w:eastAsia="Times New Roman" w:hAnsi="Times New Roman" w:cs="Times New Roman"/>
          <w:bCs/>
          <w:lang w:eastAsia="ru-RU"/>
        </w:rPr>
        <w:t>, если нет сопутствующих заболеваний (например, первичного гиперпаратиреоза). Гиперкальциемия обычно умеренная, что объясняют компенсаторным усилением экскреции кальция и торможением его всасывания в кишечнике. Уровни ПТГ1—84 и 1,25(OH)2D3 в сыворотке снижены.</w:t>
      </w:r>
    </w:p>
    <w:p w:rsidR="006D5CC7" w:rsidRPr="006D5CC7" w:rsidRDefault="006D5CC7" w:rsidP="00064610">
      <w:pPr>
        <w:spacing w:line="276" w:lineRule="auto"/>
        <w:ind w:firstLine="708"/>
        <w:outlineLvl w:val="1"/>
        <w:rPr>
          <w:rFonts w:ascii="Times New Roman" w:eastAsia="Times New Roman" w:hAnsi="Times New Roman" w:cs="Times New Roman"/>
          <w:bCs/>
          <w:lang w:eastAsia="ru-RU"/>
        </w:rPr>
      </w:pPr>
      <w:r w:rsidRPr="00064610">
        <w:rPr>
          <w:rFonts w:ascii="Times New Roman" w:eastAsia="Times New Roman" w:hAnsi="Times New Roman" w:cs="Times New Roman"/>
          <w:b/>
          <w:bCs/>
          <w:lang w:eastAsia="ru-RU"/>
        </w:rPr>
        <w:t>Б. Лечение.</w:t>
      </w:r>
      <w:r w:rsidRPr="006D5CC7">
        <w:rPr>
          <w:rFonts w:ascii="Times New Roman" w:eastAsia="Times New Roman" w:hAnsi="Times New Roman" w:cs="Times New Roman"/>
          <w:bCs/>
          <w:lang w:eastAsia="ru-RU"/>
        </w:rPr>
        <w:t xml:space="preserve"> Основное заболевание лечат антитиреоидными средствами либо хирургическим путем. При тяжелой гиперкальциемии назначают бета-адреноблокаторы, </w:t>
      </w:r>
      <w:proofErr w:type="gramStart"/>
      <w:r w:rsidRPr="006D5CC7">
        <w:rPr>
          <w:rFonts w:ascii="Times New Roman" w:eastAsia="Times New Roman" w:hAnsi="Times New Roman" w:cs="Times New Roman"/>
          <w:bCs/>
          <w:lang w:eastAsia="ru-RU"/>
        </w:rPr>
        <w:t>например</w:t>
      </w:r>
      <w:proofErr w:type="gramEnd"/>
      <w:r w:rsidRPr="006D5CC7">
        <w:rPr>
          <w:rFonts w:ascii="Times New Roman" w:eastAsia="Times New Roman" w:hAnsi="Times New Roman" w:cs="Times New Roman"/>
          <w:bCs/>
          <w:lang w:eastAsia="ru-RU"/>
        </w:rPr>
        <w:t xml:space="preserve"> пропранолол, по 20—40 мг внутрь 4 раза в сутки. Бета-адреноблокаторы позволяют устранить гиперкальциемию до получения эффекта от лечения антитиреоидными средствами.</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Феохромоцитома. При изолированной феохромоцитоме гиперкальциемия обусловлена снижением ОЦК, гемоконцентрацией и избыточной секрецией ПТГ, вызванной катехоламинами. Иногда опухоль секретирует ПТГ-подобные пептиды. После удаления опухоли гиперкальциемия исчезает. При МЭН типа IIa феохромоцитома сочетается с первичным гиперпаратиреозом. В таких случаях лечение должно быть направлено на устранение обоих заболеваний.</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Гипоадреналовый криз иногда сопровождается умеренной или тяжелой гиперкальциемией. Причины: снижение ОЦК, гемоконцентрация, снижение СКФ (усиливает канальцевую реабсорбцию кальция), вымывание кальция из костной ткани, вызванное повышением чувствительности к витамину D. Лечение: инфузия жидкостей, глюкокортикоиды.</w:t>
      </w:r>
    </w:p>
    <w:p w:rsidR="006D5CC7" w:rsidRPr="00064610" w:rsidRDefault="006D5CC7" w:rsidP="003276B5">
      <w:pPr>
        <w:spacing w:line="276" w:lineRule="auto"/>
        <w:ind w:firstLine="0"/>
        <w:outlineLvl w:val="1"/>
        <w:rPr>
          <w:rFonts w:ascii="Times New Roman" w:eastAsia="Times New Roman" w:hAnsi="Times New Roman" w:cs="Times New Roman"/>
          <w:b/>
          <w:bCs/>
          <w:lang w:eastAsia="ru-RU"/>
        </w:rPr>
      </w:pPr>
      <w:r w:rsidRPr="00064610">
        <w:rPr>
          <w:rFonts w:ascii="Times New Roman" w:eastAsia="Times New Roman" w:hAnsi="Times New Roman" w:cs="Times New Roman"/>
          <w:b/>
          <w:bCs/>
          <w:lang w:eastAsia="ru-RU"/>
        </w:rPr>
        <w:t>Синдром Бернетта (молочно-щелочной синдром)</w:t>
      </w:r>
    </w:p>
    <w:p w:rsidR="006D5CC7" w:rsidRPr="006D5CC7" w:rsidRDefault="006D5CC7" w:rsidP="00064610">
      <w:pPr>
        <w:spacing w:line="276" w:lineRule="auto"/>
        <w:ind w:firstLine="708"/>
        <w:outlineLvl w:val="1"/>
        <w:rPr>
          <w:rFonts w:ascii="Times New Roman" w:eastAsia="Times New Roman" w:hAnsi="Times New Roman" w:cs="Times New Roman"/>
          <w:bCs/>
          <w:lang w:eastAsia="ru-RU"/>
        </w:rPr>
      </w:pPr>
      <w:r w:rsidRPr="00064610">
        <w:rPr>
          <w:rFonts w:ascii="Times New Roman" w:eastAsia="Times New Roman" w:hAnsi="Times New Roman" w:cs="Times New Roman"/>
          <w:b/>
          <w:bCs/>
          <w:lang w:eastAsia="ru-RU"/>
        </w:rPr>
        <w:t>А. Этиология и патогенез.</w:t>
      </w:r>
      <w:r w:rsidRPr="006D5CC7">
        <w:rPr>
          <w:rFonts w:ascii="Times New Roman" w:eastAsia="Times New Roman" w:hAnsi="Times New Roman" w:cs="Times New Roman"/>
          <w:bCs/>
          <w:lang w:eastAsia="ru-RU"/>
        </w:rPr>
        <w:t xml:space="preserve"> Это заболевание характеризуется гиперкальциемией, метаболическим алкалозом и нарушениями функции почек. Оно чаще всего обусловлено одновременным потреблением </w:t>
      </w:r>
      <w:r w:rsidRPr="006D5CC7">
        <w:rPr>
          <w:rFonts w:ascii="Times New Roman" w:eastAsia="Times New Roman" w:hAnsi="Times New Roman" w:cs="Times New Roman"/>
          <w:bCs/>
          <w:lang w:eastAsia="ru-RU"/>
        </w:rPr>
        <w:lastRenderedPageBreak/>
        <w:t>больших количеств молока или пищевых добавок, содержащих кальций, и антацидов (например, бикарбоната натрия). Синдром Бернетта нередко возникает на фоне длительного лечения остеопороза карбонатом кальция, а также при лечении гастрита или язвенной болезни желудка антацидами. Заболевание поражает прежде всего лиц с нарушенной регуляцией всасывания кальция в кишечнике. Основные этапы патогенеза:</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Усиление всасывания кальция приводит к легкой гиперкальциемии.</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Гиперкальциемия увеличивает экскрецию натрия в почках, вызывает дегидратацию и подавляет секрецию ПТГ.</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ab/>
        <w:t>В результате усиливается реабсорбция бикарбоната в почках, что приводит к алкалозу.</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Алкалоз усиливает реабсорбцию кальция в почках, что приводит к умеренной или тяжелой гиперкальциемии. Задержка кальция в почках обусловлена также снижением СКФ.</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Лечение витамином D, а также заболевания, характеризующиеся усиленным всасыванием кальция (например, первичный гиперпаратиреоз), еще больше усиливают гиперкальциемию.</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 xml:space="preserve"> </w:t>
      </w:r>
    </w:p>
    <w:p w:rsidR="006D5CC7" w:rsidRPr="00064610" w:rsidRDefault="006D5CC7" w:rsidP="00064610">
      <w:pPr>
        <w:spacing w:line="276" w:lineRule="auto"/>
        <w:ind w:firstLine="708"/>
        <w:outlineLvl w:val="1"/>
        <w:rPr>
          <w:rFonts w:ascii="Times New Roman" w:eastAsia="Times New Roman" w:hAnsi="Times New Roman" w:cs="Times New Roman"/>
          <w:b/>
          <w:bCs/>
          <w:lang w:eastAsia="ru-RU"/>
        </w:rPr>
      </w:pPr>
      <w:r w:rsidRPr="00064610">
        <w:rPr>
          <w:rFonts w:ascii="Times New Roman" w:eastAsia="Times New Roman" w:hAnsi="Times New Roman" w:cs="Times New Roman"/>
          <w:b/>
          <w:bCs/>
          <w:lang w:eastAsia="ru-RU"/>
        </w:rPr>
        <w:t>Б. Классификация</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ab/>
        <w:t>Острая форма синдрома развивается уже через несколько дней после начала приема кальция и антацидов и характеризуется умеренной или тяжелой гиперкальциемией, алкалозом, небольшим повышением уровня фосфата в сыворотке, умеренной азотемией и снижением концентрационной способности почек. Клинические проявления: слабость, утомляемость, раздражительность, депрессия, боль в мышцах. Все нарушения проходят через несколько дней после прекращения приема кальция и щелочей.</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ab/>
        <w:t>Хроническая форма синдрома характеризуется тяжелой стойкой гиперкальциемией, необратимыми нарушениями функции почек, нефрокальцинозом, появлением кальцификатов в мышцах и коже. Некоторые больные погибают от почечной недостаточности.</w:t>
      </w:r>
    </w:p>
    <w:p w:rsidR="006D5CC7" w:rsidRPr="006D5CC7" w:rsidRDefault="006D5CC7" w:rsidP="00064610">
      <w:pPr>
        <w:spacing w:line="276" w:lineRule="auto"/>
        <w:ind w:firstLine="708"/>
        <w:outlineLvl w:val="1"/>
        <w:rPr>
          <w:rFonts w:ascii="Times New Roman" w:eastAsia="Times New Roman" w:hAnsi="Times New Roman" w:cs="Times New Roman"/>
          <w:bCs/>
          <w:lang w:eastAsia="ru-RU"/>
        </w:rPr>
      </w:pPr>
      <w:r w:rsidRPr="00064610">
        <w:rPr>
          <w:rFonts w:ascii="Times New Roman" w:eastAsia="Times New Roman" w:hAnsi="Times New Roman" w:cs="Times New Roman"/>
          <w:b/>
          <w:bCs/>
          <w:lang w:eastAsia="ru-RU"/>
        </w:rPr>
        <w:t>В. Лечение:</w:t>
      </w:r>
      <w:r w:rsidRPr="006D5CC7">
        <w:rPr>
          <w:rFonts w:ascii="Times New Roman" w:eastAsia="Times New Roman" w:hAnsi="Times New Roman" w:cs="Times New Roman"/>
          <w:bCs/>
          <w:lang w:eastAsia="ru-RU"/>
        </w:rPr>
        <w:t xml:space="preserve"> прекращение приема кальция и антацидов, регидратация; лечение сопутствующих заболеваний — первичного гиперпаратиреоза, язвенной болезни желудка.</w:t>
      </w:r>
    </w:p>
    <w:p w:rsidR="006D5CC7" w:rsidRPr="006D5CC7" w:rsidRDefault="006D5CC7" w:rsidP="00064610">
      <w:pPr>
        <w:spacing w:line="276" w:lineRule="auto"/>
        <w:ind w:firstLine="708"/>
        <w:outlineLvl w:val="1"/>
        <w:rPr>
          <w:rFonts w:ascii="Times New Roman" w:eastAsia="Times New Roman" w:hAnsi="Times New Roman" w:cs="Times New Roman"/>
          <w:bCs/>
          <w:lang w:eastAsia="ru-RU"/>
        </w:rPr>
      </w:pPr>
      <w:r w:rsidRPr="00064610">
        <w:rPr>
          <w:rFonts w:ascii="Times New Roman" w:eastAsia="Times New Roman" w:hAnsi="Times New Roman" w:cs="Times New Roman"/>
          <w:b/>
          <w:bCs/>
          <w:lang w:eastAsia="ru-RU"/>
        </w:rPr>
        <w:t>Г.</w:t>
      </w:r>
      <w:r w:rsidRPr="006D5CC7">
        <w:rPr>
          <w:rFonts w:ascii="Times New Roman" w:eastAsia="Times New Roman" w:hAnsi="Times New Roman" w:cs="Times New Roman"/>
          <w:bCs/>
          <w:lang w:eastAsia="ru-RU"/>
        </w:rPr>
        <w:t xml:space="preserve"> В последнее время для лечения гастрита и язвенной болезни желудка применяют главным образом H2-блокаторы (циметидин и ранитидин) и невсасывающиеся антациды, поэтому синдром Бернетта у таких больных встречается реже.</w:t>
      </w:r>
    </w:p>
    <w:p w:rsidR="00064610" w:rsidRDefault="006D5CC7" w:rsidP="003276B5">
      <w:pPr>
        <w:spacing w:line="276" w:lineRule="auto"/>
        <w:ind w:firstLine="0"/>
        <w:outlineLvl w:val="1"/>
        <w:rPr>
          <w:rFonts w:ascii="Times New Roman" w:eastAsia="Times New Roman" w:hAnsi="Times New Roman" w:cs="Times New Roman"/>
          <w:bCs/>
          <w:lang w:eastAsia="ru-RU"/>
        </w:rPr>
      </w:pPr>
      <w:r w:rsidRPr="00064610">
        <w:rPr>
          <w:rFonts w:ascii="Times New Roman" w:eastAsia="Times New Roman" w:hAnsi="Times New Roman" w:cs="Times New Roman"/>
          <w:b/>
          <w:bCs/>
          <w:lang w:eastAsia="ru-RU"/>
        </w:rPr>
        <w:t>Медикаментозное лечение гиперкальциемии</w:t>
      </w:r>
      <w:r w:rsidRPr="006D5CC7">
        <w:rPr>
          <w:rFonts w:ascii="Times New Roman" w:eastAsia="Times New Roman" w:hAnsi="Times New Roman" w:cs="Times New Roman"/>
          <w:bCs/>
          <w:lang w:eastAsia="ru-RU"/>
        </w:rPr>
        <w:t xml:space="preserve"> </w:t>
      </w:r>
    </w:p>
    <w:p w:rsidR="006D5CC7" w:rsidRPr="00064610" w:rsidRDefault="006D5CC7" w:rsidP="00064610">
      <w:pPr>
        <w:spacing w:line="276" w:lineRule="auto"/>
        <w:ind w:firstLine="708"/>
        <w:outlineLvl w:val="1"/>
        <w:rPr>
          <w:rFonts w:ascii="Times New Roman" w:eastAsia="Times New Roman" w:hAnsi="Times New Roman" w:cs="Times New Roman"/>
          <w:b/>
          <w:bCs/>
          <w:lang w:eastAsia="ru-RU"/>
        </w:rPr>
      </w:pPr>
      <w:r w:rsidRPr="00064610">
        <w:rPr>
          <w:rFonts w:ascii="Times New Roman" w:eastAsia="Times New Roman" w:hAnsi="Times New Roman" w:cs="Times New Roman"/>
          <w:b/>
          <w:bCs/>
          <w:lang w:eastAsia="ru-RU"/>
        </w:rPr>
        <w:t>А. Общие правила</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Восстановление ОЦК.</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Устранение электролитных нарушений, прежде всего — гипокалиемии.</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Отмена или снижение дозы сердечных гликозидов (гиперкальциемия усиливает их токсичность).</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ab/>
        <w:t>Отмена лекарственных средств, вызывающих гиперкальциемию: витамина D, витамина A, эстрогенов, антиэстрогенов, тиазидных диуретиков.</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Уменьшение потребления кальция с пищей в тех случаях, когда гиперкальциемия обусловлена усиленным всасыванием кальция в кишечнике (например, при гипервитаминозе D, синдроме Бернетта).</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Лежачим больным по возможности назначают физические нагрузки.</w:t>
      </w:r>
    </w:p>
    <w:p w:rsidR="006D5CC7" w:rsidRPr="00064610" w:rsidRDefault="006D5CC7" w:rsidP="00064610">
      <w:pPr>
        <w:spacing w:line="276" w:lineRule="auto"/>
        <w:ind w:firstLine="708"/>
        <w:outlineLvl w:val="1"/>
        <w:rPr>
          <w:rFonts w:ascii="Times New Roman" w:eastAsia="Times New Roman" w:hAnsi="Times New Roman" w:cs="Times New Roman"/>
          <w:b/>
          <w:bCs/>
          <w:lang w:eastAsia="ru-RU"/>
        </w:rPr>
      </w:pPr>
      <w:r w:rsidRPr="00064610">
        <w:rPr>
          <w:rFonts w:ascii="Times New Roman" w:eastAsia="Times New Roman" w:hAnsi="Times New Roman" w:cs="Times New Roman"/>
          <w:b/>
          <w:bCs/>
          <w:lang w:eastAsia="ru-RU"/>
        </w:rPr>
        <w:t>Б. Способы лечения</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ab/>
        <w:t>Снижение вымывания кальция из костей или усиление поступления кальция в кости</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064610">
        <w:rPr>
          <w:rFonts w:ascii="Times New Roman" w:eastAsia="Times New Roman" w:hAnsi="Times New Roman" w:cs="Times New Roman"/>
          <w:bCs/>
          <w:i/>
          <w:lang w:eastAsia="ru-RU"/>
        </w:rPr>
        <w:t>а. Кальцитонин</w:t>
      </w:r>
      <w:r w:rsidRPr="006D5CC7">
        <w:rPr>
          <w:rFonts w:ascii="Times New Roman" w:eastAsia="Times New Roman" w:hAnsi="Times New Roman" w:cs="Times New Roman"/>
          <w:bCs/>
          <w:lang w:eastAsia="ru-RU"/>
        </w:rPr>
        <w:t xml:space="preserve"> быстро подавляет активность остеокластов и снижает канальцевую реабсорбцию кальция. Кроме того, он стимулирует остеобласты, усиливая захват кальция костной тканью. Уровень кальция </w:t>
      </w:r>
      <w:r w:rsidRPr="006D5CC7">
        <w:rPr>
          <w:rFonts w:ascii="Times New Roman" w:eastAsia="Times New Roman" w:hAnsi="Times New Roman" w:cs="Times New Roman"/>
          <w:bCs/>
          <w:lang w:eastAsia="ru-RU"/>
        </w:rPr>
        <w:lastRenderedPageBreak/>
        <w:t>снижается уже через 2—4 ч после введения препарата. Длительность действия кальцитонина невелика — всего 6— 8 ч. Кальцитонин лосося и человека одинаково эффективны.</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Кальцитонин назначают в/м и п/к. Начальная суточная доза: 6—8 ед/кг; максимальная суточная доза: 32 ед/кг. Дозу разделяют и вводят препарат каждые 6—12 ч. Нередко эффективность препарата снижается, если лечение продолжается более 3 сут. Иногда удается предупредить снижение эффективности кальцитонина с помощью глюкокортикоидов (преднизон внутрь, 30—60 мг/сут). Комбинированное лечение кальцитонином и глюкокортикоидами позволяет добиться стойкого снижения уровня кальция на срок до нескольких недель. Имеются также препараты кальцитонина в виде аэрозолей для интраназального введения и в виде ректальных свечей.</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 xml:space="preserve"> </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Обычно кальцитонин вызывает умеренное снижение уровня кальция в сыворотке. Главное достоинство кальцитонина — низкая токсичность. Препарат особенно эффективен при гиперкальциемии, вызванной витамином D или длительной обездвиженностью.</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064610">
        <w:rPr>
          <w:rFonts w:ascii="Times New Roman" w:eastAsia="Times New Roman" w:hAnsi="Times New Roman" w:cs="Times New Roman"/>
          <w:bCs/>
          <w:i/>
          <w:lang w:eastAsia="ru-RU"/>
        </w:rPr>
        <w:t>б. Дифосфонаты.</w:t>
      </w:r>
      <w:r w:rsidRPr="006D5CC7">
        <w:rPr>
          <w:rFonts w:ascii="Times New Roman" w:eastAsia="Times New Roman" w:hAnsi="Times New Roman" w:cs="Times New Roman"/>
          <w:bCs/>
          <w:lang w:eastAsia="ru-RU"/>
        </w:rPr>
        <w:t xml:space="preserve"> Эти препараты по структуре сходны с естественным метаболитом — пирофосфатом (PO43–). Все дифосфонаты связываются с гидроксиапатитом костной ткани и уменьшают его растворимость, а также снижают активность остеокластов. К первому поколению дифосфонатов относятся производные клодроновой и этидроновой кислот, ко второму — производные памидроновой, алендроновой и тилудроновой кислот. Препараты второго поколения менее токсичны; они не только подавляют резорбцию кости, но и стимулируют остеобласты. В США разрешены к применению:</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ab/>
        <w:t>Этидронат натрия для приема внутрь и в/в введения. При лечении гиперкальциемии этот препарат назначают в виде ежедневных 4-часовых в/в инфузий в дозе 7,5 мг/кг; длительность лечения 3—7 сут. Этидронат натрия для приема внутрь неэффективен при лечении гиперкальциемии.</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Памидронат натрия для в/в введения. Это более активный препарат. Его вводят однократно, в дозе 90 мг за 24 ч либо в дозе 15—45 мг/сут на протяжении 3—6 сут.</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Тилудронат натрия для приема внутрь. Максимальная суточная доза: 400 мг. Пока используется только для лечения болезни Педжета.</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Алендронат натрия для приема внутрь. Максимальная суточная доза: 40 мг. Применяется главным образом для лечения паранеопластической гиперкальциемии.</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В Европе для длительного лечения гиперкальциемии применяют также производные клодроновой и памидроновой кислот для приема внутрь.</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Сравнительная оценка эффективности дифосфонатов затруднена из-за применения разных схем лечения. Успешность лечения зависит от дозы препарата и тяжести основного заболевания. При подборе и коррекции схемы лечения ориентируются на исходный уровень и скорость снижения уровня кальция в сыворотке. Памидронат натрия, в отличие от этидроната натрия, устраняет гиперкальциемию при приеме внутрь. При в/в введении оба препарата хорошо переносятся, побочные эффекты незначительны. Основной недостаток всех дифосфонатов — кратковременность действия, поэтому при длительном лечении гиперкальциемии требуется их постоянное введение. Масштабные проспективные исследования эффективности длительного применения дифосфонатов не проводились. В одном из клинических центров показали, что длительное применение этидроната натрия может нарушать минерализацию костей и вызывать остеомаляцию.</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064610">
        <w:rPr>
          <w:rFonts w:ascii="Times New Roman" w:eastAsia="Times New Roman" w:hAnsi="Times New Roman" w:cs="Times New Roman"/>
          <w:bCs/>
          <w:i/>
          <w:lang w:eastAsia="ru-RU"/>
        </w:rPr>
        <w:t>в. Пликамицин.</w:t>
      </w:r>
      <w:r w:rsidRPr="006D5CC7">
        <w:rPr>
          <w:rFonts w:ascii="Times New Roman" w:eastAsia="Times New Roman" w:hAnsi="Times New Roman" w:cs="Times New Roman"/>
          <w:bCs/>
          <w:lang w:eastAsia="ru-RU"/>
        </w:rPr>
        <w:t xml:space="preserve"> Это противоопухолевое средство подавляет синтез РНК, в том числе в остеокластах. Однократное в/в введение пликамицина в дозе 15— 25 мкг/кг быстро снижает активность остеокластов. Уровень кальция начинает падать через 12—24 ч. Иногда достаточно однократного введения, в других </w:t>
      </w:r>
      <w:r w:rsidRPr="006D5CC7">
        <w:rPr>
          <w:rFonts w:ascii="Times New Roman" w:eastAsia="Times New Roman" w:hAnsi="Times New Roman" w:cs="Times New Roman"/>
          <w:bCs/>
          <w:lang w:eastAsia="ru-RU"/>
        </w:rPr>
        <w:lastRenderedPageBreak/>
        <w:t>случаях для устранения гиперкальциемии требуется 3—4-суточный курс лечения. Повторные курсы с интервалами в 1—3 нед позволяют длительно поддерживать нормокальциемию. Поэтому пликамицин применяют для лечения хронической гиперкальциемии, особенно паранеопластической гиперкальциемии. Побочные эффекты (тромбоцитопения, нарушения функции почек и печени) и токсичность обусловлены накоплением препарата в тканях и зависят от дозы.</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 xml:space="preserve"> </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064610">
        <w:rPr>
          <w:rFonts w:ascii="Times New Roman" w:eastAsia="Times New Roman" w:hAnsi="Times New Roman" w:cs="Times New Roman"/>
          <w:bCs/>
          <w:i/>
          <w:lang w:eastAsia="ru-RU"/>
        </w:rPr>
        <w:t>г. Галлия нитрат</w:t>
      </w:r>
      <w:r w:rsidRPr="006D5CC7">
        <w:rPr>
          <w:rFonts w:ascii="Times New Roman" w:eastAsia="Times New Roman" w:hAnsi="Times New Roman" w:cs="Times New Roman"/>
          <w:bCs/>
          <w:lang w:eastAsia="ru-RU"/>
        </w:rPr>
        <w:t xml:space="preserve"> снижает вымывание кальция из костей, связываясь с гидроксиапатитом и уменьшая его растворимость. На остеокласты этот препарат не действует. Галлия нитрат назначают в/в, на 5—10 сут. Иногда достаточен более короткий курс лечения. Обычная суточная доза при тяжелой гиперкальциемии: 200 мг/м2. Действие препарата начинается через 1—2 сут; уровень кальция снижается постепенно в течение 5—8 сут и более. Нормальный уровень кальция сохраняется на протяжении 6—10 сут. Препарат нефротоксичен, поэтому при почечной недостаточности его применяют с осторожностью. При концентрации креатинина в </w:t>
      </w:r>
      <w:proofErr w:type="gramStart"/>
      <w:r w:rsidRPr="006D5CC7">
        <w:rPr>
          <w:rFonts w:ascii="Times New Roman" w:eastAsia="Times New Roman" w:hAnsi="Times New Roman" w:cs="Times New Roman"/>
          <w:bCs/>
          <w:lang w:eastAsia="ru-RU"/>
        </w:rPr>
        <w:t>сыворотке &gt;</w:t>
      </w:r>
      <w:proofErr w:type="gramEnd"/>
      <w:r w:rsidRPr="006D5CC7">
        <w:rPr>
          <w:rFonts w:ascii="Times New Roman" w:eastAsia="Times New Roman" w:hAnsi="Times New Roman" w:cs="Times New Roman"/>
          <w:bCs/>
          <w:lang w:eastAsia="ru-RU"/>
        </w:rPr>
        <w:t xml:space="preserve"> 2,5 мг% препарат противопоказан.</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064610">
        <w:rPr>
          <w:rFonts w:ascii="Times New Roman" w:eastAsia="Times New Roman" w:hAnsi="Times New Roman" w:cs="Times New Roman"/>
          <w:bCs/>
          <w:i/>
          <w:lang w:eastAsia="ru-RU"/>
        </w:rPr>
        <w:t>д. Фосфаты</w:t>
      </w:r>
      <w:r w:rsidRPr="006D5CC7">
        <w:rPr>
          <w:rFonts w:ascii="Times New Roman" w:eastAsia="Times New Roman" w:hAnsi="Times New Roman" w:cs="Times New Roman"/>
          <w:bCs/>
          <w:lang w:eastAsia="ru-RU"/>
        </w:rPr>
        <w:t xml:space="preserve"> подавляют активность остеокластов и, возможно, стимулируют отложение минеральных веществ в костной ткани. Их не применяют при почечной недостаточности из-за возможного накопления фосфата кальция в почках. Обычно фосфаты назначают внутрь в дозе 1000—1500 мг/сут в пересчете на фосфор, в несколько приемов. Максимальная доза: 3000 мг/сут. При в/в введении (в течение 4—6 ч) доза не должна превышать 1000 мг/сут. Необходимо следить за электролитами крови и функцией почек. Возможно отложение фосфата кальция в мягких тканях, если произведение [Ca2+</w:t>
      </w:r>
      <w:proofErr w:type="gramStart"/>
      <w:r w:rsidRPr="006D5CC7">
        <w:rPr>
          <w:rFonts w:ascii="Times New Roman" w:eastAsia="Times New Roman" w:hAnsi="Times New Roman" w:cs="Times New Roman"/>
          <w:bCs/>
          <w:lang w:eastAsia="ru-RU"/>
        </w:rPr>
        <w:t xml:space="preserve">] </w:t>
      </w:r>
      <w:r w:rsidRPr="006D5CC7">
        <w:rPr>
          <w:rFonts w:ascii="Times New Roman" w:eastAsia="Times New Roman" w:hAnsi="Times New Roman" w:cs="Times New Roman"/>
          <w:bCs/>
          <w:lang w:eastAsia="ru-RU"/>
        </w:rPr>
        <w:t> [</w:t>
      </w:r>
      <w:proofErr w:type="gramEnd"/>
      <w:r w:rsidRPr="006D5CC7">
        <w:rPr>
          <w:rFonts w:ascii="Times New Roman" w:eastAsia="Times New Roman" w:hAnsi="Times New Roman" w:cs="Times New Roman"/>
          <w:bCs/>
          <w:lang w:eastAsia="ru-RU"/>
        </w:rPr>
        <w:t>PO43–] &gt; 40. Фосфаты противопоказаны при концентрации общего кальция в сыворотке &gt; 3 ммоль/л. При длительном лечении фосфатами необходимо регулярно оценивать функцию почек и проводить рентгеноскопию.</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064610">
        <w:rPr>
          <w:rFonts w:ascii="Times New Roman" w:eastAsia="Times New Roman" w:hAnsi="Times New Roman" w:cs="Times New Roman"/>
          <w:bCs/>
          <w:i/>
          <w:lang w:eastAsia="ru-RU"/>
        </w:rPr>
        <w:t>е. Амифостин</w:t>
      </w:r>
      <w:r w:rsidRPr="006D5CC7">
        <w:rPr>
          <w:rFonts w:ascii="Times New Roman" w:eastAsia="Times New Roman" w:hAnsi="Times New Roman" w:cs="Times New Roman"/>
          <w:bCs/>
          <w:lang w:eastAsia="ru-RU"/>
        </w:rPr>
        <w:t>. Препарат изначально разрабатывался как антидот, радиопротектор и химиотерапевтическое средство для лечения злокачественных новообразований. В ходе клинических испытаний препарата обнаружили, что он снижает уровень кальция в сыворотке путем прямого угнетения секреции ПТГ, подавления резорбции костной ткани остеокластами и подавления канальцевой реабсорбции кальция. Опыт применения амифостина для лечения гиперкальциемии пока невелик. Для поддержания нормального уровня кальция требуется непрерывное введение амифостина. Препарат малотоксичен, но возможны побочные эффекты — тошнота, рвота, сонливость, чихание, артериальная гипотония.</w:t>
      </w:r>
    </w:p>
    <w:p w:rsidR="006D5CC7" w:rsidRPr="00064610" w:rsidRDefault="006D5CC7" w:rsidP="00064610">
      <w:pPr>
        <w:spacing w:line="276" w:lineRule="auto"/>
        <w:ind w:firstLine="708"/>
        <w:outlineLvl w:val="1"/>
        <w:rPr>
          <w:rFonts w:ascii="Times New Roman" w:eastAsia="Times New Roman" w:hAnsi="Times New Roman" w:cs="Times New Roman"/>
          <w:b/>
          <w:bCs/>
          <w:lang w:eastAsia="ru-RU"/>
        </w:rPr>
      </w:pPr>
      <w:r w:rsidRPr="00064610">
        <w:rPr>
          <w:rFonts w:ascii="Times New Roman" w:eastAsia="Times New Roman" w:hAnsi="Times New Roman" w:cs="Times New Roman"/>
          <w:b/>
          <w:bCs/>
          <w:lang w:eastAsia="ru-RU"/>
        </w:rPr>
        <w:t>Усиление экскреции кальция с мочой</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064610">
        <w:rPr>
          <w:rFonts w:ascii="Times New Roman" w:eastAsia="Times New Roman" w:hAnsi="Times New Roman" w:cs="Times New Roman"/>
          <w:bCs/>
          <w:i/>
          <w:lang w:eastAsia="ru-RU"/>
        </w:rPr>
        <w:t>а. Инфузионные солевые растворы и петлевые диуретики.</w:t>
      </w:r>
      <w:r w:rsidRPr="006D5CC7">
        <w:rPr>
          <w:rFonts w:ascii="Times New Roman" w:eastAsia="Times New Roman" w:hAnsi="Times New Roman" w:cs="Times New Roman"/>
          <w:bCs/>
          <w:lang w:eastAsia="ru-RU"/>
        </w:rPr>
        <w:t xml:space="preserve"> Для усиления выведения натрия и кальция сочетают инфузионную терапию с периодическим в/в введением фуросемида или этакриновой кислоты. Обоснование такого лечения: экскреция кальция с мочой прямо пропорциональна экскреции натрия. За сутки вводят 4—8 л жидкости, чередуя 0,9% NaCl и 5% глюкозу в отношении 3:1—4:1. Фуросемид вводят в/в по 20—40 мг с интервалами 2—6 ч (общая доза 80— 120 мг). Введение фуросемида начинают только после устранения гиповолемии. При таком лечении с мочой теряются большие количества калия и магния, поэтому уровень этих электролитов периодически контролируют и при необходимости восполняют. Желательно регистрировать ЭКГ и ЦВД. Возможные осложнения: перегрузка объемом из-за недостаточного диуреза или, наоборот, гиповолемия из-за усиленного диуреза. В большинстве случаев инфузионная терапия позволяет добиться лишь умеренного снижения уровня кальция.</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064610">
        <w:rPr>
          <w:rFonts w:ascii="Times New Roman" w:eastAsia="Times New Roman" w:hAnsi="Times New Roman" w:cs="Times New Roman"/>
          <w:bCs/>
          <w:i/>
          <w:lang w:eastAsia="ru-RU"/>
        </w:rPr>
        <w:t>б. Гемодиализ и перитонеальный диализ.</w:t>
      </w:r>
      <w:r w:rsidRPr="006D5CC7">
        <w:rPr>
          <w:rFonts w:ascii="Times New Roman" w:eastAsia="Times New Roman" w:hAnsi="Times New Roman" w:cs="Times New Roman"/>
          <w:bCs/>
          <w:lang w:eastAsia="ru-RU"/>
        </w:rPr>
        <w:t xml:space="preserve"> При тяжелой почечной недостаточности, сердечной недостаточности, а также при угрожающей жизни гиперкальциемии показан гемодиализ или </w:t>
      </w:r>
      <w:r w:rsidRPr="006D5CC7">
        <w:rPr>
          <w:rFonts w:ascii="Times New Roman" w:eastAsia="Times New Roman" w:hAnsi="Times New Roman" w:cs="Times New Roman"/>
          <w:bCs/>
          <w:lang w:eastAsia="ru-RU"/>
        </w:rPr>
        <w:lastRenderedPageBreak/>
        <w:t>перитонеальный диализ. Использование бескальциевого диализирующего раствора позволяет быстро снизить уровень кальция. Во время диализа следят за показателями гемодинамики, поскольку</w:t>
      </w:r>
      <w:r w:rsidR="00064610">
        <w:rPr>
          <w:rFonts w:ascii="Times New Roman" w:eastAsia="Times New Roman" w:hAnsi="Times New Roman" w:cs="Times New Roman"/>
          <w:bCs/>
          <w:lang w:eastAsia="ru-RU"/>
        </w:rPr>
        <w:t xml:space="preserve"> </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быстрое снижение концентрации кальция может вызвать артериальную гипотонию. В таких случаях вводят жидкости и вазопрессорные средства.</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ab/>
        <w:t>Подавление всасывания кальция в кишечнике. Гиперкальциемия, обусловленная изолированным усилением всасывания кальция в кишечнике, встречается довольно редко.</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064610">
        <w:rPr>
          <w:rFonts w:ascii="Times New Roman" w:eastAsia="Times New Roman" w:hAnsi="Times New Roman" w:cs="Times New Roman"/>
          <w:bCs/>
          <w:i/>
          <w:lang w:eastAsia="ru-RU"/>
        </w:rPr>
        <w:t>а. При гиперкальциемии,</w:t>
      </w:r>
      <w:r w:rsidRPr="006D5CC7">
        <w:rPr>
          <w:rFonts w:ascii="Times New Roman" w:eastAsia="Times New Roman" w:hAnsi="Times New Roman" w:cs="Times New Roman"/>
          <w:bCs/>
          <w:lang w:eastAsia="ru-RU"/>
        </w:rPr>
        <w:t xml:space="preserve"> вызванной избытком витамина D (гипервитаминоз D либо эктопическая продукция 1,25(OH)2D3 опухолями), назначают глюкокортикоиды, </w:t>
      </w:r>
      <w:proofErr w:type="gramStart"/>
      <w:r w:rsidRPr="006D5CC7">
        <w:rPr>
          <w:rFonts w:ascii="Times New Roman" w:eastAsia="Times New Roman" w:hAnsi="Times New Roman" w:cs="Times New Roman"/>
          <w:bCs/>
          <w:lang w:eastAsia="ru-RU"/>
        </w:rPr>
        <w:t>например</w:t>
      </w:r>
      <w:proofErr w:type="gramEnd"/>
      <w:r w:rsidRPr="006D5CC7">
        <w:rPr>
          <w:rFonts w:ascii="Times New Roman" w:eastAsia="Times New Roman" w:hAnsi="Times New Roman" w:cs="Times New Roman"/>
          <w:bCs/>
          <w:lang w:eastAsia="ru-RU"/>
        </w:rPr>
        <w:t xml:space="preserve"> преднизон (30—60 мг/сут внутрь).</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064610">
        <w:rPr>
          <w:rFonts w:ascii="Times New Roman" w:eastAsia="Times New Roman" w:hAnsi="Times New Roman" w:cs="Times New Roman"/>
          <w:bCs/>
          <w:i/>
          <w:lang w:eastAsia="ru-RU"/>
        </w:rPr>
        <w:t>б. При избытке витамина D</w:t>
      </w:r>
      <w:r w:rsidRPr="006D5CC7">
        <w:rPr>
          <w:rFonts w:ascii="Times New Roman" w:eastAsia="Times New Roman" w:hAnsi="Times New Roman" w:cs="Times New Roman"/>
          <w:bCs/>
          <w:lang w:eastAsia="ru-RU"/>
        </w:rPr>
        <w:t xml:space="preserve"> и синдроме Бернетта ограничивают прием кальция с пищей. Применяют также целлюлозы натрия фосфат, образующий в кишечнике комплексы с кальцием.</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064610">
        <w:rPr>
          <w:rFonts w:ascii="Times New Roman" w:eastAsia="Times New Roman" w:hAnsi="Times New Roman" w:cs="Times New Roman"/>
          <w:bCs/>
          <w:i/>
          <w:lang w:eastAsia="ru-RU"/>
        </w:rPr>
        <w:t>в. Кетоконазол</w:t>
      </w:r>
      <w:r w:rsidRPr="006D5CC7">
        <w:rPr>
          <w:rFonts w:ascii="Times New Roman" w:eastAsia="Times New Roman" w:hAnsi="Times New Roman" w:cs="Times New Roman"/>
          <w:bCs/>
          <w:lang w:eastAsia="ru-RU"/>
        </w:rPr>
        <w:t xml:space="preserve"> уменьшает концентрацию 1,25(OH)2D3 при саркоидозе и первичном гиперпаратиреозе.</w:t>
      </w:r>
    </w:p>
    <w:p w:rsidR="00064610" w:rsidRDefault="00064610" w:rsidP="003276B5">
      <w:pPr>
        <w:spacing w:line="276" w:lineRule="auto"/>
        <w:ind w:firstLine="0"/>
        <w:outlineLvl w:val="1"/>
        <w:rPr>
          <w:rFonts w:ascii="Times New Roman" w:eastAsia="Times New Roman" w:hAnsi="Times New Roman" w:cs="Times New Roman"/>
          <w:bCs/>
          <w:lang w:eastAsia="ru-RU"/>
        </w:rPr>
      </w:pPr>
    </w:p>
    <w:p w:rsidR="0063083D" w:rsidRPr="0063083D" w:rsidRDefault="001E7923" w:rsidP="003276B5">
      <w:pPr>
        <w:spacing w:line="276" w:lineRule="auto"/>
        <w:ind w:firstLine="0"/>
        <w:outlineLvl w:val="1"/>
        <w:rPr>
          <w:rFonts w:ascii="Times New Roman" w:eastAsia="Times New Roman" w:hAnsi="Times New Roman" w:cs="Times New Roman"/>
          <w:b/>
          <w:bCs/>
          <w:lang w:eastAsia="ru-RU"/>
        </w:rPr>
      </w:pPr>
      <w:r w:rsidRPr="001E7923">
        <w:rPr>
          <w:rFonts w:ascii="Times New Roman" w:eastAsia="Times New Roman" w:hAnsi="Times New Roman" w:cs="Times New Roman"/>
          <w:bCs/>
          <w:lang w:eastAsia="ru-RU"/>
        </w:rPr>
        <w:t>ПЛАН 3: ГИПЕРКАЛЬЦИЕМИЧЕСКИЙ КРИЗ</w:t>
      </w:r>
      <w:r w:rsidRPr="0063083D">
        <w:rPr>
          <w:rFonts w:ascii="Times New Roman" w:eastAsia="Times New Roman" w:hAnsi="Times New Roman" w:cs="Times New Roman"/>
          <w:b/>
          <w:bCs/>
          <w:lang w:eastAsia="ru-RU"/>
        </w:rPr>
        <w:t xml:space="preserve">. </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 xml:space="preserve">Это неотложное состояние, характеризующееся резким повышением уровня кальция в сыворотке. Уровень общего </w:t>
      </w:r>
      <w:proofErr w:type="gramStart"/>
      <w:r w:rsidRPr="006D5CC7">
        <w:rPr>
          <w:rFonts w:ascii="Times New Roman" w:eastAsia="Times New Roman" w:hAnsi="Times New Roman" w:cs="Times New Roman"/>
          <w:bCs/>
          <w:lang w:eastAsia="ru-RU"/>
        </w:rPr>
        <w:t>кальция &gt;</w:t>
      </w:r>
      <w:proofErr w:type="gramEnd"/>
      <w:r w:rsidRPr="006D5CC7">
        <w:rPr>
          <w:rFonts w:ascii="Times New Roman" w:eastAsia="Times New Roman" w:hAnsi="Times New Roman" w:cs="Times New Roman"/>
          <w:bCs/>
          <w:lang w:eastAsia="ru-RU"/>
        </w:rPr>
        <w:t xml:space="preserve"> 3,5 ммоль/л угрожает жизни и требует немедленного лечения.</w:t>
      </w:r>
    </w:p>
    <w:p w:rsidR="006D5CC7" w:rsidRPr="0063083D" w:rsidRDefault="006D5CC7" w:rsidP="0063083D">
      <w:pPr>
        <w:spacing w:line="276" w:lineRule="auto"/>
        <w:ind w:firstLine="708"/>
        <w:outlineLvl w:val="1"/>
        <w:rPr>
          <w:rFonts w:ascii="Times New Roman" w:eastAsia="Times New Roman" w:hAnsi="Times New Roman" w:cs="Times New Roman"/>
          <w:b/>
          <w:bCs/>
          <w:lang w:eastAsia="ru-RU"/>
        </w:rPr>
      </w:pPr>
      <w:r w:rsidRPr="0063083D">
        <w:rPr>
          <w:rFonts w:ascii="Times New Roman" w:eastAsia="Times New Roman" w:hAnsi="Times New Roman" w:cs="Times New Roman"/>
          <w:b/>
          <w:bCs/>
          <w:lang w:eastAsia="ru-RU"/>
        </w:rPr>
        <w:t>А. Этиология</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Обострение нелеченного первичного гиперпаратиреоза.</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Быстрая дегидратация у больных первичным гиперпаратиреозом с гиперкальциемией.</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Гипервитаминоз D.</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Быстрое развитие острой формы синдрома Бернетта или обострение хронической формы.</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Тяжелая миеломная болезнь.</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Введение больших количеств магния (приводит к снижению СКФ).</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У больных первичным гиперпаратиреозом гиперкальциемический криз может быть спровоцирован беременностью, переломами, инфекцией, обездвиженностью, приемом антацидов.</w:t>
      </w:r>
    </w:p>
    <w:p w:rsidR="006D5CC7" w:rsidRPr="006D5CC7" w:rsidRDefault="006D5CC7" w:rsidP="0063083D">
      <w:pPr>
        <w:spacing w:line="276" w:lineRule="auto"/>
        <w:ind w:firstLine="708"/>
        <w:outlineLvl w:val="1"/>
        <w:rPr>
          <w:rFonts w:ascii="Times New Roman" w:eastAsia="Times New Roman" w:hAnsi="Times New Roman" w:cs="Times New Roman"/>
          <w:bCs/>
          <w:lang w:eastAsia="ru-RU"/>
        </w:rPr>
      </w:pPr>
      <w:r w:rsidRPr="0063083D">
        <w:rPr>
          <w:rFonts w:ascii="Times New Roman" w:eastAsia="Times New Roman" w:hAnsi="Times New Roman" w:cs="Times New Roman"/>
          <w:b/>
          <w:bCs/>
          <w:lang w:eastAsia="ru-RU"/>
        </w:rPr>
        <w:t>Б. Клиническая картина.</w:t>
      </w:r>
      <w:r w:rsidRPr="006D5CC7">
        <w:rPr>
          <w:rFonts w:ascii="Times New Roman" w:eastAsia="Times New Roman" w:hAnsi="Times New Roman" w:cs="Times New Roman"/>
          <w:bCs/>
          <w:lang w:eastAsia="ru-RU"/>
        </w:rPr>
        <w:t xml:space="preserve"> Гиперкальциемический криз развивается внезапно. Симптомы: тошнота, неукротимая рвота, жажда, острая боль в животе, боль в мышцах и суставах, высокая лихорадка, судороги, спутанность сознания, ступор, кома. У больных с нарушениями функции почек может развиться ОПН (вплоть до уремии). Летальность при гиперкальциемическом кризе достигает 60%.</w:t>
      </w:r>
    </w:p>
    <w:p w:rsidR="006D5CC7" w:rsidRPr="0063083D" w:rsidRDefault="006D5CC7" w:rsidP="0063083D">
      <w:pPr>
        <w:spacing w:line="276" w:lineRule="auto"/>
        <w:ind w:firstLine="708"/>
        <w:outlineLvl w:val="1"/>
        <w:rPr>
          <w:rFonts w:ascii="Times New Roman" w:eastAsia="Times New Roman" w:hAnsi="Times New Roman" w:cs="Times New Roman"/>
          <w:b/>
          <w:bCs/>
          <w:lang w:eastAsia="ru-RU"/>
        </w:rPr>
      </w:pPr>
      <w:r w:rsidRPr="0063083D">
        <w:rPr>
          <w:rFonts w:ascii="Times New Roman" w:eastAsia="Times New Roman" w:hAnsi="Times New Roman" w:cs="Times New Roman"/>
          <w:b/>
          <w:bCs/>
          <w:lang w:eastAsia="ru-RU"/>
        </w:rPr>
        <w:t>В. Лечение</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ab/>
        <w:t>Первоочередная задача — нормализация ОЦК. Проводят инфузионную терапию; одновременно назначают диуретики (см. гл. 24, п. XVI.Б.2.а).</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Для нормализации уровня кальция назначают дифосфонаты, пликамицин или галлия нитрат.</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ab/>
        <w:t>При первичном гиперпаратиреозе, обусловленном гиперплазией или аденомой паращитовидных желез, показано хирургическое вмешательство после нормализации жизненно важных функций и обследования.</w:t>
      </w:r>
    </w:p>
    <w:p w:rsidR="006D5CC7" w:rsidRPr="001E7923" w:rsidRDefault="001E7923" w:rsidP="0063083D">
      <w:pPr>
        <w:spacing w:line="276" w:lineRule="auto"/>
        <w:ind w:firstLine="708"/>
        <w:outlineLvl w:val="1"/>
        <w:rPr>
          <w:rFonts w:ascii="Times New Roman" w:eastAsia="Times New Roman" w:hAnsi="Times New Roman" w:cs="Times New Roman"/>
          <w:bCs/>
          <w:lang w:eastAsia="ru-RU"/>
        </w:rPr>
      </w:pPr>
      <w:r w:rsidRPr="001E7923">
        <w:rPr>
          <w:rFonts w:ascii="Times New Roman" w:eastAsia="Times New Roman" w:hAnsi="Times New Roman" w:cs="Times New Roman"/>
          <w:bCs/>
          <w:lang w:eastAsia="ru-RU"/>
        </w:rPr>
        <w:t>ПЛАН 4: ГИПОКАЛЬЦИЕМИЯ</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3083D">
        <w:rPr>
          <w:rFonts w:ascii="Times New Roman" w:eastAsia="Times New Roman" w:hAnsi="Times New Roman" w:cs="Times New Roman"/>
          <w:b/>
          <w:bCs/>
          <w:lang w:eastAsia="ru-RU"/>
        </w:rPr>
        <w:t>Клиническая картина</w:t>
      </w:r>
      <w:r w:rsidRPr="006D5CC7">
        <w:rPr>
          <w:rFonts w:ascii="Times New Roman" w:eastAsia="Times New Roman" w:hAnsi="Times New Roman" w:cs="Times New Roman"/>
          <w:bCs/>
          <w:lang w:eastAsia="ru-RU"/>
        </w:rPr>
        <w:t>. Главный элемент клинической картины — это симптомы гипокальциемии. Они зависят от уровня кальция, магния и калия в сыворотке, сопутствующих нарушений кислотно-щелочного равновесия, а также от тяжести и продолжительности основного заболевания и возраста больного. Имеет значение и характер основного заболевания. Так, при гипокальциемии, вызванной гипопаратиреозом, некоторые симптомы обусловлены дефицитом ПТГ. Напротив, при гипокальциемии,</w:t>
      </w:r>
      <w:r w:rsidR="0063083D">
        <w:rPr>
          <w:rFonts w:ascii="Times New Roman" w:eastAsia="Times New Roman" w:hAnsi="Times New Roman" w:cs="Times New Roman"/>
          <w:bCs/>
          <w:lang w:eastAsia="ru-RU"/>
        </w:rPr>
        <w:t xml:space="preserve"> вызванной </w:t>
      </w:r>
      <w:r w:rsidRPr="006D5CC7">
        <w:rPr>
          <w:rFonts w:ascii="Times New Roman" w:eastAsia="Times New Roman" w:hAnsi="Times New Roman" w:cs="Times New Roman"/>
          <w:bCs/>
          <w:lang w:eastAsia="ru-RU"/>
        </w:rPr>
        <w:t>авита</w:t>
      </w:r>
      <w:r w:rsidR="0063083D">
        <w:rPr>
          <w:rFonts w:ascii="Times New Roman" w:eastAsia="Times New Roman" w:hAnsi="Times New Roman" w:cs="Times New Roman"/>
          <w:bCs/>
          <w:lang w:eastAsia="ru-RU"/>
        </w:rPr>
        <w:t>минозом D</w:t>
      </w:r>
      <w:r w:rsidR="0063083D">
        <w:rPr>
          <w:rFonts w:ascii="Times New Roman" w:eastAsia="Times New Roman" w:hAnsi="Times New Roman" w:cs="Times New Roman"/>
          <w:bCs/>
          <w:lang w:eastAsia="ru-RU"/>
        </w:rPr>
        <w:tab/>
        <w:t>или</w:t>
      </w:r>
      <w:r w:rsidR="0063083D">
        <w:rPr>
          <w:rFonts w:ascii="Times New Roman" w:eastAsia="Times New Roman" w:hAnsi="Times New Roman" w:cs="Times New Roman"/>
          <w:bCs/>
          <w:lang w:eastAsia="ru-RU"/>
        </w:rPr>
        <w:tab/>
        <w:t xml:space="preserve"> резистентностью к ПТГ, </w:t>
      </w:r>
      <w:r w:rsidRPr="006D5CC7">
        <w:rPr>
          <w:rFonts w:ascii="Times New Roman" w:eastAsia="Times New Roman" w:hAnsi="Times New Roman" w:cs="Times New Roman"/>
          <w:bCs/>
          <w:lang w:eastAsia="ru-RU"/>
        </w:rPr>
        <w:t>наблюдаются</w:t>
      </w:r>
      <w:r w:rsidR="0063083D">
        <w:rPr>
          <w:rFonts w:ascii="Times New Roman" w:eastAsia="Times New Roman" w:hAnsi="Times New Roman" w:cs="Times New Roman"/>
          <w:bCs/>
          <w:lang w:eastAsia="ru-RU"/>
        </w:rPr>
        <w:t xml:space="preserve"> </w:t>
      </w:r>
      <w:r w:rsidRPr="006D5CC7">
        <w:rPr>
          <w:rFonts w:ascii="Times New Roman" w:eastAsia="Times New Roman" w:hAnsi="Times New Roman" w:cs="Times New Roman"/>
          <w:bCs/>
          <w:lang w:eastAsia="ru-RU"/>
        </w:rPr>
        <w:t>симптомы гиперпаратиреоза.</w:t>
      </w:r>
      <w:r w:rsidRPr="006D5CC7">
        <w:rPr>
          <w:rFonts w:ascii="Times New Roman" w:eastAsia="Times New Roman" w:hAnsi="Times New Roman" w:cs="Times New Roman"/>
          <w:bCs/>
          <w:lang w:eastAsia="ru-RU"/>
        </w:rPr>
        <w:lastRenderedPageBreak/>
        <w:tab/>
        <w:t>Самые</w:t>
      </w:r>
      <w:r w:rsidRPr="006D5CC7">
        <w:rPr>
          <w:rFonts w:ascii="Times New Roman" w:eastAsia="Times New Roman" w:hAnsi="Times New Roman" w:cs="Times New Roman"/>
          <w:bCs/>
          <w:lang w:eastAsia="ru-RU"/>
        </w:rPr>
        <w:tab/>
      </w:r>
      <w:r w:rsidRPr="006D5CC7">
        <w:rPr>
          <w:rFonts w:ascii="Times New Roman" w:eastAsia="Times New Roman" w:hAnsi="Times New Roman" w:cs="Times New Roman"/>
          <w:bCs/>
          <w:lang w:eastAsia="ru-RU"/>
        </w:rPr>
        <w:tab/>
        <w:t>ча</w:t>
      </w:r>
      <w:r w:rsidR="0063083D">
        <w:rPr>
          <w:rFonts w:ascii="Times New Roman" w:eastAsia="Times New Roman" w:hAnsi="Times New Roman" w:cs="Times New Roman"/>
          <w:bCs/>
          <w:lang w:eastAsia="ru-RU"/>
        </w:rPr>
        <w:t>стые</w:t>
      </w:r>
      <w:r w:rsidR="0063083D">
        <w:rPr>
          <w:rFonts w:ascii="Times New Roman" w:eastAsia="Times New Roman" w:hAnsi="Times New Roman" w:cs="Times New Roman"/>
          <w:bCs/>
          <w:lang w:eastAsia="ru-RU"/>
        </w:rPr>
        <w:tab/>
        <w:t>проявления</w:t>
      </w:r>
      <w:r w:rsidR="0063083D">
        <w:rPr>
          <w:rFonts w:ascii="Times New Roman" w:eastAsia="Times New Roman" w:hAnsi="Times New Roman" w:cs="Times New Roman"/>
          <w:bCs/>
          <w:lang w:eastAsia="ru-RU"/>
        </w:rPr>
        <w:tab/>
        <w:t xml:space="preserve">гипокальциемии: </w:t>
      </w:r>
      <w:r w:rsidRPr="006D5CC7">
        <w:rPr>
          <w:rFonts w:ascii="Times New Roman" w:eastAsia="Times New Roman" w:hAnsi="Times New Roman" w:cs="Times New Roman"/>
          <w:bCs/>
          <w:lang w:eastAsia="ru-RU"/>
        </w:rPr>
        <w:t>неврологические, офтальмологические и сердечно-сосудистые нарушения; поражения соединительной ткани. А. Повышение нервно-мышечной возбудимости приводит к тетании. Тетания проявляется симптомом Труссо (судорога мышц кисти через 2—3 мин после пережатия плеча жгутом или манжетой тонометра) и симптомом Хвостека (судорога лицевых мышц при постукивании в месте выхода лицевого нерва пере</w:t>
      </w:r>
      <w:r w:rsidR="0063083D">
        <w:rPr>
          <w:rFonts w:ascii="Times New Roman" w:eastAsia="Times New Roman" w:hAnsi="Times New Roman" w:cs="Times New Roman"/>
          <w:bCs/>
          <w:lang w:eastAsia="ru-RU"/>
        </w:rPr>
        <w:t xml:space="preserve">д наружным слуховым проходом). </w:t>
      </w:r>
      <w:r w:rsidRPr="006D5CC7">
        <w:rPr>
          <w:rFonts w:ascii="Times New Roman" w:eastAsia="Times New Roman" w:hAnsi="Times New Roman" w:cs="Times New Roman"/>
          <w:bCs/>
          <w:lang w:eastAsia="ru-RU"/>
        </w:rPr>
        <w:t>Наблюдаются</w:t>
      </w:r>
      <w:r w:rsidRPr="006D5CC7">
        <w:rPr>
          <w:rFonts w:ascii="Times New Roman" w:eastAsia="Times New Roman" w:hAnsi="Times New Roman" w:cs="Times New Roman"/>
          <w:bCs/>
          <w:lang w:eastAsia="ru-RU"/>
        </w:rPr>
        <w:tab/>
        <w:t>также</w:t>
      </w:r>
      <w:r w:rsidRPr="006D5CC7">
        <w:rPr>
          <w:rFonts w:ascii="Times New Roman" w:eastAsia="Times New Roman" w:hAnsi="Times New Roman" w:cs="Times New Roman"/>
          <w:bCs/>
          <w:lang w:eastAsia="ru-RU"/>
        </w:rPr>
        <w:tab/>
      </w:r>
      <w:proofErr w:type="gramStart"/>
      <w:r w:rsidRPr="006D5CC7">
        <w:rPr>
          <w:rFonts w:ascii="Times New Roman" w:eastAsia="Times New Roman" w:hAnsi="Times New Roman" w:cs="Times New Roman"/>
          <w:bCs/>
          <w:lang w:eastAsia="ru-RU"/>
        </w:rPr>
        <w:t>парестезия,</w:t>
      </w:r>
      <w:r w:rsidRPr="006D5CC7">
        <w:rPr>
          <w:rFonts w:ascii="Times New Roman" w:eastAsia="Times New Roman" w:hAnsi="Times New Roman" w:cs="Times New Roman"/>
          <w:bCs/>
          <w:lang w:eastAsia="ru-RU"/>
        </w:rPr>
        <w:tab/>
      </w:r>
      <w:proofErr w:type="gramEnd"/>
      <w:r w:rsidRPr="006D5CC7">
        <w:rPr>
          <w:rFonts w:ascii="Times New Roman" w:eastAsia="Times New Roman" w:hAnsi="Times New Roman" w:cs="Times New Roman"/>
          <w:bCs/>
          <w:lang w:eastAsia="ru-RU"/>
        </w:rPr>
        <w:t>ларингоспазм,</w:t>
      </w:r>
      <w:r w:rsidRPr="006D5CC7">
        <w:rPr>
          <w:rFonts w:ascii="Times New Roman" w:eastAsia="Times New Roman" w:hAnsi="Times New Roman" w:cs="Times New Roman"/>
          <w:bCs/>
          <w:lang w:eastAsia="ru-RU"/>
        </w:rPr>
        <w:tab/>
        <w:t xml:space="preserve"> бр</w:t>
      </w:r>
      <w:r w:rsidR="0063083D">
        <w:rPr>
          <w:rFonts w:ascii="Times New Roman" w:eastAsia="Times New Roman" w:hAnsi="Times New Roman" w:cs="Times New Roman"/>
          <w:bCs/>
          <w:lang w:eastAsia="ru-RU"/>
        </w:rPr>
        <w:t>онхоспазм,</w:t>
      </w:r>
      <w:r w:rsidR="0063083D">
        <w:rPr>
          <w:rFonts w:ascii="Times New Roman" w:eastAsia="Times New Roman" w:hAnsi="Times New Roman" w:cs="Times New Roman"/>
          <w:bCs/>
          <w:lang w:eastAsia="ru-RU"/>
        </w:rPr>
        <w:tab/>
        <w:t xml:space="preserve"> спазмы кишечника, гиперрефлексия </w:t>
      </w:r>
      <w:r w:rsidRPr="006D5CC7">
        <w:rPr>
          <w:rFonts w:ascii="Times New Roman" w:eastAsia="Times New Roman" w:hAnsi="Times New Roman" w:cs="Times New Roman"/>
          <w:bCs/>
          <w:lang w:eastAsia="ru-RU"/>
        </w:rPr>
        <w:t>(генерализованные</w:t>
      </w:r>
      <w:r w:rsidR="0063083D">
        <w:rPr>
          <w:rFonts w:ascii="Times New Roman" w:eastAsia="Times New Roman" w:hAnsi="Times New Roman" w:cs="Times New Roman"/>
          <w:bCs/>
          <w:lang w:eastAsia="ru-RU"/>
        </w:rPr>
        <w:t xml:space="preserve"> рефлексы). </w:t>
      </w:r>
      <w:r w:rsidRPr="006D5CC7">
        <w:rPr>
          <w:rFonts w:ascii="Times New Roman" w:eastAsia="Times New Roman" w:hAnsi="Times New Roman" w:cs="Times New Roman"/>
          <w:bCs/>
          <w:lang w:eastAsia="ru-RU"/>
        </w:rPr>
        <w:t>Эти</w:t>
      </w:r>
      <w:r w:rsidRPr="006D5CC7">
        <w:rPr>
          <w:rFonts w:ascii="Times New Roman" w:eastAsia="Times New Roman" w:hAnsi="Times New Roman" w:cs="Times New Roman"/>
          <w:bCs/>
          <w:lang w:eastAsia="ru-RU"/>
        </w:rPr>
        <w:tab/>
        <w:t>симптомы провоцируются или усиливаются гипервентиляцией, вызывающей алкалоз. Симптомы поражения ЦНС: судороги, эпилептические припадки, обмороки, нарушения памяти,</w:t>
      </w:r>
      <w:r w:rsidR="0063083D">
        <w:rPr>
          <w:rFonts w:ascii="Times New Roman" w:eastAsia="Times New Roman" w:hAnsi="Times New Roman" w:cs="Times New Roman"/>
          <w:bCs/>
          <w:lang w:eastAsia="ru-RU"/>
        </w:rPr>
        <w:t xml:space="preserve"> </w:t>
      </w:r>
      <w:r w:rsidRPr="006D5CC7">
        <w:rPr>
          <w:rFonts w:ascii="Times New Roman" w:eastAsia="Times New Roman" w:hAnsi="Times New Roman" w:cs="Times New Roman"/>
          <w:bCs/>
          <w:lang w:eastAsia="ru-RU"/>
        </w:rPr>
        <w:t>психоз, экстрапирамидные нарушения (паркинсонизм и хореоатетоз). На ЭЭГ обычно выявляются вспышки высокоамплитудной медленноволновой активности. После устранения гипокальциемии эти нарушения постепенно исчезают.</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3083D">
        <w:rPr>
          <w:rFonts w:ascii="Times New Roman" w:eastAsia="Times New Roman" w:hAnsi="Times New Roman" w:cs="Times New Roman"/>
          <w:b/>
          <w:bCs/>
          <w:lang w:eastAsia="ru-RU"/>
        </w:rPr>
        <w:t>Б. Характерно развитие катаракты;</w:t>
      </w:r>
      <w:r w:rsidRPr="006D5CC7">
        <w:rPr>
          <w:rFonts w:ascii="Times New Roman" w:eastAsia="Times New Roman" w:hAnsi="Times New Roman" w:cs="Times New Roman"/>
          <w:bCs/>
          <w:lang w:eastAsia="ru-RU"/>
        </w:rPr>
        <w:t xml:space="preserve"> отложения кальция обнаруживаются под капсулой, в переднем или заднем отделах глазного яблока. Иногда отмечается отек дисков зрительных нервов, как при опухолях головного мозга.</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3083D">
        <w:rPr>
          <w:rFonts w:ascii="Times New Roman" w:eastAsia="Times New Roman" w:hAnsi="Times New Roman" w:cs="Times New Roman"/>
          <w:b/>
          <w:bCs/>
          <w:lang w:eastAsia="ru-RU"/>
        </w:rPr>
        <w:t>В. Нередко развивается сердечная недостаточность</w:t>
      </w:r>
      <w:r w:rsidRPr="006D5CC7">
        <w:rPr>
          <w:rFonts w:ascii="Times New Roman" w:eastAsia="Times New Roman" w:hAnsi="Times New Roman" w:cs="Times New Roman"/>
          <w:bCs/>
          <w:lang w:eastAsia="ru-RU"/>
        </w:rPr>
        <w:t>, резистентная к сердечным гликозидам. На ЭКГ выявляются удлинение интервала QT и неспецифические изменения зубца T. Описана также артериальная гипотония, не устраняемая инфузионной терапией и введением вазопрессорных средств.</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3083D">
        <w:rPr>
          <w:rFonts w:ascii="Times New Roman" w:eastAsia="Times New Roman" w:hAnsi="Times New Roman" w:cs="Times New Roman"/>
          <w:b/>
          <w:bCs/>
          <w:lang w:eastAsia="ru-RU"/>
        </w:rPr>
        <w:t>Г. При хронической гипокальциемии,</w:t>
      </w:r>
      <w:r w:rsidRPr="006D5CC7">
        <w:rPr>
          <w:rFonts w:ascii="Times New Roman" w:eastAsia="Times New Roman" w:hAnsi="Times New Roman" w:cs="Times New Roman"/>
          <w:bCs/>
          <w:lang w:eastAsia="ru-RU"/>
        </w:rPr>
        <w:t xml:space="preserve"> обусловленной гипопаратиреозом, возникают экзостозы и очаги обызвествления в мягких тканях. Околосуставные отложения солей кальция нередко сопровождаются хондрокальцинозом и псевдоподагрой. Часто наблюдается обызвествление базальных ядер.</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3083D">
        <w:rPr>
          <w:rFonts w:ascii="Times New Roman" w:eastAsia="Times New Roman" w:hAnsi="Times New Roman" w:cs="Times New Roman"/>
          <w:b/>
          <w:bCs/>
          <w:lang w:eastAsia="ru-RU"/>
        </w:rPr>
        <w:t>Д. Описана макроцитарная мегалобластная</w:t>
      </w:r>
      <w:r w:rsidRPr="006D5CC7">
        <w:rPr>
          <w:rFonts w:ascii="Times New Roman" w:eastAsia="Times New Roman" w:hAnsi="Times New Roman" w:cs="Times New Roman"/>
          <w:bCs/>
          <w:lang w:eastAsia="ru-RU"/>
        </w:rPr>
        <w:t xml:space="preserve"> анемия из-за нарушения всасывания витамина B12 в кишечнике. Чаще всего причиной бывает дефицит внутреннего фактора Касла. Нарушение всасывания витамина B12 подтверждается пробой Шиллинга. После устранения гипокальциемии анемия проходит.</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Этиология. Можно выделить следующие группы причин гипокальциемии:</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А. Заболевания паращитовидных желез, приводящие к дефициту ПТГ.</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Б. Резистентность тканей-мишеней к ПТГ.</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В. Подавление синтеза и секреции ПТГ, в том числе лекарственными средствами.</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Г. Дефицит магния.</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Д. Усиленный захват кальция костной тканью.</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Е. Нарушения обмена витамина D.</w:t>
      </w:r>
    </w:p>
    <w:p w:rsidR="006D5CC7" w:rsidRPr="0063083D" w:rsidRDefault="0063083D" w:rsidP="003276B5">
      <w:pPr>
        <w:spacing w:line="276" w:lineRule="auto"/>
        <w:ind w:firstLine="0"/>
        <w:outlineLvl w:val="1"/>
        <w:rPr>
          <w:rFonts w:ascii="Times New Roman" w:eastAsia="Times New Roman" w:hAnsi="Times New Roman" w:cs="Times New Roman"/>
          <w:b/>
          <w:bCs/>
          <w:lang w:eastAsia="ru-RU"/>
        </w:rPr>
      </w:pPr>
      <w:r>
        <w:rPr>
          <w:rFonts w:ascii="Times New Roman" w:eastAsia="Times New Roman" w:hAnsi="Times New Roman" w:cs="Times New Roman"/>
          <w:bCs/>
          <w:lang w:eastAsia="ru-RU"/>
        </w:rPr>
        <w:t xml:space="preserve"> </w:t>
      </w:r>
      <w:r>
        <w:rPr>
          <w:rFonts w:ascii="Times New Roman" w:eastAsia="Times New Roman" w:hAnsi="Times New Roman" w:cs="Times New Roman"/>
          <w:bCs/>
          <w:lang w:eastAsia="ru-RU"/>
        </w:rPr>
        <w:tab/>
      </w:r>
      <w:r w:rsidR="006D5CC7" w:rsidRPr="0063083D">
        <w:rPr>
          <w:rFonts w:ascii="Times New Roman" w:eastAsia="Times New Roman" w:hAnsi="Times New Roman" w:cs="Times New Roman"/>
          <w:b/>
          <w:bCs/>
          <w:lang w:eastAsia="ru-RU"/>
        </w:rPr>
        <w:t>Гипопаратиреоз</w:t>
      </w:r>
    </w:p>
    <w:p w:rsidR="006D5CC7" w:rsidRPr="0063083D" w:rsidRDefault="006D5CC7" w:rsidP="003276B5">
      <w:pPr>
        <w:spacing w:line="276" w:lineRule="auto"/>
        <w:ind w:firstLine="0"/>
        <w:outlineLvl w:val="1"/>
        <w:rPr>
          <w:rFonts w:ascii="Times New Roman" w:eastAsia="Times New Roman" w:hAnsi="Times New Roman" w:cs="Times New Roman"/>
          <w:b/>
          <w:bCs/>
          <w:lang w:eastAsia="ru-RU"/>
        </w:rPr>
      </w:pPr>
      <w:r w:rsidRPr="0063083D">
        <w:rPr>
          <w:rFonts w:ascii="Times New Roman" w:eastAsia="Times New Roman" w:hAnsi="Times New Roman" w:cs="Times New Roman"/>
          <w:b/>
          <w:bCs/>
          <w:lang w:eastAsia="ru-RU"/>
        </w:rPr>
        <w:t>А. Послеоперационный гипопаратиреоз</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В большинстве случаев дефицит ПТГ обусловлен повреждением или удалением паращитовидных желез при хирургических вмешательствах.</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Вызванный операцией стресс может быть причиной частичного или преходящего дефицита ПТГ и клинически выраженной гипокальциемии.</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Иногда тяжелая гипокальциемия возникает после массивного переливания цитратной крови или плазмы.</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3083D">
        <w:rPr>
          <w:rFonts w:ascii="Times New Roman" w:eastAsia="Times New Roman" w:hAnsi="Times New Roman" w:cs="Times New Roman"/>
          <w:b/>
          <w:bCs/>
          <w:lang w:eastAsia="ru-RU"/>
        </w:rPr>
        <w:t>Б. Идиопатический гипопаратиреоз.</w:t>
      </w:r>
      <w:r w:rsidRPr="006D5CC7">
        <w:rPr>
          <w:rFonts w:ascii="Times New Roman" w:eastAsia="Times New Roman" w:hAnsi="Times New Roman" w:cs="Times New Roman"/>
          <w:bCs/>
          <w:lang w:eastAsia="ru-RU"/>
        </w:rPr>
        <w:t xml:space="preserve"> Это редкое заболевание может начаться в любом возрасте. Описаны спорадические и наследственные случаи. Диагностические критерии: гипокальциемия, отсутствие или низкий уровень ПТГ1—84 в сыворотке, повышение</w:t>
      </w:r>
      <w:r w:rsidR="0063083D">
        <w:rPr>
          <w:rFonts w:ascii="Times New Roman" w:eastAsia="Times New Roman" w:hAnsi="Times New Roman" w:cs="Times New Roman"/>
          <w:bCs/>
          <w:lang w:eastAsia="ru-RU"/>
        </w:rPr>
        <w:t xml:space="preserve"> </w:t>
      </w:r>
      <w:r w:rsidRPr="006D5CC7">
        <w:rPr>
          <w:rFonts w:ascii="Times New Roman" w:eastAsia="Times New Roman" w:hAnsi="Times New Roman" w:cs="Times New Roman"/>
          <w:bCs/>
          <w:lang w:eastAsia="ru-RU"/>
        </w:rPr>
        <w:t>уровня кальция после введения ПТГ. Другие признаки: гиперфосфатемия, пониженный уровень остеокальцина и 1,25(OH)2D3 в сыворотке при нормальном уровне 25(OH)D3. У нелеченных больных снижена экскреция кальция.</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lastRenderedPageBreak/>
        <w:tab/>
        <w:t>Наследственный гипопаратиреоз чаще всего оказывается компонентом аутоиммунного полигландулярного си</w:t>
      </w:r>
      <w:r w:rsidR="0063083D">
        <w:rPr>
          <w:rFonts w:ascii="Times New Roman" w:eastAsia="Times New Roman" w:hAnsi="Times New Roman" w:cs="Times New Roman"/>
          <w:bCs/>
          <w:lang w:eastAsia="ru-RU"/>
        </w:rPr>
        <w:t xml:space="preserve">ндрома типа I. </w:t>
      </w:r>
      <w:r w:rsidRPr="006D5CC7">
        <w:rPr>
          <w:rFonts w:ascii="Times New Roman" w:eastAsia="Times New Roman" w:hAnsi="Times New Roman" w:cs="Times New Roman"/>
          <w:bCs/>
          <w:lang w:eastAsia="ru-RU"/>
        </w:rPr>
        <w:t>Гипопаратиреоз — один из основных компонентов этого синдрома. Другие основные компоненты аутоиммунного полигландулярного синдрома типа I: хронический генерализованный гранулематозный кандидоз (кандидоз кожи и слизистых) и первичная надпочечниковая недостаточность. Менее частые компоненты: первичный гипотиреоз, первичный гипогонадизм, хронический активный гепатит, синдром нарушенного всасывания, витилиго, аутоиммунный гастрит, алопеция, стеаторея. Аутоиммунный полигландулярный синдром типа I обычно возникает уже в грудном возрасте. Первым его проявлением чаще всего бывает кандидоз. Аутоантитела к ПТГ обнаруживаются примерно в 30% случаев.</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ab/>
        <w:t>Изолированный идиопатический гипопаратиреоз обычно бывает спорадическим, реже — семейным заболеванием с аутосомно-рецессивным или аутосомно-доминантным наследованием. Болезнь может начинаться в любом возрасте. Аутоантитела к ПТГ отсутствуют. Изолированный идиопатический гипопаратиреоз обусловлен дефектами синтеза или секреции ПТГ. По крайней мере один из вариантов заболевания обусловлен нарушением процессинга проПТГ.</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ab/>
        <w:t>Описано несколько наследственных синдромов, при которых идиопатический гипопаратиреоз сочетается с пороками развития. При синдроме Кирнса—Сейра гипопаратиреоз сочетается с пигментной дегенерацией сетчатки, офтальмоплегией, атаксией, АВ-блокадой, миопатией; при синдроме Кенни — с задержкой роста и сужением костномозговых полостей длинных трубчатых костей. При некоторых других синдромах гипопаратиреоз сочетается с глухотой (поражение преддверно- улиткового нерва), митральной недостаточностью, нефритом.</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3083D">
        <w:rPr>
          <w:rFonts w:ascii="Times New Roman" w:eastAsia="Times New Roman" w:hAnsi="Times New Roman" w:cs="Times New Roman"/>
          <w:b/>
          <w:bCs/>
          <w:lang w:eastAsia="ru-RU"/>
        </w:rPr>
        <w:t>В. Врожденная дисгенезия паращитовидных желез</w:t>
      </w:r>
      <w:r w:rsidRPr="006D5CC7">
        <w:rPr>
          <w:rFonts w:ascii="Times New Roman" w:eastAsia="Times New Roman" w:hAnsi="Times New Roman" w:cs="Times New Roman"/>
          <w:bCs/>
          <w:lang w:eastAsia="ru-RU"/>
        </w:rPr>
        <w:t xml:space="preserve"> чаще всего наблюдается при синдроме Ди Джорджи. Аплазия или дисплазия паращитовидных желез и дисплазия тимуса при этом синдроме обусловлены нарушениями эмбриогенеза третьего и четвертого глоточных карманов. Больные обычно погибают в детском возрасте.</w:t>
      </w:r>
    </w:p>
    <w:p w:rsidR="006D5CC7" w:rsidRPr="0063083D" w:rsidRDefault="006D5CC7" w:rsidP="003276B5">
      <w:pPr>
        <w:spacing w:line="276" w:lineRule="auto"/>
        <w:ind w:firstLine="0"/>
        <w:outlineLvl w:val="1"/>
        <w:rPr>
          <w:rFonts w:ascii="Times New Roman" w:eastAsia="Times New Roman" w:hAnsi="Times New Roman" w:cs="Times New Roman"/>
          <w:b/>
          <w:bCs/>
          <w:lang w:eastAsia="ru-RU"/>
        </w:rPr>
      </w:pPr>
      <w:r w:rsidRPr="0063083D">
        <w:rPr>
          <w:rFonts w:ascii="Times New Roman" w:eastAsia="Times New Roman" w:hAnsi="Times New Roman" w:cs="Times New Roman"/>
          <w:b/>
          <w:bCs/>
          <w:lang w:eastAsia="ru-RU"/>
        </w:rPr>
        <w:t>Г. Другие формы гипопаратиреоза</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Гипопаратиреоз бывает при идиопатическом и вторичном (в результате повторных переливаний крови) гемохроматозе. В паращитовидных железах обнаруживают отложения железа, деструкцию и фиброз.</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Гипопаратиреоз может быть вызван отложением меди в паращитовидных железах при болезни Вильсона.</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К частичному или полному дефициту ПТГ может привести отложение алюминия</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в паращитовидных железах при ХПН.</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Дефицит ПТГ иногда развивается после лечения тиреотоксикоза 131I. В таких случаях гипокальциемия, как правило, преходящая. Ее надо отличать от преходящей гипокальциемии при синдроме голодных костей (после хирургического лечения гиперпаратиреоза или после случайного удаления паращитовидных желез при хирургическом лечении тиреотоксикоза).</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ab/>
        <w:t>Редкие причины гипопаратиреоза — поражение паращитовидных желез при гранулематозах и их разрушение метастазами (например, метастазами рака молочной железы).</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Повышение уровня магния в сыворотке приводит к подавлению секреции ПТГ и в отдельных случаях — к гипопаратиреозу и гипокальциемии.</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 xml:space="preserve"> </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3083D">
        <w:rPr>
          <w:rFonts w:ascii="Times New Roman" w:eastAsia="Times New Roman" w:hAnsi="Times New Roman" w:cs="Times New Roman"/>
          <w:b/>
          <w:bCs/>
          <w:lang w:eastAsia="ru-RU"/>
        </w:rPr>
        <w:t>Синдромы резистентности к ПТГ.</w:t>
      </w:r>
      <w:r w:rsidRPr="006D5CC7">
        <w:rPr>
          <w:rFonts w:ascii="Times New Roman" w:eastAsia="Times New Roman" w:hAnsi="Times New Roman" w:cs="Times New Roman"/>
          <w:bCs/>
          <w:lang w:eastAsia="ru-RU"/>
        </w:rPr>
        <w:t xml:space="preserve"> При всех этих синдромах на фоне повышенного уровня ПТГ наблюдается гипокальциемия и гиперфосфатемия. Поэтому их обозначают общим термином псевдогипопаратиреоз. Нормализация уровня кальция при псевдогипопаратиреозе обычно приводит к снижению уровня ПТГ, но не устраняет резистентность тканей-мишеней к ПТГ.</w:t>
      </w:r>
    </w:p>
    <w:p w:rsidR="006D5CC7" w:rsidRPr="0063083D" w:rsidRDefault="006D5CC7" w:rsidP="003276B5">
      <w:pPr>
        <w:spacing w:line="276" w:lineRule="auto"/>
        <w:ind w:firstLine="0"/>
        <w:outlineLvl w:val="1"/>
        <w:rPr>
          <w:rFonts w:ascii="Times New Roman" w:eastAsia="Times New Roman" w:hAnsi="Times New Roman" w:cs="Times New Roman"/>
          <w:b/>
          <w:bCs/>
          <w:lang w:eastAsia="ru-RU"/>
        </w:rPr>
      </w:pPr>
      <w:r w:rsidRPr="0063083D">
        <w:rPr>
          <w:rFonts w:ascii="Times New Roman" w:eastAsia="Times New Roman" w:hAnsi="Times New Roman" w:cs="Times New Roman"/>
          <w:b/>
          <w:bCs/>
          <w:lang w:eastAsia="ru-RU"/>
        </w:rPr>
        <w:lastRenderedPageBreak/>
        <w:t>А. Псевдогипопаратиреоз типа Ia</w:t>
      </w:r>
    </w:p>
    <w:p w:rsidR="006D5CC7" w:rsidRPr="006D5CC7" w:rsidRDefault="006D5CC7" w:rsidP="0063083D">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ab/>
      </w:r>
      <w:r w:rsidRPr="0063083D">
        <w:rPr>
          <w:rFonts w:ascii="Times New Roman" w:eastAsia="Times New Roman" w:hAnsi="Times New Roman" w:cs="Times New Roman"/>
          <w:b/>
          <w:bCs/>
          <w:lang w:eastAsia="ru-RU"/>
        </w:rPr>
        <w:t>Клиническая картина.</w:t>
      </w:r>
      <w:r w:rsidRPr="006D5CC7">
        <w:rPr>
          <w:rFonts w:ascii="Times New Roman" w:eastAsia="Times New Roman" w:hAnsi="Times New Roman" w:cs="Times New Roman"/>
          <w:bCs/>
          <w:lang w:eastAsia="ru-RU"/>
        </w:rPr>
        <w:t xml:space="preserve"> Это семейное заболевание с аутосомно-доминантным наследованием, однако изредка встречаются спорадические случаи. Симптомы гипокальциемии сочетаются с характерными внешними признаками: низкорослостью, брахидактилией, лунообразным лицом, ожирением, крыловидными складками на шее, множественными очагами подкожного обызвествления или оссификации. Умственная отсталость встречается не всегда. Псевдогипопаратиреоз типа Ia был впервые описан F. Albright, и поэтому для обозначения совокупности его внешних признаков используют термин наследственная остеодистрофия Олбрайта.</w:t>
      </w:r>
    </w:p>
    <w:p w:rsidR="006D5CC7" w:rsidRPr="0063083D" w:rsidRDefault="006D5CC7" w:rsidP="003276B5">
      <w:pPr>
        <w:spacing w:line="276" w:lineRule="auto"/>
        <w:ind w:firstLine="0"/>
        <w:outlineLvl w:val="1"/>
        <w:rPr>
          <w:rFonts w:ascii="Times New Roman" w:eastAsia="Times New Roman" w:hAnsi="Times New Roman" w:cs="Times New Roman"/>
          <w:b/>
          <w:bCs/>
          <w:lang w:eastAsia="ru-RU"/>
        </w:rPr>
      </w:pPr>
      <w:r w:rsidRPr="0063083D">
        <w:rPr>
          <w:rFonts w:ascii="Times New Roman" w:eastAsia="Times New Roman" w:hAnsi="Times New Roman" w:cs="Times New Roman"/>
          <w:b/>
          <w:bCs/>
          <w:lang w:eastAsia="ru-RU"/>
        </w:rPr>
        <w:t>Диагноз</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а. Характерная клиническая картина.</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б. Пониженная активность Gsальфа в эритроцитах или других клетках.</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в. Лабораторные доказательства резистентности к ПТГ:</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Гипокальциемия и гиперфосфатемия на фоне повышенного уровня ПТГ.</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После введения ПТГ концентрация нефрогенного цАМФ в моче не повышается или повышается незначительно, концентрация фосфата в моче не повышается или снижается, концентрация 1,25(OH)2D3 в сыворотке не повышается.</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г. У некоторых больных наблюдается перемежающаяся гипокальциемия, хотя уровень ПТГ постоянно повышен, а экскреция кальция постоянно снижена. У таких больных при введении ПТГ экскреция кальция не снижается даже на фоне нормокальциемии.</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д. В последнее время для диагностики псевдогипопаратиреоза типа Ia используют методы молекулярной генетики.</w:t>
      </w:r>
    </w:p>
    <w:p w:rsidR="0063083D" w:rsidRDefault="006D5CC7" w:rsidP="003276B5">
      <w:pPr>
        <w:spacing w:line="276" w:lineRule="auto"/>
        <w:ind w:firstLine="0"/>
        <w:outlineLvl w:val="1"/>
        <w:rPr>
          <w:rFonts w:ascii="Times New Roman" w:eastAsia="Times New Roman" w:hAnsi="Times New Roman" w:cs="Times New Roman"/>
          <w:bCs/>
          <w:lang w:eastAsia="ru-RU"/>
        </w:rPr>
      </w:pPr>
      <w:r w:rsidRPr="0063083D">
        <w:rPr>
          <w:rFonts w:ascii="Times New Roman" w:eastAsia="Times New Roman" w:hAnsi="Times New Roman" w:cs="Times New Roman"/>
          <w:b/>
          <w:bCs/>
          <w:lang w:eastAsia="ru-RU"/>
        </w:rPr>
        <w:t>Б. Псевдопсевдогипопаратиреоз.</w:t>
      </w:r>
      <w:r w:rsidRPr="006D5CC7">
        <w:rPr>
          <w:rFonts w:ascii="Times New Roman" w:eastAsia="Times New Roman" w:hAnsi="Times New Roman" w:cs="Times New Roman"/>
          <w:bCs/>
          <w:lang w:eastAsia="ru-RU"/>
        </w:rPr>
        <w:t xml:space="preserve"> </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Для этого заболевания характерны:</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Снижение активности Gsальфа.</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Отсутствие резистентности к ПТГ.</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Нормальные уровни кальция и фосфата в сыворотке.</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 xml:space="preserve"> </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Повышение уровня нефрогенного цАМФ в моче после введения ПТГ.</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Наследственная остеодистрофия Олбрайта.</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Отсутствие других эндокринных нарушений.</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Таким образом, при псевдопсевдогипопаратиреозе генетический дефект Gsальфа не приводит к развитию полной клинической картины резистентности к ПТГ, характерной для псевдогипопаратиреоза типа Ia. Поэтому предполагают, что при псевдогипопаратиреозе типа Ia помимо снижения активности Gsальфа имеются еще какие- то генетические дефекты, определяющие полную клиническую картину заболевания.</w:t>
      </w:r>
    </w:p>
    <w:p w:rsidR="0063083D" w:rsidRDefault="0063083D" w:rsidP="003276B5">
      <w:pPr>
        <w:spacing w:line="276" w:lineRule="auto"/>
        <w:ind w:firstLine="0"/>
        <w:outlineLvl w:val="1"/>
        <w:rPr>
          <w:rFonts w:ascii="Times New Roman" w:eastAsia="Times New Roman" w:hAnsi="Times New Roman" w:cs="Times New Roman"/>
          <w:bCs/>
          <w:lang w:eastAsia="ru-RU"/>
        </w:rPr>
      </w:pPr>
    </w:p>
    <w:p w:rsidR="006D5CC7" w:rsidRPr="0063083D" w:rsidRDefault="006D5CC7" w:rsidP="003276B5">
      <w:pPr>
        <w:spacing w:line="276" w:lineRule="auto"/>
        <w:ind w:firstLine="0"/>
        <w:outlineLvl w:val="1"/>
        <w:rPr>
          <w:rFonts w:ascii="Times New Roman" w:eastAsia="Times New Roman" w:hAnsi="Times New Roman" w:cs="Times New Roman"/>
          <w:b/>
          <w:bCs/>
          <w:lang w:eastAsia="ru-RU"/>
        </w:rPr>
      </w:pPr>
      <w:r w:rsidRPr="0063083D">
        <w:rPr>
          <w:rFonts w:ascii="Times New Roman" w:eastAsia="Times New Roman" w:hAnsi="Times New Roman" w:cs="Times New Roman"/>
          <w:b/>
          <w:bCs/>
          <w:lang w:eastAsia="ru-RU"/>
        </w:rPr>
        <w:t>В. Псевдогипопаратиреоз типа Ib</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Биохимические признаки резистентности к ПТГ такие же, как при псевдогипопаратиреозе типа Ia. Наследование аутосомно-доминантное. Активность Gsальфа в эритроцитах нормальная. Наследственной остеодистрофии Олбрайта нет. Предполагают, что псевдогипопаратиреоз типа Ib обусловлен дефектом рецептора ПТГ.</w:t>
      </w:r>
    </w:p>
    <w:p w:rsidR="0063083D" w:rsidRDefault="0063083D" w:rsidP="003276B5">
      <w:pPr>
        <w:spacing w:line="276" w:lineRule="auto"/>
        <w:ind w:firstLine="0"/>
        <w:outlineLvl w:val="1"/>
        <w:rPr>
          <w:rFonts w:ascii="Times New Roman" w:eastAsia="Times New Roman" w:hAnsi="Times New Roman" w:cs="Times New Roman"/>
          <w:b/>
          <w:bCs/>
          <w:lang w:eastAsia="ru-RU"/>
        </w:rPr>
      </w:pPr>
    </w:p>
    <w:p w:rsidR="006D5CC7" w:rsidRPr="0063083D" w:rsidRDefault="006D5CC7" w:rsidP="003276B5">
      <w:pPr>
        <w:spacing w:line="276" w:lineRule="auto"/>
        <w:ind w:firstLine="0"/>
        <w:outlineLvl w:val="1"/>
        <w:rPr>
          <w:rFonts w:ascii="Times New Roman" w:eastAsia="Times New Roman" w:hAnsi="Times New Roman" w:cs="Times New Roman"/>
          <w:b/>
          <w:bCs/>
          <w:lang w:eastAsia="ru-RU"/>
        </w:rPr>
      </w:pPr>
      <w:r w:rsidRPr="0063083D">
        <w:rPr>
          <w:rFonts w:ascii="Times New Roman" w:eastAsia="Times New Roman" w:hAnsi="Times New Roman" w:cs="Times New Roman"/>
          <w:b/>
          <w:bCs/>
          <w:lang w:eastAsia="ru-RU"/>
        </w:rPr>
        <w:t>Г. Псевдогипопаратиреоз типа Ic</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lastRenderedPageBreak/>
        <w:t>Биохимические признаки резистентности к ПТГ такие же, как при псевдогипопаратиреозе типа Ia. Наследование аутосомно-доминантное. Активность Gsальфа нормальная. Наблюдается наследственная остеодистрофия Олбрайта и резистентность ко многим гормонам. У некоторых больных обнаружены дефекты аденилатциклазы. Не исключено, что псевдогипопаратиреоз типа Ic может быть обусловлен и дефектами Gsальфа, которые не выявляются существующими методами.</w:t>
      </w:r>
    </w:p>
    <w:p w:rsidR="006D5CC7" w:rsidRPr="0063083D" w:rsidRDefault="006D5CC7" w:rsidP="003276B5">
      <w:pPr>
        <w:spacing w:line="276" w:lineRule="auto"/>
        <w:ind w:firstLine="0"/>
        <w:outlineLvl w:val="1"/>
        <w:rPr>
          <w:rFonts w:ascii="Times New Roman" w:eastAsia="Times New Roman" w:hAnsi="Times New Roman" w:cs="Times New Roman"/>
          <w:b/>
          <w:bCs/>
          <w:lang w:eastAsia="ru-RU"/>
        </w:rPr>
      </w:pPr>
      <w:r w:rsidRPr="0063083D">
        <w:rPr>
          <w:rFonts w:ascii="Times New Roman" w:eastAsia="Times New Roman" w:hAnsi="Times New Roman" w:cs="Times New Roman"/>
          <w:b/>
          <w:bCs/>
          <w:lang w:eastAsia="ru-RU"/>
        </w:rPr>
        <w:t>Д. Псевдогипопаратиреоз типа II</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Описано несколько вариантов этой редкой формы резистентности к ПТГ. Наследование аутосомно-доминантное. Имеются гипокальциемия и гиперфосфатемия, но наследственной остеодистрофии Олбрайта нет. Введение ПТГ усиливает экскрецию нефрогенного цАМФ, но не повышает концентрацию фосфата в моче. У некоторых больных нормализация уровня кальция в сыворотке приводит к усилению экскреции фосфата в ответ на введение ПТГ. Псевдогипопаратиреоз типа II описан у больных с остеомаляцией, вызванной дефицитом витамина D. На этом основании предполагают, что причиной псевдогипопаратиреоза типа II являются наследственные нарушения метаболизма витамина D.</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3083D">
        <w:rPr>
          <w:rFonts w:ascii="Times New Roman" w:eastAsia="Times New Roman" w:hAnsi="Times New Roman" w:cs="Times New Roman"/>
          <w:b/>
          <w:bCs/>
          <w:lang w:eastAsia="ru-RU"/>
        </w:rPr>
        <w:t>Е. Другие формы резистентности к ПТГ.</w:t>
      </w:r>
      <w:r w:rsidRPr="006D5CC7">
        <w:rPr>
          <w:rFonts w:ascii="Times New Roman" w:eastAsia="Times New Roman" w:hAnsi="Times New Roman" w:cs="Times New Roman"/>
          <w:bCs/>
          <w:lang w:eastAsia="ru-RU"/>
        </w:rPr>
        <w:t xml:space="preserve"> Описано несколько очень редких заболеваний с резистентностью как к эндогенному, так и к экзогенному ПТГ либо с резистентностью только к эндогенному ПТГ. Генетические дефекты, характерные для разных типов псевдогипопаратиреоза, при этих заболеваниях не выявлены.</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ab/>
        <w:t>Селективная резистентность почек к ПТГ. Чувствительность почечных канальцев к ПТГ снижена или отсутствует; чувствительность костной ткани к ПТГ не нарушена. В результате в почках не синтезируется 1,25(OH)2D3, экскреция кальция усилена, а уровень ПТГ1—84 в сыворотке значительно повышен. При рентгенографии костей отмечаются признаки тяжелого гиперпаратиреоза: фиброзно-кистозный остит, кисты и бурые опухоли. Это заболевание называют также псевдогипогиперпаратиреозом.</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Резистентность к эндогенному ПТГ. При этом заболевании нарушена структура ПТГ. Клетки-мишени резистентны к эндогенному ПТГ, но чувствительны к экзогенному гормону. Это заболевание называют также псевдоидиопатическим гипопаратиреозом.</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ab/>
        <w:t>Описано заболевание костной ткани, при котором ее резистентность к ПТГ обусловлена дефектом синтеза 1,25(OH)2D3. Кратковременное лечение кальцитриолом нормализует реакцию костной ткани на ПТГ, но не позволяет восстановить структуру костной ткани.</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 xml:space="preserve"> </w:t>
      </w:r>
    </w:p>
    <w:p w:rsidR="0063083D" w:rsidRDefault="006D5CC7" w:rsidP="003276B5">
      <w:pPr>
        <w:spacing w:line="276" w:lineRule="auto"/>
        <w:ind w:firstLine="0"/>
        <w:outlineLvl w:val="1"/>
        <w:rPr>
          <w:rFonts w:ascii="Times New Roman" w:eastAsia="Times New Roman" w:hAnsi="Times New Roman" w:cs="Times New Roman"/>
          <w:bCs/>
          <w:lang w:eastAsia="ru-RU"/>
        </w:rPr>
      </w:pPr>
      <w:r w:rsidRPr="0063083D">
        <w:rPr>
          <w:rFonts w:ascii="Times New Roman" w:eastAsia="Times New Roman" w:hAnsi="Times New Roman" w:cs="Times New Roman"/>
          <w:b/>
          <w:bCs/>
          <w:lang w:eastAsia="ru-RU"/>
        </w:rPr>
        <w:t>Дефицит магния.</w:t>
      </w:r>
      <w:r w:rsidRPr="006D5CC7">
        <w:rPr>
          <w:rFonts w:ascii="Times New Roman" w:eastAsia="Times New Roman" w:hAnsi="Times New Roman" w:cs="Times New Roman"/>
          <w:bCs/>
          <w:lang w:eastAsia="ru-RU"/>
        </w:rPr>
        <w:t xml:space="preserve"> </w:t>
      </w:r>
    </w:p>
    <w:p w:rsidR="006D5CC7" w:rsidRPr="006D5CC7" w:rsidRDefault="006D5CC7" w:rsidP="0063083D">
      <w:pPr>
        <w:spacing w:line="276" w:lineRule="auto"/>
        <w:ind w:firstLine="708"/>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Это самая распространенная причина гипокальциемии. Значительный дефицит магния приводит к тяжелой гипокальциемии. При восполнении магния уровень кальция быстро нормализуется.</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3083D">
        <w:rPr>
          <w:rFonts w:ascii="Times New Roman" w:eastAsia="Times New Roman" w:hAnsi="Times New Roman" w:cs="Times New Roman"/>
          <w:b/>
          <w:bCs/>
          <w:lang w:eastAsia="ru-RU"/>
        </w:rPr>
        <w:t>А. Этиология.</w:t>
      </w:r>
      <w:r w:rsidRPr="006D5CC7">
        <w:rPr>
          <w:rFonts w:ascii="Times New Roman" w:eastAsia="Times New Roman" w:hAnsi="Times New Roman" w:cs="Times New Roman"/>
          <w:bCs/>
          <w:lang w:eastAsia="ru-RU"/>
        </w:rPr>
        <w:t xml:space="preserve"> Первичный дефицит магния обусловлен наследственными нарушениями всасывания магния в кишечнике или реабсорбции магния в почках и наблюдается редко. Гораздо чаще встречается вторичный дефицит магния. Причины вторичного дефицита магния (в порядке убывания частоты):</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Алкоголизм в сочетании с недостаточным питанием.</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Нарушение всасывания магния в кишечнике.</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Длительное лечение тиазидными или петлевыми диуретиками.</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Нарушения функции почек.</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ab/>
        <w:t>Лечение</w:t>
      </w:r>
      <w:r w:rsidRPr="006D5CC7">
        <w:rPr>
          <w:rFonts w:ascii="Times New Roman" w:eastAsia="Times New Roman" w:hAnsi="Times New Roman" w:cs="Times New Roman"/>
          <w:bCs/>
          <w:lang w:eastAsia="ru-RU"/>
        </w:rPr>
        <w:tab/>
      </w:r>
      <w:proofErr w:type="gramStart"/>
      <w:r w:rsidRPr="006D5CC7">
        <w:rPr>
          <w:rFonts w:ascii="Times New Roman" w:eastAsia="Times New Roman" w:hAnsi="Times New Roman" w:cs="Times New Roman"/>
          <w:bCs/>
          <w:lang w:eastAsia="ru-RU"/>
        </w:rPr>
        <w:t>гентамицином,</w:t>
      </w:r>
      <w:r w:rsidRPr="006D5CC7">
        <w:rPr>
          <w:rFonts w:ascii="Times New Roman" w:eastAsia="Times New Roman" w:hAnsi="Times New Roman" w:cs="Times New Roman"/>
          <w:bCs/>
          <w:lang w:eastAsia="ru-RU"/>
        </w:rPr>
        <w:tab/>
      </w:r>
      <w:proofErr w:type="gramEnd"/>
      <w:r w:rsidRPr="006D5CC7">
        <w:rPr>
          <w:rFonts w:ascii="Times New Roman" w:eastAsia="Times New Roman" w:hAnsi="Times New Roman" w:cs="Times New Roman"/>
          <w:bCs/>
          <w:lang w:eastAsia="ru-RU"/>
        </w:rPr>
        <w:t>тобрамицином,</w:t>
      </w:r>
      <w:r w:rsidRPr="006D5CC7">
        <w:rPr>
          <w:rFonts w:ascii="Times New Roman" w:eastAsia="Times New Roman" w:hAnsi="Times New Roman" w:cs="Times New Roman"/>
          <w:bCs/>
          <w:lang w:eastAsia="ru-RU"/>
        </w:rPr>
        <w:tab/>
        <w:t>амикацином,</w:t>
      </w:r>
      <w:r w:rsidRPr="006D5CC7">
        <w:rPr>
          <w:rFonts w:ascii="Times New Roman" w:eastAsia="Times New Roman" w:hAnsi="Times New Roman" w:cs="Times New Roman"/>
          <w:bCs/>
          <w:lang w:eastAsia="ru-RU"/>
        </w:rPr>
        <w:tab/>
        <w:t>амфотерицином</w:t>
      </w:r>
      <w:r w:rsidRPr="006D5CC7">
        <w:rPr>
          <w:rFonts w:ascii="Times New Roman" w:eastAsia="Times New Roman" w:hAnsi="Times New Roman" w:cs="Times New Roman"/>
          <w:bCs/>
          <w:lang w:eastAsia="ru-RU"/>
        </w:rPr>
        <w:tab/>
        <w:t>B, пентамидином, цисплатином, циклоспорином.</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lastRenderedPageBreak/>
        <w:tab/>
        <w:t>Неправильное</w:t>
      </w:r>
      <w:r w:rsidRPr="006D5CC7">
        <w:rPr>
          <w:rFonts w:ascii="Times New Roman" w:eastAsia="Times New Roman" w:hAnsi="Times New Roman" w:cs="Times New Roman"/>
          <w:bCs/>
          <w:lang w:eastAsia="ru-RU"/>
        </w:rPr>
        <w:tab/>
        <w:t>парентеральное</w:t>
      </w:r>
      <w:r w:rsidRPr="006D5CC7">
        <w:rPr>
          <w:rFonts w:ascii="Times New Roman" w:eastAsia="Times New Roman" w:hAnsi="Times New Roman" w:cs="Times New Roman"/>
          <w:bCs/>
          <w:lang w:eastAsia="ru-RU"/>
        </w:rPr>
        <w:tab/>
        <w:t>питание</w:t>
      </w:r>
      <w:proofErr w:type="gramStart"/>
      <w:r w:rsidRPr="006D5CC7">
        <w:rPr>
          <w:rFonts w:ascii="Times New Roman" w:eastAsia="Times New Roman" w:hAnsi="Times New Roman" w:cs="Times New Roman"/>
          <w:bCs/>
          <w:lang w:eastAsia="ru-RU"/>
        </w:rPr>
        <w:tab/>
        <w:t>(</w:t>
      </w:r>
      <w:proofErr w:type="gramEnd"/>
      <w:r w:rsidRPr="006D5CC7">
        <w:rPr>
          <w:rFonts w:ascii="Times New Roman" w:eastAsia="Times New Roman" w:hAnsi="Times New Roman" w:cs="Times New Roman"/>
          <w:bCs/>
          <w:lang w:eastAsia="ru-RU"/>
        </w:rPr>
        <w:t>избыточное</w:t>
      </w:r>
      <w:r w:rsidRPr="006D5CC7">
        <w:rPr>
          <w:rFonts w:ascii="Times New Roman" w:eastAsia="Times New Roman" w:hAnsi="Times New Roman" w:cs="Times New Roman"/>
          <w:bCs/>
          <w:lang w:eastAsia="ru-RU"/>
        </w:rPr>
        <w:tab/>
        <w:t>парентеральное</w:t>
      </w:r>
      <w:r w:rsidRPr="006D5CC7">
        <w:rPr>
          <w:rFonts w:ascii="Times New Roman" w:eastAsia="Times New Roman" w:hAnsi="Times New Roman" w:cs="Times New Roman"/>
          <w:bCs/>
          <w:lang w:eastAsia="ru-RU"/>
        </w:rPr>
        <w:tab/>
        <w:t>питание, отсутствие магния в питательной смеси).</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3083D">
        <w:rPr>
          <w:rFonts w:ascii="Times New Roman" w:eastAsia="Times New Roman" w:hAnsi="Times New Roman" w:cs="Times New Roman"/>
          <w:b/>
          <w:bCs/>
          <w:lang w:eastAsia="ru-RU"/>
        </w:rPr>
        <w:t>Б. Патогенез гипокальциемии</w:t>
      </w:r>
      <w:r w:rsidRPr="006D5CC7">
        <w:rPr>
          <w:rFonts w:ascii="Times New Roman" w:eastAsia="Times New Roman" w:hAnsi="Times New Roman" w:cs="Times New Roman"/>
          <w:bCs/>
          <w:lang w:eastAsia="ru-RU"/>
        </w:rPr>
        <w:t xml:space="preserve"> при дефиците магния определяется двумя основными факторами: снижением секреции ПТГ и развитием резистентности костной ткани и почек к ПТГ. При снижении уровня магния в сыворотке, так </w:t>
      </w:r>
      <w:proofErr w:type="gramStart"/>
      <w:r w:rsidRPr="006D5CC7">
        <w:rPr>
          <w:rFonts w:ascii="Times New Roman" w:eastAsia="Times New Roman" w:hAnsi="Times New Roman" w:cs="Times New Roman"/>
          <w:bCs/>
          <w:lang w:eastAsia="ru-RU"/>
        </w:rPr>
        <w:t>же</w:t>
      </w:r>
      <w:proofErr w:type="gramEnd"/>
      <w:r w:rsidRPr="006D5CC7">
        <w:rPr>
          <w:rFonts w:ascii="Times New Roman" w:eastAsia="Times New Roman" w:hAnsi="Times New Roman" w:cs="Times New Roman"/>
          <w:bCs/>
          <w:lang w:eastAsia="ru-RU"/>
        </w:rPr>
        <w:t xml:space="preserve"> как и при снижении уровня кальция, секреция ПТГ должна была бы усиливаться. Однако при тяжелом дефиците магния уровень ПТГ в сыворотке падает. Предполагают, что подавление секреции ПТГ в таких случаях обусловлено истощением внутриклеточных запасов магния. По-видимому, дефицит магния в клетках ингибирует аденилатциклазу, для которой магний служит кофактором. Резистентность к ПТГ не так важна для развития гипокальциемии и возникает только при очень тяжелом дефиците магния.</w:t>
      </w:r>
    </w:p>
    <w:p w:rsidR="006D5CC7" w:rsidRPr="006D5CC7" w:rsidRDefault="006D5CC7" w:rsidP="00B22ACF">
      <w:pPr>
        <w:spacing w:line="276" w:lineRule="auto"/>
        <w:ind w:firstLine="708"/>
        <w:outlineLvl w:val="1"/>
        <w:rPr>
          <w:rFonts w:ascii="Times New Roman" w:eastAsia="Times New Roman" w:hAnsi="Times New Roman" w:cs="Times New Roman"/>
          <w:bCs/>
          <w:lang w:eastAsia="ru-RU"/>
        </w:rPr>
      </w:pPr>
      <w:r w:rsidRPr="0063083D">
        <w:rPr>
          <w:rFonts w:ascii="Times New Roman" w:eastAsia="Times New Roman" w:hAnsi="Times New Roman" w:cs="Times New Roman"/>
          <w:b/>
          <w:bCs/>
          <w:lang w:eastAsia="ru-RU"/>
        </w:rPr>
        <w:t>В. Клиническая картина</w:t>
      </w:r>
      <w:r w:rsidRPr="006D5CC7">
        <w:rPr>
          <w:rFonts w:ascii="Times New Roman" w:eastAsia="Times New Roman" w:hAnsi="Times New Roman" w:cs="Times New Roman"/>
          <w:bCs/>
          <w:lang w:eastAsia="ru-RU"/>
        </w:rPr>
        <w:t xml:space="preserve"> при тяжелом дефиците магния напоминает клиническую картину при гипокальциемии. Основные симптомы: сонливость, мышечная слабость, эпилептические припадки, аритмии, симптом Хвостека.</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Г. Лабораторная диагностика</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 xml:space="preserve">Уровень магния в сыворотке </w:t>
      </w:r>
      <w:proofErr w:type="gramStart"/>
      <w:r w:rsidRPr="006D5CC7">
        <w:rPr>
          <w:rFonts w:ascii="Times New Roman" w:eastAsia="Times New Roman" w:hAnsi="Times New Roman" w:cs="Times New Roman"/>
          <w:bCs/>
          <w:lang w:eastAsia="ru-RU"/>
        </w:rPr>
        <w:t>&lt; 1</w:t>
      </w:r>
      <w:proofErr w:type="gramEnd"/>
      <w:r w:rsidRPr="006D5CC7">
        <w:rPr>
          <w:rFonts w:ascii="Times New Roman" w:eastAsia="Times New Roman" w:hAnsi="Times New Roman" w:cs="Times New Roman"/>
          <w:bCs/>
          <w:lang w:eastAsia="ru-RU"/>
        </w:rPr>
        <w:t xml:space="preserve"> мэкв/л.</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 xml:space="preserve">Суточная экскреция магния </w:t>
      </w:r>
      <w:proofErr w:type="gramStart"/>
      <w:r w:rsidRPr="006D5CC7">
        <w:rPr>
          <w:rFonts w:ascii="Times New Roman" w:eastAsia="Times New Roman" w:hAnsi="Times New Roman" w:cs="Times New Roman"/>
          <w:bCs/>
          <w:lang w:eastAsia="ru-RU"/>
        </w:rPr>
        <w:t>&lt; 1</w:t>
      </w:r>
      <w:proofErr w:type="gramEnd"/>
      <w:r w:rsidRPr="006D5CC7">
        <w:rPr>
          <w:rFonts w:ascii="Times New Roman" w:eastAsia="Times New Roman" w:hAnsi="Times New Roman" w:cs="Times New Roman"/>
          <w:bCs/>
          <w:lang w:eastAsia="ru-RU"/>
        </w:rPr>
        <w:t xml:space="preserve"> мэкв/л (если нет нарушений функции почек).</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Гипокальциемия.</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Уровень ПТГ1—84 в сыворотке снижен либо вообще не определяется.</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Нередко снижен уровень 1,25(OH)2D3 в сыворотке; возможна резистентность тонкой кишки к витамину D.</w:t>
      </w:r>
    </w:p>
    <w:p w:rsidR="006D5CC7" w:rsidRPr="006D5CC7" w:rsidRDefault="006D5CC7" w:rsidP="00B22ACF">
      <w:pPr>
        <w:spacing w:line="276" w:lineRule="auto"/>
        <w:ind w:firstLine="708"/>
        <w:outlineLvl w:val="1"/>
        <w:rPr>
          <w:rFonts w:ascii="Times New Roman" w:eastAsia="Times New Roman" w:hAnsi="Times New Roman" w:cs="Times New Roman"/>
          <w:bCs/>
          <w:lang w:eastAsia="ru-RU"/>
        </w:rPr>
      </w:pPr>
      <w:r w:rsidRPr="00B22ACF">
        <w:rPr>
          <w:rFonts w:ascii="Times New Roman" w:eastAsia="Times New Roman" w:hAnsi="Times New Roman" w:cs="Times New Roman"/>
          <w:b/>
          <w:bCs/>
          <w:lang w:eastAsia="ru-RU"/>
        </w:rPr>
        <w:t>Д. Лечение.</w:t>
      </w:r>
      <w:r w:rsidRPr="006D5CC7">
        <w:rPr>
          <w:rFonts w:ascii="Times New Roman" w:eastAsia="Times New Roman" w:hAnsi="Times New Roman" w:cs="Times New Roman"/>
          <w:bCs/>
          <w:lang w:eastAsia="ru-RU"/>
        </w:rPr>
        <w:t xml:space="preserve"> Заместительная терапия солями магния приводит к быстрой (на протяжении нескольких минут или часов) нормализации уровня ПТГ. Уровень кальция нормализуется не так быстро: для этого может потребоваться несколько дней.</w:t>
      </w:r>
    </w:p>
    <w:p w:rsidR="006D5CC7" w:rsidRPr="00B22ACF" w:rsidRDefault="006D5CC7" w:rsidP="003276B5">
      <w:pPr>
        <w:spacing w:line="276" w:lineRule="auto"/>
        <w:ind w:firstLine="0"/>
        <w:outlineLvl w:val="1"/>
        <w:rPr>
          <w:rFonts w:ascii="Times New Roman" w:eastAsia="Times New Roman" w:hAnsi="Times New Roman" w:cs="Times New Roman"/>
          <w:b/>
          <w:bCs/>
          <w:lang w:eastAsia="ru-RU"/>
        </w:rPr>
      </w:pPr>
      <w:r w:rsidRPr="00B22ACF">
        <w:rPr>
          <w:rFonts w:ascii="Times New Roman" w:eastAsia="Times New Roman" w:hAnsi="Times New Roman" w:cs="Times New Roman"/>
          <w:b/>
          <w:bCs/>
          <w:lang w:eastAsia="ru-RU"/>
        </w:rPr>
        <w:t>Дифференциальная</w:t>
      </w:r>
      <w:r w:rsidRPr="00B22ACF">
        <w:rPr>
          <w:rFonts w:ascii="Times New Roman" w:eastAsia="Times New Roman" w:hAnsi="Times New Roman" w:cs="Times New Roman"/>
          <w:b/>
          <w:bCs/>
          <w:lang w:eastAsia="ru-RU"/>
        </w:rPr>
        <w:tab/>
        <w:t>диагностика</w:t>
      </w:r>
      <w:r w:rsidRPr="00B22ACF">
        <w:rPr>
          <w:rFonts w:ascii="Times New Roman" w:eastAsia="Times New Roman" w:hAnsi="Times New Roman" w:cs="Times New Roman"/>
          <w:b/>
          <w:bCs/>
          <w:lang w:eastAsia="ru-RU"/>
        </w:rPr>
        <w:tab/>
        <w:t>гипопаратиреоза, псевдогипопаратиреоза и дефицита магния</w:t>
      </w:r>
    </w:p>
    <w:p w:rsidR="006D5CC7" w:rsidRPr="006D5CC7" w:rsidRDefault="006D5CC7" w:rsidP="00B22ACF">
      <w:pPr>
        <w:spacing w:line="276" w:lineRule="auto"/>
        <w:ind w:firstLine="708"/>
        <w:outlineLvl w:val="1"/>
        <w:rPr>
          <w:rFonts w:ascii="Times New Roman" w:eastAsia="Times New Roman" w:hAnsi="Times New Roman" w:cs="Times New Roman"/>
          <w:bCs/>
          <w:lang w:eastAsia="ru-RU"/>
        </w:rPr>
      </w:pPr>
      <w:r w:rsidRPr="00B22ACF">
        <w:rPr>
          <w:rFonts w:ascii="Times New Roman" w:eastAsia="Times New Roman" w:hAnsi="Times New Roman" w:cs="Times New Roman"/>
          <w:b/>
          <w:bCs/>
          <w:lang w:eastAsia="ru-RU"/>
        </w:rPr>
        <w:t>А. Диагноз</w:t>
      </w:r>
      <w:r w:rsidRPr="006D5CC7">
        <w:rPr>
          <w:rFonts w:ascii="Times New Roman" w:eastAsia="Times New Roman" w:hAnsi="Times New Roman" w:cs="Times New Roman"/>
          <w:bCs/>
          <w:lang w:eastAsia="ru-RU"/>
        </w:rPr>
        <w:t xml:space="preserve"> идиопатического гипопаратиреоза устанавливают методом исключения. Диагностические критерии: низкий уровень или отсутствие ПТГ1—84 в сыворотке на фоне гипокальциемии; гиперфосфатемия; нормальный уровень магния в сыворотке.</w:t>
      </w:r>
    </w:p>
    <w:p w:rsidR="006D5CC7" w:rsidRPr="006D5CC7" w:rsidRDefault="006D5CC7" w:rsidP="00B22ACF">
      <w:pPr>
        <w:spacing w:line="276" w:lineRule="auto"/>
        <w:ind w:firstLine="708"/>
        <w:outlineLvl w:val="1"/>
        <w:rPr>
          <w:rFonts w:ascii="Times New Roman" w:eastAsia="Times New Roman" w:hAnsi="Times New Roman" w:cs="Times New Roman"/>
          <w:bCs/>
          <w:lang w:eastAsia="ru-RU"/>
        </w:rPr>
      </w:pPr>
      <w:r w:rsidRPr="00B22ACF">
        <w:rPr>
          <w:rFonts w:ascii="Times New Roman" w:eastAsia="Times New Roman" w:hAnsi="Times New Roman" w:cs="Times New Roman"/>
          <w:b/>
          <w:bCs/>
          <w:lang w:eastAsia="ru-RU"/>
        </w:rPr>
        <w:t>Б.</w:t>
      </w:r>
      <w:r w:rsidRPr="006D5CC7">
        <w:rPr>
          <w:rFonts w:ascii="Times New Roman" w:eastAsia="Times New Roman" w:hAnsi="Times New Roman" w:cs="Times New Roman"/>
          <w:bCs/>
          <w:lang w:eastAsia="ru-RU"/>
        </w:rPr>
        <w:t xml:space="preserve"> У больных гипопаратиреозом может возникнуть дефицит магния, что осложняет диагностику. В таких случаях наблюдается резистентность к ПТГ или отсутствие нормальной реакции на введение витамина D из-за дефицита магния. Восполнение магния устраняет эти нарушения.</w:t>
      </w:r>
    </w:p>
    <w:p w:rsidR="006D5CC7" w:rsidRPr="006D5CC7" w:rsidRDefault="006D5CC7" w:rsidP="00B22ACF">
      <w:pPr>
        <w:spacing w:line="276" w:lineRule="auto"/>
        <w:ind w:firstLine="708"/>
        <w:outlineLvl w:val="1"/>
        <w:rPr>
          <w:rFonts w:ascii="Times New Roman" w:eastAsia="Times New Roman" w:hAnsi="Times New Roman" w:cs="Times New Roman"/>
          <w:bCs/>
          <w:lang w:eastAsia="ru-RU"/>
        </w:rPr>
      </w:pPr>
      <w:r w:rsidRPr="00B22ACF">
        <w:rPr>
          <w:rFonts w:ascii="Times New Roman" w:eastAsia="Times New Roman" w:hAnsi="Times New Roman" w:cs="Times New Roman"/>
          <w:b/>
          <w:bCs/>
          <w:lang w:eastAsia="ru-RU"/>
        </w:rPr>
        <w:t>В</w:t>
      </w:r>
      <w:r w:rsidRPr="006D5CC7">
        <w:rPr>
          <w:rFonts w:ascii="Times New Roman" w:eastAsia="Times New Roman" w:hAnsi="Times New Roman" w:cs="Times New Roman"/>
          <w:bCs/>
          <w:lang w:eastAsia="ru-RU"/>
        </w:rPr>
        <w:t xml:space="preserve">. Дифференциальная диагностика форм резистентности к ПТГ  </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B22ACF">
        <w:rPr>
          <w:rFonts w:ascii="Times New Roman" w:eastAsia="Times New Roman" w:hAnsi="Times New Roman" w:cs="Times New Roman"/>
          <w:b/>
          <w:bCs/>
          <w:lang w:eastAsia="ru-RU"/>
        </w:rPr>
        <w:t>Проба с ПТГ.</w:t>
      </w:r>
      <w:r w:rsidRPr="006D5CC7">
        <w:rPr>
          <w:rFonts w:ascii="Times New Roman" w:eastAsia="Times New Roman" w:hAnsi="Times New Roman" w:cs="Times New Roman"/>
          <w:bCs/>
          <w:lang w:eastAsia="ru-RU"/>
        </w:rPr>
        <w:t xml:space="preserve"> В течение 5—10 мин в/в вводят 200 ед терипаратида (синтетический человеческий ПТГ); определяют концентрацию цАМФ и фосфата в суточной моче. У здоровых людей после введения терипаратида концентрация цАМФ в моче возрастает в 10—30 раз; экскреция фосфата усиливается более чем в 2 раза. При псевдогипопаратиреозе типа Ia концентрации цАМФ и фосфата не увеличиваются. При псевдогипопаратиреозе типов Ib и Ic концентрация цАМФ не увеличивается или увеличивается незначительно, концентрация фосфата не изменяется или незначительно повышается. При псевдогипопаратиреозе типа II и псевдопсевдогипопаратиреозе концентрация цАМФ увеличивается, а концентрация фосфата не увеличивается. При резистентности к эндогенному ПТГ реакция на терипаратид нормальная.</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 xml:space="preserve">Определение активности Gsальфа в эритроцитах. Низкая активность Gsальфа на фоне гипокальциемии и повышенного уровня ПТГ подтверждает диагноз псевдогипопаратиреоза типа Ia. Если уровни кальция и ПТГ нормализуются при лечении витамином D, то для дифференциации псевдогипопаратиреоза типа Ia </w:t>
      </w:r>
      <w:r w:rsidRPr="006D5CC7">
        <w:rPr>
          <w:rFonts w:ascii="Times New Roman" w:eastAsia="Times New Roman" w:hAnsi="Times New Roman" w:cs="Times New Roman"/>
          <w:bCs/>
          <w:lang w:eastAsia="ru-RU"/>
        </w:rPr>
        <w:lastRenderedPageBreak/>
        <w:t>и псевдопсевдогипопаратиреоза проводят пробу с ПТГ (поскольку активность Gsальфа снижена как при псевдогипопаратиреозе типа Ia, так и при псевдопсевдогипопаратиреозе). При псевдогипопаратиреозе типов Ib и Ic активность Gsальфа нормальная, но реакция на ПТГ нарушена. Кроме того, у больных псевдогипопаратиреозом типа Ic имеется наследственная остеодистрофия Олбрайта.</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Как уже говорилось, при псевдогипопаратиреозе типа II уровень цАМФ в моче после в/в введения терипаратида повышается, а экскреция фосфата не усиливается либо усиливается незначительно. У некоторых больных такой результат пробы наблюдается только на фоне гипокальциемии, так как коррекция уровня кальция с помощью препаратов витамина D или путем инфузии препаратов кальция нормализует также экскрецию фосфата. Поэтому у леченных больных не всегда удается подтвердить диагноз псевдогипопаратиреоза типа II.</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Для выявления селективной резистентности почек к ПТГ проводят пробу с ПТГ. Принцип пробы: поскольку ПТГ стимулирует синтез 1,25(OH)2D3 в почечных канальцах, в норме после введения ПТГ уровень 1,25(OH)2D3 в сыворотке должен повышаться. Методика: утром натощак берут кровь для определения 1,25(OH)2D3 и вводят в/м 200 ед терипаратида. Через 12 ч вводят еще 200 ед терипаратида. Через 12 ч после второй инъекции опять берут кровь для определения 1,25(OH)2D3. В норме концентрация 1,25(OH)2D3 в сыворотке после введения терипаратида повышается на 50%. При селективной резистентности почек к ПТГ концентрация 1,25(OH)2D3 не повышается.</w:t>
      </w:r>
    </w:p>
    <w:p w:rsidR="00B22ACF" w:rsidRDefault="006D5CC7" w:rsidP="003276B5">
      <w:pPr>
        <w:spacing w:line="276" w:lineRule="auto"/>
        <w:ind w:firstLine="0"/>
        <w:outlineLvl w:val="1"/>
        <w:rPr>
          <w:rFonts w:ascii="Times New Roman" w:eastAsia="Times New Roman" w:hAnsi="Times New Roman" w:cs="Times New Roman"/>
          <w:bCs/>
          <w:lang w:eastAsia="ru-RU"/>
        </w:rPr>
      </w:pPr>
      <w:r w:rsidRPr="00B22ACF">
        <w:rPr>
          <w:rFonts w:ascii="Times New Roman" w:eastAsia="Times New Roman" w:hAnsi="Times New Roman" w:cs="Times New Roman"/>
          <w:b/>
          <w:bCs/>
          <w:lang w:eastAsia="ru-RU"/>
        </w:rPr>
        <w:t>Нарушения метаболизма витамина D.</w:t>
      </w:r>
      <w:r w:rsidRPr="006D5CC7">
        <w:rPr>
          <w:rFonts w:ascii="Times New Roman" w:eastAsia="Times New Roman" w:hAnsi="Times New Roman" w:cs="Times New Roman"/>
          <w:bCs/>
          <w:lang w:eastAsia="ru-RU"/>
        </w:rPr>
        <w:t xml:space="preserve"> </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Гипокальциемия может развиваться как при первичных, так и при вторичных нарушениях метаболизма витамина D. Непосредственной причиной гипокальциемии могут быть недостаточное всасывание кальция, фосфора и магния либо заболевания костей, вызванные авитаминозом D, в том числе рахит и остеомаляция. Если остеомаляция обусловлена приобретенной резистентностью к ПТГ (например, при почечной остеодистрофии), то гипокальциемия сопровождается повышением уровня ПТГ, т. е. вторичным гиперпаратиреозом. Вторичный гиперпаратиреоз может наблюдаться и в тех случаях, когда витамин D не стимулирует или недостаточно стимулирует резорбцию костной ткани. При заболеваниях костей, вызванных дефицитом витамина D, всегда отмечается гипофосфатемия, что отличает их от гипопаратиреоза и нарушений, обусловленных резистентностью к ПТГ.</w:t>
      </w:r>
    </w:p>
    <w:p w:rsidR="006D5CC7" w:rsidRPr="00B22ACF" w:rsidRDefault="006D5CC7" w:rsidP="003276B5">
      <w:pPr>
        <w:spacing w:line="276" w:lineRule="auto"/>
        <w:ind w:firstLine="0"/>
        <w:outlineLvl w:val="1"/>
        <w:rPr>
          <w:rFonts w:ascii="Times New Roman" w:eastAsia="Times New Roman" w:hAnsi="Times New Roman" w:cs="Times New Roman"/>
          <w:b/>
          <w:bCs/>
          <w:lang w:eastAsia="ru-RU"/>
        </w:rPr>
      </w:pPr>
      <w:r w:rsidRPr="00B22ACF">
        <w:rPr>
          <w:rFonts w:ascii="Times New Roman" w:eastAsia="Times New Roman" w:hAnsi="Times New Roman" w:cs="Times New Roman"/>
          <w:b/>
          <w:bCs/>
          <w:lang w:eastAsia="ru-RU"/>
        </w:rPr>
        <w:t>А. Нарушения метаболизма 25(OH)D3</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 xml:space="preserve"> </w:t>
      </w:r>
    </w:p>
    <w:p w:rsidR="00B22ACF"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 xml:space="preserve">Общие сведения. </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Долгое время считалось, что в США, в отличие от других стран, нет дефицита витамина D в пище. Однако в последнее время установили, что авитаминоз D нередко встречается у пожилых, малоподвижных людей, которые получают недостаточно холекальциферола и эргокальциферола с пищей и мало бывают на открытом воздухе. В некоторых странах (кроме США) авитаминоз D обусловлен пониженной инсоляцией или национальными особенностями одежды. Метаболизм любых производных витамина D и, в частности, холекальциферола и эргокальциферола оценивают по концентрации 25(OH)D3 в сыворотке. При дефиците холекальциферола и эргокальциферола концентрация 25(OH)D3 бывает очень низкой. Наиболее частые причины нарушений метаболизма 25(OH)D3:</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а. Заболевания печени и желчных путей.</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б. Лекарственные средства, нарушающие метаболизм холекальциферола и эргокальциферола в печени.</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в. Заболевания ЖКТ с нарушением всасывания холекальциферола и эргокальциферола или их транспорта в печень.</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г. Заболевания, сопровождающиеся потерей белка и связанных с белком производных витамина D.</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lastRenderedPageBreak/>
        <w:t>Во всех этих случаях уровень 25(OH)D3 обычно снижен, тогда как уровень 1,25(OH)2D3 в сыворотке может быть нормальным, пониженным или даже повышенным. Поэтому нормальный или повышенный уровень 1,25(OH)2D3 не исключает авитаминоза D.</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Заболевания печени и желчных путей</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а. При паренхиматозных заболеваниях печени (алкогольный гепатит, хронический активный гепатит, хронический аутоиммунный гепатит, алкогольный цирроз печени) уровень 25(OH)D3 может быть снижен из-за нарушения его синтеза из холекальциферола и эргокальциферола в печени. С помощью экспираторной пробы с 13C-аминопирином доказали, что метаболизм 25(OH)D3 нарушается при нарушениях функции печени. Симптомы дефицита 25(OH)D3, обусловленного паренхиматозными заболеваниями печени, обычно проявляются при недостаточном питании.</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 xml:space="preserve">б. Холестатические заболевания, особенно первичный билиарный цирроз, сопровождаются поражениями костей, </w:t>
      </w:r>
      <w:proofErr w:type="gramStart"/>
      <w:r w:rsidRPr="006D5CC7">
        <w:rPr>
          <w:rFonts w:ascii="Times New Roman" w:eastAsia="Times New Roman" w:hAnsi="Times New Roman" w:cs="Times New Roman"/>
          <w:bCs/>
          <w:lang w:eastAsia="ru-RU"/>
        </w:rPr>
        <w:t>например</w:t>
      </w:r>
      <w:proofErr w:type="gramEnd"/>
      <w:r w:rsidRPr="006D5CC7">
        <w:rPr>
          <w:rFonts w:ascii="Times New Roman" w:eastAsia="Times New Roman" w:hAnsi="Times New Roman" w:cs="Times New Roman"/>
          <w:bCs/>
          <w:lang w:eastAsia="ru-RU"/>
        </w:rPr>
        <w:t xml:space="preserve"> остеомаляцией. При этом обычно имеется резистентность к обычным дозам витамина D. Поэтому считают, что в патогенезе поражений костей при холестатических заболеваниях основную роль играет не дефицит витамина D, а какие-то другие факторы.</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ab/>
      </w:r>
      <w:r w:rsidRPr="00B22ACF">
        <w:rPr>
          <w:rFonts w:ascii="Times New Roman" w:eastAsia="Times New Roman" w:hAnsi="Times New Roman" w:cs="Times New Roman"/>
          <w:b/>
          <w:bCs/>
          <w:lang w:eastAsia="ru-RU"/>
        </w:rPr>
        <w:t>Синдром нарушенного всасывания</w:t>
      </w:r>
      <w:r w:rsidRPr="006D5CC7">
        <w:rPr>
          <w:rFonts w:ascii="Times New Roman" w:eastAsia="Times New Roman" w:hAnsi="Times New Roman" w:cs="Times New Roman"/>
          <w:bCs/>
          <w:lang w:eastAsia="ru-RU"/>
        </w:rPr>
        <w:t>. Дефицит витамина D обусловлен нарушением всасывания жирорастворимых веществ и нарушением кишечно- печеночного кругооборота метаболитов витамина D, особенно 25(OH)D3. Такие нарушения характерны для болезни Крона, язвенного энтерита и могут возникать после хирургических вмешательств — резекции желудка, наложения анастомоза между проксимальным отделом подвздошной и проксимальным отделом толстой кишки (способ лечения гиперлипопротеидемии).</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ab/>
      </w:r>
      <w:r w:rsidRPr="00B22ACF">
        <w:rPr>
          <w:rFonts w:ascii="Times New Roman" w:eastAsia="Times New Roman" w:hAnsi="Times New Roman" w:cs="Times New Roman"/>
          <w:b/>
          <w:bCs/>
          <w:lang w:eastAsia="ru-RU"/>
        </w:rPr>
        <w:t>Потеря белка.</w:t>
      </w:r>
      <w:r w:rsidRPr="006D5CC7">
        <w:rPr>
          <w:rFonts w:ascii="Times New Roman" w:eastAsia="Times New Roman" w:hAnsi="Times New Roman" w:cs="Times New Roman"/>
          <w:bCs/>
          <w:lang w:eastAsia="ru-RU"/>
        </w:rPr>
        <w:t xml:space="preserve"> Метаболиты витамина D транспортируются кровью преимущественно в связанной с белками форме. Потеря белка при энтеропатиях и нефротическом синдроме часто сопровождается снижением уровня 25(OH)D3. Поэтому энтеропатии и нефротический синдром могут сопровождаться метаболическими болезнями костей. Надо помнить, что вторичные нарушения метаболизма витамина D могут сочетаться с первичным авитаминозом D.</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 xml:space="preserve"> </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ab/>
      </w:r>
      <w:r w:rsidRPr="00B22ACF">
        <w:rPr>
          <w:rFonts w:ascii="Times New Roman" w:eastAsia="Times New Roman" w:hAnsi="Times New Roman" w:cs="Times New Roman"/>
          <w:b/>
          <w:bCs/>
          <w:lang w:eastAsia="ru-RU"/>
        </w:rPr>
        <w:t>Лекарственные средства.</w:t>
      </w:r>
      <w:r w:rsidRPr="006D5CC7">
        <w:rPr>
          <w:rFonts w:ascii="Times New Roman" w:eastAsia="Times New Roman" w:hAnsi="Times New Roman" w:cs="Times New Roman"/>
          <w:bCs/>
          <w:lang w:eastAsia="ru-RU"/>
        </w:rPr>
        <w:t xml:space="preserve"> Противосудорожные препараты, такие, как фенобарбитал и фенитоин, ускоряют превращение 25(OH)D3 в печени в неактивные метаболиты и тем самым снижают уровень 25(OH)D3 в сыворотке. При длительном применении эти препараты могут вызвать рахит или остеомаляцию. Для профилактики и лечения применяют инсоляцию или назначают умеренные дозы витамина D (1000—3000 ед/сут).</w:t>
      </w:r>
    </w:p>
    <w:p w:rsidR="006D5CC7" w:rsidRPr="00B22ACF" w:rsidRDefault="006D5CC7" w:rsidP="003276B5">
      <w:pPr>
        <w:spacing w:line="276" w:lineRule="auto"/>
        <w:ind w:firstLine="0"/>
        <w:outlineLvl w:val="1"/>
        <w:rPr>
          <w:rFonts w:ascii="Times New Roman" w:eastAsia="Times New Roman" w:hAnsi="Times New Roman" w:cs="Times New Roman"/>
          <w:b/>
          <w:bCs/>
          <w:lang w:eastAsia="ru-RU"/>
        </w:rPr>
      </w:pPr>
      <w:r w:rsidRPr="00B22ACF">
        <w:rPr>
          <w:rFonts w:ascii="Times New Roman" w:eastAsia="Times New Roman" w:hAnsi="Times New Roman" w:cs="Times New Roman"/>
          <w:b/>
          <w:bCs/>
          <w:lang w:eastAsia="ru-RU"/>
        </w:rPr>
        <w:t>Б. Нарушения метаболизма 1,25(OH)2D3</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ab/>
        <w:t>Общие сведения. Уровень 1,25(OH)2D3 в сыворотке повышен примерно у половины больных с первичным гиперпаратиреозом и коррелирует со степенью гиперкальциурии и частотой мочекаменной болезни. Напротив, при гипопаратиреозе и разных формах псевдогипопаратиреоза уровень 1,25(OH)2D3 падает, что приводит к снижению всасывания кальция в кишечнике. Поэтому гипокальциемия и поражения костей при гипопаратиреозе и псевдогипопаратиреозе поддаются заместительному лечению витамином D. При ХПН синтез 1,25(OH)2D3 в канальцах постепенно снижается. Поскольку 1,25(OH)2D3 синтезируется только в почках, возникает почечная остеодистрофия.</w:t>
      </w:r>
    </w:p>
    <w:p w:rsidR="00B22ACF" w:rsidRDefault="00B22ACF" w:rsidP="003276B5">
      <w:pPr>
        <w:spacing w:line="276" w:lineRule="auto"/>
        <w:ind w:firstLine="0"/>
        <w:outlineLvl w:val="1"/>
        <w:rPr>
          <w:rFonts w:ascii="Times New Roman" w:eastAsia="Times New Roman" w:hAnsi="Times New Roman" w:cs="Times New Roman"/>
          <w:b/>
          <w:bCs/>
          <w:lang w:eastAsia="ru-RU"/>
        </w:rPr>
      </w:pPr>
    </w:p>
    <w:p w:rsidR="00B22ACF" w:rsidRDefault="006D5CC7" w:rsidP="00B22ACF">
      <w:pPr>
        <w:spacing w:line="276" w:lineRule="auto"/>
        <w:ind w:firstLine="708"/>
        <w:outlineLvl w:val="1"/>
        <w:rPr>
          <w:rFonts w:ascii="Times New Roman" w:eastAsia="Times New Roman" w:hAnsi="Times New Roman" w:cs="Times New Roman"/>
          <w:bCs/>
          <w:lang w:eastAsia="ru-RU"/>
        </w:rPr>
      </w:pPr>
      <w:r w:rsidRPr="00B22ACF">
        <w:rPr>
          <w:rFonts w:ascii="Times New Roman" w:eastAsia="Times New Roman" w:hAnsi="Times New Roman" w:cs="Times New Roman"/>
          <w:b/>
          <w:bCs/>
          <w:lang w:eastAsia="ru-RU"/>
        </w:rPr>
        <w:t>Витамин-D-зависимый рахит типа I</w:t>
      </w:r>
      <w:r w:rsidRPr="006D5CC7">
        <w:rPr>
          <w:rFonts w:ascii="Times New Roman" w:eastAsia="Times New Roman" w:hAnsi="Times New Roman" w:cs="Times New Roman"/>
          <w:bCs/>
          <w:lang w:eastAsia="ru-RU"/>
        </w:rPr>
        <w:t xml:space="preserve"> (псевдовитамин-D-дефицитный рахит). </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 xml:space="preserve">Это редкое заболевание с аутосомно-рецессивным наследованием, обусловленное отсутствием или недостаточностью 1альфа-гидроксилазы в почечных канальцах. Нарушено превращение 25(OH)D3 в </w:t>
      </w:r>
      <w:r w:rsidRPr="006D5CC7">
        <w:rPr>
          <w:rFonts w:ascii="Times New Roman" w:eastAsia="Times New Roman" w:hAnsi="Times New Roman" w:cs="Times New Roman"/>
          <w:bCs/>
          <w:lang w:eastAsia="ru-RU"/>
        </w:rPr>
        <w:lastRenderedPageBreak/>
        <w:t>1,25(OH)2D3, поэтому уровень 1,25(OH)2D3 в сыворотке снижен. Для лечения с успехом используют кальцитриол внутрь в дозах 0,5—3 мкг/сут. Лечение эргокальциферолом или кальцифедиолом менее эффективно.</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ab/>
      </w:r>
      <w:r w:rsidRPr="00B22ACF">
        <w:rPr>
          <w:rFonts w:ascii="Times New Roman" w:eastAsia="Times New Roman" w:hAnsi="Times New Roman" w:cs="Times New Roman"/>
          <w:b/>
          <w:bCs/>
          <w:lang w:eastAsia="ru-RU"/>
        </w:rPr>
        <w:t xml:space="preserve">Витамин-D-зависимый рахит типа II </w:t>
      </w:r>
      <w:r w:rsidRPr="006D5CC7">
        <w:rPr>
          <w:rFonts w:ascii="Times New Roman" w:eastAsia="Times New Roman" w:hAnsi="Times New Roman" w:cs="Times New Roman"/>
          <w:bCs/>
          <w:lang w:eastAsia="ru-RU"/>
        </w:rPr>
        <w:t>наследуется аутосомно-рецессивно и проявляется у детей рахитом, а у взрослых — остеомаляцией. Описаны спорадическая и семейная формы. Причина заболевания — дефект рецепторов 1,25(OH)2D3 в клетках-мишенях, поэтому оно называется также наследственным 1,25(OH)2D3-резистентным рахитом. Уровень 1,25(OH)2D3 в сыворотке повышен в 5—50 раз; в некоторых случаях наблюдается алопеция. У ряда больных выявлено нарушение 24-гидроксилазной активности 1альфа-гидроксилазы; при этом уровень 24,25(OH)2D3 в сыворотке низкий или вообще не определяется. Для лечения витамин- D-зависимого рахита типа II назначают большие дозы эргокальциферола (40 000— 80 000 ед/сут внутрь) или кальцитриола (10—25 мкг/сут внутрь) вместе с препаратами кальция.</w:t>
      </w:r>
    </w:p>
    <w:p w:rsidR="00B22ACF" w:rsidRDefault="006D5CC7" w:rsidP="003276B5">
      <w:pPr>
        <w:spacing w:line="276" w:lineRule="auto"/>
        <w:ind w:firstLine="0"/>
        <w:outlineLvl w:val="1"/>
        <w:rPr>
          <w:rFonts w:ascii="Times New Roman" w:eastAsia="Times New Roman" w:hAnsi="Times New Roman" w:cs="Times New Roman"/>
          <w:bCs/>
          <w:lang w:eastAsia="ru-RU"/>
        </w:rPr>
      </w:pPr>
      <w:r w:rsidRPr="00B22ACF">
        <w:rPr>
          <w:rFonts w:ascii="Times New Roman" w:eastAsia="Times New Roman" w:hAnsi="Times New Roman" w:cs="Times New Roman"/>
          <w:b/>
          <w:bCs/>
          <w:lang w:eastAsia="ru-RU"/>
        </w:rPr>
        <w:t>Витамин-D-резистентный рахит и витамин-D-резистентная остеомаляция</w:t>
      </w:r>
      <w:r w:rsidRPr="006D5CC7">
        <w:rPr>
          <w:rFonts w:ascii="Times New Roman" w:eastAsia="Times New Roman" w:hAnsi="Times New Roman" w:cs="Times New Roman"/>
          <w:bCs/>
          <w:lang w:eastAsia="ru-RU"/>
        </w:rPr>
        <w:t xml:space="preserve"> </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а. Витамин-D-резистентный рахит — это общее название группы заболеваний, обусловленных нарушениями мембранного транспорта фосфата, прежде всего — нарушением</w:t>
      </w:r>
      <w:r w:rsidRPr="006D5CC7">
        <w:rPr>
          <w:rFonts w:ascii="Times New Roman" w:eastAsia="Times New Roman" w:hAnsi="Times New Roman" w:cs="Times New Roman"/>
          <w:bCs/>
          <w:lang w:eastAsia="ru-RU"/>
        </w:rPr>
        <w:tab/>
        <w:t>реабсорбции</w:t>
      </w:r>
      <w:r w:rsidR="00B22ACF">
        <w:rPr>
          <w:rFonts w:ascii="Times New Roman" w:eastAsia="Times New Roman" w:hAnsi="Times New Roman" w:cs="Times New Roman"/>
          <w:bCs/>
          <w:lang w:eastAsia="ru-RU"/>
        </w:rPr>
        <w:t xml:space="preserve"> фосфата в </w:t>
      </w:r>
      <w:r w:rsidRPr="006D5CC7">
        <w:rPr>
          <w:rFonts w:ascii="Times New Roman" w:eastAsia="Times New Roman" w:hAnsi="Times New Roman" w:cs="Times New Roman"/>
          <w:bCs/>
          <w:lang w:eastAsia="ru-RU"/>
        </w:rPr>
        <w:t>почечных</w:t>
      </w:r>
      <w:r w:rsidRPr="006D5CC7">
        <w:rPr>
          <w:rFonts w:ascii="Times New Roman" w:eastAsia="Times New Roman" w:hAnsi="Times New Roman" w:cs="Times New Roman"/>
          <w:bCs/>
          <w:lang w:eastAsia="ru-RU"/>
        </w:rPr>
        <w:tab/>
        <w:t>канальцах.</w:t>
      </w:r>
      <w:r w:rsidRPr="006D5CC7">
        <w:rPr>
          <w:rFonts w:ascii="Times New Roman" w:eastAsia="Times New Roman" w:hAnsi="Times New Roman" w:cs="Times New Roman"/>
          <w:bCs/>
          <w:lang w:eastAsia="ru-RU"/>
        </w:rPr>
        <w:tab/>
        <w:t>Витамин-D- резистентный рахит — самая распространенная разновидность неосложненного рахита у детей в США. У взрослых заболевания этой группы проявляются остеомаляцией. Известны семейные и спорадические варианты витамин-D-резистентного рахита.</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б. Общие биохимические признаки разных форм витамин-D-резистентного рахита — гипофосфатемия, нормокальциемия, нормальный уровень ПТГ, относительное (по сравнению с уровнем фосфора в крови) увеличение экскреции фосфата. Отношение максимальная канальцевая реабсорбция фосфата/СКФ снижено. Уровень 25(OH)D3 в сыворотке в пределах нормы, уровень 1,25(OH)2D3 обычно нормальный или немного понижен. Иногда отмечается селективная аминоацидурия.</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 xml:space="preserve">в. Классификация </w:t>
      </w:r>
    </w:p>
    <w:p w:rsidR="006D5CC7" w:rsidRPr="006D5CC7" w:rsidRDefault="006D5CC7" w:rsidP="00B22ACF">
      <w:pPr>
        <w:spacing w:line="276" w:lineRule="auto"/>
        <w:ind w:firstLine="708"/>
        <w:outlineLvl w:val="1"/>
        <w:rPr>
          <w:rFonts w:ascii="Times New Roman" w:eastAsia="Times New Roman" w:hAnsi="Times New Roman" w:cs="Times New Roman"/>
          <w:bCs/>
          <w:lang w:eastAsia="ru-RU"/>
        </w:rPr>
      </w:pPr>
      <w:r w:rsidRPr="00B22ACF">
        <w:rPr>
          <w:rFonts w:ascii="Times New Roman" w:eastAsia="Times New Roman" w:hAnsi="Times New Roman" w:cs="Times New Roman"/>
          <w:b/>
          <w:bCs/>
          <w:lang w:eastAsia="ru-RU"/>
        </w:rPr>
        <w:t>X-сцепленный гипофосфатемический рахит</w:t>
      </w:r>
      <w:r w:rsidRPr="006D5CC7">
        <w:rPr>
          <w:rFonts w:ascii="Times New Roman" w:eastAsia="Times New Roman" w:hAnsi="Times New Roman" w:cs="Times New Roman"/>
          <w:bCs/>
          <w:lang w:eastAsia="ru-RU"/>
        </w:rPr>
        <w:t xml:space="preserve"> (синонимы: X-сцепленная гипофосфатемия, первичная гипофосфатемия) — самая частая форма витамин- D-резистентного рахита. Это наследственное заболевание проявляется, когда ребенок начинает ходить. Основные признаки — задержка роста и деформация костей ног. Иногда заболевание у ребенка проходит без лечения, но возобновляется у взрослых, </w:t>
      </w:r>
      <w:proofErr w:type="gramStart"/>
      <w:r w:rsidRPr="006D5CC7">
        <w:rPr>
          <w:rFonts w:ascii="Times New Roman" w:eastAsia="Times New Roman" w:hAnsi="Times New Roman" w:cs="Times New Roman"/>
          <w:bCs/>
          <w:lang w:eastAsia="ru-RU"/>
        </w:rPr>
        <w:t>например</w:t>
      </w:r>
      <w:proofErr w:type="gramEnd"/>
      <w:r w:rsidRPr="006D5CC7">
        <w:rPr>
          <w:rFonts w:ascii="Times New Roman" w:eastAsia="Times New Roman" w:hAnsi="Times New Roman" w:cs="Times New Roman"/>
          <w:bCs/>
          <w:lang w:eastAsia="ru-RU"/>
        </w:rPr>
        <w:t xml:space="preserve"> во время беременности и лактации. При X-сцепленном гипофосфатемическом рахите аминоацидурии нет. Заболевание обусловлено мутациями генов, локализованных на Xp22. Эти гены контролируют активность Na/P-переносящего белка в почечных канальцах и эпителии кишечника. Генетический дефект приводит к нарушению реабсорбции фосфата в канальцах почек и его всасывания в тонкой кишке. Хотя гипофосфатемия должна была бы стимулировать синтез 1,25(OH)2D3, его уровень в сыворотке нормальный или понижен. Кроме того, синтез 1,25(OH)2D3 не усиливается под влиянием ПТГ. Поэтому предполагают, что при X- сцепленном гипофосфатемическом рахите может быть нарушен метаболизм витамина D.</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ab/>
      </w:r>
      <w:r w:rsidRPr="00B22ACF">
        <w:rPr>
          <w:rFonts w:ascii="Times New Roman" w:eastAsia="Times New Roman" w:hAnsi="Times New Roman" w:cs="Times New Roman"/>
          <w:b/>
          <w:bCs/>
          <w:lang w:eastAsia="ru-RU"/>
        </w:rPr>
        <w:t>Аутосомно-доминантный гипофосфатемический рахит</w:t>
      </w:r>
      <w:r w:rsidRPr="006D5CC7">
        <w:rPr>
          <w:rFonts w:ascii="Times New Roman" w:eastAsia="Times New Roman" w:hAnsi="Times New Roman" w:cs="Times New Roman"/>
          <w:bCs/>
          <w:lang w:eastAsia="ru-RU"/>
        </w:rPr>
        <w:t xml:space="preserve"> проявляется так же, как X-сцепленный гипофосфатемический рахит, но обусловлен дефектом гена на 12p13. При этом заболевании также нарушен транспорт фосфата в почках.</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ab/>
      </w:r>
      <w:r w:rsidRPr="00945987">
        <w:rPr>
          <w:rFonts w:ascii="Times New Roman" w:eastAsia="Times New Roman" w:hAnsi="Times New Roman" w:cs="Times New Roman"/>
          <w:b/>
          <w:bCs/>
          <w:lang w:eastAsia="ru-RU"/>
        </w:rPr>
        <w:t>Аутосомно-рецессивный</w:t>
      </w:r>
      <w:r w:rsidRPr="00945987">
        <w:rPr>
          <w:rFonts w:ascii="Times New Roman" w:eastAsia="Times New Roman" w:hAnsi="Times New Roman" w:cs="Times New Roman"/>
          <w:b/>
          <w:bCs/>
          <w:lang w:eastAsia="ru-RU"/>
        </w:rPr>
        <w:tab/>
        <w:t>гиперкальциурический гипофосфатемический рахит</w:t>
      </w:r>
      <w:r w:rsidRPr="006D5CC7">
        <w:rPr>
          <w:rFonts w:ascii="Times New Roman" w:eastAsia="Times New Roman" w:hAnsi="Times New Roman" w:cs="Times New Roman"/>
          <w:bCs/>
          <w:lang w:eastAsia="ru-RU"/>
        </w:rPr>
        <w:t xml:space="preserve"> характеризуется гипофосфатемией и нормокальциемией, а также повышенной экскрецией фосфата и кальция. Уровень 1,25(OH)2D3 повышен, поэтому всасывание кальция в тонкой кишке усилено. Уровень ПТГ1—84 в сыворотке снижен. Клиническая картина: низкорослость, признаки рахита и остеомаляции; </w:t>
      </w:r>
      <w:r w:rsidRPr="006D5CC7">
        <w:rPr>
          <w:rFonts w:ascii="Times New Roman" w:eastAsia="Times New Roman" w:hAnsi="Times New Roman" w:cs="Times New Roman"/>
          <w:bCs/>
          <w:lang w:eastAsia="ru-RU"/>
        </w:rPr>
        <w:lastRenderedPageBreak/>
        <w:t>мочекаменная болезнь нехарактерна. Заболевание обусловлено мутациями генов Na/P-переносящих белков на 5-й и 6-й хромосомах.</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945987">
        <w:rPr>
          <w:rFonts w:ascii="Times New Roman" w:eastAsia="Times New Roman" w:hAnsi="Times New Roman" w:cs="Times New Roman"/>
          <w:b/>
          <w:bCs/>
          <w:lang w:eastAsia="ru-RU"/>
        </w:rPr>
        <w:t xml:space="preserve">г. Для лечения </w:t>
      </w:r>
      <w:r w:rsidRPr="006D5CC7">
        <w:rPr>
          <w:rFonts w:ascii="Times New Roman" w:eastAsia="Times New Roman" w:hAnsi="Times New Roman" w:cs="Times New Roman"/>
          <w:bCs/>
          <w:lang w:eastAsia="ru-RU"/>
        </w:rPr>
        <w:t>всех форм витамин-D-резистентного рахита применяют препараты фосфора и витамина D. Для длительного поддержания нормального уровня фосфора обычно используют фосфат калия либо комбинированные препараты фосфата калия и фосфата натрия. Фосфаты (в пересчете на фосфор) назначают внутрь; детям — по 60—90 мг/кг/сут, взрослым — до 4 г/сут, в несколько приемов. Кальцитриол назначают внутрь в дозе 0,5—1 мкг/сут.</w:t>
      </w:r>
    </w:p>
    <w:p w:rsidR="0094598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ab/>
      </w:r>
      <w:r w:rsidRPr="00945987">
        <w:rPr>
          <w:rFonts w:ascii="Times New Roman" w:eastAsia="Times New Roman" w:hAnsi="Times New Roman" w:cs="Times New Roman"/>
          <w:b/>
          <w:bCs/>
          <w:lang w:eastAsia="ru-RU"/>
        </w:rPr>
        <w:t>Паранеопластическая остеомаляция.</w:t>
      </w:r>
      <w:r w:rsidRPr="006D5CC7">
        <w:rPr>
          <w:rFonts w:ascii="Times New Roman" w:eastAsia="Times New Roman" w:hAnsi="Times New Roman" w:cs="Times New Roman"/>
          <w:bCs/>
          <w:lang w:eastAsia="ru-RU"/>
        </w:rPr>
        <w:t xml:space="preserve"> </w:t>
      </w:r>
    </w:p>
    <w:p w:rsidR="006D5CC7" w:rsidRPr="006D5CC7" w:rsidRDefault="006D5CC7" w:rsidP="00945987">
      <w:pPr>
        <w:spacing w:line="276" w:lineRule="auto"/>
        <w:ind w:firstLine="708"/>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В последние годы этот паранеопластический синдром встречается все чаще. Он обычно возникает при доброкачественных новообразованиях мезенхимного происхождения, но может наблюдаться и при злокачественных новообразованиях. Описаны следующие опухоли, вызывающие паранеопластическую остеомаляцию: злокачественные и доброкачественные мезенхимомы, оссифицирующие и неоссифицирующие фибромы, гемангиомы, гигантоклеточные остеоидные остеомы, невромы, нейрофибромы, рак предстательной железы.</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а. Патогенез. Опухоль образует одно или несколько веществ, подавляющих канальцевый транспорт фосфата и синтез 1,25(OH)2D3 в проксимальных канальцах.</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945987">
        <w:rPr>
          <w:rFonts w:ascii="Times New Roman" w:eastAsia="Times New Roman" w:hAnsi="Times New Roman" w:cs="Times New Roman"/>
          <w:b/>
          <w:bCs/>
          <w:lang w:eastAsia="ru-RU"/>
        </w:rPr>
        <w:t>б. Клиническая картина и биохимические признаки.</w:t>
      </w:r>
      <w:r w:rsidRPr="006D5CC7">
        <w:rPr>
          <w:rFonts w:ascii="Times New Roman" w:eastAsia="Times New Roman" w:hAnsi="Times New Roman" w:cs="Times New Roman"/>
          <w:bCs/>
          <w:lang w:eastAsia="ru-RU"/>
        </w:rPr>
        <w:t xml:space="preserve"> Боли в костях, патологические переломы или псевдопереломы, гипофосфатемия, нормокальциемия (иногда гипокальциемия) на фоне повышенной активности щелочной фосфатазы. Уровень 1,25(OH)2D3 в сыворотке снижен по сравнению со</w:t>
      </w:r>
      <w:r w:rsidR="00945987">
        <w:rPr>
          <w:rFonts w:ascii="Times New Roman" w:eastAsia="Times New Roman" w:hAnsi="Times New Roman" w:cs="Times New Roman"/>
          <w:bCs/>
          <w:lang w:eastAsia="ru-RU"/>
        </w:rPr>
        <w:t xml:space="preserve"> </w:t>
      </w:r>
      <w:r w:rsidRPr="006D5CC7">
        <w:rPr>
          <w:rFonts w:ascii="Times New Roman" w:eastAsia="Times New Roman" w:hAnsi="Times New Roman" w:cs="Times New Roman"/>
          <w:bCs/>
          <w:lang w:eastAsia="ru-RU"/>
        </w:rPr>
        <w:t>степенью гипофосфатемии. Усилена экскреция фосфата; отношение максимальная канальцевая реабсорбция фосфата/СКФ снижено.</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945987">
        <w:rPr>
          <w:rFonts w:ascii="Times New Roman" w:eastAsia="Times New Roman" w:hAnsi="Times New Roman" w:cs="Times New Roman"/>
          <w:b/>
          <w:bCs/>
          <w:lang w:eastAsia="ru-RU"/>
        </w:rPr>
        <w:t>в. Лечение.</w:t>
      </w:r>
      <w:r w:rsidRPr="006D5CC7">
        <w:rPr>
          <w:rFonts w:ascii="Times New Roman" w:eastAsia="Times New Roman" w:hAnsi="Times New Roman" w:cs="Times New Roman"/>
          <w:bCs/>
          <w:lang w:eastAsia="ru-RU"/>
        </w:rPr>
        <w:t xml:space="preserve"> После удаления опухоли признаки паранеопластической остеомаляции всегда исчезают. До операции почти у всех больных отмечается резистентность к витамину D. Если операция противопоказана или невозможна, назначают препараты фосфора и кальцитриол. Такое лечение позволяет добиться уменьшения болей и устранения остеомаляции у многих больных с неоперабельными опухолями.</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945987">
        <w:rPr>
          <w:rFonts w:ascii="Times New Roman" w:eastAsia="Times New Roman" w:hAnsi="Times New Roman" w:cs="Times New Roman"/>
          <w:b/>
          <w:bCs/>
          <w:lang w:eastAsia="ru-RU"/>
        </w:rPr>
        <w:t>Медикаментозное лечение гипокальциемии.</w:t>
      </w:r>
      <w:r w:rsidRPr="006D5CC7">
        <w:rPr>
          <w:rFonts w:ascii="Times New Roman" w:eastAsia="Times New Roman" w:hAnsi="Times New Roman" w:cs="Times New Roman"/>
          <w:bCs/>
          <w:lang w:eastAsia="ru-RU"/>
        </w:rPr>
        <w:t xml:space="preserve"> Основной метод — назначение препаратов кальция или препаратов витамина D внутрь. При лечении гипопаратиреоза необходимо устранить гипокальциемию, не допуская гиперкальциемии. Конечная цель лечения — поддерживать уровень общего кальция в сыворотке в пределах 2,1— 2,4 ммоль/л при экскреции кальция </w:t>
      </w:r>
      <w:proofErr w:type="gramStart"/>
      <w:r w:rsidRPr="006D5CC7">
        <w:rPr>
          <w:rFonts w:ascii="Times New Roman" w:eastAsia="Times New Roman" w:hAnsi="Times New Roman" w:cs="Times New Roman"/>
          <w:bCs/>
          <w:lang w:eastAsia="ru-RU"/>
        </w:rPr>
        <w:t>&lt; 10</w:t>
      </w:r>
      <w:proofErr w:type="gramEnd"/>
      <w:r w:rsidRPr="006D5CC7">
        <w:rPr>
          <w:rFonts w:ascii="Times New Roman" w:eastAsia="Times New Roman" w:hAnsi="Times New Roman" w:cs="Times New Roman"/>
          <w:bCs/>
          <w:lang w:eastAsia="ru-RU"/>
        </w:rPr>
        <w:t xml:space="preserve"> ммоль/сут.</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945987">
        <w:rPr>
          <w:rFonts w:ascii="Times New Roman" w:eastAsia="Times New Roman" w:hAnsi="Times New Roman" w:cs="Times New Roman"/>
          <w:b/>
          <w:bCs/>
          <w:lang w:eastAsia="ru-RU"/>
        </w:rPr>
        <w:t>А. Препараты кальция для приема внутрь</w:t>
      </w:r>
      <w:r w:rsidRPr="006D5CC7">
        <w:rPr>
          <w:rFonts w:ascii="Times New Roman" w:eastAsia="Times New Roman" w:hAnsi="Times New Roman" w:cs="Times New Roman"/>
          <w:bCs/>
          <w:lang w:eastAsia="ru-RU"/>
        </w:rPr>
        <w:t xml:space="preserve"> эффективны даже при тяжелой гипокальциемии, если не нарушено всасывание кальция в тонкой кишке. Их назначают по 3—7 г/сут в пересчете на кальций, в несколько приемов. Препараты кальция без препаратов витамина D обычно назначают на короткий срок, хотя в некоторых случаях монотерапия препаратами кальция позволяет длительно поддерживать нормальный уровень кальция в сыворотке. Препараты кальция выбирают эмпирически.</w:t>
      </w:r>
    </w:p>
    <w:p w:rsidR="006D5CC7" w:rsidRPr="00945987" w:rsidRDefault="006D5CC7" w:rsidP="003276B5">
      <w:pPr>
        <w:spacing w:line="276" w:lineRule="auto"/>
        <w:ind w:firstLine="0"/>
        <w:outlineLvl w:val="1"/>
        <w:rPr>
          <w:rFonts w:ascii="Times New Roman" w:eastAsia="Times New Roman" w:hAnsi="Times New Roman" w:cs="Times New Roman"/>
          <w:b/>
          <w:bCs/>
          <w:lang w:eastAsia="ru-RU"/>
        </w:rPr>
      </w:pPr>
      <w:r w:rsidRPr="00945987">
        <w:rPr>
          <w:rFonts w:ascii="Times New Roman" w:eastAsia="Times New Roman" w:hAnsi="Times New Roman" w:cs="Times New Roman"/>
          <w:b/>
          <w:bCs/>
          <w:lang w:eastAsia="ru-RU"/>
        </w:rPr>
        <w:t>Б. Дозы препаратов витамина D зависят от причины гипокальциемии.</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ab/>
        <w:t>При нарушениях минерализации костной ткани (например, при остеомаляции) назначают максимально переносимые дозы витамина D. После достижения лечебного эффекта дозу уменьшают, чтобы не вызывать гиперкальциемию.</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 xml:space="preserve">Необходимость в препаратах кальция снижается при использовании активных форм витамина D, </w:t>
      </w:r>
      <w:proofErr w:type="gramStart"/>
      <w:r w:rsidRPr="006D5CC7">
        <w:rPr>
          <w:rFonts w:ascii="Times New Roman" w:eastAsia="Times New Roman" w:hAnsi="Times New Roman" w:cs="Times New Roman"/>
          <w:bCs/>
          <w:lang w:eastAsia="ru-RU"/>
        </w:rPr>
        <w:t>например</w:t>
      </w:r>
      <w:proofErr w:type="gramEnd"/>
      <w:r w:rsidRPr="006D5CC7">
        <w:rPr>
          <w:rFonts w:ascii="Times New Roman" w:eastAsia="Times New Roman" w:hAnsi="Times New Roman" w:cs="Times New Roman"/>
          <w:bCs/>
          <w:lang w:eastAsia="ru-RU"/>
        </w:rPr>
        <w:t xml:space="preserve"> кальцитриола или альфакальцидола. В таких случаях достаточна диета с высоким содержанием кальция. При лечении эргокальциферолом или холекальциферолом обычно требуются препараты кальция.</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lastRenderedPageBreak/>
        <w:tab/>
        <w:t>Поскольку кальцитриол — высокоактивный препарат, иногда бывает трудно подобрать его дозу при сочетании с препаратами кальция.</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 xml:space="preserve">При выборе препарата витамина D надо учитывать его активность, время начала и прекращения действия, а также длительность лечения, необходимого для нормализации уровня кальция. </w:t>
      </w:r>
    </w:p>
    <w:p w:rsidR="000631CC" w:rsidRDefault="000631CC" w:rsidP="003276B5">
      <w:pPr>
        <w:spacing w:line="276" w:lineRule="auto"/>
        <w:ind w:firstLine="0"/>
        <w:outlineLvl w:val="1"/>
        <w:rPr>
          <w:rFonts w:ascii="Times New Roman" w:eastAsia="Times New Roman" w:hAnsi="Times New Roman" w:cs="Times New Roman"/>
          <w:bCs/>
          <w:sz w:val="24"/>
          <w:lang w:eastAsia="ru-RU"/>
        </w:rPr>
      </w:pPr>
    </w:p>
    <w:p w:rsidR="006D5CC7" w:rsidRPr="00945987" w:rsidRDefault="000631CC" w:rsidP="003276B5">
      <w:pPr>
        <w:spacing w:line="276" w:lineRule="auto"/>
        <w:ind w:firstLine="0"/>
        <w:outlineLvl w:val="1"/>
        <w:rPr>
          <w:rFonts w:ascii="Times New Roman" w:eastAsia="Times New Roman" w:hAnsi="Times New Roman" w:cs="Times New Roman"/>
          <w:bCs/>
          <w:sz w:val="24"/>
          <w:lang w:eastAsia="ru-RU"/>
        </w:rPr>
      </w:pPr>
      <w:r>
        <w:rPr>
          <w:rFonts w:ascii="Times New Roman" w:eastAsia="Times New Roman" w:hAnsi="Times New Roman" w:cs="Times New Roman"/>
          <w:bCs/>
          <w:sz w:val="24"/>
          <w:lang w:eastAsia="ru-RU"/>
        </w:rPr>
        <w:t>ПЛАН 5:</w:t>
      </w:r>
      <w:r w:rsidR="00945987" w:rsidRPr="00945987">
        <w:rPr>
          <w:rFonts w:ascii="Times New Roman" w:eastAsia="Times New Roman" w:hAnsi="Times New Roman" w:cs="Times New Roman"/>
          <w:bCs/>
          <w:sz w:val="24"/>
          <w:lang w:eastAsia="ru-RU"/>
        </w:rPr>
        <w:t xml:space="preserve"> МЕТАБОЛИЧЕСКИЕ БОЛЕЗНИ КОСТЕЙ</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Общие сведения</w:t>
      </w:r>
    </w:p>
    <w:p w:rsidR="006D5CC7" w:rsidRPr="006D5CC7" w:rsidRDefault="006D5CC7" w:rsidP="00945987">
      <w:pPr>
        <w:spacing w:line="276" w:lineRule="auto"/>
        <w:ind w:firstLine="708"/>
        <w:outlineLvl w:val="1"/>
        <w:rPr>
          <w:rFonts w:ascii="Times New Roman" w:eastAsia="Times New Roman" w:hAnsi="Times New Roman" w:cs="Times New Roman"/>
          <w:bCs/>
          <w:lang w:eastAsia="ru-RU"/>
        </w:rPr>
      </w:pPr>
      <w:r w:rsidRPr="00945987">
        <w:rPr>
          <w:rFonts w:ascii="Times New Roman" w:eastAsia="Times New Roman" w:hAnsi="Times New Roman" w:cs="Times New Roman"/>
          <w:b/>
          <w:bCs/>
          <w:lang w:eastAsia="ru-RU"/>
        </w:rPr>
        <w:t>Морфология и физиология костной ткани.</w:t>
      </w:r>
      <w:r w:rsidRPr="006D5CC7">
        <w:rPr>
          <w:rFonts w:ascii="Times New Roman" w:eastAsia="Times New Roman" w:hAnsi="Times New Roman" w:cs="Times New Roman"/>
          <w:bCs/>
          <w:lang w:eastAsia="ru-RU"/>
        </w:rPr>
        <w:t xml:space="preserve"> Костная ткань состоит из трех компонентов: клеток, органического матрикса и минеральных веществ. На долю клеток приходится всего около 3% объема костной ткани.</w:t>
      </w:r>
    </w:p>
    <w:p w:rsidR="006D5CC7" w:rsidRPr="006D5CC7" w:rsidRDefault="006D5CC7" w:rsidP="00945987">
      <w:pPr>
        <w:spacing w:line="276" w:lineRule="auto"/>
        <w:ind w:firstLine="0"/>
        <w:outlineLvl w:val="1"/>
        <w:rPr>
          <w:rFonts w:ascii="Times New Roman" w:eastAsia="Times New Roman" w:hAnsi="Times New Roman" w:cs="Times New Roman"/>
          <w:bCs/>
          <w:lang w:eastAsia="ru-RU"/>
        </w:rPr>
      </w:pPr>
      <w:r w:rsidRPr="00945987">
        <w:rPr>
          <w:rFonts w:ascii="Times New Roman" w:eastAsia="Times New Roman" w:hAnsi="Times New Roman" w:cs="Times New Roman"/>
          <w:bCs/>
          <w:lang w:eastAsia="ru-RU"/>
        </w:rPr>
        <w:t>А. Остеобласты происходят из мезенхимных клеток-предшественников.</w:t>
      </w:r>
      <w:r w:rsidRPr="006D5CC7">
        <w:rPr>
          <w:rFonts w:ascii="Times New Roman" w:eastAsia="Times New Roman" w:hAnsi="Times New Roman" w:cs="Times New Roman"/>
          <w:bCs/>
          <w:lang w:eastAsia="ru-RU"/>
        </w:rPr>
        <w:t xml:space="preserve"> Остеобласты образуют сплошной клеточный пласт на поверхности образующейся кости. Основная функция остеобластов — синтез белков органического матрикса, в частности — коллагена, остеокальцина и остеопонтина. Впоследствии в органическом матриксе откладываются минеральные вещества. Остеобласты содержат щелочную фосфатазу, несут рецепторы ПТГ и 1,25(OH)2D3 и способны к пролиферации. Остеобласты, окруженные минерализованным органическим матриксом, превращаются в остеоциты.</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Б. Остеоциты — это зрелые, непролиферирующие клетки. Остеоциты располагаются в полостях между слоями новообразованной кости.</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В. Остеокласты — крупные многоядерные клетки, образующиеся путем слияния гемопоэтических стволовых клеток моноцитарно-макрофагального ростка. Главная функция остеокластов — резорбция костной ткани.</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Г. Органический матрикс включает коллагеновые волокна и другие белки, синтезируемые остеобластами, а также белки, поступающие из крови. Главный компонент органического матрикса — коллаген типа I (90—95% массы всех органических веществ костной ткани).</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Д. Минеральные вещества кости представлены главным образом кристаллами гидроксиапатита [Ca10(PO4)6OH2] и аморфным фосфатом кальция [Ca3(PO4)2]. Минеральные вещества нековалентно связаны с белками органического матрикса. Ориентация кристаллов гидроксиапатита определяется в первую очередь ориентацией коллагеновых волокон матрикса.</w:t>
      </w:r>
    </w:p>
    <w:p w:rsidR="006D5CC7" w:rsidRPr="006D5CC7" w:rsidRDefault="006D5CC7" w:rsidP="00945987">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ab/>
      </w:r>
    </w:p>
    <w:p w:rsidR="006D5CC7" w:rsidRPr="00945987" w:rsidRDefault="006D5CC7" w:rsidP="003276B5">
      <w:pPr>
        <w:spacing w:line="276" w:lineRule="auto"/>
        <w:ind w:firstLine="0"/>
        <w:outlineLvl w:val="1"/>
        <w:rPr>
          <w:rFonts w:ascii="Times New Roman" w:eastAsia="Times New Roman" w:hAnsi="Times New Roman" w:cs="Times New Roman"/>
          <w:b/>
          <w:bCs/>
          <w:lang w:eastAsia="ru-RU"/>
        </w:rPr>
      </w:pPr>
      <w:r w:rsidRPr="00945987">
        <w:rPr>
          <w:rFonts w:ascii="Times New Roman" w:eastAsia="Times New Roman" w:hAnsi="Times New Roman" w:cs="Times New Roman"/>
          <w:b/>
          <w:bCs/>
          <w:lang w:eastAsia="ru-RU"/>
        </w:rPr>
        <w:t>Принципы диагностики</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 xml:space="preserve"> </w:t>
      </w:r>
    </w:p>
    <w:p w:rsidR="006D5CC7" w:rsidRPr="00945987" w:rsidRDefault="006D5CC7" w:rsidP="003276B5">
      <w:pPr>
        <w:spacing w:line="276" w:lineRule="auto"/>
        <w:ind w:firstLine="0"/>
        <w:outlineLvl w:val="1"/>
        <w:rPr>
          <w:rFonts w:ascii="Times New Roman" w:eastAsia="Times New Roman" w:hAnsi="Times New Roman" w:cs="Times New Roman"/>
          <w:b/>
          <w:bCs/>
          <w:lang w:eastAsia="ru-RU"/>
        </w:rPr>
      </w:pPr>
      <w:r w:rsidRPr="00945987">
        <w:rPr>
          <w:rFonts w:ascii="Times New Roman" w:eastAsia="Times New Roman" w:hAnsi="Times New Roman" w:cs="Times New Roman"/>
          <w:b/>
          <w:bCs/>
          <w:lang w:eastAsia="ru-RU"/>
        </w:rPr>
        <w:t>А. Лабораторная диагностика</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ab/>
        <w:t>Исследование крови. Для определения сывороточных концентраций общего кальция, свободного (ионизированного) кальция, фосфата и других неорганических веществ кровь берут утром натощак, поскольку прием пищи влияет на эти показатели. Для оценки функции паращитовидных желез измеряют концентрацию ПТГ1—84 в сыворотке.</w:t>
      </w:r>
    </w:p>
    <w:p w:rsidR="00945987" w:rsidRDefault="00945987" w:rsidP="003276B5">
      <w:pPr>
        <w:spacing w:line="276" w:lineRule="auto"/>
        <w:ind w:firstLine="0"/>
        <w:outlineLvl w:val="1"/>
        <w:rPr>
          <w:rFonts w:ascii="Times New Roman" w:eastAsia="Times New Roman" w:hAnsi="Times New Roman" w:cs="Times New Roman"/>
          <w:bCs/>
          <w:lang w:eastAsia="ru-RU"/>
        </w:rPr>
      </w:pPr>
    </w:p>
    <w:p w:rsidR="00945987" w:rsidRDefault="00945987" w:rsidP="003276B5">
      <w:pPr>
        <w:spacing w:line="276" w:lineRule="auto"/>
        <w:ind w:firstLine="0"/>
        <w:outlineLvl w:val="1"/>
        <w:rPr>
          <w:rFonts w:ascii="Times New Roman" w:eastAsia="Times New Roman" w:hAnsi="Times New Roman" w:cs="Times New Roman"/>
          <w:bCs/>
          <w:lang w:eastAsia="ru-RU"/>
        </w:rPr>
      </w:pPr>
    </w:p>
    <w:p w:rsidR="006D5CC7" w:rsidRPr="00945987" w:rsidRDefault="006D5CC7" w:rsidP="003276B5">
      <w:pPr>
        <w:spacing w:line="276" w:lineRule="auto"/>
        <w:ind w:firstLine="0"/>
        <w:outlineLvl w:val="1"/>
        <w:rPr>
          <w:rFonts w:ascii="Times New Roman" w:eastAsia="Times New Roman" w:hAnsi="Times New Roman" w:cs="Times New Roman"/>
          <w:b/>
          <w:bCs/>
          <w:lang w:eastAsia="ru-RU"/>
        </w:rPr>
      </w:pPr>
      <w:r w:rsidRPr="00945987">
        <w:rPr>
          <w:rFonts w:ascii="Times New Roman" w:eastAsia="Times New Roman" w:hAnsi="Times New Roman" w:cs="Times New Roman"/>
          <w:b/>
          <w:bCs/>
          <w:lang w:eastAsia="ru-RU"/>
        </w:rPr>
        <w:t>Исследование мочи</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 xml:space="preserve">а. Экскреция кальция. При определении содержания кальция в суточной моче никаких ограничений в диете не требуется. Экскреция считается пониженной, если содержание кальция в суточной моче </w:t>
      </w:r>
      <w:proofErr w:type="gramStart"/>
      <w:r w:rsidRPr="006D5CC7">
        <w:rPr>
          <w:rFonts w:ascii="Times New Roman" w:eastAsia="Times New Roman" w:hAnsi="Times New Roman" w:cs="Times New Roman"/>
          <w:bCs/>
          <w:lang w:eastAsia="ru-RU"/>
        </w:rPr>
        <w:t>&lt; 0</w:t>
      </w:r>
      <w:proofErr w:type="gramEnd"/>
      <w:r w:rsidRPr="006D5CC7">
        <w:rPr>
          <w:rFonts w:ascii="Times New Roman" w:eastAsia="Times New Roman" w:hAnsi="Times New Roman" w:cs="Times New Roman"/>
          <w:bCs/>
          <w:lang w:eastAsia="ru-RU"/>
        </w:rPr>
        <w:t xml:space="preserve">,04 ммоль/кг идеального веса, повышенной — если содержание кальция &gt; 0,1 ммоль/кг. Полноту сбора мочи </w:t>
      </w:r>
      <w:r w:rsidRPr="006D5CC7">
        <w:rPr>
          <w:rFonts w:ascii="Times New Roman" w:eastAsia="Times New Roman" w:hAnsi="Times New Roman" w:cs="Times New Roman"/>
          <w:bCs/>
          <w:lang w:eastAsia="ru-RU"/>
        </w:rPr>
        <w:lastRenderedPageBreak/>
        <w:t>оценивают по содержанию креатинина. Внимание: тиазидные диуретики уменьшают суточную экскрецию кальция на 24—40%, а фуросемид может усиливать экскрецию кальция.</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 xml:space="preserve">б. Канальцевая реабсорбция фосфата. Этот показатель отражает полноту реабсорбции фосфата. Для определения концентраций фосфата и креатинина мочу собирают утром натощак, через 2 ч после приема жидкости. Кровь для определения концентраций фосфата и креатинина в сыворотке берут через 1 ч после приема жидкости. Канальцевую реабсорбцию фосфата рассчитывают по формуле: [1 – (концентрация фосфата в моче/концентрация фосфата в </w:t>
      </w:r>
      <w:proofErr w:type="gramStart"/>
      <w:r w:rsidRPr="006D5CC7">
        <w:rPr>
          <w:rFonts w:ascii="Times New Roman" w:eastAsia="Times New Roman" w:hAnsi="Times New Roman" w:cs="Times New Roman"/>
          <w:bCs/>
          <w:lang w:eastAsia="ru-RU"/>
        </w:rPr>
        <w:t>сыворотке):(</w:t>
      </w:r>
      <w:proofErr w:type="gramEnd"/>
      <w:r w:rsidRPr="006D5CC7">
        <w:rPr>
          <w:rFonts w:ascii="Times New Roman" w:eastAsia="Times New Roman" w:hAnsi="Times New Roman" w:cs="Times New Roman"/>
          <w:bCs/>
          <w:lang w:eastAsia="ru-RU"/>
        </w:rPr>
        <w:t xml:space="preserve">концентрация креатинина в моче/концентрация креатинина в сыворотке)] </w:t>
      </w:r>
      <w:r w:rsidRPr="006D5CC7">
        <w:rPr>
          <w:rFonts w:ascii="Times New Roman" w:eastAsia="Times New Roman" w:hAnsi="Times New Roman" w:cs="Times New Roman"/>
          <w:bCs/>
          <w:lang w:eastAsia="ru-RU"/>
        </w:rPr>
        <w:t> 100%.</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В норме канальцевая реабсорбция фосфата равна 83—95%. Уменьшение канальцевой реабсорбции фосфата обусловлено повышением уровня ПТГ либо первичным дефектом реабсорбции фосфата в почечных канальцах.</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 xml:space="preserve">в. Отношение канальцевая реабсорбция фосфата/СКФ — самый информативный показатель полноты реабсорбции фосфата и потерь фосфата с мочой, поскольку он </w:t>
      </w:r>
      <w:proofErr w:type="gramStart"/>
      <w:r w:rsidRPr="006D5CC7">
        <w:rPr>
          <w:rFonts w:ascii="Times New Roman" w:eastAsia="Times New Roman" w:hAnsi="Times New Roman" w:cs="Times New Roman"/>
          <w:bCs/>
          <w:lang w:eastAsia="ru-RU"/>
        </w:rPr>
        <w:t>учитывает</w:t>
      </w:r>
      <w:proofErr w:type="gramEnd"/>
      <w:r w:rsidRPr="006D5CC7">
        <w:rPr>
          <w:rFonts w:ascii="Times New Roman" w:eastAsia="Times New Roman" w:hAnsi="Times New Roman" w:cs="Times New Roman"/>
          <w:bCs/>
          <w:lang w:eastAsia="ru-RU"/>
        </w:rPr>
        <w:t xml:space="preserve"> как концентрацию фосфата в сыворотке, так и фильтрационную способность почек.</w:t>
      </w:r>
    </w:p>
    <w:p w:rsidR="006D5CC7" w:rsidRPr="00945987" w:rsidRDefault="006D5CC7" w:rsidP="00945987">
      <w:pPr>
        <w:spacing w:line="276" w:lineRule="auto"/>
        <w:ind w:firstLine="708"/>
        <w:outlineLvl w:val="1"/>
        <w:rPr>
          <w:rFonts w:ascii="Times New Roman" w:eastAsia="Times New Roman" w:hAnsi="Times New Roman" w:cs="Times New Roman"/>
          <w:b/>
          <w:bCs/>
          <w:lang w:eastAsia="ru-RU"/>
        </w:rPr>
      </w:pPr>
      <w:r w:rsidRPr="00945987">
        <w:rPr>
          <w:rFonts w:ascii="Times New Roman" w:eastAsia="Times New Roman" w:hAnsi="Times New Roman" w:cs="Times New Roman"/>
          <w:b/>
          <w:bCs/>
          <w:lang w:eastAsia="ru-RU"/>
        </w:rPr>
        <w:t>Б. Инструментальная диагностика</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945987">
        <w:rPr>
          <w:rFonts w:ascii="Times New Roman" w:eastAsia="Times New Roman" w:hAnsi="Times New Roman" w:cs="Times New Roman"/>
          <w:b/>
          <w:bCs/>
          <w:lang w:eastAsia="ru-RU"/>
        </w:rPr>
        <w:t>Рентгенография.</w:t>
      </w:r>
      <w:r w:rsidRPr="006D5CC7">
        <w:rPr>
          <w:rFonts w:ascii="Times New Roman" w:eastAsia="Times New Roman" w:hAnsi="Times New Roman" w:cs="Times New Roman"/>
          <w:bCs/>
          <w:lang w:eastAsia="ru-RU"/>
        </w:rPr>
        <w:t xml:space="preserve"> На обычных рентгенограммах остеопения определяется только при потере 30—50% костной массы.</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а. Позвоночник. Для выявления остеопении делают снимки грудного или поясничного отделов позвоночника в боковой проекции. Различают три степени остеопении:</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ab/>
        <w:t>Легкая: снижение плотности губчатого вещества (тел позвонков) при нормальной плотности компактного вещества.</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ab/>
        <w:t>Умеренная: вогнутость верхней и нижней поверхностей позвонков из-за истончения субхондральных зон и давления межпозвоночных дисков (рыбьи позвонки).</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ab/>
        <w:t>Тяжелая: множественные компрессионные переломы позвонков с клиновидной деформацией.</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б. Кисть. При тяжелом гиперпаратиреозе иногда обнаруживается субпериостальная резорбция компактного вещества фаланг.</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в. Другие кости. При тяжелой, длительно существующей остеомаляции наблюдаются псевдопереломы длинных костей, особенно бедренных и большеберцовых, а также костей таза и лопаток.</w:t>
      </w:r>
    </w:p>
    <w:p w:rsidR="006D5CC7" w:rsidRPr="00945987" w:rsidRDefault="006D5CC7" w:rsidP="003276B5">
      <w:pPr>
        <w:spacing w:line="276" w:lineRule="auto"/>
        <w:ind w:firstLine="0"/>
        <w:outlineLvl w:val="1"/>
        <w:rPr>
          <w:rFonts w:ascii="Times New Roman" w:eastAsia="Times New Roman" w:hAnsi="Times New Roman" w:cs="Times New Roman"/>
          <w:b/>
          <w:bCs/>
          <w:lang w:eastAsia="ru-RU"/>
        </w:rPr>
      </w:pPr>
      <w:r w:rsidRPr="00945987">
        <w:rPr>
          <w:rFonts w:ascii="Times New Roman" w:eastAsia="Times New Roman" w:hAnsi="Times New Roman" w:cs="Times New Roman"/>
          <w:b/>
          <w:bCs/>
          <w:lang w:eastAsia="ru-RU"/>
        </w:rPr>
        <w:t>Денситометрия костей</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а. В 70-х годах для оценки массы костей и содержания минеральных веществ в основном веществе кости был разработан метод изотопной абсорбциометрии. Принцип метода: исследуемый участок скелета помещают между источником гамма-частиц (131I, 153Gd) и детектором излучения, соединенным с компьютером. Часть гамма-частиц поглощается при прохождении через кость. По величине поглощения рассчитывают плотность костной ткани и содержание в ней минеральных веществ. Основной недостаток изотопной абсорбциометрии — значительная лучевая нагрузка (50—500 Зв).</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 xml:space="preserve">б. В последнее время для диагностики остеопении чаще всего применяют двухфотонную рентгеновскую абсорбциометрию. Принцип метода тот же, но вместо излучателей гамма-частиц используется рентгеновская трубка, дающая гораздо меньшую лучевую нагрузку </w:t>
      </w:r>
      <w:proofErr w:type="gramStart"/>
      <w:r w:rsidRPr="006D5CC7">
        <w:rPr>
          <w:rFonts w:ascii="Times New Roman" w:eastAsia="Times New Roman" w:hAnsi="Times New Roman" w:cs="Times New Roman"/>
          <w:bCs/>
          <w:lang w:eastAsia="ru-RU"/>
        </w:rPr>
        <w:t>(&lt; 10</w:t>
      </w:r>
      <w:proofErr w:type="gramEnd"/>
      <w:r w:rsidRPr="006D5CC7">
        <w:rPr>
          <w:rFonts w:ascii="Times New Roman" w:eastAsia="Times New Roman" w:hAnsi="Times New Roman" w:cs="Times New Roman"/>
          <w:bCs/>
          <w:lang w:eastAsia="ru-RU"/>
        </w:rPr>
        <w:t xml:space="preserve"> Зв). Двухфотонная рентгеновская абсорбциометрия — высокочувствительный метод. Он позволяет выявить потерю всего 2—3% массы кости. В США и некоторых европейских странах двухфотонную рентгеновскую абсорбциометрию используют для массовых обследований женщин в постменопаузе для ранней диагностики остеопороза.</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в. Иногда денситометрию сочетают с нейтронно-активационным анализом</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lastRenderedPageBreak/>
        <w:t>содержания кальция в организме.</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г. В начале 90-х годов появились приборы для ультразвуковой денситометрии костей. Этот метод применяют главным образом для ранней диагностики остеопороза. Он позволяет оценивать не только плотность, но и особенности строения костной ткани. Не исключено, что в скором времени ультразвуковая денситометрия как метод для массовых обследований заменит изотопную и рентгеновскую абсорбциометрию.</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д. Иногда для исследования костей используют сцинтиграфию с 99mTc, эмиссионную томографию, КТ и МРТ.</w:t>
      </w:r>
    </w:p>
    <w:p w:rsidR="006D5CC7" w:rsidRDefault="006D5CC7" w:rsidP="003276B5">
      <w:pPr>
        <w:spacing w:line="276" w:lineRule="auto"/>
        <w:ind w:firstLine="0"/>
        <w:outlineLvl w:val="1"/>
        <w:rPr>
          <w:rFonts w:ascii="Times New Roman" w:eastAsia="Times New Roman" w:hAnsi="Times New Roman" w:cs="Times New Roman"/>
          <w:bCs/>
          <w:lang w:eastAsia="ru-RU"/>
        </w:rPr>
      </w:pPr>
      <w:r w:rsidRPr="00945987">
        <w:rPr>
          <w:rFonts w:ascii="Times New Roman" w:eastAsia="Times New Roman" w:hAnsi="Times New Roman" w:cs="Times New Roman"/>
          <w:b/>
          <w:bCs/>
          <w:lang w:eastAsia="ru-RU"/>
        </w:rPr>
        <w:t>В. Биопсия костной ткани.</w:t>
      </w:r>
      <w:r w:rsidRPr="006D5CC7">
        <w:rPr>
          <w:rFonts w:ascii="Times New Roman" w:eastAsia="Times New Roman" w:hAnsi="Times New Roman" w:cs="Times New Roman"/>
          <w:bCs/>
          <w:lang w:eastAsia="ru-RU"/>
        </w:rPr>
        <w:t xml:space="preserve"> К ней прибегают в отдельных случаях для выяснения причины остеопении и оценки эффективности лечения. Обычно биоптат берут из гребня подвздошной кости; исследовать материал должен опытный гистолог. Чтобы оценить скорость образования органического матрикса и минерализации костной ткани, используют двойную тетрациклиновую метку (тетрациклин накапливается во фронтах минерализации органического матрикса). Назначают два трехсуточных курса тетрациклина в дозе 250 мг внутрь 4 раза в сутки с интервалом в 2 нед. Затем проводят биопсию, готовят срезы нативной кости и под флюоресцентным микроскопом определяют расстояние между фронтами минерализации. Иногда вместо тетрациклина используют специальные красители для световой микроскопии.</w:t>
      </w:r>
    </w:p>
    <w:p w:rsidR="00945987" w:rsidRPr="006D5CC7" w:rsidRDefault="00945987" w:rsidP="003276B5">
      <w:pPr>
        <w:spacing w:line="276" w:lineRule="auto"/>
        <w:ind w:firstLine="0"/>
        <w:outlineLvl w:val="1"/>
        <w:rPr>
          <w:rFonts w:ascii="Times New Roman" w:eastAsia="Times New Roman" w:hAnsi="Times New Roman" w:cs="Times New Roman"/>
          <w:bCs/>
          <w:lang w:eastAsia="ru-RU"/>
        </w:rPr>
      </w:pPr>
    </w:p>
    <w:p w:rsidR="006D5CC7" w:rsidRPr="001E7923" w:rsidRDefault="001E7923" w:rsidP="003276B5">
      <w:pPr>
        <w:spacing w:line="276" w:lineRule="auto"/>
        <w:ind w:firstLine="0"/>
        <w:outlineLvl w:val="1"/>
        <w:rPr>
          <w:rFonts w:ascii="Times New Roman" w:eastAsia="Times New Roman" w:hAnsi="Times New Roman" w:cs="Times New Roman"/>
          <w:bCs/>
          <w:sz w:val="24"/>
          <w:lang w:eastAsia="ru-RU"/>
        </w:rPr>
      </w:pPr>
      <w:r w:rsidRPr="001E7923">
        <w:rPr>
          <w:rFonts w:ascii="Times New Roman" w:eastAsia="Times New Roman" w:hAnsi="Times New Roman" w:cs="Times New Roman"/>
          <w:bCs/>
          <w:sz w:val="24"/>
          <w:lang w:eastAsia="ru-RU"/>
        </w:rPr>
        <w:t>ПЛАН 6: ОСТЕОПЕНИЯ</w:t>
      </w:r>
    </w:p>
    <w:p w:rsidR="00945987" w:rsidRPr="00945987" w:rsidRDefault="00945987" w:rsidP="003276B5">
      <w:pPr>
        <w:spacing w:line="276" w:lineRule="auto"/>
        <w:ind w:firstLine="0"/>
        <w:outlineLvl w:val="1"/>
        <w:rPr>
          <w:rFonts w:ascii="Times New Roman" w:eastAsia="Times New Roman" w:hAnsi="Times New Roman" w:cs="Times New Roman"/>
          <w:b/>
          <w:bCs/>
          <w:lang w:eastAsia="ru-RU"/>
        </w:rPr>
      </w:pP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945987">
        <w:rPr>
          <w:rFonts w:ascii="Times New Roman" w:eastAsia="Times New Roman" w:hAnsi="Times New Roman" w:cs="Times New Roman"/>
          <w:b/>
          <w:bCs/>
          <w:lang w:eastAsia="ru-RU"/>
        </w:rPr>
        <w:t>Определение.</w:t>
      </w:r>
      <w:r w:rsidRPr="006D5CC7">
        <w:rPr>
          <w:rFonts w:ascii="Times New Roman" w:eastAsia="Times New Roman" w:hAnsi="Times New Roman" w:cs="Times New Roman"/>
          <w:bCs/>
          <w:lang w:eastAsia="ru-RU"/>
        </w:rPr>
        <w:t xml:space="preserve"> Это собирательное понятие, означающее ненормально низкую массу костной ткани. Этим термином также пользуются для обозначения клинических, лабораторных и рентгенологических проявлений потери костной массы. Диагноз остеопении устанавливают с учетом возраста, пола и расы больного. Различают три типа остеопенических поражений:</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А. Остеопороз: одновременная потеря органического матрикса и минеральных веществ из-за низкой активности остеобластов. Основной дефект при остеопорозе — истончение балок губчатого вещества кости и компактного вещества. При остеопорозе нарушается связь между пересекающимися балками; отдельные балки перфорируются и могут</w:t>
      </w:r>
      <w:r w:rsidR="00945987">
        <w:rPr>
          <w:rFonts w:ascii="Times New Roman" w:eastAsia="Times New Roman" w:hAnsi="Times New Roman" w:cs="Times New Roman"/>
          <w:bCs/>
          <w:lang w:eastAsia="ru-RU"/>
        </w:rPr>
        <w:t xml:space="preserve"> </w:t>
      </w:r>
      <w:r w:rsidRPr="006D5CC7">
        <w:rPr>
          <w:rFonts w:ascii="Times New Roman" w:eastAsia="Times New Roman" w:hAnsi="Times New Roman" w:cs="Times New Roman"/>
          <w:bCs/>
          <w:lang w:eastAsia="ru-RU"/>
        </w:rPr>
        <w:t>ломаться. В результате кость становится хрупкой. Поэтому термин остеопороз используют для обозначения любых поражений костей, повышающих риск переломов.</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Б. Остеомаляция: недостаточная минерализация костной ткани. В костях накапливается слабо минерализованный органический матрикс; отношение минеральные вещества/органические вещества снижается. В результате кости теряют жесткость и становятся гибкими.</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В. Фиброзно-кистозный остит: усиленная резорбция основного вещества кости (органического матрикса и минеральных веществ) и его замещение фиброзной тканью. Фиброзно-кистозный остит обычно наблюдается при тяжелом гиперпаратиреозе. Причина — избыточная секреция ПТГ и активация остеокластов.</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У большинства больных с остеопенией обычно наблюдаются все перечисленные изменения костной ткани, но преобладает что-нибудь одно.</w:t>
      </w:r>
    </w:p>
    <w:p w:rsidR="00945987" w:rsidRDefault="00945987" w:rsidP="003276B5">
      <w:pPr>
        <w:spacing w:line="276" w:lineRule="auto"/>
        <w:ind w:firstLine="0"/>
        <w:outlineLvl w:val="1"/>
        <w:rPr>
          <w:rFonts w:ascii="Times New Roman" w:eastAsia="Times New Roman" w:hAnsi="Times New Roman" w:cs="Times New Roman"/>
          <w:b/>
          <w:bCs/>
          <w:lang w:eastAsia="ru-RU"/>
        </w:rPr>
      </w:pPr>
    </w:p>
    <w:p w:rsidR="00945987" w:rsidRDefault="00945987" w:rsidP="003276B5">
      <w:pPr>
        <w:spacing w:line="276" w:lineRule="auto"/>
        <w:ind w:firstLine="0"/>
        <w:outlineLvl w:val="1"/>
        <w:rPr>
          <w:rFonts w:ascii="Times New Roman" w:eastAsia="Times New Roman" w:hAnsi="Times New Roman" w:cs="Times New Roman"/>
          <w:b/>
          <w:bCs/>
          <w:lang w:eastAsia="ru-RU"/>
        </w:rPr>
      </w:pPr>
    </w:p>
    <w:p w:rsidR="006D5CC7" w:rsidRPr="00945987" w:rsidRDefault="006D5CC7" w:rsidP="003276B5">
      <w:pPr>
        <w:spacing w:line="276" w:lineRule="auto"/>
        <w:ind w:firstLine="0"/>
        <w:outlineLvl w:val="1"/>
        <w:rPr>
          <w:rFonts w:ascii="Times New Roman" w:eastAsia="Times New Roman" w:hAnsi="Times New Roman" w:cs="Times New Roman"/>
          <w:b/>
          <w:bCs/>
          <w:lang w:eastAsia="ru-RU"/>
        </w:rPr>
      </w:pPr>
      <w:r w:rsidRPr="00945987">
        <w:rPr>
          <w:rFonts w:ascii="Times New Roman" w:eastAsia="Times New Roman" w:hAnsi="Times New Roman" w:cs="Times New Roman"/>
          <w:b/>
          <w:bCs/>
          <w:lang w:eastAsia="ru-RU"/>
        </w:rPr>
        <w:t>Обследование</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А. Рентгенография позвоночника в боковой проекции позволяет выявить только тяжелую остеопению (при потере 30—50% массы костей).</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lastRenderedPageBreak/>
        <w:t>Б. При рентгенографии отдельных костей иногда определяются характерные признаки остеопенических заболеваний: изменения эпифизов при рахите у детей, псевдопереломы проксимальных отделов длинных костей и костей таза при остеомаляции, гантелеобразные деформации длинных костей при несовершенном остеогенезе типов I и IV, резорбция компактного вещества фаланг при гиперпаратиреозе.</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В. Денситометрия костей, в частности двухфотонная рентгеновская абсорбциометрия позвоночника, — самый чувствительный метод ранней диагностики остеопороза.</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Г. Исключают злокачественные новообразования, которые могут вызывать остеопению. При подозрении на миеломную болезнь показаны исследование СОЭ, определение белка Бенс-Джонса в моче, электрофорез белков сыворотки. Электрофорез рекомендуется проводить всем взрослым больным с остеопенией. Иногда для выявления очагов остеолиза применяют сцинтиграфию костей с дифосфонатами, меченными 99mTc.</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Д. Исследование крови</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В сыворотке, полученной утром натощак, определяют содержание кальция, фосфата, электролитов, ПТГ1—84, 25(OH)D3, T4 и ТТГ. Обязательно определяют активность щелочной фосфатазы, особенно изоферментов костной фракции.</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Определяют содержание кортизола в сыворотке в утренние и вечерние часы.</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Е. Исследование мочи</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Утром натощак собирают мочу и оценивают канальцевую реабсорбцию фосфата или отношение канальцевая реабсорбция фосфата/СКФ. Измеряют pH мочи или проводят пробу с хлоридом аммония для подтверждения достаточного закисления мочи (pH</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proofErr w:type="gramStart"/>
      <w:r w:rsidRPr="006D5CC7">
        <w:rPr>
          <w:rFonts w:ascii="Times New Roman" w:eastAsia="Times New Roman" w:hAnsi="Times New Roman" w:cs="Times New Roman"/>
          <w:bCs/>
          <w:lang w:eastAsia="ru-RU"/>
        </w:rPr>
        <w:t>&lt; 5</w:t>
      </w:r>
      <w:proofErr w:type="gramEnd"/>
      <w:r w:rsidRPr="006D5CC7">
        <w:rPr>
          <w:rFonts w:ascii="Times New Roman" w:eastAsia="Times New Roman" w:hAnsi="Times New Roman" w:cs="Times New Roman"/>
          <w:bCs/>
          <w:lang w:eastAsia="ru-RU"/>
        </w:rPr>
        <w:t>,4) и исключения дистальноканальцевого ацидоза.</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Оценивают экскрецию кальция. Для этого измеряют содержание кальция в двух суточных порциях мочи.</w:t>
      </w:r>
    </w:p>
    <w:p w:rsidR="00945987" w:rsidRDefault="00945987" w:rsidP="003276B5">
      <w:pPr>
        <w:spacing w:line="276" w:lineRule="auto"/>
        <w:ind w:firstLine="0"/>
        <w:outlineLvl w:val="1"/>
        <w:rPr>
          <w:rFonts w:ascii="Times New Roman" w:eastAsia="Times New Roman" w:hAnsi="Times New Roman" w:cs="Times New Roman"/>
          <w:b/>
          <w:bCs/>
          <w:lang w:eastAsia="ru-RU"/>
        </w:rPr>
      </w:pPr>
    </w:p>
    <w:p w:rsidR="006D5CC7" w:rsidRDefault="006D5CC7" w:rsidP="003276B5">
      <w:pPr>
        <w:spacing w:line="276" w:lineRule="auto"/>
        <w:ind w:firstLine="0"/>
        <w:outlineLvl w:val="1"/>
        <w:rPr>
          <w:rFonts w:ascii="Times New Roman" w:eastAsia="Times New Roman" w:hAnsi="Times New Roman" w:cs="Times New Roman"/>
          <w:b/>
          <w:bCs/>
          <w:lang w:eastAsia="ru-RU"/>
        </w:rPr>
      </w:pPr>
      <w:r w:rsidRPr="00945987">
        <w:rPr>
          <w:rFonts w:ascii="Times New Roman" w:eastAsia="Times New Roman" w:hAnsi="Times New Roman" w:cs="Times New Roman"/>
          <w:b/>
          <w:bCs/>
          <w:lang w:eastAsia="ru-RU"/>
        </w:rPr>
        <w:t>Остеопороз</w:t>
      </w:r>
    </w:p>
    <w:p w:rsidR="00945987" w:rsidRPr="00945987" w:rsidRDefault="00945987" w:rsidP="003276B5">
      <w:pPr>
        <w:spacing w:line="276" w:lineRule="auto"/>
        <w:ind w:firstLine="0"/>
        <w:outlineLvl w:val="1"/>
        <w:rPr>
          <w:rFonts w:ascii="Times New Roman" w:eastAsia="Times New Roman" w:hAnsi="Times New Roman" w:cs="Times New Roman"/>
          <w:b/>
          <w:bCs/>
          <w:lang w:eastAsia="ru-RU"/>
        </w:rPr>
      </w:pPr>
    </w:p>
    <w:p w:rsidR="006D5CC7" w:rsidRPr="00945987" w:rsidRDefault="006D5CC7" w:rsidP="003276B5">
      <w:pPr>
        <w:spacing w:line="276" w:lineRule="auto"/>
        <w:ind w:firstLine="0"/>
        <w:outlineLvl w:val="1"/>
        <w:rPr>
          <w:rFonts w:ascii="Times New Roman" w:eastAsia="Times New Roman" w:hAnsi="Times New Roman" w:cs="Times New Roman"/>
          <w:b/>
          <w:bCs/>
          <w:lang w:eastAsia="ru-RU"/>
        </w:rPr>
      </w:pPr>
      <w:r w:rsidRPr="00945987">
        <w:rPr>
          <w:rFonts w:ascii="Times New Roman" w:eastAsia="Times New Roman" w:hAnsi="Times New Roman" w:cs="Times New Roman"/>
          <w:b/>
          <w:bCs/>
          <w:lang w:eastAsia="ru-RU"/>
        </w:rPr>
        <w:t>А. Классификация</w:t>
      </w:r>
    </w:p>
    <w:p w:rsidR="006D5CC7" w:rsidRPr="00945987" w:rsidRDefault="006D5CC7" w:rsidP="003276B5">
      <w:pPr>
        <w:spacing w:line="276" w:lineRule="auto"/>
        <w:ind w:firstLine="0"/>
        <w:outlineLvl w:val="1"/>
        <w:rPr>
          <w:rFonts w:ascii="Times New Roman" w:eastAsia="Times New Roman" w:hAnsi="Times New Roman" w:cs="Times New Roman"/>
          <w:bCs/>
          <w:i/>
          <w:lang w:eastAsia="ru-RU"/>
        </w:rPr>
      </w:pPr>
      <w:r w:rsidRPr="00945987">
        <w:rPr>
          <w:rFonts w:ascii="Times New Roman" w:eastAsia="Times New Roman" w:hAnsi="Times New Roman" w:cs="Times New Roman"/>
          <w:bCs/>
          <w:i/>
          <w:lang w:eastAsia="ru-RU"/>
        </w:rPr>
        <w:t>Первичный остеопороз</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 xml:space="preserve">а. Постклимактерический остеопороз (остеопороз типа I) наблюдается у женщин в возрасте 50—75 лет. Основные осложнения: переломы тел позвонков, костей предплечья и запястья. </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б. Старческий остеопороз (остеопороз типа II) поражает женщин и мужчин старше 70 лет. Основные осложнения: переломы шейки бедренной кости, проксимальных отделов плечевой и большеберцовой кости, костей таза.</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 xml:space="preserve">в. Идиопатический остеопороз поражает детей, подростков и </w:t>
      </w:r>
      <w:proofErr w:type="gramStart"/>
      <w:r w:rsidRPr="006D5CC7">
        <w:rPr>
          <w:rFonts w:ascii="Times New Roman" w:eastAsia="Times New Roman" w:hAnsi="Times New Roman" w:cs="Times New Roman"/>
          <w:bCs/>
          <w:lang w:eastAsia="ru-RU"/>
        </w:rPr>
        <w:t>взрослых мужчин</w:t>
      </w:r>
      <w:proofErr w:type="gramEnd"/>
      <w:r w:rsidRPr="006D5CC7">
        <w:rPr>
          <w:rFonts w:ascii="Times New Roman" w:eastAsia="Times New Roman" w:hAnsi="Times New Roman" w:cs="Times New Roman"/>
          <w:bCs/>
          <w:lang w:eastAsia="ru-RU"/>
        </w:rPr>
        <w:t xml:space="preserve"> и женщин; патогенез неизвестен. Выделяют взрослую и юношескую формы.</w:t>
      </w:r>
    </w:p>
    <w:p w:rsidR="006D5CC7" w:rsidRPr="00945987" w:rsidRDefault="006D5CC7" w:rsidP="003276B5">
      <w:pPr>
        <w:spacing w:line="276" w:lineRule="auto"/>
        <w:ind w:firstLine="0"/>
        <w:outlineLvl w:val="1"/>
        <w:rPr>
          <w:rFonts w:ascii="Times New Roman" w:eastAsia="Times New Roman" w:hAnsi="Times New Roman" w:cs="Times New Roman"/>
          <w:bCs/>
          <w:i/>
          <w:lang w:eastAsia="ru-RU"/>
        </w:rPr>
      </w:pPr>
      <w:r w:rsidRPr="00945987">
        <w:rPr>
          <w:rFonts w:ascii="Times New Roman" w:eastAsia="Times New Roman" w:hAnsi="Times New Roman" w:cs="Times New Roman"/>
          <w:bCs/>
          <w:i/>
          <w:lang w:eastAsia="ru-RU"/>
        </w:rPr>
        <w:t>Вторичный остеопороз</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а. Чаще всего он вызван эндокринными нарушениями: эндогенным и экзогенным синдромом Кушинга, тиреотоксикозом, гиперпаратиреозом, гипогонадизмом.</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б. Остеопорозом сопровождаются остеомаляция, фиброзно-кистозный остит, синдром нарушенного всасывания, цинга, гипокальциемия, обездвиженность, длительное лечение гепарином, системный мастоцитоз, гипофосфатазия.</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в. Остеопороз может быть проявлением наследственных болезней соединительной ткани — несовершенного остеогенеза, гомоцистинурии вследствие дефекта цистатионинсинтетазы, синдрома Элерса—Данло, синдрома Марфана.</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lastRenderedPageBreak/>
        <w:t>г. Другие состояния, для которых характерен остеопороз: ревматоидный артрит, недостаточное питание, алкоголизм, эпилепсия, первичный билиарный цирроз, ХОЗЛ, синдром Менкеса.</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945987">
        <w:rPr>
          <w:rFonts w:ascii="Times New Roman" w:eastAsia="Times New Roman" w:hAnsi="Times New Roman" w:cs="Times New Roman"/>
          <w:b/>
          <w:bCs/>
          <w:lang w:eastAsia="ru-RU"/>
        </w:rPr>
        <w:t>Б. Постклимактерический остеопороз.</w:t>
      </w:r>
      <w:r w:rsidRPr="006D5CC7">
        <w:rPr>
          <w:rFonts w:ascii="Times New Roman" w:eastAsia="Times New Roman" w:hAnsi="Times New Roman" w:cs="Times New Roman"/>
          <w:bCs/>
          <w:lang w:eastAsia="ru-RU"/>
        </w:rPr>
        <w:t xml:space="preserve"> Это самая распространенная форма первичного остеопороза.</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ab/>
      </w:r>
      <w:r w:rsidRPr="00945987">
        <w:rPr>
          <w:rFonts w:ascii="Times New Roman" w:eastAsia="Times New Roman" w:hAnsi="Times New Roman" w:cs="Times New Roman"/>
          <w:b/>
          <w:bCs/>
          <w:lang w:eastAsia="ru-RU"/>
        </w:rPr>
        <w:t>Диагностика.</w:t>
      </w:r>
      <w:r w:rsidRPr="006D5CC7">
        <w:rPr>
          <w:rFonts w:ascii="Times New Roman" w:eastAsia="Times New Roman" w:hAnsi="Times New Roman" w:cs="Times New Roman"/>
          <w:bCs/>
          <w:lang w:eastAsia="ru-RU"/>
        </w:rPr>
        <w:t xml:space="preserve"> Исключают заболевания, вызывающие вторичный остеопороз: остеомаляцию, эндогенный или экзогенный синдром Кушинга, гиперпаратиреоз, тиреотоксикоз, миеломную болезнь. Надо помнить, что у 30% больных миеломной болезнью наблюдается генерализованная остеопения.</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Профилактика. Остеопороз с трудом поддается лечению, поэтому на первый план выходят профилактические мероприятия.</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 xml:space="preserve">а. Диета. Все женщины в пременопаузе должны потреблять не менее 800 мг кальция в сутки. В постменопаузе суточное потребление кальция должно быть не менее 1200 мг, так как его всасывание в кишечнике в этот период ухудшается. Лучше всего добавлять в пищу кальция карбонат дробными дозами. Пожилым </w:t>
      </w:r>
      <w:proofErr w:type="gramStart"/>
      <w:r w:rsidRPr="006D5CC7">
        <w:rPr>
          <w:rFonts w:ascii="Times New Roman" w:eastAsia="Times New Roman" w:hAnsi="Times New Roman" w:cs="Times New Roman"/>
          <w:bCs/>
          <w:lang w:eastAsia="ru-RU"/>
        </w:rPr>
        <w:t>женщинам  с</w:t>
      </w:r>
      <w:proofErr w:type="gramEnd"/>
      <w:r w:rsidRPr="006D5CC7">
        <w:rPr>
          <w:rFonts w:ascii="Times New Roman" w:eastAsia="Times New Roman" w:hAnsi="Times New Roman" w:cs="Times New Roman"/>
          <w:bCs/>
          <w:lang w:eastAsia="ru-RU"/>
        </w:rPr>
        <w:t xml:space="preserve">  ахлоргидрией  назначают  кальция  цитрат,  который  лучше</w:t>
      </w:r>
      <w:r w:rsidR="00945987">
        <w:rPr>
          <w:rFonts w:ascii="Times New Roman" w:eastAsia="Times New Roman" w:hAnsi="Times New Roman" w:cs="Times New Roman"/>
          <w:bCs/>
          <w:lang w:eastAsia="ru-RU"/>
        </w:rPr>
        <w:t xml:space="preserve"> </w:t>
      </w:r>
      <w:r w:rsidRPr="006D5CC7">
        <w:rPr>
          <w:rFonts w:ascii="Times New Roman" w:eastAsia="Times New Roman" w:hAnsi="Times New Roman" w:cs="Times New Roman"/>
          <w:bCs/>
          <w:lang w:eastAsia="ru-RU"/>
        </w:rPr>
        <w:t>всасывается. Перед назначением препаратов кальция надо исключить гиперкальциурию. Для этого измеряют суточную экскрецию кальция.</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б. Физическая нагрузка. Для стимуляции образования костной ткани рекомендуют регулярные прогулки и легкие упражнения с гантелями. Минимальная нагрузка — ежедневная прогулка быстрым шагом в течение получаса.</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в. Профилактика в группе высокого риска. Женщинам с наследственной предрасположенностью к остеопорозу в климактерическом периоде рекомендуется заместительная терапия эстрогенами (если нет противопоказаний). Такое лечение продолжают несколько лет, затем эстрогены постепенно отменяют. После отмены эстрогенов потеря костной массы вновь ускоряется, но риск переломов уменьшается. Показано, что профилактическое лечение эстрогенами в течение 5—10 лет снижает частоту переломов позвоночника и бедренных костей на 75—90%. Кроме того, значительно снижается заболеваемость и смертность от сердечно-сосудистых заболеваний. Для профилактического лечения остеопороза назначают конъюгированные эстрогены внутрь в дозе 0,625 мг/сут либо этинилэстрадиол в дозе 0,035— 0,05 мг/сут (обычно в составе комбинированных пероральных контрацептивов). Нерожавшим показано профилактическое лечение небольшими дозами эстрогенов и прогестагенов (непрерывное или по циклической схеме). Во время лечения регулярно измеряют АД и проводят цитологические исследования шейки матки.</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г. При преждевременной менопаузе, вызванной хирургическим вмешательством, облучением или химиотерапией, назначают поддерживающую терапию эстрогенами в тех же дозах.</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д. При противопоказаниях к эстрогенам применяют дифосфонаты или кальцитонин. Этидронат натрия назначают по циклической схеме: 400 мг 1 раз в сутки внутрь натощак, в течение 2 нед через 3 мес. Это лечение значительно увеличивает костную массу, замедляет ее потерю и снижает риск переломов. Внимание: непрерывное лечение этидронатом натрия недопустимо, поскольку этот препарат нарушает минерализацию костной ткани. Кальцитонин назначают в дозе 50—100 ед/сут 3 раза в неделю, обычно в виде аэрозоля для интраназального введения.</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945987">
        <w:rPr>
          <w:rFonts w:ascii="Times New Roman" w:eastAsia="Times New Roman" w:hAnsi="Times New Roman" w:cs="Times New Roman"/>
          <w:b/>
          <w:bCs/>
          <w:lang w:eastAsia="ru-RU"/>
        </w:rPr>
        <w:t>Лечение подтвержденного остеопороза.</w:t>
      </w:r>
      <w:r w:rsidRPr="006D5CC7">
        <w:rPr>
          <w:rFonts w:ascii="Times New Roman" w:eastAsia="Times New Roman" w:hAnsi="Times New Roman" w:cs="Times New Roman"/>
          <w:bCs/>
          <w:lang w:eastAsia="ru-RU"/>
        </w:rPr>
        <w:t xml:space="preserve"> Основные назначения — физическая нагрузка, достаточное потребление кальция, эстрогены, дифосфонаты или кальцитонин. Постоянное лечение эстрогенами и прогестагенами позволяет добиться увеличения костной массы даже у пожилых больных. При компрессионных переломах позвонков назначают небольшие дозы спазмолитиков и анальгетиков и ношение легкого поясничного корсета; полезны также упражнения, укрепляющие поясничные мышцы и мышцы передней брюшной стенки. Если у пожилых больных имеются признаки дефицита витамина D </w:t>
      </w:r>
      <w:r w:rsidRPr="006D5CC7">
        <w:rPr>
          <w:rFonts w:ascii="Times New Roman" w:eastAsia="Times New Roman" w:hAnsi="Times New Roman" w:cs="Times New Roman"/>
          <w:bCs/>
          <w:lang w:eastAsia="ru-RU"/>
        </w:rPr>
        <w:lastRenderedPageBreak/>
        <w:t>(низкий уровень 25(OH)D3 в сыворотке, сниженная экскреция кальция), назначают эргокальциферол, 400—800 ед/сут в виде поливитаминов (1—2 таблетки в сутки).</w:t>
      </w:r>
    </w:p>
    <w:p w:rsidR="006D5CC7" w:rsidRPr="006D5CC7" w:rsidRDefault="006D5CC7" w:rsidP="00945987">
      <w:pPr>
        <w:spacing w:line="276" w:lineRule="auto"/>
        <w:ind w:firstLine="0"/>
        <w:outlineLvl w:val="1"/>
        <w:rPr>
          <w:rFonts w:ascii="Times New Roman" w:eastAsia="Times New Roman" w:hAnsi="Times New Roman" w:cs="Times New Roman"/>
          <w:bCs/>
          <w:lang w:eastAsia="ru-RU"/>
        </w:rPr>
      </w:pPr>
      <w:r w:rsidRPr="00945987">
        <w:rPr>
          <w:rFonts w:ascii="Times New Roman" w:eastAsia="Times New Roman" w:hAnsi="Times New Roman" w:cs="Times New Roman"/>
          <w:b/>
          <w:bCs/>
          <w:lang w:eastAsia="ru-RU"/>
        </w:rPr>
        <w:t>В. Стероидный остеопороз.</w:t>
      </w:r>
      <w:r w:rsidRPr="006D5CC7">
        <w:rPr>
          <w:rFonts w:ascii="Times New Roman" w:eastAsia="Times New Roman" w:hAnsi="Times New Roman" w:cs="Times New Roman"/>
          <w:bCs/>
          <w:lang w:eastAsia="ru-RU"/>
        </w:rPr>
        <w:t xml:space="preserve"> Эта форма вторичного остеопороза вызвана избытком эндогенных или экзогенных глюкокортикоидов.</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945987">
        <w:rPr>
          <w:rFonts w:ascii="Times New Roman" w:eastAsia="Times New Roman" w:hAnsi="Times New Roman" w:cs="Times New Roman"/>
          <w:b/>
          <w:bCs/>
          <w:lang w:eastAsia="ru-RU"/>
        </w:rPr>
        <w:t>а. Диагностика.</w:t>
      </w:r>
      <w:r w:rsidRPr="006D5CC7">
        <w:rPr>
          <w:rFonts w:ascii="Times New Roman" w:eastAsia="Times New Roman" w:hAnsi="Times New Roman" w:cs="Times New Roman"/>
          <w:bCs/>
          <w:lang w:eastAsia="ru-RU"/>
        </w:rPr>
        <w:t xml:space="preserve"> Собирают анамнез (сведения о приеме глюкокортикоидов) и исключают другие причины остеопороза.</w:t>
      </w:r>
    </w:p>
    <w:p w:rsidR="006D5CC7" w:rsidRPr="00945987" w:rsidRDefault="006D5CC7" w:rsidP="003276B5">
      <w:pPr>
        <w:spacing w:line="276" w:lineRule="auto"/>
        <w:ind w:firstLine="0"/>
        <w:outlineLvl w:val="1"/>
        <w:rPr>
          <w:rFonts w:ascii="Times New Roman" w:eastAsia="Times New Roman" w:hAnsi="Times New Roman" w:cs="Times New Roman"/>
          <w:b/>
          <w:bCs/>
          <w:lang w:eastAsia="ru-RU"/>
        </w:rPr>
      </w:pPr>
      <w:r w:rsidRPr="00945987">
        <w:rPr>
          <w:rFonts w:ascii="Times New Roman" w:eastAsia="Times New Roman" w:hAnsi="Times New Roman" w:cs="Times New Roman"/>
          <w:b/>
          <w:bCs/>
          <w:lang w:eastAsia="ru-RU"/>
        </w:rPr>
        <w:t>б. Лечение</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ab/>
        <w:t>Дозу глюкокортикоидов снижают до минимально возможной. Прием глюкокортикоидов через день не дает существенного улучшения. При воспалительных заболеваниях вместо глюкокортикоидов применяют НПВС и другие препараты. Назначают препараты кальция и рекомендуют физические нагрузки.</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ab/>
        <w:t>У большинства больных на фоне приема глюкокортикоидов возникает гиперкальциурия, обусловленная подавлением активности остеобластов и выведением неусвоенного кальция с мочой. Гиперкальциурия сохраняется на протяжении 6—24 мес. В это время нельзя применять препараты витамина D и кальций. Чтобы устранить гиперкальциурию, назначают гидрохлортиазид внутрь, 50 мг/сут в 2 приема. Во время лечения гидрохлортиазидом необходимо возмещать потери калия. Каждые 8 нед измеряют суточную экскрецию кальция.</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ab/>
        <w:t>Когда экскреция кальция нормализуется, для усиления всасывания кальция назначают эргокальциферол внутрь, по 50 000 ед 2 раза в неделю, либо кальцифедиол внутрь, по 50 мкг 4 раза в неделю. Параллельно назначают кальций внутрь в дозе 800 мг/сут. Концентрацию кальция в сыворотке и суточной моче определяют каждые 8 нед. Предполагают, что резорбцию костной ткани можно затормозить с помощью кальцитонина или дифосфонатов, однако эффективность этого лечения пока не доказана. Женщинам в постменопаузе, леченным кортикостероидами, показана заместительная терапия эстрогенами. У мужчин, длительно получающих кортикостероиды, снижается уровень тестостерона в сыворотке из-за угнетения надпочечников. В таких случаях для сохранения костной и мышечной массы назначают тестостерона энантат, 50—200 мг в/м каждые 3 нед.</w:t>
      </w:r>
    </w:p>
    <w:p w:rsidR="006D5CC7" w:rsidRPr="00945987" w:rsidRDefault="006D5CC7" w:rsidP="003276B5">
      <w:pPr>
        <w:spacing w:line="276" w:lineRule="auto"/>
        <w:ind w:firstLine="0"/>
        <w:outlineLvl w:val="1"/>
        <w:rPr>
          <w:rFonts w:ascii="Times New Roman" w:eastAsia="Times New Roman" w:hAnsi="Times New Roman" w:cs="Times New Roman"/>
          <w:b/>
          <w:bCs/>
          <w:lang w:eastAsia="ru-RU"/>
        </w:rPr>
      </w:pPr>
      <w:r w:rsidRPr="00945987">
        <w:rPr>
          <w:rFonts w:ascii="Times New Roman" w:eastAsia="Times New Roman" w:hAnsi="Times New Roman" w:cs="Times New Roman"/>
          <w:b/>
          <w:bCs/>
          <w:lang w:eastAsia="ru-RU"/>
        </w:rPr>
        <w:t>Г. Остеопороз при гипогонадизме</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Этиология и патогенез. Врожденная или приобретенная гипофункция половых желез неизбежно приводит к остеопорозу. Патогенез его не вполне понятен, хотя известно, что андрогены оказывают анаболическое действие на костную ткань у мужчин, а эстрогены замедляют резорбцию кости у женщин детородного возраста.</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а. У мужчин остеопороз обычно наблюдается при первичном гипогонадизме (синдроме Клайнфельтера, анорхии), но может быть обусловлен и вторичным гипогонадизмом (синдромом Кальмана, приобретенными заболеваниями и травмами гипоталамо-гипофизарной области). Предполагают, что возрастное угнетение гипоталамо-гипофизарно-гонадной системы играет роль в развитии старческого остеопороза.</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б. У женщин остеопороз нередко развивается при преждевременной менопаузе, вызванной облучением, хирургическим вмешательством или химиотерапией.</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ab/>
        <w:t>Диагностика включает лабораторные исследования функции половых желез, рентгенологическое и другие инструментальные исследования костей.</w:t>
      </w:r>
    </w:p>
    <w:p w:rsidR="006D5CC7" w:rsidRPr="006D5CC7" w:rsidRDefault="006D5CC7" w:rsidP="00945987">
      <w:pPr>
        <w:spacing w:line="276" w:lineRule="auto"/>
        <w:ind w:firstLine="708"/>
        <w:outlineLvl w:val="1"/>
        <w:rPr>
          <w:rFonts w:ascii="Times New Roman" w:eastAsia="Times New Roman" w:hAnsi="Times New Roman" w:cs="Times New Roman"/>
          <w:bCs/>
          <w:lang w:eastAsia="ru-RU"/>
        </w:rPr>
      </w:pPr>
      <w:r w:rsidRPr="00945987">
        <w:rPr>
          <w:rFonts w:ascii="Times New Roman" w:eastAsia="Times New Roman" w:hAnsi="Times New Roman" w:cs="Times New Roman"/>
          <w:b/>
          <w:bCs/>
          <w:lang w:eastAsia="ru-RU"/>
        </w:rPr>
        <w:t>Лечение.</w:t>
      </w:r>
      <w:r w:rsidRPr="006D5CC7">
        <w:rPr>
          <w:rFonts w:ascii="Times New Roman" w:eastAsia="Times New Roman" w:hAnsi="Times New Roman" w:cs="Times New Roman"/>
          <w:bCs/>
          <w:lang w:eastAsia="ru-RU"/>
        </w:rPr>
        <w:t xml:space="preserve"> У всех больных первичным или вторичным гипогонадизмом повышен риск остеопороза, поэтому им показаны периодические обследования, включающие рентгенографию и денситометрию костей. Сразу после выявления остеопороза начинают заместительную гормональную терапию. </w:t>
      </w:r>
      <w:r w:rsidRPr="006D5CC7">
        <w:rPr>
          <w:rFonts w:ascii="Times New Roman" w:eastAsia="Times New Roman" w:hAnsi="Times New Roman" w:cs="Times New Roman"/>
          <w:bCs/>
          <w:lang w:eastAsia="ru-RU"/>
        </w:rPr>
        <w:lastRenderedPageBreak/>
        <w:t>Женщинам назначают конъюгированные эстрогены внутрь, 0,625 мг/сут. Оптимальные дозы андрогенов для лечения остеопороза у мужчин с гипогонадизмом не установлены. Считается, что достаточно одной в/м инъекции 200 мг тестостерона пролонгированного действия ежемесячно. Заместительную гормональную терапию проводят пожизненно. Если масса костной ткани не увеличивается после нескольких лет заместительной терапии, пробуют лечить остеопороз другими способами.</w:t>
      </w:r>
    </w:p>
    <w:p w:rsidR="006D5CC7" w:rsidRPr="00945987" w:rsidRDefault="006D5CC7" w:rsidP="00945987">
      <w:pPr>
        <w:spacing w:line="276" w:lineRule="auto"/>
        <w:ind w:firstLine="708"/>
        <w:outlineLvl w:val="1"/>
        <w:rPr>
          <w:rFonts w:ascii="Times New Roman" w:eastAsia="Times New Roman" w:hAnsi="Times New Roman" w:cs="Times New Roman"/>
          <w:b/>
          <w:bCs/>
          <w:lang w:eastAsia="ru-RU"/>
        </w:rPr>
      </w:pPr>
      <w:r w:rsidRPr="00945987">
        <w:rPr>
          <w:rFonts w:ascii="Times New Roman" w:eastAsia="Times New Roman" w:hAnsi="Times New Roman" w:cs="Times New Roman"/>
          <w:b/>
          <w:bCs/>
          <w:lang w:eastAsia="ru-RU"/>
        </w:rPr>
        <w:t>Д. Остеопороз, вызванный избытком тиреоидных гормонов</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Патогенез. Тиреоидные гормоны активируют главным образом остеокласты, а не остеобласты, поэтому при тиреотоксикозе усиливается резорбция кости. Потеря костной массы особенно выражена у молодых из-за более активного метаболизма костной ткани. У таких больных наблюдаются гиперкальциурия и даже легкая гиперкальциемия. Эти нарушения усиливаются при уменьшении физических нагрузок, приводящем к снижению активности остеобластов (например, при постельном режиме). Выраженный остеопороз может возникнуть и у больных с гипотиреозом даже при незначительной передозировке тиреоидных гормонов. Поэтому их дозы подбирают так, чтобы поддерживать уровень ТТГ в середине диапазона нормальных значений.</w:t>
      </w:r>
    </w:p>
    <w:p w:rsidR="006D5CC7" w:rsidRPr="006D5CC7" w:rsidRDefault="006D5CC7" w:rsidP="00945987">
      <w:pPr>
        <w:spacing w:line="276" w:lineRule="auto"/>
        <w:ind w:firstLine="708"/>
        <w:outlineLvl w:val="1"/>
        <w:rPr>
          <w:rFonts w:ascii="Times New Roman" w:eastAsia="Times New Roman" w:hAnsi="Times New Roman" w:cs="Times New Roman"/>
          <w:bCs/>
          <w:lang w:eastAsia="ru-RU"/>
        </w:rPr>
      </w:pPr>
      <w:r w:rsidRPr="00945987">
        <w:rPr>
          <w:rFonts w:ascii="Times New Roman" w:eastAsia="Times New Roman" w:hAnsi="Times New Roman" w:cs="Times New Roman"/>
          <w:b/>
          <w:bCs/>
          <w:lang w:eastAsia="ru-RU"/>
        </w:rPr>
        <w:t>Диагностика и лечение.</w:t>
      </w:r>
      <w:r w:rsidRPr="006D5CC7">
        <w:rPr>
          <w:rFonts w:ascii="Times New Roman" w:eastAsia="Times New Roman" w:hAnsi="Times New Roman" w:cs="Times New Roman"/>
          <w:bCs/>
          <w:lang w:eastAsia="ru-RU"/>
        </w:rPr>
        <w:t xml:space="preserve"> Диагноз тиреотоксикоза устанавливают по клинической картине и данным лабораторных исследований. Поскольку тиреотоксикоз обычно проявляется быстро и его лечение начинают своевременно, тяжелый остеопороз не успевает развиться. После излечения тиреотоксикоза остеопороз проходит. Молодым больным показаны умеренные физические нагрузки. </w:t>
      </w:r>
    </w:p>
    <w:p w:rsidR="006D5CC7" w:rsidRPr="00945987" w:rsidRDefault="006D5CC7" w:rsidP="003276B5">
      <w:pPr>
        <w:spacing w:line="276" w:lineRule="auto"/>
        <w:ind w:firstLine="0"/>
        <w:outlineLvl w:val="1"/>
        <w:rPr>
          <w:rFonts w:ascii="Times New Roman" w:eastAsia="Times New Roman" w:hAnsi="Times New Roman" w:cs="Times New Roman"/>
          <w:b/>
          <w:bCs/>
          <w:lang w:eastAsia="ru-RU"/>
        </w:rPr>
      </w:pPr>
      <w:r w:rsidRPr="00945987">
        <w:rPr>
          <w:rFonts w:ascii="Times New Roman" w:eastAsia="Times New Roman" w:hAnsi="Times New Roman" w:cs="Times New Roman"/>
          <w:b/>
          <w:bCs/>
          <w:lang w:eastAsia="ru-RU"/>
        </w:rPr>
        <w:t>Е. Остеопороз при сахарном диабете</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1C13E6">
        <w:rPr>
          <w:rFonts w:ascii="Times New Roman" w:eastAsia="Times New Roman" w:hAnsi="Times New Roman" w:cs="Times New Roman"/>
          <w:b/>
          <w:bCs/>
          <w:lang w:eastAsia="ru-RU"/>
        </w:rPr>
        <w:t>Лечение.</w:t>
      </w:r>
      <w:r w:rsidRPr="006D5CC7">
        <w:rPr>
          <w:rFonts w:ascii="Times New Roman" w:eastAsia="Times New Roman" w:hAnsi="Times New Roman" w:cs="Times New Roman"/>
          <w:bCs/>
          <w:lang w:eastAsia="ru-RU"/>
        </w:rPr>
        <w:t xml:space="preserve"> Необходимы точный подбор режима инсулинотерапии и самостоятельный контроль уровня глюкозы в крови. Показаны умеренные физические нагрузки. Медикаментозное лечение: эргокальциферол, 400—800 ЕД/сут внутрь; кальций, 800 мг/сут внутрь.</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1C13E6">
        <w:rPr>
          <w:rFonts w:ascii="Times New Roman" w:eastAsia="Times New Roman" w:hAnsi="Times New Roman" w:cs="Times New Roman"/>
          <w:b/>
          <w:bCs/>
          <w:lang w:eastAsia="ru-RU"/>
        </w:rPr>
        <w:t>Ж. Гипокинетический остеопороз.</w:t>
      </w:r>
      <w:r w:rsidRPr="006D5CC7">
        <w:rPr>
          <w:rFonts w:ascii="Times New Roman" w:eastAsia="Times New Roman" w:hAnsi="Times New Roman" w:cs="Times New Roman"/>
          <w:bCs/>
          <w:lang w:eastAsia="ru-RU"/>
        </w:rPr>
        <w:t xml:space="preserve"> Эта форма вторичного остеопороза наблюдается при длительной обездвиженности.</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ab/>
      </w:r>
      <w:r w:rsidRPr="001C13E6">
        <w:rPr>
          <w:rFonts w:ascii="Times New Roman" w:eastAsia="Times New Roman" w:hAnsi="Times New Roman" w:cs="Times New Roman"/>
          <w:b/>
          <w:bCs/>
          <w:lang w:eastAsia="ru-RU"/>
        </w:rPr>
        <w:t>Патогенез.</w:t>
      </w:r>
      <w:r w:rsidRPr="006D5CC7">
        <w:rPr>
          <w:rFonts w:ascii="Times New Roman" w:eastAsia="Times New Roman" w:hAnsi="Times New Roman" w:cs="Times New Roman"/>
          <w:bCs/>
          <w:lang w:eastAsia="ru-RU"/>
        </w:rPr>
        <w:t xml:space="preserve"> В отсутствие физических нагрузок и длительной обездвиженности активность остеобластов снижается, а активность остеокластов не изменяется. В результате резорбция костной ткани преобладает над ее образованием. Гипокинетический остеопороз развивается быстрее у молодых больных, длительно прикованных к постели, а также у больных с усиленным метаболизмом костной ткани (например, при гиперпаратиреозе, болезни Педжета). У таких больных полная обездвиженность может вызвать гиперкальциурию и гиперкальциемию.</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1C13E6">
        <w:rPr>
          <w:rFonts w:ascii="Times New Roman" w:eastAsia="Times New Roman" w:hAnsi="Times New Roman" w:cs="Times New Roman"/>
          <w:b/>
          <w:bCs/>
          <w:lang w:eastAsia="ru-RU"/>
        </w:rPr>
        <w:t>Лечение.</w:t>
      </w:r>
      <w:r w:rsidRPr="006D5CC7">
        <w:rPr>
          <w:rFonts w:ascii="Times New Roman" w:eastAsia="Times New Roman" w:hAnsi="Times New Roman" w:cs="Times New Roman"/>
          <w:bCs/>
          <w:lang w:eastAsia="ru-RU"/>
        </w:rPr>
        <w:t xml:space="preserve"> Для устранения гиперкальциурии назначают обильное питье. При тяжелой гиперкальциемии показан кальцитонин в виде аэрозоля для интраназального введения, по 50—200 ед каждые 12—24 ч. Через 2—4 нед эффективность кальцитонина снижается. При неэффективности кальцитонина и гиперкальциемическом кризе назначают пликамицин в/в, по 15 мкг/кг через 2—4 сут. Пликамицин позволяет длительно поддерживать нормокальциемию, но он токсичен для костного мозга и печени. Препараты кальция, фосфора и витамина D противопоказаны, поскольку они усиливают гиперкальциемию и гиперкальциурию. Пассивные физические упражнения, массаж и компрессия конечностей малоэффективны. Больной должен как можно быстрее начать самостоятельно двигаться.</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З. Несовершенный остеогенез типов I и IV. Эти редкие наследственные заболевания возникают обычно в молодом возрасте и сопровождаются тяжелым остеопорозом.</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ab/>
      </w:r>
      <w:r w:rsidRPr="001C13E6">
        <w:rPr>
          <w:rFonts w:ascii="Times New Roman" w:eastAsia="Times New Roman" w:hAnsi="Times New Roman" w:cs="Times New Roman"/>
          <w:b/>
          <w:bCs/>
          <w:lang w:eastAsia="ru-RU"/>
        </w:rPr>
        <w:t>Патогенез.</w:t>
      </w:r>
      <w:r w:rsidRPr="006D5CC7">
        <w:rPr>
          <w:rFonts w:ascii="Times New Roman" w:eastAsia="Times New Roman" w:hAnsi="Times New Roman" w:cs="Times New Roman"/>
          <w:bCs/>
          <w:lang w:eastAsia="ru-RU"/>
        </w:rPr>
        <w:t xml:space="preserve"> Остеопороз обусловлен генетическим дефектом синтеза коллагена типа I. Значительно уменьшаются диаметр диафизов длинных костей и их прочность. Заболевание может не проявляться до 30—40 лет.</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lastRenderedPageBreak/>
        <w:tab/>
      </w:r>
      <w:r w:rsidRPr="001C13E6">
        <w:rPr>
          <w:rFonts w:ascii="Times New Roman" w:eastAsia="Times New Roman" w:hAnsi="Times New Roman" w:cs="Times New Roman"/>
          <w:b/>
          <w:bCs/>
          <w:lang w:eastAsia="ru-RU"/>
        </w:rPr>
        <w:t>Диагностика.</w:t>
      </w:r>
      <w:r w:rsidRPr="006D5CC7">
        <w:rPr>
          <w:rFonts w:ascii="Times New Roman" w:eastAsia="Times New Roman" w:hAnsi="Times New Roman" w:cs="Times New Roman"/>
          <w:bCs/>
          <w:lang w:eastAsia="ru-RU"/>
        </w:rPr>
        <w:t xml:space="preserve"> Прежде всего следует исключить другие причины остеопороза. Важный анамнестический признак несовершенного остеогенеза — многократные переломы длинных костей в детстве. Характерный внешний признак — голубые (из- за истончения) склеры. При рентгенографии обнаруживают гантелеобразные деформации длинных костей, особенно пястных и плюсневых. Гантелеобразная деформация обусловлена уменьшением диаметра диафизов. В биоптатах кости увеличено число остеоцитов.</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ab/>
      </w:r>
      <w:r w:rsidRPr="001C13E6">
        <w:rPr>
          <w:rFonts w:ascii="Times New Roman" w:eastAsia="Times New Roman" w:hAnsi="Times New Roman" w:cs="Times New Roman"/>
          <w:b/>
          <w:bCs/>
          <w:lang w:eastAsia="ru-RU"/>
        </w:rPr>
        <w:t>Лечение.</w:t>
      </w:r>
      <w:r w:rsidRPr="006D5CC7">
        <w:rPr>
          <w:rFonts w:ascii="Times New Roman" w:eastAsia="Times New Roman" w:hAnsi="Times New Roman" w:cs="Times New Roman"/>
          <w:bCs/>
          <w:lang w:eastAsia="ru-RU"/>
        </w:rPr>
        <w:t xml:space="preserve"> Специфическое лечение несовершенного остеогенеза не разработано. Применяют обычные методы лечения остеопороза, но они малоэффективны.</w:t>
      </w:r>
    </w:p>
    <w:p w:rsidR="001C13E6" w:rsidRPr="000631CC" w:rsidRDefault="000631CC" w:rsidP="003276B5">
      <w:pPr>
        <w:spacing w:line="276" w:lineRule="auto"/>
        <w:ind w:firstLine="0"/>
        <w:outlineLvl w:val="1"/>
        <w:rPr>
          <w:rFonts w:ascii="Times New Roman" w:eastAsia="Times New Roman" w:hAnsi="Times New Roman" w:cs="Times New Roman"/>
          <w:bCs/>
          <w:sz w:val="24"/>
          <w:lang w:eastAsia="ru-RU"/>
        </w:rPr>
      </w:pPr>
      <w:r w:rsidRPr="000631CC">
        <w:rPr>
          <w:rFonts w:ascii="Times New Roman" w:eastAsia="Times New Roman" w:hAnsi="Times New Roman" w:cs="Times New Roman"/>
          <w:bCs/>
          <w:sz w:val="24"/>
          <w:lang w:eastAsia="ru-RU"/>
        </w:rPr>
        <w:t xml:space="preserve">ПЛАН 7: ОСТЕОМАЛЯЦИЯ И РАХИТ </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А. Общие сведения</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ab/>
        <w:t>Главное звено патогенеза этих заболеваний — накопление неминерализованного органического матрикса и снижение скорости образования нормальной костной ткани. У детей (при рахите) нарушается минерализация эпифизарного хряща, поэтому эпифизы деформируются и утолщаются; на рентгенограммах определяется</w:t>
      </w:r>
      <w:r w:rsidR="001C13E6">
        <w:rPr>
          <w:rFonts w:ascii="Times New Roman" w:eastAsia="Times New Roman" w:hAnsi="Times New Roman" w:cs="Times New Roman"/>
          <w:bCs/>
          <w:lang w:eastAsia="ru-RU"/>
        </w:rPr>
        <w:t xml:space="preserve"> </w:t>
      </w:r>
      <w:r w:rsidRPr="006D5CC7">
        <w:rPr>
          <w:rFonts w:ascii="Times New Roman" w:eastAsia="Times New Roman" w:hAnsi="Times New Roman" w:cs="Times New Roman"/>
          <w:bCs/>
          <w:lang w:eastAsia="ru-RU"/>
        </w:rPr>
        <w:t>нечеткость зон предварительного обызвествления; дистальные отделы метафизов и эпифизы имеют изъеденные очертания. Кроме того, нарушается минерализация компактного вещества диафизов длинных трубчатых костей и происходит их искривление. У взрослых из-за накопления неминерализованного органического матрикса и замещения им нормальной костной ткани снижается прочность костей. Легкая и умеренная остеомаляция часто протекают бессимптомно, хотя и сопровождаются остеопенией. Тем не менее даже легкая остеомаляция повышает риск переломов. При тяжелой остеомаляции статические нагрузки вызывают деформации костей, а динамические нагрузки приводят к псевдопереломам (перестроечным переломам). Псевдопереломы обычно захватывают только компактное вещество кости. Они чаще всего возникают в шейке бедренной кости, в диафизах длинных трубчатых костей (в том числе пястных и плюсневых) и в костях таза. Псевдопереломы могут быть одиночными и множественными. При тяжелой остеомаляции наблюдаются разные варианты деформации длинных трубчатых костей; особенно часто встречаются X-образная и О-образная деформация нижней трети бедренных костей. Характерна боль в костях, особенно ребрах, костях таза и ног. Рентгенологические признаки остеомаляции: остеопения, зоны перестройки Лоозера (псевдопереломы) в виде светлых поперечных полос в длинных костях, костях таза и лопатках. При двухфотонной рентгеновской абсорбциометрии выявляется значительное снижение плотности костей. Содержание минеральных веществ в трубчатых костях может снижаться на 50—80%.</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При тяжелой остеомаляции больные с трудом передвигаются из-за боли в костях и деформации конечностей. Нелеченная или неправильно леченная остеомаляция может привести к инвалидизации.</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ab/>
        <w:t>Причины рахита и остеомаляции: дефицит витамина D, нарушения метаболизма витамина D, резистентность к витамину D, хроническая гипофосфатемия, врожденная или приобретенная дисфункция остеобластов.</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1C13E6">
        <w:rPr>
          <w:rFonts w:ascii="Times New Roman" w:eastAsia="Times New Roman" w:hAnsi="Times New Roman" w:cs="Times New Roman"/>
          <w:b/>
          <w:bCs/>
          <w:lang w:eastAsia="ru-RU"/>
        </w:rPr>
        <w:t>Б. Дефицит витамина D</w:t>
      </w:r>
      <w:r w:rsidRPr="006D5CC7">
        <w:rPr>
          <w:rFonts w:ascii="Times New Roman" w:eastAsia="Times New Roman" w:hAnsi="Times New Roman" w:cs="Times New Roman"/>
          <w:bCs/>
          <w:lang w:eastAsia="ru-RU"/>
        </w:rPr>
        <w:t xml:space="preserve"> может быть следствием нарушенного всасывания жиров и жирорастворимых веществ в кишечнике или дефицита витамина D в пище. При дефиците витамина D ухудшается всасывание кальция в кишечнике; снижаются уровни кальция, фосфата и 25(OH)D3 в сыворотке; увеличивается активность щелочной фосфатазы и умеренно повышается уровень ПТГ1—84 в сыворотке. При избытке ПТГ уменьшается канальцевая реабсорбция фосфата и отношение канальцевая реабсорбция фосфата/СКФ. Кроме того, ПТГ подавляет экскрецию кальция.</w:t>
      </w:r>
    </w:p>
    <w:p w:rsidR="006D5CC7" w:rsidRPr="001C13E6" w:rsidRDefault="006D5CC7" w:rsidP="003276B5">
      <w:pPr>
        <w:spacing w:line="276" w:lineRule="auto"/>
        <w:ind w:firstLine="0"/>
        <w:outlineLvl w:val="1"/>
        <w:rPr>
          <w:rFonts w:ascii="Times New Roman" w:eastAsia="Times New Roman" w:hAnsi="Times New Roman" w:cs="Times New Roman"/>
          <w:b/>
          <w:bCs/>
          <w:lang w:eastAsia="ru-RU"/>
        </w:rPr>
      </w:pPr>
      <w:r w:rsidRPr="001C13E6">
        <w:rPr>
          <w:rFonts w:ascii="Times New Roman" w:eastAsia="Times New Roman" w:hAnsi="Times New Roman" w:cs="Times New Roman"/>
          <w:b/>
          <w:bCs/>
          <w:lang w:eastAsia="ru-RU"/>
        </w:rPr>
        <w:t>Заболевания ЖКТ</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1C13E6">
        <w:rPr>
          <w:rFonts w:ascii="Times New Roman" w:eastAsia="Times New Roman" w:hAnsi="Times New Roman" w:cs="Times New Roman"/>
          <w:b/>
          <w:bCs/>
          <w:lang w:eastAsia="ru-RU"/>
        </w:rPr>
        <w:lastRenderedPageBreak/>
        <w:t>а. Этиология и патогенез.</w:t>
      </w:r>
      <w:r w:rsidRPr="006D5CC7">
        <w:rPr>
          <w:rFonts w:ascii="Times New Roman" w:eastAsia="Times New Roman" w:hAnsi="Times New Roman" w:cs="Times New Roman"/>
          <w:bCs/>
          <w:lang w:eastAsia="ru-RU"/>
        </w:rPr>
        <w:t xml:space="preserve"> Умеренный или тяжелый дефицит витамина D возникает при целиакии (глютеновой энтеропатии), надпочечниковой недостаточности, обструкции желчных путей, дивертикулезе тонкой кишки, синдроме слепой петли, а также после наложения анастомоза между проксимальным отделом подвздошной и проксимальным отделом толстой кишки (способ лечения ожирения и гиперлипопротеидемии). Связывание пищевого кальция жирными кислотами с образованием нерастворимых комплексов еще больше уменьшает его всасывание. Дефицит витамина D после гастрэктомии может быть обусловлен изменением привычного режима питания; у таких больных часто возникает остеопороз вследствие хронического дефицита кальция и белка.</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1C13E6">
        <w:rPr>
          <w:rFonts w:ascii="Times New Roman" w:eastAsia="Times New Roman" w:hAnsi="Times New Roman" w:cs="Times New Roman"/>
          <w:b/>
          <w:bCs/>
          <w:lang w:eastAsia="ru-RU"/>
        </w:rPr>
        <w:t>б. Лечение.</w:t>
      </w:r>
      <w:r w:rsidRPr="006D5CC7">
        <w:rPr>
          <w:rFonts w:ascii="Times New Roman" w:eastAsia="Times New Roman" w:hAnsi="Times New Roman" w:cs="Times New Roman"/>
          <w:bCs/>
          <w:lang w:eastAsia="ru-RU"/>
        </w:rPr>
        <w:t xml:space="preserve"> Первостепенные задачи — лечение основного заболевания и нормализация всасывания жиров. Назначают внутрь эргокальциферол в дозе 50 000—200 000 ед   3—7 раз   в   неделю.   Препараты   витамина D   для</w:t>
      </w:r>
      <w:r w:rsidR="00C42384">
        <w:rPr>
          <w:rFonts w:ascii="Times New Roman" w:eastAsia="Times New Roman" w:hAnsi="Times New Roman" w:cs="Times New Roman"/>
          <w:bCs/>
          <w:lang w:eastAsia="ru-RU"/>
        </w:rPr>
        <w:t xml:space="preserve"> </w:t>
      </w:r>
      <w:r w:rsidRPr="006D5CC7">
        <w:rPr>
          <w:rFonts w:ascii="Times New Roman" w:eastAsia="Times New Roman" w:hAnsi="Times New Roman" w:cs="Times New Roman"/>
          <w:bCs/>
          <w:lang w:eastAsia="ru-RU"/>
        </w:rPr>
        <w:t>парентерального введения не рекомендуются, поскольку их активность сильно варьирует. Хорошие результаты дает кальцифедиол внутрь в дозе 50— 150 мкг/сут. Этот препарат лучше растворяется в воде, обладает высокой активностью и действует быстро. Назначают кальция карбонат внутрь в дозе 1000—2000 мг/сут в пересчете на кальций. По мере лечения потребность в витамине D уменьшается, поэтому нужно регулярно определять содержание кальция в сыворотке и суточной моче.</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ab/>
        <w:t>Дефицит витамина D в пище редко встречается в США, где его принято добавлять в пищевые продукты. Умеренный авитаминоз D наблюдается при хроническом недоедании (когда в организм поступает менее 70 ед витамина D в сутки) и при недостаточной инсоляции. В этих случаях назначают эргокальциферол в дозе 50 000 ед/сут на 2 нед, а затем переходят на поддерживающую дозу (400 ед/сут).</w:t>
      </w:r>
    </w:p>
    <w:p w:rsidR="006D5CC7" w:rsidRPr="00C42384" w:rsidRDefault="006D5CC7" w:rsidP="003276B5">
      <w:pPr>
        <w:spacing w:line="276" w:lineRule="auto"/>
        <w:ind w:firstLine="0"/>
        <w:outlineLvl w:val="1"/>
        <w:rPr>
          <w:rFonts w:ascii="Times New Roman" w:eastAsia="Times New Roman" w:hAnsi="Times New Roman" w:cs="Times New Roman"/>
          <w:b/>
          <w:bCs/>
          <w:lang w:eastAsia="ru-RU"/>
        </w:rPr>
      </w:pPr>
      <w:r w:rsidRPr="00C42384">
        <w:rPr>
          <w:rFonts w:ascii="Times New Roman" w:eastAsia="Times New Roman" w:hAnsi="Times New Roman" w:cs="Times New Roman"/>
          <w:b/>
          <w:bCs/>
          <w:lang w:eastAsia="ru-RU"/>
        </w:rPr>
        <w:t>В. Нарушения метаболизма витамина D</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ab/>
      </w:r>
      <w:r w:rsidRPr="00C42384">
        <w:rPr>
          <w:rFonts w:ascii="Times New Roman" w:eastAsia="Times New Roman" w:hAnsi="Times New Roman" w:cs="Times New Roman"/>
          <w:b/>
          <w:bCs/>
          <w:lang w:eastAsia="ru-RU"/>
        </w:rPr>
        <w:t>Противосудорожная терапия.</w:t>
      </w:r>
      <w:r w:rsidRPr="006D5CC7">
        <w:rPr>
          <w:rFonts w:ascii="Times New Roman" w:eastAsia="Times New Roman" w:hAnsi="Times New Roman" w:cs="Times New Roman"/>
          <w:bCs/>
          <w:lang w:eastAsia="ru-RU"/>
        </w:rPr>
        <w:t xml:space="preserve"> У больных, потребляющих недостаточные количества витамина D и мало бывающих на воздухе, рахит и остеомаляция могут быть вызваны длительным лечением противосудорожными средствами, особенно фенобарбиталом и фенитоином. Эти препараты усиливают распад витамина D в печени и экскрецию его активных метаболитов с желчью. Кроме того, фенитоин подавляет всасывание кальция в кишечнике и активность остеобластов. Нередко на фоне лечения противосудорожными средствами значительно снижается уровень 25(OH)D3 в сыворотке и экскреция кальция; отмечаются и другие биохимические признаки дефицита витамина D. В тяжелых случаях назначают эргокальциферол, 4000—20 000 ед/сут внутрь, и кальций, 1000—1500 мг/сут внутрь. Иногда такое лечение приходится продолжать в течение 6 мес и более. С профилактической целью назначают 800—1000 ед/сут эргокальциферола или холекальциферола (2—3 таблетки поливитаминов).</w:t>
      </w:r>
    </w:p>
    <w:p w:rsidR="00C42384" w:rsidRDefault="006D5CC7" w:rsidP="00C42384">
      <w:pPr>
        <w:spacing w:line="276" w:lineRule="auto"/>
        <w:ind w:firstLine="708"/>
        <w:outlineLvl w:val="1"/>
        <w:rPr>
          <w:rFonts w:ascii="Times New Roman" w:eastAsia="Times New Roman" w:hAnsi="Times New Roman" w:cs="Times New Roman"/>
          <w:bCs/>
          <w:lang w:eastAsia="ru-RU"/>
        </w:rPr>
      </w:pPr>
      <w:r w:rsidRPr="00C42384">
        <w:rPr>
          <w:rFonts w:ascii="Times New Roman" w:eastAsia="Times New Roman" w:hAnsi="Times New Roman" w:cs="Times New Roman"/>
          <w:b/>
          <w:bCs/>
          <w:lang w:eastAsia="ru-RU"/>
        </w:rPr>
        <w:t>П</w:t>
      </w:r>
      <w:r w:rsidR="00C42384" w:rsidRPr="00C42384">
        <w:rPr>
          <w:rFonts w:ascii="Times New Roman" w:eastAsia="Times New Roman" w:hAnsi="Times New Roman" w:cs="Times New Roman"/>
          <w:b/>
          <w:bCs/>
          <w:lang w:eastAsia="ru-RU"/>
        </w:rPr>
        <w:t>аранеопластическая остеомаляция</w:t>
      </w:r>
      <w:r w:rsidRPr="00C42384">
        <w:rPr>
          <w:rFonts w:ascii="Times New Roman" w:eastAsia="Times New Roman" w:hAnsi="Times New Roman" w:cs="Times New Roman"/>
          <w:b/>
          <w:bCs/>
          <w:lang w:eastAsia="ru-RU"/>
        </w:rPr>
        <w:t>.</w:t>
      </w:r>
      <w:r w:rsidRPr="006D5CC7">
        <w:rPr>
          <w:rFonts w:ascii="Times New Roman" w:eastAsia="Times New Roman" w:hAnsi="Times New Roman" w:cs="Times New Roman"/>
          <w:bCs/>
          <w:lang w:eastAsia="ru-RU"/>
        </w:rPr>
        <w:t xml:space="preserve"> </w:t>
      </w:r>
    </w:p>
    <w:p w:rsidR="006D5CC7" w:rsidRPr="006D5CC7" w:rsidRDefault="006D5CC7" w:rsidP="00C42384">
      <w:pPr>
        <w:spacing w:line="276" w:lineRule="auto"/>
        <w:ind w:firstLine="708"/>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Некоторые опухоли мезенхимного происхождения вызывают остеомаляцию в сочетании с гипофосфатемией. Эти опухоли чаще доброкачественные. Гипофосфатемия обусловлена снижением реабсорбции фосфата в почках. Уровни кальция, ПТГ и 25(OH)D3 в сыворотке нормальные, а уровень 1,25(OH)2D3 значительно снижен. Поэтому предполагают, что опухоли секретируют вещества, подавляющие образование 1,25(OH)2D3 в почках. Назначение кальцитриола внутрь в дозе 0,5— 1,5 мкг/сут устраняет биохимические нарушения и тормозит остеомаляцию. После излечения опухоли остеомаляция исчезает. Остеомаляция бывает также при раке предстательной железы и миеломной болезни; в последнем случае усиление экскреции фосфата обусловлено нарушением его реабсорбции в проксимальных почечных канальцах (синдром Фанкони).</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Витамин-D-зависимый рахит типа I (псевдовитамин-D-дефицитный рахит) — редкое заболевание с аутосомно-рецессивным наследованием, обусловленное отсутствием или недостаточностью 1альфа-гидроксилазы в почечных канальцах. Этот фермент превращает 25(OH)D3 в 1,25(OH)2D3. Витамин-D-</w:t>
      </w:r>
      <w:r w:rsidRPr="006D5CC7">
        <w:rPr>
          <w:rFonts w:ascii="Times New Roman" w:eastAsia="Times New Roman" w:hAnsi="Times New Roman" w:cs="Times New Roman"/>
          <w:bCs/>
          <w:lang w:eastAsia="ru-RU"/>
        </w:rPr>
        <w:lastRenderedPageBreak/>
        <w:t>зависимый рахит типа I напоминает рахит, вызванный дефицитом витамина D в пище, но для лечения требуются более высокие дозы эргокальциферола (10 000—30 000 ед/сут). Диагностические критерии: симптомы рахита; уровень 25(OH)D3 в сыворотке нормальный, а уровень 1,25(OH)2D3 понижен; гипокальциемия не устраняется обычными дозами холекальциферола (400—1000 ед/сут) или эргокальциферола (3000—5000 ед/сут). Лечение: кальцитриол внутрь в дозе 0,5—3 мкг/сут.</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 xml:space="preserve"> </w:t>
      </w:r>
    </w:p>
    <w:p w:rsid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ab/>
        <w:t>Витамин-D-зависимый рахит типа II обусловлен резистентностью клеток- мишеней к 1,25(OH)2D3. Характерны клинические и биохимические признаки остеомаляции, иногда наблюдается алопеция; уровень 25(OH)D3 в сыворотке нормальный, уровень 1,25(OH)2D3 — повышенный. Для лечения применяют кальцитриол.</w:t>
      </w:r>
    </w:p>
    <w:p w:rsidR="000631CC" w:rsidRPr="006D5CC7" w:rsidRDefault="000631CC" w:rsidP="003276B5">
      <w:pPr>
        <w:spacing w:line="276" w:lineRule="auto"/>
        <w:ind w:firstLine="0"/>
        <w:outlineLvl w:val="1"/>
        <w:rPr>
          <w:rFonts w:ascii="Times New Roman" w:eastAsia="Times New Roman" w:hAnsi="Times New Roman" w:cs="Times New Roman"/>
          <w:bCs/>
          <w:lang w:eastAsia="ru-RU"/>
        </w:rPr>
      </w:pPr>
    </w:p>
    <w:p w:rsidR="006D5CC7" w:rsidRPr="00C42384" w:rsidRDefault="000631CC" w:rsidP="003276B5">
      <w:pPr>
        <w:spacing w:line="276" w:lineRule="auto"/>
        <w:ind w:firstLine="0"/>
        <w:outlineLvl w:val="1"/>
        <w:rPr>
          <w:rFonts w:ascii="Times New Roman" w:eastAsia="Times New Roman" w:hAnsi="Times New Roman" w:cs="Times New Roman"/>
          <w:b/>
          <w:bCs/>
          <w:lang w:eastAsia="ru-RU"/>
        </w:rPr>
      </w:pPr>
      <w:r>
        <w:rPr>
          <w:rFonts w:ascii="Times New Roman" w:eastAsia="Times New Roman" w:hAnsi="Times New Roman" w:cs="Times New Roman"/>
          <w:b/>
          <w:bCs/>
          <w:lang w:eastAsia="ru-RU"/>
        </w:rPr>
        <w:t xml:space="preserve"> </w:t>
      </w:r>
      <w:r w:rsidRPr="000631CC">
        <w:rPr>
          <w:rFonts w:ascii="Times New Roman" w:eastAsia="Times New Roman" w:hAnsi="Times New Roman" w:cs="Times New Roman"/>
          <w:bCs/>
          <w:sz w:val="24"/>
          <w:lang w:eastAsia="ru-RU"/>
        </w:rPr>
        <w:t>ПЛАН 8: ГИПОФОСФАТЕМИЯ</w:t>
      </w:r>
    </w:p>
    <w:p w:rsidR="00C42384"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 xml:space="preserve">X-сцепленный гипофосфатемический рахит </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C42384">
        <w:rPr>
          <w:rFonts w:ascii="Times New Roman" w:eastAsia="Times New Roman" w:hAnsi="Times New Roman" w:cs="Times New Roman"/>
          <w:b/>
          <w:bCs/>
          <w:lang w:eastAsia="ru-RU"/>
        </w:rPr>
        <w:t>а. Клиническая картина.</w:t>
      </w:r>
      <w:r w:rsidRPr="006D5CC7">
        <w:rPr>
          <w:rFonts w:ascii="Times New Roman" w:eastAsia="Times New Roman" w:hAnsi="Times New Roman" w:cs="Times New Roman"/>
          <w:bCs/>
          <w:lang w:eastAsia="ru-RU"/>
        </w:rPr>
        <w:t xml:space="preserve"> X-сцепленный гипофосфатемический рахит — самая распространенная форма витамин-D-резистентного рахита и одна из наиболее частых причин рахита и остеомаляции. Легкая гипофосфатемия протекает бессимптомно, выраженная гипофосфатемия приводит к поражениям костей. У мальчиков болезнь протекает тяжелее, чем у девочек. Характерны признаки тяжелого рахита, в частности деформации и частые переломы длинных костей. Заболевание обычно выявляют у детей до 2 лет. После закрытия эпифизарных зон роста проявления болезни ослабевают, но у нелеченных больных в зрелом возрасте встречаются тяжелые поражения костей.</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C42384">
        <w:rPr>
          <w:rFonts w:ascii="Times New Roman" w:eastAsia="Times New Roman" w:hAnsi="Times New Roman" w:cs="Times New Roman"/>
          <w:b/>
          <w:bCs/>
          <w:lang w:eastAsia="ru-RU"/>
        </w:rPr>
        <w:t>б. Патогенез.</w:t>
      </w:r>
      <w:r w:rsidRPr="006D5CC7">
        <w:rPr>
          <w:rFonts w:ascii="Times New Roman" w:eastAsia="Times New Roman" w:hAnsi="Times New Roman" w:cs="Times New Roman"/>
          <w:bCs/>
          <w:lang w:eastAsia="ru-RU"/>
        </w:rPr>
        <w:t xml:space="preserve"> Заболевание обусловлено дефектом мембранного транспорта фосфата в почечных канальцах, тонкой кишке и, возможно, в других органах. Снижаются всасывание фосфата в кишечнике и канальцевая реабсорбция фосфата.</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C42384">
        <w:rPr>
          <w:rFonts w:ascii="Times New Roman" w:eastAsia="Times New Roman" w:hAnsi="Times New Roman" w:cs="Times New Roman"/>
          <w:b/>
          <w:bCs/>
          <w:lang w:eastAsia="ru-RU"/>
        </w:rPr>
        <w:t>в. Диагностика.</w:t>
      </w:r>
      <w:r w:rsidRPr="006D5CC7">
        <w:rPr>
          <w:rFonts w:ascii="Times New Roman" w:eastAsia="Times New Roman" w:hAnsi="Times New Roman" w:cs="Times New Roman"/>
          <w:bCs/>
          <w:lang w:eastAsia="ru-RU"/>
        </w:rPr>
        <w:t xml:space="preserve"> На рентгенограммах выявляются значительная деминерализация костной ткани и псевдопереломы. Плотность костной ткани по данным денситометрии значительно снижена. Уровень кальция и ПТГ1—84 в сыворотке нормальный, а уровень фосфата понижен; активность щелочной фосфатазы в сыворотке повышена; канальцевая реабсорбция фосфата и отношение канальцевая реабсорбция фосфата/СКФ уменьшаются; иногда наблюдается снижение экскреции кальция. Уровень 25(OH)D3 в сыворотке нормальный, уровень 1,25(OH)2D3 снижен или нормальный (несмотря на то что при гипофосфатемии уровень 1,25(OH)2D3 должен был бы повышаться).</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C42384">
        <w:rPr>
          <w:rFonts w:ascii="Times New Roman" w:eastAsia="Times New Roman" w:hAnsi="Times New Roman" w:cs="Times New Roman"/>
          <w:b/>
          <w:bCs/>
          <w:lang w:eastAsia="ru-RU"/>
        </w:rPr>
        <w:t>г. Лечение.</w:t>
      </w:r>
      <w:r w:rsidRPr="006D5CC7">
        <w:rPr>
          <w:rFonts w:ascii="Times New Roman" w:eastAsia="Times New Roman" w:hAnsi="Times New Roman" w:cs="Times New Roman"/>
          <w:bCs/>
          <w:lang w:eastAsia="ru-RU"/>
        </w:rPr>
        <w:t xml:space="preserve"> Используют фосфат калия или комбинированные препараты фосфата калия и фосфата натрия. Фосфаты (в пересчете на фосфор) назначают внутрь, по 1,5—3 г/сут в 4—5 приемов. Для стимуляции всасывания кальция, поддержания нормального уровня фосфора и кальция в сыворотке и для предотвращения вторичного гиперпаратиреоза назначают кальцитриол, 0,5—2 мкг/сут внутрь, и кальций, 500—1000 мг/сут внутрь. Это лечение проводят пожизненно. Как правило, оно позволяет нормализовать развитие скелета и рост ребенка. Иногда для коррекции искривлений ног требуется хирургическое вмешательство.</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Спорадическая гипофосфатемия у взрослых с изолированным повышением экскреции фосфата встречается редко. Ее нужно отличать от повышенной экскреции фосфата при доброкачественных мезенхимных опухолях, миеломной болезни, гипопротеинемиях, гликогенозах, болезни Вильсона, отравлении тяжелыми металлами. Обычные проявления: потеря костной массы, снижение плотности костей, миалгия, гипофосфатемия. Деформации костей нехарактерны. Лечение такое же, как при X-сцепленном гипофосфатемическом рахите.</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lastRenderedPageBreak/>
        <w:tab/>
      </w:r>
      <w:r w:rsidRPr="00C42384">
        <w:rPr>
          <w:rFonts w:ascii="Times New Roman" w:eastAsia="Times New Roman" w:hAnsi="Times New Roman" w:cs="Times New Roman"/>
          <w:b/>
          <w:bCs/>
          <w:lang w:eastAsia="ru-RU"/>
        </w:rPr>
        <w:t>Приобретенные тубулопатии.</w:t>
      </w:r>
      <w:r w:rsidRPr="006D5CC7">
        <w:rPr>
          <w:rFonts w:ascii="Times New Roman" w:eastAsia="Times New Roman" w:hAnsi="Times New Roman" w:cs="Times New Roman"/>
          <w:bCs/>
          <w:lang w:eastAsia="ru-RU"/>
        </w:rPr>
        <w:t xml:space="preserve"> Остеомаляцией нередко сопровождаются дистальноканальцевый ацидоз и вторичный синдром Фанкони. При этих заболеваниях дефект реабсорбции фосфата в почечных канальцах сопряжен с дефектами транспорта ионов водорода, калия, натрия, глюкозы и аминокислот. Дистальноканальцевый ацидоз обычно сопровождается повышением экскреции кальция, реже — вторичным гиперпаратиреозом. Для устранения ацидоза применяют</w:t>
      </w:r>
      <w:r w:rsidR="00C42384">
        <w:rPr>
          <w:rFonts w:ascii="Times New Roman" w:eastAsia="Times New Roman" w:hAnsi="Times New Roman" w:cs="Times New Roman"/>
          <w:bCs/>
          <w:lang w:eastAsia="ru-RU"/>
        </w:rPr>
        <w:t xml:space="preserve"> </w:t>
      </w:r>
      <w:r w:rsidRPr="006D5CC7">
        <w:rPr>
          <w:rFonts w:ascii="Times New Roman" w:eastAsia="Times New Roman" w:hAnsi="Times New Roman" w:cs="Times New Roman"/>
          <w:bCs/>
          <w:lang w:eastAsia="ru-RU"/>
        </w:rPr>
        <w:t>бикарбонат. При тяжелом течении заболевания назначают эргокальциферол, 50 000— 150 000 ед/сут, а также препараты кальция и фосфора.</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ab/>
      </w:r>
      <w:r w:rsidRPr="00C42384">
        <w:rPr>
          <w:rFonts w:ascii="Times New Roman" w:eastAsia="Times New Roman" w:hAnsi="Times New Roman" w:cs="Times New Roman"/>
          <w:b/>
          <w:bCs/>
          <w:lang w:eastAsia="ru-RU"/>
        </w:rPr>
        <w:t>Длительный прием антацидов.</w:t>
      </w:r>
      <w:r w:rsidRPr="006D5CC7">
        <w:rPr>
          <w:rFonts w:ascii="Times New Roman" w:eastAsia="Times New Roman" w:hAnsi="Times New Roman" w:cs="Times New Roman"/>
          <w:bCs/>
          <w:lang w:eastAsia="ru-RU"/>
        </w:rPr>
        <w:t xml:space="preserve"> Невсасывающиеся антациды — гидроксиды магния и алюминия — связывают фосфат и потому могут вызывать гипофосфатемию, которая проявляется болями в костях, остеомаляцией, мышечной слабостью и повышенной экскрецией кальция. В отличие от других форм остеомаляции, на фоне приема этих антацидов наблюдаются увеличение канальцевой реабсорбции фосфата, нормальное отношение канальцевая реабсорбция фосфата/СКФ и гиперкальциурия. Лечение: отменяют антациды и назначают препараты кальция и фосфора.</w:t>
      </w:r>
    </w:p>
    <w:p w:rsidR="006D5CC7" w:rsidRPr="00C42384" w:rsidRDefault="006D5CC7" w:rsidP="003276B5">
      <w:pPr>
        <w:spacing w:line="276" w:lineRule="auto"/>
        <w:ind w:firstLine="0"/>
        <w:outlineLvl w:val="1"/>
        <w:rPr>
          <w:rFonts w:ascii="Times New Roman" w:eastAsia="Times New Roman" w:hAnsi="Times New Roman" w:cs="Times New Roman"/>
          <w:b/>
          <w:bCs/>
          <w:lang w:eastAsia="ru-RU"/>
        </w:rPr>
      </w:pPr>
      <w:r w:rsidRPr="00C42384">
        <w:rPr>
          <w:rFonts w:ascii="Times New Roman" w:eastAsia="Times New Roman" w:hAnsi="Times New Roman" w:cs="Times New Roman"/>
          <w:b/>
          <w:bCs/>
          <w:lang w:eastAsia="ru-RU"/>
        </w:rPr>
        <w:t>Д. Интоксикация алюминием</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Патогенез. Накопление алюминия в костной ткани приводит к подавлению функции остеобластов и нарушению минерализации органического матрикса. При гистологическом исследовании костной ткани выявляются многочисленные тонкие прослойки неминерализованного органического матрикса; алюминий накапливается во фронтах минерализации. Отмечается резистентность к препаратам витамина D и кальция. Более того, лечение этими средствами зачастую приводит к гиперкальциемии, поскольку костная ткань не может усвоить избыток кальция.</w:t>
      </w:r>
    </w:p>
    <w:p w:rsidR="006D5CC7" w:rsidRPr="00C42384" w:rsidRDefault="006D5CC7" w:rsidP="003276B5">
      <w:pPr>
        <w:spacing w:line="276" w:lineRule="auto"/>
        <w:ind w:firstLine="0"/>
        <w:outlineLvl w:val="1"/>
        <w:rPr>
          <w:rFonts w:ascii="Times New Roman" w:eastAsia="Times New Roman" w:hAnsi="Times New Roman" w:cs="Times New Roman"/>
          <w:b/>
          <w:bCs/>
          <w:lang w:eastAsia="ru-RU"/>
        </w:rPr>
      </w:pPr>
      <w:r w:rsidRPr="00C42384">
        <w:rPr>
          <w:rFonts w:ascii="Times New Roman" w:eastAsia="Times New Roman" w:hAnsi="Times New Roman" w:cs="Times New Roman"/>
          <w:b/>
          <w:bCs/>
          <w:lang w:eastAsia="ru-RU"/>
        </w:rPr>
        <w:t>Этиология</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а. Интоксикация алюминием встречается при ХПН, так как алюминий выводится преимущественно почками.</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 xml:space="preserve">б. Ранее для приготовления диализирующих растворов использовали емкости из алюминия либо применяли воду с высоким его содержанием. Поэтому у многих больных на гемодиализе наблюдалась алюминиевая интоксикация, в том числе поражение костей. После введения жесткого ограничения на содержание алюминия в воде для приготовления диализирующих растворов </w:t>
      </w:r>
      <w:proofErr w:type="gramStart"/>
      <w:r w:rsidRPr="006D5CC7">
        <w:rPr>
          <w:rFonts w:ascii="Times New Roman" w:eastAsia="Times New Roman" w:hAnsi="Times New Roman" w:cs="Times New Roman"/>
          <w:bCs/>
          <w:lang w:eastAsia="ru-RU"/>
        </w:rPr>
        <w:t>(&lt; 10</w:t>
      </w:r>
      <w:proofErr w:type="gramEnd"/>
      <w:r w:rsidRPr="006D5CC7">
        <w:rPr>
          <w:rFonts w:ascii="Times New Roman" w:eastAsia="Times New Roman" w:hAnsi="Times New Roman" w:cs="Times New Roman"/>
          <w:bCs/>
          <w:lang w:eastAsia="ru-RU"/>
        </w:rPr>
        <w:t xml:space="preserve"> мкг/л) частота поражений костей снизилась.</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в. Для подавления всасывания фосфата в кишечнике (для предупреждения гиперфосфатемии) больным с ХПН раньше часто назначали антациды, содержащие алюминий. Такое лечение нередко приводило к поражению костной ткани, особенно у детей. В последнее время для предупреждения гиперфосфатемии при ХПН предпочитают использовать карбонат кальция.</w:t>
      </w:r>
    </w:p>
    <w:p w:rsidR="006D5CC7" w:rsidRDefault="006D5CC7" w:rsidP="003276B5">
      <w:pPr>
        <w:spacing w:line="276" w:lineRule="auto"/>
        <w:ind w:firstLine="0"/>
        <w:outlineLvl w:val="1"/>
        <w:rPr>
          <w:rFonts w:ascii="Times New Roman" w:eastAsia="Times New Roman" w:hAnsi="Times New Roman" w:cs="Times New Roman"/>
          <w:bCs/>
          <w:lang w:eastAsia="ru-RU"/>
        </w:rPr>
      </w:pPr>
      <w:r w:rsidRPr="00C42384">
        <w:rPr>
          <w:rFonts w:ascii="Times New Roman" w:eastAsia="Times New Roman" w:hAnsi="Times New Roman" w:cs="Times New Roman"/>
          <w:b/>
          <w:bCs/>
          <w:lang w:eastAsia="ru-RU"/>
        </w:rPr>
        <w:t>Диагностика и лечение.</w:t>
      </w:r>
      <w:r w:rsidRPr="006D5CC7">
        <w:rPr>
          <w:rFonts w:ascii="Times New Roman" w:eastAsia="Times New Roman" w:hAnsi="Times New Roman" w:cs="Times New Roman"/>
          <w:bCs/>
          <w:lang w:eastAsia="ru-RU"/>
        </w:rPr>
        <w:t xml:space="preserve"> Основные признаки интоксикации алюминием: боли в костях, потеря костной массы и снижение плотности костей, высокая частота переломов. Уровень ПТГ1—84 в сыворотке снижен. Остеомаляция не поддается лечению препаратами витамина D; после приема этих препаратов и препаратов кальция нередко возникает гиперкальциемия. Главная цель лечения: снизить до минимума поступление алюминия в организм. При тяжелой интоксикации назначают дефероксамин — средство, образующее хелатные комплексы с алюминием. При улучшении функции почек (например, после трансплантации) содержание алюминия в костной ткани постепенно снижается, но остается повышенным на протяжении нескольких лет.</w:t>
      </w:r>
    </w:p>
    <w:p w:rsidR="00C42384" w:rsidRDefault="00C42384" w:rsidP="003276B5">
      <w:pPr>
        <w:spacing w:line="276" w:lineRule="auto"/>
        <w:ind w:firstLine="0"/>
        <w:outlineLvl w:val="1"/>
        <w:rPr>
          <w:rFonts w:ascii="Times New Roman" w:eastAsia="Times New Roman" w:hAnsi="Times New Roman" w:cs="Times New Roman"/>
          <w:bCs/>
          <w:lang w:eastAsia="ru-RU"/>
        </w:rPr>
      </w:pPr>
    </w:p>
    <w:p w:rsidR="00C42384" w:rsidRPr="006D5CC7" w:rsidRDefault="00C42384" w:rsidP="003276B5">
      <w:pPr>
        <w:spacing w:line="276" w:lineRule="auto"/>
        <w:ind w:firstLine="0"/>
        <w:outlineLvl w:val="1"/>
        <w:rPr>
          <w:rFonts w:ascii="Times New Roman" w:eastAsia="Times New Roman" w:hAnsi="Times New Roman" w:cs="Times New Roman"/>
          <w:bCs/>
          <w:lang w:eastAsia="ru-RU"/>
        </w:rPr>
      </w:pPr>
    </w:p>
    <w:p w:rsidR="006D5CC7" w:rsidRPr="00C42384" w:rsidRDefault="006D5CC7" w:rsidP="003276B5">
      <w:pPr>
        <w:spacing w:line="276" w:lineRule="auto"/>
        <w:ind w:firstLine="0"/>
        <w:outlineLvl w:val="1"/>
        <w:rPr>
          <w:rFonts w:ascii="Times New Roman" w:eastAsia="Times New Roman" w:hAnsi="Times New Roman" w:cs="Times New Roman"/>
          <w:b/>
          <w:bCs/>
          <w:lang w:eastAsia="ru-RU"/>
        </w:rPr>
      </w:pPr>
      <w:r w:rsidRPr="00C42384">
        <w:rPr>
          <w:rFonts w:ascii="Times New Roman" w:eastAsia="Times New Roman" w:hAnsi="Times New Roman" w:cs="Times New Roman"/>
          <w:b/>
          <w:bCs/>
          <w:lang w:eastAsia="ru-RU"/>
        </w:rPr>
        <w:t>Первичный гиперпаратиреоз</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lastRenderedPageBreak/>
        <w:t xml:space="preserve">А. Патогенез. Заболеваемость первичным гиперпаратиреозом среди взрослых достигает 1:800. При денситометрии костей (например, при двухфотонной рентгеновской абсорбциометрии позвоночника) у большинства больных обнаруживают значительную потерю костной массы. Она обусловлена повышением активности остеокластов на фоне </w:t>
      </w:r>
      <w:proofErr w:type="gramStart"/>
      <w:r w:rsidRPr="006D5CC7">
        <w:rPr>
          <w:rFonts w:ascii="Times New Roman" w:eastAsia="Times New Roman" w:hAnsi="Times New Roman" w:cs="Times New Roman"/>
          <w:bCs/>
          <w:lang w:eastAsia="ru-RU"/>
        </w:rPr>
        <w:t>избытка  ПТГ</w:t>
      </w:r>
      <w:proofErr w:type="gramEnd"/>
      <w:r w:rsidRPr="006D5CC7">
        <w:rPr>
          <w:rFonts w:ascii="Times New Roman" w:eastAsia="Times New Roman" w:hAnsi="Times New Roman" w:cs="Times New Roman"/>
          <w:bCs/>
          <w:lang w:eastAsia="ru-RU"/>
        </w:rPr>
        <w:t xml:space="preserve">.  </w:t>
      </w:r>
      <w:proofErr w:type="gramStart"/>
      <w:r w:rsidRPr="006D5CC7">
        <w:rPr>
          <w:rFonts w:ascii="Times New Roman" w:eastAsia="Times New Roman" w:hAnsi="Times New Roman" w:cs="Times New Roman"/>
          <w:bCs/>
          <w:lang w:eastAsia="ru-RU"/>
        </w:rPr>
        <w:t>При  гистологическом</w:t>
      </w:r>
      <w:proofErr w:type="gramEnd"/>
      <w:r w:rsidRPr="006D5CC7">
        <w:rPr>
          <w:rFonts w:ascii="Times New Roman" w:eastAsia="Times New Roman" w:hAnsi="Times New Roman" w:cs="Times New Roman"/>
          <w:bCs/>
          <w:lang w:eastAsia="ru-RU"/>
        </w:rPr>
        <w:t xml:space="preserve">  исследовании  выявляют  увеличение  числа</w:t>
      </w:r>
      <w:r w:rsidR="00C42384">
        <w:rPr>
          <w:rFonts w:ascii="Times New Roman" w:eastAsia="Times New Roman" w:hAnsi="Times New Roman" w:cs="Times New Roman"/>
          <w:bCs/>
          <w:lang w:eastAsia="ru-RU"/>
        </w:rPr>
        <w:t xml:space="preserve"> </w:t>
      </w:r>
      <w:r w:rsidRPr="006D5CC7">
        <w:rPr>
          <w:rFonts w:ascii="Times New Roman" w:eastAsia="Times New Roman" w:hAnsi="Times New Roman" w:cs="Times New Roman"/>
          <w:bCs/>
          <w:lang w:eastAsia="ru-RU"/>
        </w:rPr>
        <w:t>остеокластов, остеопению, очаги резорбции и замещение резорбированной костной ткани фиброзной тканью (фиброзно-кистозный остит).</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 xml:space="preserve">Б. Диагноз основан на выявлении гиперкальциемии натощак, гипофосфатемии и повышенного уровня ПТГ1—84 в сыворотке. Потерю костной массы оценивают методами денситометрии, </w:t>
      </w:r>
      <w:proofErr w:type="gramStart"/>
      <w:r w:rsidRPr="006D5CC7">
        <w:rPr>
          <w:rFonts w:ascii="Times New Roman" w:eastAsia="Times New Roman" w:hAnsi="Times New Roman" w:cs="Times New Roman"/>
          <w:bCs/>
          <w:lang w:eastAsia="ru-RU"/>
        </w:rPr>
        <w:t>например</w:t>
      </w:r>
      <w:proofErr w:type="gramEnd"/>
      <w:r w:rsidRPr="006D5CC7">
        <w:rPr>
          <w:rFonts w:ascii="Times New Roman" w:eastAsia="Times New Roman" w:hAnsi="Times New Roman" w:cs="Times New Roman"/>
          <w:bCs/>
          <w:lang w:eastAsia="ru-RU"/>
        </w:rPr>
        <w:t xml:space="preserve"> с помощью двухфотонной рентгеновской абсорбциометрии. Гиперкальциемия натощак и гипофосфатемия на фоне пониженного уровня ПТГ1—84 в сыворотке свидетельствуют о гуморальной паранеопластической гиперкальциемии, вызванной секрецией ПТГ-подобных пептидов.</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В. Лечение</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Общие рекомендации: ограничение потребления кальция, обильное питье, легкие упражнения с гантелями. Женщинам в постменопаузе показана заместительная терапия эстрогенами.</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Показания к хирургическому лечению первичного гиперпаратиреоза:</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а. Выраженная гиперкальциемия (концентрация общего кальция в сыворотке стойко превышает верхнюю границу нормы на 0,25 ммоль/л).</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б. Повышенная экскреция кальция (содержание кальция в суточной моче превышает 0,1 ммоль/кг идеального веса).</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в. Возникновение или обострение мочекаменной болезни.</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г. Снижение функции почек.</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д. Значительная потеря костной массы по данным денситометрии.</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 xml:space="preserve">е. Хирургическое вмешательство показано всем больным моложе 40 лет и больным с высоким риском остеопении, </w:t>
      </w:r>
      <w:proofErr w:type="gramStart"/>
      <w:r w:rsidRPr="006D5CC7">
        <w:rPr>
          <w:rFonts w:ascii="Times New Roman" w:eastAsia="Times New Roman" w:hAnsi="Times New Roman" w:cs="Times New Roman"/>
          <w:bCs/>
          <w:lang w:eastAsia="ru-RU"/>
        </w:rPr>
        <w:t>например</w:t>
      </w:r>
      <w:proofErr w:type="gramEnd"/>
      <w:r w:rsidRPr="006D5CC7">
        <w:rPr>
          <w:rFonts w:ascii="Times New Roman" w:eastAsia="Times New Roman" w:hAnsi="Times New Roman" w:cs="Times New Roman"/>
          <w:bCs/>
          <w:lang w:eastAsia="ru-RU"/>
        </w:rPr>
        <w:t xml:space="preserve"> женщинам, имеющим родственников с остеопорозом.</w:t>
      </w:r>
    </w:p>
    <w:p w:rsidR="006D5CC7" w:rsidRPr="00C42384" w:rsidRDefault="006D5CC7" w:rsidP="00C42384">
      <w:pPr>
        <w:spacing w:line="276" w:lineRule="auto"/>
        <w:ind w:firstLine="708"/>
        <w:outlineLvl w:val="1"/>
        <w:rPr>
          <w:rFonts w:ascii="Times New Roman" w:eastAsia="Times New Roman" w:hAnsi="Times New Roman" w:cs="Times New Roman"/>
          <w:b/>
          <w:bCs/>
          <w:lang w:eastAsia="ru-RU"/>
        </w:rPr>
      </w:pPr>
      <w:r w:rsidRPr="00C42384">
        <w:rPr>
          <w:rFonts w:ascii="Times New Roman" w:eastAsia="Times New Roman" w:hAnsi="Times New Roman" w:cs="Times New Roman"/>
          <w:b/>
          <w:bCs/>
          <w:lang w:eastAsia="ru-RU"/>
        </w:rPr>
        <w:t>Почечная остеодистрофия</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Этиология и патогенез. Под этим названием объединяют четыре типа поражений костной ткани при ХПН: остеомаляция, фиброзно-кистозный остит, остеопороз и остеосклероз. Возможны любые комбинации этих поражений.</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А. Остеомаляция нередко оказывается первым проявлением почечной остеодистрофии и может не отличаться от остеомаляции, вызванной другими причинами. Она обусловлена снижением синтеза 1,25(OH)2D3 в почечных канальцах и накоплением алюминия в костной ткани. Риск остеомаляции повышен у больных, получающих недостаточное количество витамина D с пищей. Признак дефицита витамина D у таких больных — низкий уровень 25(OH)D3 в сыворотке.</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Б. При нарастании почечной недостаточности на первый план выступает фиброзно- кистозный остит, вызванный избыточной секрецией ПТГ (вторичным гиперпаратиреозом). Секреция ПТГ усиливается вследствие гипокальциемии, обусловленной задержкой фосфата и нарушением синтеза 1,25(OH)2D3 в почках. При достаточном поступлении витамина D с пищей генерализованный фиброзно-кистозный остит с множественными очагами обызвествления мягких тканей становится преобладающей патологией. В США он выявляется у 40% больных с почечной остеодистрофией.</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В. Остеопороз при ХПН обычно сочетается с другими типами поражений костей. Он обусловлен хронической гипокальциемией, повышением уровня ПТГ (вторичным гиперпаратиреозом), канальцевым ацидозом и потерей белка.</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lastRenderedPageBreak/>
        <w:t xml:space="preserve">Г. Остеосклероз возникает обычно на поздних стадиях ХПН. В отличие от остеопороза и </w:t>
      </w:r>
      <w:proofErr w:type="gramStart"/>
      <w:r w:rsidRPr="006D5CC7">
        <w:rPr>
          <w:rFonts w:ascii="Times New Roman" w:eastAsia="Times New Roman" w:hAnsi="Times New Roman" w:cs="Times New Roman"/>
          <w:bCs/>
          <w:lang w:eastAsia="ru-RU"/>
        </w:rPr>
        <w:t>остеомаляции,  при</w:t>
      </w:r>
      <w:proofErr w:type="gramEnd"/>
      <w:r w:rsidRPr="006D5CC7">
        <w:rPr>
          <w:rFonts w:ascii="Times New Roman" w:eastAsia="Times New Roman" w:hAnsi="Times New Roman" w:cs="Times New Roman"/>
          <w:bCs/>
          <w:lang w:eastAsia="ru-RU"/>
        </w:rPr>
        <w:t xml:space="preserve">  остеосклерозе  масса  костной  ткани  и  ее  плотность</w:t>
      </w:r>
      <w:r w:rsidR="00C42384">
        <w:rPr>
          <w:rFonts w:ascii="Times New Roman" w:eastAsia="Times New Roman" w:hAnsi="Times New Roman" w:cs="Times New Roman"/>
          <w:bCs/>
          <w:lang w:eastAsia="ru-RU"/>
        </w:rPr>
        <w:t xml:space="preserve"> </w:t>
      </w:r>
      <w:r w:rsidRPr="006D5CC7">
        <w:rPr>
          <w:rFonts w:ascii="Times New Roman" w:eastAsia="Times New Roman" w:hAnsi="Times New Roman" w:cs="Times New Roman"/>
          <w:bCs/>
          <w:lang w:eastAsia="ru-RU"/>
        </w:rPr>
        <w:t>увеличиваются. Возникают очаги усиленного образования органического матрикса, который впоследствии минерализуется. Остеосклероз хорошо заметен на рентгенограммах грудных и поясничных позвонков в виде чередующихся светлых и темных полос. Такая картина обусловлена тем, что компактное вещество в области верхних и нижних границ позвонков очень плотное, а губчатое вещество менее плотное (поскольку вокруг балок образуются толстые прослойки органического матрикса). Остеосклероз чаще всего встречается у больных с повышенным произведением концентраций кальция и фосфата.</w:t>
      </w:r>
    </w:p>
    <w:p w:rsidR="006D5CC7" w:rsidRPr="00C42384" w:rsidRDefault="006D5CC7" w:rsidP="003276B5">
      <w:pPr>
        <w:spacing w:line="276" w:lineRule="auto"/>
        <w:ind w:firstLine="0"/>
        <w:outlineLvl w:val="1"/>
        <w:rPr>
          <w:rFonts w:ascii="Times New Roman" w:eastAsia="Times New Roman" w:hAnsi="Times New Roman" w:cs="Times New Roman"/>
          <w:b/>
          <w:bCs/>
          <w:lang w:eastAsia="ru-RU"/>
        </w:rPr>
      </w:pPr>
      <w:r w:rsidRPr="00C42384">
        <w:rPr>
          <w:rFonts w:ascii="Times New Roman" w:eastAsia="Times New Roman" w:hAnsi="Times New Roman" w:cs="Times New Roman"/>
          <w:b/>
          <w:bCs/>
          <w:lang w:eastAsia="ru-RU"/>
        </w:rPr>
        <w:t>Лечение</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А. При снижении СКФ до 50 мл/мин ограничивают поступление фосфора с пищей. Еще более строгое ограничение фосфора необходимо при падении СКФ до 25—30 мл/мин. В таких случаях для предупреждения гиперфосфатемии назначают средства, связывающие фосфат: карбонат кальция или невсасывающиеся антациды, содержащие гидроксид алюминия. Стараются поддерживать уровень фосфата в сыворотке в пределах 1,3—1,6 ммоль/л. Более низкий уровень фосфата может привести к остеомаляции, а более высокий вызывает гипокальциемию, которая стимулирует секрецию ПТГ и приводит к обызвествлению мягких тканей.</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 xml:space="preserve">Б. Препараты кальция назначают уже на ранних стадиях почечной недостаточности, особенно больным, получающим низкобелковую диету (обычно такая диета обеспечивает поступление менее 400 мг кальция в сутки). Чтобы предупредить обызвествление мягких тканей, кальций назначают только при уровне фосфата в </w:t>
      </w:r>
      <w:proofErr w:type="gramStart"/>
      <w:r w:rsidRPr="006D5CC7">
        <w:rPr>
          <w:rFonts w:ascii="Times New Roman" w:eastAsia="Times New Roman" w:hAnsi="Times New Roman" w:cs="Times New Roman"/>
          <w:bCs/>
          <w:lang w:eastAsia="ru-RU"/>
        </w:rPr>
        <w:t xml:space="preserve">сыворотке </w:t>
      </w:r>
      <w:r w:rsidRPr="006D5CC7">
        <w:rPr>
          <w:rFonts w:ascii="Times New Roman" w:eastAsia="Times New Roman" w:hAnsi="Times New Roman" w:cs="Times New Roman"/>
          <w:bCs/>
          <w:lang w:eastAsia="ru-RU"/>
        </w:rPr>
        <w:t> 1</w:t>
      </w:r>
      <w:proofErr w:type="gramEnd"/>
      <w:r w:rsidRPr="006D5CC7">
        <w:rPr>
          <w:rFonts w:ascii="Times New Roman" w:eastAsia="Times New Roman" w:hAnsi="Times New Roman" w:cs="Times New Roman"/>
          <w:bCs/>
          <w:lang w:eastAsia="ru-RU"/>
        </w:rPr>
        <w:t>,6 ммоль/л. Обычно используют карбонат кальция в дозах, соответствующих 1—1,5 г кальция. Суточную дозу делят на 2—4 приема. Применение диализирующих растворов с высокой концентрацией кальция также помогает поддерживать нормокальциемию.</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В. Препараты витамина D используют для усиления всасывания кальция в кишечнике и подавления секреции ПТГ. Передозировка витамина D может вызвать осложнения, поэтому лечение должен проводить опытный эндокринолог. Нельзя назначать препараты витамина D до нормализации уровня фосфата в сыворотке. Лечение кальцитриолом в дозе 0,5—1 мкг/сут внутрь при постоянном контроле уровня фосфата в сыворотке облегчает боли в костях, снижает уровень ПТГ и активность щелочной фосфатазы в сыворотке и усиливает минерализацию костной ткани у больных с преобладанием фиброзно-кистозного остита. У больных с преобладанием остеомаляции кальцитриол менее эффективен: улучшение наступает через 6—12 мес; минерализация костной ткани восстанавливается не полностью.</w:t>
      </w:r>
    </w:p>
    <w:p w:rsid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Г. Многие случаи изолированной остеомаляции и некоторые случаи сочетания остеомаляции с фиброзно-кистозным оститом обусловлены интоксикацией алюминием (см. гл. 25, п. VII.Д.3). Алюминий может поступать в организм с водой и в составе невсасывающихся антацидов. Из-за нарушения функции почек алюминий накапливается в костной ткани. При интоксикации алюминием назначение препаратов кальция и витамина D может привести к тяжелой гиперкальциемии и гиперкальциемическому кризу. Чтобы предупредить интоксикацию алюминием, ограничивают или отменяют антациды, содержащие алюминий, и контролируют концентрацию алюминия в воде. При тяжелой интоксикации применяют комплексобразующее средство дефероксамин.</w:t>
      </w:r>
    </w:p>
    <w:p w:rsidR="00C42384" w:rsidRPr="006D5CC7" w:rsidRDefault="00C42384" w:rsidP="003276B5">
      <w:pPr>
        <w:spacing w:line="276" w:lineRule="auto"/>
        <w:ind w:firstLine="0"/>
        <w:outlineLvl w:val="1"/>
        <w:rPr>
          <w:rFonts w:ascii="Times New Roman" w:eastAsia="Times New Roman" w:hAnsi="Times New Roman" w:cs="Times New Roman"/>
          <w:bCs/>
          <w:lang w:eastAsia="ru-RU"/>
        </w:rPr>
      </w:pPr>
    </w:p>
    <w:p w:rsidR="006D5CC7" w:rsidRPr="000631CC" w:rsidRDefault="000631CC" w:rsidP="003276B5">
      <w:pPr>
        <w:spacing w:line="276" w:lineRule="auto"/>
        <w:ind w:firstLine="0"/>
        <w:outlineLvl w:val="1"/>
        <w:rPr>
          <w:rFonts w:ascii="Times New Roman" w:eastAsia="Times New Roman" w:hAnsi="Times New Roman" w:cs="Times New Roman"/>
          <w:bCs/>
          <w:sz w:val="24"/>
          <w:lang w:eastAsia="ru-RU"/>
        </w:rPr>
      </w:pPr>
      <w:r w:rsidRPr="000631CC">
        <w:rPr>
          <w:rFonts w:ascii="Times New Roman" w:eastAsia="Times New Roman" w:hAnsi="Times New Roman" w:cs="Times New Roman"/>
          <w:bCs/>
          <w:sz w:val="24"/>
          <w:lang w:eastAsia="ru-RU"/>
        </w:rPr>
        <w:t>ПЛАН 9: БОЛЕЗНЬ ПЕДЖЕТА (ДЕФОРМИРУЮЩИЙ ОСТОЗ)</w:t>
      </w:r>
    </w:p>
    <w:p w:rsidR="00C42384" w:rsidRPr="00C42384" w:rsidRDefault="00C42384" w:rsidP="003276B5">
      <w:pPr>
        <w:spacing w:line="276" w:lineRule="auto"/>
        <w:ind w:firstLine="0"/>
        <w:outlineLvl w:val="1"/>
        <w:rPr>
          <w:rFonts w:ascii="Times New Roman" w:eastAsia="Times New Roman" w:hAnsi="Times New Roman" w:cs="Times New Roman"/>
          <w:b/>
          <w:bCs/>
          <w:lang w:eastAsia="ru-RU"/>
        </w:rPr>
      </w:pP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Эпидемиология. Заболеваемость у взрослых в США, Великобритании и Австралии составляет около 1%; в Индии, Японии, на Ближнем Востоке и в Скандинавии она ниже.</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lastRenderedPageBreak/>
        <w:t xml:space="preserve"> </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Риск болезни Педжета повышается с возрастом: у лиц старше 40 лет заболеваемость составляет 3%, а у лиц старше 70 лет достигает 10%. Семейные случаи встречаются очень редко.</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C42384">
        <w:rPr>
          <w:rFonts w:ascii="Times New Roman" w:eastAsia="Times New Roman" w:hAnsi="Times New Roman" w:cs="Times New Roman"/>
          <w:b/>
          <w:bCs/>
          <w:lang w:eastAsia="ru-RU"/>
        </w:rPr>
        <w:t>Клиническая картина.</w:t>
      </w:r>
      <w:r w:rsidRPr="006D5CC7">
        <w:rPr>
          <w:rFonts w:ascii="Times New Roman" w:eastAsia="Times New Roman" w:hAnsi="Times New Roman" w:cs="Times New Roman"/>
          <w:bCs/>
          <w:lang w:eastAsia="ru-RU"/>
        </w:rPr>
        <w:t xml:space="preserve"> Болезнь часто протекает бессимптомно, особенно при поражении одной или двух костей, и в таких случаях выявляется случайно при рентгенологическом исследовании, например, позвоночника или таза. Многоочаговые и генерализованные формы могут сопровождаться сильными болями, деформациями костей, неврологическими симптомами и вызывать обездвиженность и инвалидизацию. Варианты течения болезни Педжета многообразны: она может длительно оставаться локализованной и проявляться редкими обострениями; в других случаях она протекает волнообразно или быстро прогрессирует. Клинические проявления зависят от локализации, характера и тяжести поражений костной ткани.</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А. Симптомы</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Появление наростов на костях, искривление или разная длина конечностей.</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Боль в мышцах и суставах, нарушения осанки и походки.</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Головная и лицевая боль, боль в спине. Боль обычно тупая, но может быть стреляющей или режущей.</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Слуховые и зрительные нарушения.</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Параплегия.</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Б. Происхождение симптомов</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Мышечное напряжение обусловлено нарушением осанки и искривлением бедренных и большеберцовых костей. Эти же причины приводят к быстрому развитию деформирующего остеоартроза.</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Деформации суставов обусловлены поражением эпифизов (особенно бедренной кости).</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Увеличение позвонков приводит к сдавлению спинномозговых корешков.</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Разрастание костной ткани приводит к натяжению и постоянному раздражению надкостницы.</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Сужение черепных отверстий вызывает сдавление черепных нервов, особенно зрительного и преддверно-улиткового.</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Отосклероз приводит к глухоте.</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Из-за обездвиженности снижается активность остеобластов, что приводит к гиперкальциемии и повышенной экскреции кальция.</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Поражение основания черепа служит причиной платибазии и проводниковых расстройств.</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У пожилых увеличенный кровоток в костях приводит к сердечной недостаточности с высоким сердечным выбросом.</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При тяжелом и длительном течении болезни может возникнуть остеогенная саркома. Она чаще всего поражает проксимальную часть плечевой кости.</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Этиология. Наиболее популярна гипотеза вирусного происхождения болезни Педжета. В остеокластах больных обнаружены белки нуклеокапсида вируса кори; мРНК этих белков выявлена и в других клетках костной ткани, а также в клетках костного мозга. У некоторых больных в остеокластах выявляются белки респираторного синцитиального вируса. В некоторых районах Великобритании у больных обнаружена ДНК вируса чумы собак. Таким образом, причиной болезни Педжета могут быть парамиксовирусы.</w:t>
      </w:r>
    </w:p>
    <w:p w:rsidR="006D5CC7" w:rsidRPr="00C42384" w:rsidRDefault="006D5CC7" w:rsidP="003276B5">
      <w:pPr>
        <w:spacing w:line="276" w:lineRule="auto"/>
        <w:ind w:firstLine="0"/>
        <w:outlineLvl w:val="1"/>
        <w:rPr>
          <w:rFonts w:ascii="Times New Roman" w:eastAsia="Times New Roman" w:hAnsi="Times New Roman" w:cs="Times New Roman"/>
          <w:b/>
          <w:bCs/>
          <w:lang w:eastAsia="ru-RU"/>
        </w:rPr>
      </w:pPr>
      <w:r w:rsidRPr="00C42384">
        <w:rPr>
          <w:rFonts w:ascii="Times New Roman" w:eastAsia="Times New Roman" w:hAnsi="Times New Roman" w:cs="Times New Roman"/>
          <w:b/>
          <w:bCs/>
          <w:lang w:eastAsia="ru-RU"/>
        </w:rPr>
        <w:t>Диагностика</w:t>
      </w:r>
    </w:p>
    <w:p w:rsidR="00C42384" w:rsidRPr="00C42384" w:rsidRDefault="006D5CC7" w:rsidP="003276B5">
      <w:pPr>
        <w:spacing w:line="276" w:lineRule="auto"/>
        <w:ind w:firstLine="0"/>
        <w:outlineLvl w:val="1"/>
        <w:rPr>
          <w:rFonts w:ascii="Times New Roman" w:eastAsia="Times New Roman" w:hAnsi="Times New Roman" w:cs="Times New Roman"/>
          <w:b/>
          <w:bCs/>
          <w:lang w:eastAsia="ru-RU"/>
        </w:rPr>
      </w:pPr>
      <w:r w:rsidRPr="00C42384">
        <w:rPr>
          <w:rFonts w:ascii="Times New Roman" w:eastAsia="Times New Roman" w:hAnsi="Times New Roman" w:cs="Times New Roman"/>
          <w:b/>
          <w:bCs/>
          <w:lang w:eastAsia="ru-RU"/>
        </w:rPr>
        <w:t xml:space="preserve">А. Инструментальные исследования. </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 xml:space="preserve">Характерный признак остеолитической стадии — широкие полосы просветления на рентгенограммах лобной, теменных и затылочной костей черепа (так называемый опоясывающий остеопороз). Эти полосы соответствуют зонам активной резорбции. На рентгенограммах трубчатых костей очаги резорбции видны </w:t>
      </w:r>
      <w:r w:rsidRPr="006D5CC7">
        <w:rPr>
          <w:rFonts w:ascii="Times New Roman" w:eastAsia="Times New Roman" w:hAnsi="Times New Roman" w:cs="Times New Roman"/>
          <w:bCs/>
          <w:lang w:eastAsia="ru-RU"/>
        </w:rPr>
        <w:lastRenderedPageBreak/>
        <w:t>у одного из эпифизов. Сцинтиграфия костей с меченными 99mTc дифосфонатами позволяет выявить зоны усиленного метаболизма костной ткани. Иногда изотоп не накапливается в очагах резорбции, обнаруженных при рентгенографии. Это обычно наблюдается после обострений или на поздних стадиях болезни.</w:t>
      </w:r>
    </w:p>
    <w:p w:rsidR="006D5CC7" w:rsidRPr="00C42384" w:rsidRDefault="006D5CC7" w:rsidP="003276B5">
      <w:pPr>
        <w:spacing w:line="276" w:lineRule="auto"/>
        <w:ind w:firstLine="0"/>
        <w:outlineLvl w:val="1"/>
        <w:rPr>
          <w:rFonts w:ascii="Times New Roman" w:eastAsia="Times New Roman" w:hAnsi="Times New Roman" w:cs="Times New Roman"/>
          <w:b/>
          <w:bCs/>
          <w:lang w:eastAsia="ru-RU"/>
        </w:rPr>
      </w:pPr>
      <w:r w:rsidRPr="00C42384">
        <w:rPr>
          <w:rFonts w:ascii="Times New Roman" w:eastAsia="Times New Roman" w:hAnsi="Times New Roman" w:cs="Times New Roman"/>
          <w:b/>
          <w:bCs/>
          <w:lang w:eastAsia="ru-RU"/>
        </w:rPr>
        <w:t>Б. Лабораторные исследования</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При болезни Педжета активность щелочной фосфатазы в сыворотке повышается гораздо сильнее, чем при других метаболических заболеваниях костей (за исключением наследственной гиперфосфатазии).</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ab/>
        <w:t>Содержание кальция в сыворотке и моче обычно нормальное, но при обездвиженности больного может значительно повышаться.</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Уровень фосфата в сыворотке нормальный или слегка повышен.</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ab/>
        <w:t>При резорбции костной ткани образуются небольшие пептиды, содержащие пиридинолин и дезоксипиридинолин. Эти пептиды не усваиваются при образовании новой костной ткани и экскретируются с мочой. Содержание пиридинолина и дезоксипиридинолина в моче, которое определяют иммунохимическими методами, отражает интенсивность метаболизма костной ткани.</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C42384">
        <w:rPr>
          <w:rFonts w:ascii="Times New Roman" w:eastAsia="Times New Roman" w:hAnsi="Times New Roman" w:cs="Times New Roman"/>
          <w:b/>
          <w:bCs/>
          <w:lang w:eastAsia="ru-RU"/>
        </w:rPr>
        <w:t>В. Биопсия костной ткани</w:t>
      </w:r>
      <w:r w:rsidRPr="006D5CC7">
        <w:rPr>
          <w:rFonts w:ascii="Times New Roman" w:eastAsia="Times New Roman" w:hAnsi="Times New Roman" w:cs="Times New Roman"/>
          <w:bCs/>
          <w:lang w:eastAsia="ru-RU"/>
        </w:rPr>
        <w:t xml:space="preserve"> показана, если на рентгенограммах имеются признаки злокачественного новообразования. Редкое осложнение длительно текущей болезни Педжета — остеогенная саркома. Она проявляется внезапным усилением болей в костях. При остеогенной саркоме на рентгенограммах отмечается разрастание костной ткани в виде протуберанцев и выбухание надкостницы.</w:t>
      </w:r>
    </w:p>
    <w:p w:rsidR="006D5CC7" w:rsidRPr="00C42384" w:rsidRDefault="006D5CC7" w:rsidP="003276B5">
      <w:pPr>
        <w:spacing w:line="276" w:lineRule="auto"/>
        <w:ind w:firstLine="0"/>
        <w:outlineLvl w:val="1"/>
        <w:rPr>
          <w:rFonts w:ascii="Times New Roman" w:eastAsia="Times New Roman" w:hAnsi="Times New Roman" w:cs="Times New Roman"/>
          <w:b/>
          <w:bCs/>
          <w:lang w:eastAsia="ru-RU"/>
        </w:rPr>
      </w:pPr>
      <w:r w:rsidRPr="00C42384">
        <w:rPr>
          <w:rFonts w:ascii="Times New Roman" w:eastAsia="Times New Roman" w:hAnsi="Times New Roman" w:cs="Times New Roman"/>
          <w:b/>
          <w:bCs/>
          <w:lang w:eastAsia="ru-RU"/>
        </w:rPr>
        <w:t>Лечение</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C42384">
        <w:rPr>
          <w:rFonts w:ascii="Times New Roman" w:eastAsia="Times New Roman" w:hAnsi="Times New Roman" w:cs="Times New Roman"/>
          <w:b/>
          <w:bCs/>
          <w:lang w:eastAsia="ru-RU"/>
        </w:rPr>
        <w:t>А. Показания:</w:t>
      </w:r>
      <w:r w:rsidRPr="006D5CC7">
        <w:rPr>
          <w:rFonts w:ascii="Times New Roman" w:eastAsia="Times New Roman" w:hAnsi="Times New Roman" w:cs="Times New Roman"/>
          <w:bCs/>
          <w:lang w:eastAsia="ru-RU"/>
        </w:rPr>
        <w:t xml:space="preserve"> боль в костях и суставах, радикулит, искривление ног, нарушения осанки и походки, поражение опорных суставов (особенно тазобедренного), слуховые нарушения, сердечная недостаточность с высоким сердечным выбросом, множественные очаги остеолиза на рентгенограммах, повышенная экскреция кальция и</w:t>
      </w:r>
      <w:r w:rsidR="00C42384">
        <w:rPr>
          <w:rFonts w:ascii="Times New Roman" w:eastAsia="Times New Roman" w:hAnsi="Times New Roman" w:cs="Times New Roman"/>
          <w:bCs/>
          <w:lang w:eastAsia="ru-RU"/>
        </w:rPr>
        <w:t xml:space="preserve"> </w:t>
      </w:r>
      <w:r w:rsidRPr="006D5CC7">
        <w:rPr>
          <w:rFonts w:ascii="Times New Roman" w:eastAsia="Times New Roman" w:hAnsi="Times New Roman" w:cs="Times New Roman"/>
          <w:bCs/>
          <w:lang w:eastAsia="ru-RU"/>
        </w:rPr>
        <w:t>гиперкальциемия. Особенно энергичное лечение требуется при поражении костей черепа из-за риска тяжелых осложнений.</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C42384">
        <w:rPr>
          <w:rFonts w:ascii="Times New Roman" w:eastAsia="Times New Roman" w:hAnsi="Times New Roman" w:cs="Times New Roman"/>
          <w:b/>
          <w:bCs/>
          <w:lang w:eastAsia="ru-RU"/>
        </w:rPr>
        <w:t>Б. Общие рекомендации.</w:t>
      </w:r>
      <w:r w:rsidRPr="006D5CC7">
        <w:rPr>
          <w:rFonts w:ascii="Times New Roman" w:eastAsia="Times New Roman" w:hAnsi="Times New Roman" w:cs="Times New Roman"/>
          <w:bCs/>
          <w:lang w:eastAsia="ru-RU"/>
        </w:rPr>
        <w:t xml:space="preserve"> Все больные должны получать достаточное количество жидкости и как можно больше двигаться. При строгом постельном режиме назначают обильное питье для предотвращения гиперкальциемии и гиперкальциурии. При первой возможности расширяют двигательный режим.</w:t>
      </w:r>
    </w:p>
    <w:p w:rsidR="006D5CC7" w:rsidRPr="00C42384" w:rsidRDefault="006D5CC7" w:rsidP="003276B5">
      <w:pPr>
        <w:spacing w:line="276" w:lineRule="auto"/>
        <w:ind w:firstLine="0"/>
        <w:outlineLvl w:val="1"/>
        <w:rPr>
          <w:rFonts w:ascii="Times New Roman" w:eastAsia="Times New Roman" w:hAnsi="Times New Roman" w:cs="Times New Roman"/>
          <w:b/>
          <w:bCs/>
          <w:lang w:eastAsia="ru-RU"/>
        </w:rPr>
      </w:pPr>
      <w:r w:rsidRPr="00C42384">
        <w:rPr>
          <w:rFonts w:ascii="Times New Roman" w:eastAsia="Times New Roman" w:hAnsi="Times New Roman" w:cs="Times New Roman"/>
          <w:b/>
          <w:bCs/>
          <w:lang w:eastAsia="ru-RU"/>
        </w:rPr>
        <w:t>В. Медикаментозное лечение</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При легком течении болезни (имеются только симптомы поражения костей и суставов) назначают анальгетики и НПВС: аспирин, по 650 мг 3—5 раз в сутки, или ибупрофен, 1600—2400 мг/сут.</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При тяжелом течении болезни применяют кальцитонин и дифосфонаты. Эти средства подавляют резорбцию костной ткани и вызывают вторичное снижение активности остеобластов. Длительное лечение значительно облегчает симптомы сдавления нервов, но не позволяет добиться обратного развития костных деформаций. Эффективность лечения оценивают по клиническим проявлениям и по активности щелочной фосфатазы в сыворотке, которую измеряют каждые 1—2 мес. Каждые 6—12 мес проводят сцинтиграфию костей.</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C42384">
        <w:rPr>
          <w:rFonts w:ascii="Times New Roman" w:eastAsia="Times New Roman" w:hAnsi="Times New Roman" w:cs="Times New Roman"/>
          <w:bCs/>
          <w:i/>
          <w:lang w:eastAsia="ru-RU"/>
        </w:rPr>
        <w:t>а. Кальцитонин</w:t>
      </w:r>
      <w:r w:rsidRPr="006D5CC7">
        <w:rPr>
          <w:rFonts w:ascii="Times New Roman" w:eastAsia="Times New Roman" w:hAnsi="Times New Roman" w:cs="Times New Roman"/>
          <w:bCs/>
          <w:lang w:eastAsia="ru-RU"/>
        </w:rPr>
        <w:t xml:space="preserve"> назначают в дозе 100 ед/сут п/к. Перед лечением проводят кожную пробу с 1 ед препарата. Если лечение эффективно, то активность щелочной фосфатазы в сыворотке через несколько месяцев снижается. После этого дозу снижают до 50 ед/сут или вводят препарат в дозе 100 ед/сут 3 раза в нед. Лечение может продолжаться неопределенно долго. При успешном лечении кальцитонин можно отменить на несколько месяцев, но при повышении активности щелочной фосфатазы введение препарата возобновляют. Примерно 10—20% больных не реагируют на кальцитонин; у некоторых развивается вторичная резистентность к кальцитонину (даже к </w:t>
      </w:r>
      <w:proofErr w:type="gramStart"/>
      <w:r w:rsidRPr="006D5CC7">
        <w:rPr>
          <w:rFonts w:ascii="Times New Roman" w:eastAsia="Times New Roman" w:hAnsi="Times New Roman" w:cs="Times New Roman"/>
          <w:bCs/>
          <w:lang w:eastAsia="ru-RU"/>
        </w:rPr>
        <w:t>дозам &gt;</w:t>
      </w:r>
      <w:proofErr w:type="gramEnd"/>
      <w:r w:rsidRPr="006D5CC7">
        <w:rPr>
          <w:rFonts w:ascii="Times New Roman" w:eastAsia="Times New Roman" w:hAnsi="Times New Roman" w:cs="Times New Roman"/>
          <w:bCs/>
          <w:lang w:eastAsia="ru-RU"/>
        </w:rPr>
        <w:t xml:space="preserve"> 100 ед/сут). Побочные эффекты кальцитонина: </w:t>
      </w:r>
      <w:r w:rsidRPr="006D5CC7">
        <w:rPr>
          <w:rFonts w:ascii="Times New Roman" w:eastAsia="Times New Roman" w:hAnsi="Times New Roman" w:cs="Times New Roman"/>
          <w:bCs/>
          <w:lang w:eastAsia="ru-RU"/>
        </w:rPr>
        <w:lastRenderedPageBreak/>
        <w:t>тошнота, металлический привкус во рту, гиперемия лица на протяжении 30 мин — 2 ч после инъекции; потеря аппетита. Обычно эти эффекты не настолько тяжелы, чтобы прекратить лечение. Можно использовать препараты кальцитонина в виде аэрозолей для интраназального введения. В этом случае доза должна составлять 200 ед/сут.</w:t>
      </w:r>
    </w:p>
    <w:p w:rsidR="00C42384" w:rsidRPr="00C42384" w:rsidRDefault="006D5CC7" w:rsidP="003276B5">
      <w:pPr>
        <w:spacing w:line="276" w:lineRule="auto"/>
        <w:ind w:firstLine="0"/>
        <w:outlineLvl w:val="1"/>
        <w:rPr>
          <w:rFonts w:ascii="Times New Roman" w:eastAsia="Times New Roman" w:hAnsi="Times New Roman" w:cs="Times New Roman"/>
          <w:bCs/>
          <w:i/>
          <w:lang w:eastAsia="ru-RU"/>
        </w:rPr>
      </w:pPr>
      <w:r w:rsidRPr="00C42384">
        <w:rPr>
          <w:rFonts w:ascii="Times New Roman" w:eastAsia="Times New Roman" w:hAnsi="Times New Roman" w:cs="Times New Roman"/>
          <w:bCs/>
          <w:i/>
          <w:lang w:eastAsia="ru-RU"/>
        </w:rPr>
        <w:t xml:space="preserve">б. Дифосфонаты </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Этидронат натрия назначают внутрь в дозе 5 мг/кг/сут дробными дозами, обычно по 1 таблетке (200 мг) 2 раза в сутки. Длительный прием более высоких доз может привести к остеомаляции из-за нарушения минерализации костной ткани. Курс лечения — 6 мес. Боли в костях и активность щелочной фосфатазы уменьшаются уже через 2 мес. Через 4—6 мес боли исчезают, а активность щелочной фосфатазы нормализуется. У 10—30% больных препарат вообще не дает улучшения. Если же препарат эффективен, то после 6-месячного курса лечения у 25—50% больных развивается ремиссия длительностью от нескольких месяцев до нескольких лет. У остальных клинические проявления и активность щелочной фосфатазы вновь нарастают. В таких случаях лечение возобновляют через 3 мес. Побочные эффекты: раздражение слизистой желудка, понос. Препарат не назначают при почечной недостаточности и перед ортопедическими операциями (поскольку он подавляет функцию остеобластов).</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В последнее время для лечения болезни Педжета используют дифосфонаты второго поколения — производные памидроновой, алендроновой и тилудроновой кислот. Эти препараты более активны (например, алендронат</w:t>
      </w:r>
      <w:r w:rsidR="00C42384">
        <w:rPr>
          <w:rFonts w:ascii="Times New Roman" w:eastAsia="Times New Roman" w:hAnsi="Times New Roman" w:cs="Times New Roman"/>
          <w:bCs/>
          <w:lang w:eastAsia="ru-RU"/>
        </w:rPr>
        <w:t xml:space="preserve"> </w:t>
      </w:r>
      <w:r w:rsidRPr="006D5CC7">
        <w:rPr>
          <w:rFonts w:ascii="Times New Roman" w:eastAsia="Times New Roman" w:hAnsi="Times New Roman" w:cs="Times New Roman"/>
          <w:bCs/>
          <w:lang w:eastAsia="ru-RU"/>
        </w:rPr>
        <w:t>натрия в 700 раз активнее этидроната натрия) и не нарушают минерализацию кости. В США разрешены к применению памидронат натрия для в/в введения и алендронат натрия для приема внутрь. В Европе применяют и другие дифосфонаты. Для лечения болезни Педжета назначают 40 мг/сут алендроната натрия внутрь; курс лечения составляет 6 мес.</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ab/>
        <w:t>Все дифосфонаты плохо всасываются в кишечнике. Этидронат натрия принимают натощак или не ранее чем через 2 ч после приема молочных продуктов, антацидов и минеральных добавок. Алендронат натрия принимают за 30—60 мин до завтрака, с большим количеством воды.</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в. Комбинированная терапия кальцитонином и дифосфонатами показана при тяжелом течении заболевания. Чередуют 5-месячные курсы лечения этими препаратами.</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г. Пликамицин быстро подавляет резорбцию костной ткани, действуя на остеокласты. Из-за нефро- и гепатотоксичности пликамицин применяют в двух случаях:</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 xml:space="preserve">При неотложных состояниях, </w:t>
      </w:r>
      <w:proofErr w:type="gramStart"/>
      <w:r w:rsidRPr="006D5CC7">
        <w:rPr>
          <w:rFonts w:ascii="Times New Roman" w:eastAsia="Times New Roman" w:hAnsi="Times New Roman" w:cs="Times New Roman"/>
          <w:bCs/>
          <w:lang w:eastAsia="ru-RU"/>
        </w:rPr>
        <w:t>например</w:t>
      </w:r>
      <w:proofErr w:type="gramEnd"/>
      <w:r w:rsidRPr="006D5CC7">
        <w:rPr>
          <w:rFonts w:ascii="Times New Roman" w:eastAsia="Times New Roman" w:hAnsi="Times New Roman" w:cs="Times New Roman"/>
          <w:bCs/>
          <w:lang w:eastAsia="ru-RU"/>
        </w:rPr>
        <w:t xml:space="preserve"> при остром сдавлении нервов или при гиперкальциемическом кризе у обездвиженных больных.</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При неэффективности кальцитонина и дифосфонатов.</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Начальная доза пликамицина составляет 15—20 мкг/кг/сут. Ее вводят в виде в/в инфузии за 6—8 ч ежедневно или через день (всего 10 инфузий). Затем переходят к в/в струйному введению препарата в дозе 15—20 мкг/кг 1 раз в неделю. Побочные эффекты — токсическое действие на костный мозг, печень и почки; преходящая гипокальциемия.</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C42384">
        <w:rPr>
          <w:rFonts w:ascii="Times New Roman" w:eastAsia="Times New Roman" w:hAnsi="Times New Roman" w:cs="Times New Roman"/>
          <w:b/>
          <w:bCs/>
          <w:lang w:eastAsia="ru-RU"/>
        </w:rPr>
        <w:t>Г. Хирургическое лечение.</w:t>
      </w:r>
      <w:r w:rsidRPr="006D5CC7">
        <w:rPr>
          <w:rFonts w:ascii="Times New Roman" w:eastAsia="Times New Roman" w:hAnsi="Times New Roman" w:cs="Times New Roman"/>
          <w:bCs/>
          <w:lang w:eastAsia="ru-RU"/>
        </w:rPr>
        <w:t xml:space="preserve"> При тяжелых поражениях тазобедренных и коленных суставов, не поддающихся лечению кальцитонином и дифосфонатами, показано протезирование этих суставов. При сильном искривлении большеберцовых костей иногда прибегают к остеотомии.</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 xml:space="preserve"> </w:t>
      </w:r>
    </w:p>
    <w:p w:rsidR="006D5CC7" w:rsidRPr="00F22105" w:rsidRDefault="00F22105" w:rsidP="003276B5">
      <w:pPr>
        <w:spacing w:line="276" w:lineRule="auto"/>
        <w:ind w:firstLine="0"/>
        <w:outlineLvl w:val="1"/>
        <w:rPr>
          <w:rFonts w:ascii="Times New Roman" w:eastAsia="Times New Roman" w:hAnsi="Times New Roman" w:cs="Times New Roman"/>
          <w:bCs/>
          <w:sz w:val="28"/>
          <w:lang w:eastAsia="ru-RU"/>
        </w:rPr>
      </w:pPr>
      <w:r w:rsidRPr="00F22105">
        <w:rPr>
          <w:rFonts w:ascii="Times New Roman" w:eastAsia="Times New Roman" w:hAnsi="Times New Roman" w:cs="Times New Roman"/>
          <w:bCs/>
          <w:sz w:val="28"/>
          <w:lang w:eastAsia="ru-RU"/>
        </w:rPr>
        <w:t>ЛИТЕРАТУРА</w:t>
      </w:r>
    </w:p>
    <w:p w:rsidR="006D5CC7" w:rsidRPr="00C42384" w:rsidRDefault="006D5CC7" w:rsidP="00C42384">
      <w:pPr>
        <w:pStyle w:val="a8"/>
        <w:numPr>
          <w:ilvl w:val="0"/>
          <w:numId w:val="2"/>
        </w:numPr>
        <w:spacing w:line="276" w:lineRule="auto"/>
        <w:ind w:left="284"/>
        <w:outlineLvl w:val="1"/>
        <w:rPr>
          <w:rFonts w:ascii="Times New Roman" w:eastAsia="Times New Roman" w:hAnsi="Times New Roman" w:cs="Times New Roman"/>
          <w:bCs/>
          <w:lang w:val="en-US" w:eastAsia="ru-RU"/>
        </w:rPr>
      </w:pPr>
      <w:r w:rsidRPr="00C42384">
        <w:rPr>
          <w:rFonts w:ascii="Times New Roman" w:eastAsia="Times New Roman" w:hAnsi="Times New Roman" w:cs="Times New Roman"/>
          <w:bCs/>
          <w:lang w:eastAsia="ru-RU"/>
        </w:rPr>
        <w:t xml:space="preserve">Blake GM, et al. </w:t>
      </w:r>
      <w:r w:rsidRPr="00C42384">
        <w:rPr>
          <w:rFonts w:ascii="Times New Roman" w:eastAsia="Times New Roman" w:hAnsi="Times New Roman" w:cs="Times New Roman"/>
          <w:bCs/>
          <w:lang w:val="en-US" w:eastAsia="ru-RU"/>
        </w:rPr>
        <w:t>Vertebral morphometry studies using dual-energy x-ray absorptiometry. Semin Nucl Med 27:276, 1997.</w:t>
      </w:r>
    </w:p>
    <w:p w:rsidR="006D5CC7" w:rsidRPr="00C42384" w:rsidRDefault="006D5CC7" w:rsidP="00C42384">
      <w:pPr>
        <w:pStyle w:val="a8"/>
        <w:numPr>
          <w:ilvl w:val="0"/>
          <w:numId w:val="2"/>
        </w:numPr>
        <w:spacing w:line="276" w:lineRule="auto"/>
        <w:ind w:left="284"/>
        <w:outlineLvl w:val="1"/>
        <w:rPr>
          <w:rFonts w:ascii="Times New Roman" w:eastAsia="Times New Roman" w:hAnsi="Times New Roman" w:cs="Times New Roman"/>
          <w:bCs/>
          <w:lang w:val="en-US" w:eastAsia="ru-RU"/>
        </w:rPr>
      </w:pPr>
      <w:r w:rsidRPr="00C42384">
        <w:rPr>
          <w:rFonts w:ascii="Times New Roman" w:eastAsia="Times New Roman" w:hAnsi="Times New Roman" w:cs="Times New Roman"/>
          <w:bCs/>
          <w:lang w:val="en-US" w:eastAsia="ru-RU"/>
        </w:rPr>
        <w:t>Bone HG, Kleerekoper M. Clinical review 39: Paget's disease of bone. J Clin Endocrinol Metab 75:1179, 1992.</w:t>
      </w:r>
    </w:p>
    <w:p w:rsidR="006D5CC7" w:rsidRPr="00C42384" w:rsidRDefault="006D5CC7" w:rsidP="00C42384">
      <w:pPr>
        <w:pStyle w:val="a8"/>
        <w:numPr>
          <w:ilvl w:val="0"/>
          <w:numId w:val="2"/>
        </w:numPr>
        <w:spacing w:line="276" w:lineRule="auto"/>
        <w:ind w:left="284"/>
        <w:outlineLvl w:val="1"/>
        <w:rPr>
          <w:rFonts w:ascii="Times New Roman" w:eastAsia="Times New Roman" w:hAnsi="Times New Roman" w:cs="Times New Roman"/>
          <w:bCs/>
          <w:lang w:val="en-US" w:eastAsia="ru-RU"/>
        </w:rPr>
      </w:pPr>
      <w:r w:rsidRPr="00C42384">
        <w:rPr>
          <w:rFonts w:ascii="Times New Roman" w:eastAsia="Times New Roman" w:hAnsi="Times New Roman" w:cs="Times New Roman"/>
          <w:bCs/>
          <w:lang w:val="en-US" w:eastAsia="ru-RU"/>
        </w:rPr>
        <w:lastRenderedPageBreak/>
        <w:t>Chines A, Pacifici R. Antiacid and sucralfate-induced hypophosphatemic osteomalacia: A case report and review of the literature. Calcif Tissue Int 47:291, 1990.</w:t>
      </w:r>
    </w:p>
    <w:p w:rsidR="006D5CC7" w:rsidRPr="00C42384" w:rsidRDefault="006D5CC7" w:rsidP="00C42384">
      <w:pPr>
        <w:pStyle w:val="a8"/>
        <w:numPr>
          <w:ilvl w:val="0"/>
          <w:numId w:val="2"/>
        </w:numPr>
        <w:spacing w:line="276" w:lineRule="auto"/>
        <w:ind w:left="284"/>
        <w:outlineLvl w:val="1"/>
        <w:rPr>
          <w:rFonts w:ascii="Times New Roman" w:eastAsia="Times New Roman" w:hAnsi="Times New Roman" w:cs="Times New Roman"/>
          <w:bCs/>
          <w:lang w:val="en-US" w:eastAsia="ru-RU"/>
        </w:rPr>
      </w:pPr>
      <w:r w:rsidRPr="00C42384">
        <w:rPr>
          <w:rFonts w:ascii="Times New Roman" w:eastAsia="Times New Roman" w:hAnsi="Times New Roman" w:cs="Times New Roman"/>
          <w:bCs/>
          <w:lang w:val="en-US" w:eastAsia="ru-RU"/>
        </w:rPr>
        <w:t xml:space="preserve">Christiansen C, Riis BJ. </w:t>
      </w:r>
      <w:proofErr w:type="gramStart"/>
      <w:r w:rsidRPr="00C42384">
        <w:rPr>
          <w:rFonts w:ascii="Times New Roman" w:eastAsia="Times New Roman" w:hAnsi="Times New Roman" w:cs="Times New Roman"/>
          <w:bCs/>
          <w:lang w:val="en-US" w:eastAsia="ru-RU"/>
        </w:rPr>
        <w:t>17</w:t>
      </w:r>
      <w:proofErr w:type="gramEnd"/>
      <w:r w:rsidRPr="00C42384">
        <w:rPr>
          <w:rFonts w:ascii="Times New Roman" w:eastAsia="Times New Roman" w:hAnsi="Times New Roman" w:cs="Times New Roman"/>
          <w:bCs/>
          <w:lang w:val="en-US" w:eastAsia="ru-RU"/>
        </w:rPr>
        <w:t xml:space="preserve"> beta-estradiol and continuous norethisterone: A unique treatment for established osteoporosis in elderly women. J Clin Endocrinol Metab 71:836, 1990.</w:t>
      </w:r>
    </w:p>
    <w:p w:rsidR="006D5CC7" w:rsidRPr="00C42384" w:rsidRDefault="006D5CC7" w:rsidP="00C42384">
      <w:pPr>
        <w:pStyle w:val="a8"/>
        <w:numPr>
          <w:ilvl w:val="0"/>
          <w:numId w:val="2"/>
        </w:numPr>
        <w:spacing w:line="276" w:lineRule="auto"/>
        <w:ind w:left="284"/>
        <w:outlineLvl w:val="1"/>
        <w:rPr>
          <w:rFonts w:ascii="Times New Roman" w:eastAsia="Times New Roman" w:hAnsi="Times New Roman" w:cs="Times New Roman"/>
          <w:bCs/>
          <w:lang w:eastAsia="ru-RU"/>
        </w:rPr>
      </w:pPr>
      <w:r w:rsidRPr="00C42384">
        <w:rPr>
          <w:rFonts w:ascii="Times New Roman" w:eastAsia="Times New Roman" w:hAnsi="Times New Roman" w:cs="Times New Roman"/>
          <w:bCs/>
          <w:lang w:val="en-US" w:eastAsia="ru-RU"/>
        </w:rPr>
        <w:t xml:space="preserve">Delmez JA, Slatopolsky E. Recent advances in the pathogenesis and therapy of uremic secondary hyperparathyroidism. </w:t>
      </w:r>
      <w:r w:rsidRPr="00C42384">
        <w:rPr>
          <w:rFonts w:ascii="Times New Roman" w:eastAsia="Times New Roman" w:hAnsi="Times New Roman" w:cs="Times New Roman"/>
          <w:bCs/>
          <w:lang w:eastAsia="ru-RU"/>
        </w:rPr>
        <w:t>J Clin Endocrinol Metab 72;735, 1991.</w:t>
      </w:r>
    </w:p>
    <w:p w:rsidR="006D5CC7" w:rsidRPr="00C42384" w:rsidRDefault="006D5CC7" w:rsidP="00C42384">
      <w:pPr>
        <w:pStyle w:val="a8"/>
        <w:numPr>
          <w:ilvl w:val="0"/>
          <w:numId w:val="2"/>
        </w:numPr>
        <w:spacing w:line="276" w:lineRule="auto"/>
        <w:ind w:left="284"/>
        <w:outlineLvl w:val="1"/>
        <w:rPr>
          <w:rFonts w:ascii="Times New Roman" w:eastAsia="Times New Roman" w:hAnsi="Times New Roman" w:cs="Times New Roman"/>
          <w:bCs/>
          <w:lang w:val="en-US" w:eastAsia="ru-RU"/>
        </w:rPr>
      </w:pPr>
      <w:r w:rsidRPr="00C42384">
        <w:rPr>
          <w:rFonts w:ascii="Times New Roman" w:eastAsia="Times New Roman" w:hAnsi="Times New Roman" w:cs="Times New Roman"/>
          <w:bCs/>
          <w:lang w:val="en-US" w:eastAsia="ru-RU"/>
        </w:rPr>
        <w:t>Delvin EE, et al. Vitamin D dependency: Replacement therapy with calcitriol. J Pediatr 99:26, 1981.</w:t>
      </w:r>
    </w:p>
    <w:p w:rsidR="006D5CC7" w:rsidRPr="00C42384" w:rsidRDefault="006D5CC7" w:rsidP="00C42384">
      <w:pPr>
        <w:pStyle w:val="a8"/>
        <w:numPr>
          <w:ilvl w:val="0"/>
          <w:numId w:val="2"/>
        </w:numPr>
        <w:spacing w:line="276" w:lineRule="auto"/>
        <w:ind w:left="284"/>
        <w:outlineLvl w:val="1"/>
        <w:rPr>
          <w:rFonts w:ascii="Times New Roman" w:eastAsia="Times New Roman" w:hAnsi="Times New Roman" w:cs="Times New Roman"/>
          <w:bCs/>
          <w:lang w:val="en-US" w:eastAsia="ru-RU"/>
        </w:rPr>
      </w:pPr>
      <w:r w:rsidRPr="00C42384">
        <w:rPr>
          <w:rFonts w:ascii="Times New Roman" w:eastAsia="Times New Roman" w:hAnsi="Times New Roman" w:cs="Times New Roman"/>
          <w:bCs/>
          <w:lang w:val="en-US" w:eastAsia="ru-RU"/>
        </w:rPr>
        <w:t xml:space="preserve">Gluer CC. Quantitative ultrasound techniques for the assessment of osteoporosis: expert agreement on </w:t>
      </w:r>
      <w:proofErr w:type="gramStart"/>
      <w:r w:rsidRPr="00C42384">
        <w:rPr>
          <w:rFonts w:ascii="Times New Roman" w:eastAsia="Times New Roman" w:hAnsi="Times New Roman" w:cs="Times New Roman"/>
          <w:bCs/>
          <w:lang w:val="en-US" w:eastAsia="ru-RU"/>
        </w:rPr>
        <w:t>current status</w:t>
      </w:r>
      <w:proofErr w:type="gramEnd"/>
      <w:r w:rsidRPr="00C42384">
        <w:rPr>
          <w:rFonts w:ascii="Times New Roman" w:eastAsia="Times New Roman" w:hAnsi="Times New Roman" w:cs="Times New Roman"/>
          <w:bCs/>
          <w:lang w:val="en-US" w:eastAsia="ru-RU"/>
        </w:rPr>
        <w:t>. The International Quantitative Ultrasound Consensus Group. J Bone Miner Res 12:1280, 1997.</w:t>
      </w:r>
    </w:p>
    <w:p w:rsidR="006D5CC7" w:rsidRPr="00C42384" w:rsidRDefault="006D5CC7" w:rsidP="00C42384">
      <w:pPr>
        <w:pStyle w:val="a8"/>
        <w:numPr>
          <w:ilvl w:val="0"/>
          <w:numId w:val="2"/>
        </w:numPr>
        <w:spacing w:line="276" w:lineRule="auto"/>
        <w:ind w:left="284"/>
        <w:outlineLvl w:val="1"/>
        <w:rPr>
          <w:rFonts w:ascii="Times New Roman" w:eastAsia="Times New Roman" w:hAnsi="Times New Roman" w:cs="Times New Roman"/>
          <w:bCs/>
          <w:lang w:val="en-US" w:eastAsia="ru-RU"/>
        </w:rPr>
      </w:pPr>
      <w:r w:rsidRPr="00C42384">
        <w:rPr>
          <w:rFonts w:ascii="Times New Roman" w:eastAsia="Times New Roman" w:hAnsi="Times New Roman" w:cs="Times New Roman"/>
          <w:bCs/>
          <w:lang w:val="en-US" w:eastAsia="ru-RU"/>
        </w:rPr>
        <w:t>Hahn TJ. Drug-induced disorders of vitamin D and mineral metabolism. Clin Endocrinol Metab 9:107, 1980.</w:t>
      </w:r>
    </w:p>
    <w:p w:rsidR="006D5CC7" w:rsidRPr="00C42384" w:rsidRDefault="006D5CC7" w:rsidP="00C42384">
      <w:pPr>
        <w:pStyle w:val="a8"/>
        <w:numPr>
          <w:ilvl w:val="0"/>
          <w:numId w:val="2"/>
        </w:numPr>
        <w:spacing w:line="276" w:lineRule="auto"/>
        <w:ind w:left="284"/>
        <w:outlineLvl w:val="1"/>
        <w:rPr>
          <w:rFonts w:ascii="Times New Roman" w:eastAsia="Times New Roman" w:hAnsi="Times New Roman" w:cs="Times New Roman"/>
          <w:bCs/>
          <w:lang w:val="en-US" w:eastAsia="ru-RU"/>
        </w:rPr>
      </w:pPr>
      <w:r w:rsidRPr="00C42384">
        <w:rPr>
          <w:rFonts w:ascii="Times New Roman" w:eastAsia="Times New Roman" w:hAnsi="Times New Roman" w:cs="Times New Roman"/>
          <w:bCs/>
          <w:lang w:val="en-US" w:eastAsia="ru-RU"/>
        </w:rPr>
        <w:t>Liberman UA, et al. Resistance to 1</w:t>
      </w:r>
      <w:proofErr w:type="gramStart"/>
      <w:r w:rsidRPr="00C42384">
        <w:rPr>
          <w:rFonts w:ascii="Times New Roman" w:eastAsia="Times New Roman" w:hAnsi="Times New Roman" w:cs="Times New Roman"/>
          <w:bCs/>
          <w:lang w:val="en-US" w:eastAsia="ru-RU"/>
        </w:rPr>
        <w:t>,25</w:t>
      </w:r>
      <w:proofErr w:type="gramEnd"/>
      <w:r w:rsidRPr="00C42384">
        <w:rPr>
          <w:rFonts w:ascii="Times New Roman" w:eastAsia="Times New Roman" w:hAnsi="Times New Roman" w:cs="Times New Roman"/>
          <w:bCs/>
          <w:lang w:val="en-US" w:eastAsia="ru-RU"/>
        </w:rPr>
        <w:t>-dihydroxyvitamin D: Association with heterogenous defects in cultured skin fibroblasts. J Clin Invest 71:192, 1983.</w:t>
      </w:r>
    </w:p>
    <w:p w:rsidR="006D5CC7" w:rsidRPr="00C42384" w:rsidRDefault="006D5CC7" w:rsidP="00C42384">
      <w:pPr>
        <w:pStyle w:val="a8"/>
        <w:numPr>
          <w:ilvl w:val="0"/>
          <w:numId w:val="2"/>
        </w:numPr>
        <w:spacing w:line="276" w:lineRule="auto"/>
        <w:ind w:left="284"/>
        <w:outlineLvl w:val="1"/>
        <w:rPr>
          <w:rFonts w:ascii="Times New Roman" w:eastAsia="Times New Roman" w:hAnsi="Times New Roman" w:cs="Times New Roman"/>
          <w:bCs/>
          <w:lang w:val="en-US" w:eastAsia="ru-RU"/>
        </w:rPr>
      </w:pPr>
      <w:r w:rsidRPr="00C42384">
        <w:rPr>
          <w:rFonts w:ascii="Times New Roman" w:eastAsia="Times New Roman" w:hAnsi="Times New Roman" w:cs="Times New Roman"/>
          <w:bCs/>
          <w:lang w:val="en-US" w:eastAsia="ru-RU"/>
        </w:rPr>
        <w:t xml:space="preserve">Ljunghall S, et al. Synthetic human calcitonin in postmenopausal osteoporosis: A placebo- </w:t>
      </w:r>
      <w:proofErr w:type="gramStart"/>
      <w:r w:rsidRPr="00C42384">
        <w:rPr>
          <w:rFonts w:ascii="Times New Roman" w:eastAsia="Times New Roman" w:hAnsi="Times New Roman" w:cs="Times New Roman"/>
          <w:bCs/>
          <w:lang w:val="en-US" w:eastAsia="ru-RU"/>
        </w:rPr>
        <w:t>controlled,</w:t>
      </w:r>
      <w:proofErr w:type="gramEnd"/>
      <w:r w:rsidRPr="00C42384">
        <w:rPr>
          <w:rFonts w:ascii="Times New Roman" w:eastAsia="Times New Roman" w:hAnsi="Times New Roman" w:cs="Times New Roman"/>
          <w:bCs/>
          <w:lang w:val="en-US" w:eastAsia="ru-RU"/>
        </w:rPr>
        <w:t xml:space="preserve"> double-blind study. Calcif Tissue Int 49:17, 1991.</w:t>
      </w:r>
    </w:p>
    <w:p w:rsidR="006D5CC7" w:rsidRPr="00C42384" w:rsidRDefault="006D5CC7" w:rsidP="00C42384">
      <w:pPr>
        <w:pStyle w:val="a8"/>
        <w:numPr>
          <w:ilvl w:val="0"/>
          <w:numId w:val="2"/>
        </w:numPr>
        <w:spacing w:line="276" w:lineRule="auto"/>
        <w:ind w:left="284"/>
        <w:outlineLvl w:val="1"/>
        <w:rPr>
          <w:rFonts w:ascii="Times New Roman" w:eastAsia="Times New Roman" w:hAnsi="Times New Roman" w:cs="Times New Roman"/>
          <w:bCs/>
          <w:lang w:val="en-US" w:eastAsia="ru-RU"/>
        </w:rPr>
      </w:pPr>
      <w:r w:rsidRPr="00C42384">
        <w:rPr>
          <w:rFonts w:ascii="Times New Roman" w:eastAsia="Times New Roman" w:hAnsi="Times New Roman" w:cs="Times New Roman"/>
          <w:bCs/>
          <w:lang w:val="en-US" w:eastAsia="ru-RU"/>
        </w:rPr>
        <w:t>Malluche H, Fuagere MC. Renal bone disease 1990: An unmet challenge for the nephrologist. Kidney Int 38:193, 1990.</w:t>
      </w:r>
    </w:p>
    <w:p w:rsidR="006D5CC7" w:rsidRPr="00C42384" w:rsidRDefault="006D5CC7" w:rsidP="00C42384">
      <w:pPr>
        <w:pStyle w:val="a8"/>
        <w:numPr>
          <w:ilvl w:val="0"/>
          <w:numId w:val="2"/>
        </w:numPr>
        <w:spacing w:line="276" w:lineRule="auto"/>
        <w:ind w:left="284"/>
        <w:outlineLvl w:val="1"/>
        <w:rPr>
          <w:rFonts w:ascii="Times New Roman" w:eastAsia="Times New Roman" w:hAnsi="Times New Roman" w:cs="Times New Roman"/>
          <w:bCs/>
          <w:lang w:val="en-US" w:eastAsia="ru-RU"/>
        </w:rPr>
      </w:pPr>
      <w:r w:rsidRPr="00C42384">
        <w:rPr>
          <w:rFonts w:ascii="Times New Roman" w:eastAsia="Times New Roman" w:hAnsi="Times New Roman" w:cs="Times New Roman"/>
          <w:bCs/>
          <w:lang w:val="en-US" w:eastAsia="ru-RU"/>
        </w:rPr>
        <w:t>Marcus R. Estrogens and progestins in the management of primary hyperparathyroidism. Endocrinol Metab Clin North Am 18:715, 1989.</w:t>
      </w:r>
    </w:p>
    <w:p w:rsidR="006D5CC7" w:rsidRPr="00C42384" w:rsidRDefault="006D5CC7" w:rsidP="00C42384">
      <w:pPr>
        <w:pStyle w:val="a8"/>
        <w:numPr>
          <w:ilvl w:val="0"/>
          <w:numId w:val="2"/>
        </w:numPr>
        <w:spacing w:line="276" w:lineRule="auto"/>
        <w:ind w:left="284"/>
        <w:outlineLvl w:val="1"/>
        <w:rPr>
          <w:rFonts w:ascii="Times New Roman" w:eastAsia="Times New Roman" w:hAnsi="Times New Roman" w:cs="Times New Roman"/>
          <w:bCs/>
          <w:lang w:val="en-US" w:eastAsia="ru-RU"/>
        </w:rPr>
      </w:pPr>
      <w:r w:rsidRPr="00C42384">
        <w:rPr>
          <w:rFonts w:ascii="Times New Roman" w:eastAsia="Times New Roman" w:hAnsi="Times New Roman" w:cs="Times New Roman"/>
          <w:bCs/>
          <w:lang w:val="en-US" w:eastAsia="ru-RU"/>
        </w:rPr>
        <w:t xml:space="preserve">Nuovo MA, et al. Tumor-induced osteomalacia and rickets. Am J Surg Path 13:588, </w:t>
      </w:r>
      <w:proofErr w:type="gramStart"/>
      <w:r w:rsidRPr="00C42384">
        <w:rPr>
          <w:rFonts w:ascii="Times New Roman" w:eastAsia="Times New Roman" w:hAnsi="Times New Roman" w:cs="Times New Roman"/>
          <w:bCs/>
          <w:lang w:val="en-US" w:eastAsia="ru-RU"/>
        </w:rPr>
        <w:t>1989.</w:t>
      </w:r>
      <w:proofErr w:type="gramEnd"/>
    </w:p>
    <w:p w:rsidR="006D5CC7" w:rsidRPr="00C42384" w:rsidRDefault="006D5CC7" w:rsidP="00C42384">
      <w:pPr>
        <w:pStyle w:val="a8"/>
        <w:numPr>
          <w:ilvl w:val="0"/>
          <w:numId w:val="2"/>
        </w:numPr>
        <w:spacing w:line="276" w:lineRule="auto"/>
        <w:ind w:left="284"/>
        <w:outlineLvl w:val="1"/>
        <w:rPr>
          <w:rFonts w:ascii="Times New Roman" w:eastAsia="Times New Roman" w:hAnsi="Times New Roman" w:cs="Times New Roman"/>
          <w:bCs/>
          <w:lang w:val="en-US" w:eastAsia="ru-RU"/>
        </w:rPr>
      </w:pPr>
      <w:r w:rsidRPr="00C42384">
        <w:rPr>
          <w:rFonts w:ascii="Times New Roman" w:eastAsia="Times New Roman" w:hAnsi="Times New Roman" w:cs="Times New Roman"/>
          <w:bCs/>
          <w:lang w:val="en-US" w:eastAsia="ru-RU"/>
        </w:rPr>
        <w:t>Reid IR, et al. X-linked hypophosphatemia: A clinical, biochemical, and histopathologic assessment of morbidity in adults. Medicine 68:336, 1989.</w:t>
      </w:r>
    </w:p>
    <w:p w:rsidR="006D5CC7" w:rsidRPr="00C42384" w:rsidRDefault="006D5CC7" w:rsidP="00C42384">
      <w:pPr>
        <w:pStyle w:val="a8"/>
        <w:numPr>
          <w:ilvl w:val="0"/>
          <w:numId w:val="2"/>
        </w:numPr>
        <w:spacing w:line="276" w:lineRule="auto"/>
        <w:ind w:left="284"/>
        <w:outlineLvl w:val="1"/>
        <w:rPr>
          <w:rFonts w:ascii="Times New Roman" w:eastAsia="Times New Roman" w:hAnsi="Times New Roman" w:cs="Times New Roman"/>
          <w:bCs/>
          <w:lang w:val="en-US" w:eastAsia="ru-RU"/>
        </w:rPr>
      </w:pPr>
      <w:r w:rsidRPr="00C42384">
        <w:rPr>
          <w:rFonts w:ascii="Times New Roman" w:eastAsia="Times New Roman" w:hAnsi="Times New Roman" w:cs="Times New Roman"/>
          <w:bCs/>
          <w:lang w:val="en-US" w:eastAsia="ru-RU"/>
        </w:rPr>
        <w:t>Riggs BL, Melton LJ III. Involutional osteoporosis. New Engl J Med 314:1676, 1986.</w:t>
      </w:r>
    </w:p>
    <w:p w:rsidR="006D5CC7" w:rsidRPr="00C42384" w:rsidRDefault="006D5CC7" w:rsidP="00C42384">
      <w:pPr>
        <w:pStyle w:val="a8"/>
        <w:numPr>
          <w:ilvl w:val="0"/>
          <w:numId w:val="2"/>
        </w:numPr>
        <w:spacing w:line="276" w:lineRule="auto"/>
        <w:ind w:left="284"/>
        <w:outlineLvl w:val="1"/>
        <w:rPr>
          <w:rFonts w:ascii="Times New Roman" w:eastAsia="Times New Roman" w:hAnsi="Times New Roman" w:cs="Times New Roman"/>
          <w:bCs/>
          <w:lang w:val="en-US" w:eastAsia="ru-RU"/>
        </w:rPr>
      </w:pPr>
      <w:r w:rsidRPr="00C42384">
        <w:rPr>
          <w:rFonts w:ascii="Times New Roman" w:eastAsia="Times New Roman" w:hAnsi="Times New Roman" w:cs="Times New Roman"/>
          <w:bCs/>
          <w:lang w:val="en-US" w:eastAsia="ru-RU"/>
        </w:rPr>
        <w:t>Siris E, et al. Comparative study of alendronate versus etidronate for the treatment of Paget's disease of bone. J Clin Endocrinol Metab 81:961, 1996.</w:t>
      </w:r>
    </w:p>
    <w:p w:rsidR="006D5CC7" w:rsidRPr="00C42384" w:rsidRDefault="006D5CC7" w:rsidP="00C42384">
      <w:pPr>
        <w:pStyle w:val="a8"/>
        <w:numPr>
          <w:ilvl w:val="0"/>
          <w:numId w:val="2"/>
        </w:numPr>
        <w:spacing w:line="276" w:lineRule="auto"/>
        <w:ind w:left="284"/>
        <w:outlineLvl w:val="1"/>
        <w:rPr>
          <w:rFonts w:ascii="Times New Roman" w:eastAsia="Times New Roman" w:hAnsi="Times New Roman" w:cs="Times New Roman"/>
          <w:bCs/>
          <w:lang w:val="en-US" w:eastAsia="ru-RU"/>
        </w:rPr>
      </w:pPr>
      <w:r w:rsidRPr="00C42384">
        <w:rPr>
          <w:rFonts w:ascii="Times New Roman" w:eastAsia="Times New Roman" w:hAnsi="Times New Roman" w:cs="Times New Roman"/>
          <w:bCs/>
          <w:lang w:val="en-US" w:eastAsia="ru-RU"/>
        </w:rPr>
        <w:t>Stewart AF, Brodus AE. Parathyroid hormone-related proteins: Coming of age in the 1990s. J Clin Endocrinol Metab 71:1410, 1990.</w:t>
      </w:r>
    </w:p>
    <w:p w:rsidR="006D5CC7" w:rsidRPr="00C42384" w:rsidRDefault="006D5CC7" w:rsidP="00C42384">
      <w:pPr>
        <w:pStyle w:val="a8"/>
        <w:numPr>
          <w:ilvl w:val="0"/>
          <w:numId w:val="2"/>
        </w:numPr>
        <w:spacing w:line="276" w:lineRule="auto"/>
        <w:ind w:left="284"/>
        <w:outlineLvl w:val="1"/>
        <w:rPr>
          <w:rFonts w:ascii="Times New Roman" w:eastAsia="Times New Roman" w:hAnsi="Times New Roman" w:cs="Times New Roman"/>
          <w:bCs/>
          <w:lang w:val="en-US" w:eastAsia="ru-RU"/>
        </w:rPr>
      </w:pPr>
      <w:r w:rsidRPr="00C42384">
        <w:rPr>
          <w:rFonts w:ascii="Times New Roman" w:eastAsia="Times New Roman" w:hAnsi="Times New Roman" w:cs="Times New Roman"/>
          <w:bCs/>
          <w:lang w:val="en-US" w:eastAsia="ru-RU"/>
        </w:rPr>
        <w:t>Storm T, et al. Effect of intermittent cyclical etidronate therapy on bone mass and fracture rate in women with postmenopausal osteoporosis. New Engl J Med 322:1265, 1990.</w:t>
      </w:r>
    </w:p>
    <w:p w:rsidR="006D5CC7" w:rsidRPr="00C42384" w:rsidRDefault="006D5CC7" w:rsidP="00C42384">
      <w:pPr>
        <w:pStyle w:val="a8"/>
        <w:numPr>
          <w:ilvl w:val="0"/>
          <w:numId w:val="2"/>
        </w:numPr>
        <w:spacing w:line="276" w:lineRule="auto"/>
        <w:ind w:left="284"/>
        <w:outlineLvl w:val="1"/>
        <w:rPr>
          <w:rFonts w:ascii="Times New Roman" w:eastAsia="Times New Roman" w:hAnsi="Times New Roman" w:cs="Times New Roman"/>
          <w:bCs/>
          <w:lang w:val="en-US" w:eastAsia="ru-RU"/>
        </w:rPr>
      </w:pPr>
      <w:r w:rsidRPr="00C42384">
        <w:rPr>
          <w:rFonts w:ascii="Times New Roman" w:eastAsia="Times New Roman" w:hAnsi="Times New Roman" w:cs="Times New Roman"/>
          <w:bCs/>
          <w:lang w:val="en-US" w:eastAsia="ru-RU"/>
        </w:rPr>
        <w:t>Terry LP, et al. Long-term thyroxine therapy is associated with decreased bone density in premenopausal women. JAMA 259:3137, 1988.</w:t>
      </w:r>
    </w:p>
    <w:p w:rsidR="006D5CC7" w:rsidRPr="00C42384" w:rsidRDefault="006D5CC7" w:rsidP="00C42384">
      <w:pPr>
        <w:pStyle w:val="a8"/>
        <w:numPr>
          <w:ilvl w:val="0"/>
          <w:numId w:val="2"/>
        </w:numPr>
        <w:spacing w:line="276" w:lineRule="auto"/>
        <w:ind w:left="284"/>
        <w:outlineLvl w:val="1"/>
        <w:rPr>
          <w:rFonts w:ascii="Times New Roman" w:eastAsia="Times New Roman" w:hAnsi="Times New Roman" w:cs="Times New Roman"/>
          <w:bCs/>
          <w:lang w:val="en-US" w:eastAsia="ru-RU"/>
        </w:rPr>
      </w:pPr>
      <w:r w:rsidRPr="00C42384">
        <w:rPr>
          <w:rFonts w:ascii="Times New Roman" w:eastAsia="Times New Roman" w:hAnsi="Times New Roman" w:cs="Times New Roman"/>
          <w:bCs/>
          <w:lang w:val="en-US" w:eastAsia="ru-RU"/>
        </w:rPr>
        <w:t>Wahner HW. Measurements of bone mass and bone density. Endocrinol Metab Clin North Am 18:995, 1989.</w:t>
      </w:r>
    </w:p>
    <w:p w:rsidR="006D5CC7" w:rsidRPr="00C42384" w:rsidRDefault="006D5CC7" w:rsidP="00C42384">
      <w:pPr>
        <w:pStyle w:val="a8"/>
        <w:numPr>
          <w:ilvl w:val="0"/>
          <w:numId w:val="2"/>
        </w:numPr>
        <w:spacing w:line="276" w:lineRule="auto"/>
        <w:ind w:left="284"/>
        <w:outlineLvl w:val="1"/>
        <w:rPr>
          <w:rFonts w:ascii="Times New Roman" w:eastAsia="Times New Roman" w:hAnsi="Times New Roman" w:cs="Times New Roman"/>
          <w:bCs/>
          <w:lang w:eastAsia="ru-RU"/>
        </w:rPr>
      </w:pPr>
      <w:r w:rsidRPr="00C42384">
        <w:rPr>
          <w:rFonts w:ascii="Times New Roman" w:eastAsia="Times New Roman" w:hAnsi="Times New Roman" w:cs="Times New Roman"/>
          <w:bCs/>
          <w:lang w:val="en-US" w:eastAsia="ru-RU"/>
        </w:rPr>
        <w:t xml:space="preserve">Walton RJ, Bijvoet OLM. Nomogram for derivation of renal threshold phosphate concentration. </w:t>
      </w:r>
      <w:r w:rsidRPr="00C42384">
        <w:rPr>
          <w:rFonts w:ascii="Times New Roman" w:eastAsia="Times New Roman" w:hAnsi="Times New Roman" w:cs="Times New Roman"/>
          <w:bCs/>
          <w:lang w:eastAsia="ru-RU"/>
        </w:rPr>
        <w:t>Lancet 2:309, 1975.</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r w:rsidRPr="006D5CC7">
        <w:rPr>
          <w:rFonts w:ascii="Times New Roman" w:eastAsia="Times New Roman" w:hAnsi="Times New Roman" w:cs="Times New Roman"/>
          <w:bCs/>
          <w:lang w:eastAsia="ru-RU"/>
        </w:rPr>
        <w:t xml:space="preserve"> </w:t>
      </w:r>
    </w:p>
    <w:p w:rsidR="006D5CC7" w:rsidRPr="006D5CC7" w:rsidRDefault="006D5CC7" w:rsidP="003276B5">
      <w:pPr>
        <w:spacing w:line="276" w:lineRule="auto"/>
        <w:ind w:firstLine="0"/>
        <w:outlineLvl w:val="1"/>
        <w:rPr>
          <w:rFonts w:ascii="Times New Roman" w:eastAsia="Times New Roman" w:hAnsi="Times New Roman" w:cs="Times New Roman"/>
          <w:bCs/>
          <w:lang w:eastAsia="ru-RU"/>
        </w:rPr>
      </w:pPr>
    </w:p>
    <w:p w:rsidR="006D5CC7" w:rsidRPr="006D5CC7" w:rsidRDefault="006D5CC7" w:rsidP="003276B5">
      <w:pPr>
        <w:spacing w:line="276" w:lineRule="auto"/>
        <w:ind w:firstLine="0"/>
        <w:outlineLvl w:val="1"/>
        <w:rPr>
          <w:rFonts w:ascii="Times New Roman" w:eastAsia="Times New Roman" w:hAnsi="Times New Roman" w:cs="Times New Roman"/>
          <w:lang w:val="en-US" w:eastAsia="ru-RU"/>
        </w:rPr>
      </w:pPr>
    </w:p>
    <w:p w:rsidR="00134923" w:rsidRPr="006D5CC7" w:rsidRDefault="00134923" w:rsidP="003276B5">
      <w:pPr>
        <w:spacing w:line="276" w:lineRule="auto"/>
        <w:rPr>
          <w:rFonts w:ascii="Times New Roman" w:hAnsi="Times New Roman" w:cs="Times New Roman"/>
        </w:rPr>
      </w:pPr>
    </w:p>
    <w:sectPr w:rsidR="00134923" w:rsidRPr="006D5CC7" w:rsidSect="006D5CC7">
      <w:headerReference w:type="default" r:id="rId7"/>
      <w:headerReference w:type="first" r:id="rId8"/>
      <w:pgSz w:w="11906" w:h="16838" w:code="9"/>
      <w:pgMar w:top="2591" w:right="851" w:bottom="1559" w:left="1134" w:header="142" w:footer="1151"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14C57" w:rsidRDefault="00A14C57" w:rsidP="006D5CC7">
      <w:pPr>
        <w:spacing w:line="240" w:lineRule="auto"/>
      </w:pPr>
      <w:r>
        <w:separator/>
      </w:r>
    </w:p>
  </w:endnote>
  <w:endnote w:type="continuationSeparator" w:id="0">
    <w:p w:rsidR="00A14C57" w:rsidRDefault="00A14C57" w:rsidP="006D5CC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14C57" w:rsidRDefault="00A14C57" w:rsidP="006D5CC7">
      <w:pPr>
        <w:spacing w:line="240" w:lineRule="auto"/>
      </w:pPr>
      <w:r>
        <w:separator/>
      </w:r>
    </w:p>
  </w:footnote>
  <w:footnote w:type="continuationSeparator" w:id="0">
    <w:p w:rsidR="00A14C57" w:rsidRDefault="00A14C57" w:rsidP="006D5CC7">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D5CC7" w:rsidRDefault="006D5CC7" w:rsidP="006D5CC7">
    <w:pPr>
      <w:pStyle w:val="a3"/>
      <w:ind w:firstLine="0"/>
    </w:pPr>
    <w:r w:rsidRPr="00FE777E">
      <w:rPr>
        <w:noProof/>
      </w:rPr>
      <mc:AlternateContent>
        <mc:Choice Requires="wps">
          <w:drawing>
            <wp:anchor distT="0" distB="0" distL="114300" distR="114300" simplePos="0" relativeHeight="251663360" behindDoc="1" locked="0" layoutInCell="1" allowOverlap="1" wp14:anchorId="1DD9CBC0" wp14:editId="476A348E">
              <wp:simplePos x="0" y="0"/>
              <wp:positionH relativeFrom="column">
                <wp:posOffset>-514350</wp:posOffset>
              </wp:positionH>
              <wp:positionV relativeFrom="paragraph">
                <wp:posOffset>184150</wp:posOffset>
              </wp:positionV>
              <wp:extent cx="2833370" cy="975360"/>
              <wp:effectExtent l="19050" t="19050" r="24130" b="15240"/>
              <wp:wrapTight wrapText="bothSides">
                <wp:wrapPolygon edited="0">
                  <wp:start x="-145" y="-422"/>
                  <wp:lineTo x="-145" y="21516"/>
                  <wp:lineTo x="21639" y="21516"/>
                  <wp:lineTo x="21639" y="-422"/>
                  <wp:lineTo x="-145" y="-422"/>
                </wp:wrapPolygon>
              </wp:wrapTight>
              <wp:docPr id="2" name="Фигура 61">
                <a:extLst xmlns:a="http://schemas.openxmlformats.org/drawingml/2006/main">
                  <a:ext uri="{C183D7F6-B498-43B3-948B-1728B52AA6E4}">
                    <adec:decorative xmlns:adec="http://schemas.microsoft.com/office/drawing/2017/decorative"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 xmlns:w16se="http://schemas.microsoft.com/office/word/2015/wordml/symex" xmlns:cx="http://schemas.microsoft.com/office/drawing/2014/chartex" val="1"/>
                  </a:ext>
                </a:extLst>
              </wp:docPr>
              <wp:cNvGraphicFramePr/>
              <a:graphic xmlns:a="http://schemas.openxmlformats.org/drawingml/2006/main">
                <a:graphicData uri="http://schemas.microsoft.com/office/word/2010/wordprocessingShape">
                  <wps:wsp>
                    <wps:cNvSpPr/>
                    <wps:spPr>
                      <a:xfrm>
                        <a:off x="0" y="0"/>
                        <a:ext cx="2833370" cy="975360"/>
                      </a:xfrm>
                      <a:prstGeom prst="rect">
                        <a:avLst/>
                      </a:prstGeom>
                      <a:ln w="38100">
                        <a:solidFill>
                          <a:sysClr val="window" lastClr="FFFFFF"/>
                        </a:solidFill>
                        <a:miter lim="400000"/>
                      </a:ln>
                      <a:extLst>
                        <a:ext uri="{C572A759-6A51-4108-AA02-DFA0A04FC94B}">
                          <ma14:wrappingTextBoxFlag xmlns="" xmlns:w="http://schemas.openxmlformats.org/wordprocessingml/2006/main" xmlns:o="urn:schemas-microsoft-com:office:office" xmlns:v="urn:schemas-microsoft-com:vml" xmlns:w10="urn:schemas-microsoft-com:office:word" xmlns:ma14="http://schemas.microsoft.com/office/mac/drawingml/2011/main" xmlns:lc="http://schemas.openxmlformats.org/drawingml/2006/lockedCanvas" xmlns:p="http://schemas.openxmlformats.org/presentationml/2006/main"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w16se="http://schemas.microsoft.com/office/word/2015/wordml/symex" xmlns:cx="http://schemas.microsoft.com/office/drawing/2014/chartex" val="1"/>
                        </a:ext>
                      </a:extLst>
                    </wps:spPr>
                    <wps:txbx>
                      <w:txbxContent>
                        <w:p w:rsidR="006D5CC7" w:rsidRPr="00FA3FA4" w:rsidRDefault="006D5CC7" w:rsidP="006D5CC7">
                          <w:pPr>
                            <w:pStyle w:val="a5"/>
                            <w:shd w:val="clear" w:color="auto" w:fill="44546A"/>
                            <w:ind w:firstLine="0"/>
                            <w:rPr>
                              <w:color w:val="FFFFFF"/>
                              <w:sz w:val="21"/>
                              <w:lang w:val="en-US"/>
                            </w:rPr>
                          </w:pPr>
                          <w:r w:rsidRPr="00FA3FA4">
                            <w:rPr>
                              <w:b/>
                              <w:color w:val="FFFFFF"/>
                              <w:sz w:val="26"/>
                              <w:szCs w:val="26"/>
                            </w:rPr>
                            <w:t>АНДИЖАНСКИЙ ГОСУДАРСТВЕННЫЙ МЕДИЦИНСКИЙ ИНСТИТУТ</w:t>
                          </w:r>
                        </w:p>
                      </w:txbxContent>
                    </wps:txbx>
                    <wps:bodyPr wrap="square" lIns="19050" tIns="19050" rIns="19050" bIns="19050" anchor="ctr">
                      <a:noAutofit/>
                    </wps:bodyPr>
                  </wps:wsp>
                </a:graphicData>
              </a:graphic>
              <wp14:sizeRelH relativeFrom="page">
                <wp14:pctWidth>0</wp14:pctWidth>
              </wp14:sizeRelH>
              <wp14:sizeRelV relativeFrom="page">
                <wp14:pctHeight>0</wp14:pctHeight>
              </wp14:sizeRelV>
            </wp:anchor>
          </w:drawing>
        </mc:Choice>
        <mc:Fallback>
          <w:pict>
            <v:rect w14:anchorId="1DD9CBC0" id="Фигура 61" o:spid="_x0000_s1026" style="position:absolute;left:0;text-align:left;margin-left:-40.5pt;margin-top:14.5pt;width:223.1pt;height:76.8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" filled="f" strokecolor="window" strokeweight="3pt">
              <v:stroke miterlimit="4"/>
              <v:textbox inset="1.5pt,1.5pt,1.5pt,1.5pt">
                <w:txbxContent>
                  <w:p w:rsidR="006D5CC7" w:rsidRPr="00FA3FA4" w:rsidRDefault="006D5CC7" w:rsidP="006D5CC7">
                    <w:pPr>
                      <w:pStyle w:val="a5"/>
                      <w:shd w:val="clear" w:color="auto" w:fill="44546A"/>
                      <w:ind w:firstLine="0"/>
                      <w:rPr>
                        <w:color w:val="FFFFFF"/>
                        <w:sz w:val="21"/>
                        <w:lang w:val="en-US"/>
                      </w:rPr>
                    </w:pPr>
                    <w:r w:rsidRPr="00FA3FA4">
                      <w:rPr>
                        <w:b/>
                        <w:color w:val="FFFFFF"/>
                        <w:sz w:val="26"/>
                        <w:szCs w:val="26"/>
                      </w:rPr>
                      <w:t>АНДИЖАНСКИЙ ГОСУДАРСТВЕННЫЙ МЕДИЦИНСКИЙ ИНСТИТУТ</w:t>
                    </w:r>
                  </w:p>
                </w:txbxContent>
              </v:textbox>
              <w10:wrap type="tight"/>
            </v:rect>
          </w:pict>
        </mc:Fallback>
      </mc:AlternateContent>
    </w:r>
    <w:r w:rsidRPr="00FE777E">
      <w:rPr>
        <w:noProof/>
      </w:rPr>
      <w:drawing>
        <wp:anchor distT="0" distB="0" distL="114300" distR="114300" simplePos="0" relativeHeight="251664384" behindDoc="1" locked="0" layoutInCell="1" allowOverlap="1" wp14:anchorId="506F0114" wp14:editId="4D893FC5">
          <wp:simplePos x="0" y="0"/>
          <wp:positionH relativeFrom="margin">
            <wp:posOffset>4912721</wp:posOffset>
          </wp:positionH>
          <wp:positionV relativeFrom="paragraph">
            <wp:posOffset>82018</wp:posOffset>
          </wp:positionV>
          <wp:extent cx="1266825" cy="1243330"/>
          <wp:effectExtent l="0" t="0" r="9525" b="0"/>
          <wp:wrapTight wrapText="bothSides">
            <wp:wrapPolygon edited="0">
              <wp:start x="8445" y="0"/>
              <wp:lineTo x="6821" y="331"/>
              <wp:lineTo x="1624" y="4302"/>
              <wp:lineTo x="0" y="9598"/>
              <wp:lineTo x="1624" y="15886"/>
              <wp:lineTo x="1624" y="17540"/>
              <wp:lineTo x="5847" y="21181"/>
              <wp:lineTo x="7795" y="21181"/>
              <wp:lineTo x="14292" y="21181"/>
              <wp:lineTo x="16241" y="21181"/>
              <wp:lineTo x="20788" y="17540"/>
              <wp:lineTo x="21438" y="9928"/>
              <wp:lineTo x="20463" y="4633"/>
              <wp:lineTo x="15591" y="662"/>
              <wp:lineTo x="13642" y="0"/>
              <wp:lineTo x="8445" y="0"/>
            </wp:wrapPolygon>
          </wp:wrapTight>
          <wp:docPr id="1" name="Рисунок 1" descr="C:\Users\User\Desktop\Без-имени-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Без-имени-1-1.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66825" cy="12433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84752">
      <w:rPr>
        <w:noProof/>
      </w:rPr>
      <mc:AlternateContent>
        <mc:Choice Requires="wpg">
          <w:drawing>
            <wp:anchor distT="0" distB="0" distL="114300" distR="114300" simplePos="0" relativeHeight="251659264" behindDoc="1" locked="0" layoutInCell="1" allowOverlap="1" wp14:anchorId="25604ACD" wp14:editId="7A2252F7">
              <wp:simplePos x="0" y="0"/>
              <wp:positionH relativeFrom="page">
                <wp:align>center</wp:align>
              </wp:positionH>
              <wp:positionV relativeFrom="page">
                <wp:align>center</wp:align>
              </wp:positionV>
              <wp:extent cx="7556500" cy="10865485"/>
              <wp:effectExtent l="0" t="0" r="2540" b="14605"/>
              <wp:wrapNone/>
              <wp:docPr id="29" name="Группа 29">
                <a:extLst xmlns:a="http://schemas.openxmlformats.org/drawingml/2006/main">
                  <a:ext uri="{C183D7F6-B498-43B3-948B-1728B52AA6E4}">
                    <adec:decorative xmlns:adec="http://schemas.microsoft.com/office/drawing/2017/decorative"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 xmlns:w16se="http://schemas.microsoft.com/office/word/2015/wordml/symex" xmlns:cx="http://schemas.microsoft.com/office/drawing/2014/chartex" val="1"/>
                  </a:ext>
                </a:extLst>
              </wp:docPr>
              <wp:cNvGraphicFramePr/>
              <a:graphic xmlns:a="http://schemas.openxmlformats.org/drawingml/2006/main">
                <a:graphicData uri="http://schemas.microsoft.com/office/word/2010/wordprocessingGroup">
                  <wpg:wgp>
                    <wpg:cNvGrpSpPr/>
                    <wpg:grpSpPr>
                      <a:xfrm>
                        <a:off x="0" y="0"/>
                        <a:ext cx="7556500" cy="10865485"/>
                        <a:chOff x="0" y="0"/>
                        <a:chExt cx="7556858" cy="10865783"/>
                      </a:xfrm>
                    </wpg:grpSpPr>
                    <wps:wsp>
                      <wps:cNvPr id="8" name="Полилиния: Фигура 8"/>
                      <wps:cNvSpPr/>
                      <wps:spPr>
                        <a:xfrm>
                          <a:off x="4120179" y="0"/>
                          <a:ext cx="3436679" cy="896497"/>
                        </a:xfrm>
                        <a:custGeom>
                          <a:avLst/>
                          <a:gdLst>
                            <a:gd name="connsiteX0" fmla="*/ 3429208 w 3436678"/>
                            <a:gd name="connsiteY0" fmla="*/ 12451 h 896496"/>
                            <a:gd name="connsiteX1" fmla="*/ 3429208 w 3436678"/>
                            <a:gd name="connsiteY1" fmla="*/ 889026 h 896496"/>
                            <a:gd name="connsiteX2" fmla="*/ 497239 w 3436678"/>
                            <a:gd name="connsiteY2" fmla="*/ 889026 h 896496"/>
                            <a:gd name="connsiteX3" fmla="*/ 12452 w 3436678"/>
                            <a:gd name="connsiteY3" fmla="*/ 12451 h 896496"/>
                          </a:gdLst>
                          <a:ahLst/>
                          <a:cxnLst>
                            <a:cxn ang="0">
                              <a:pos x="connsiteX0" y="connsiteY0"/>
                            </a:cxn>
                            <a:cxn ang="0">
                              <a:pos x="connsiteX1" y="connsiteY1"/>
                            </a:cxn>
                            <a:cxn ang="0">
                              <a:pos x="connsiteX2" y="connsiteY2"/>
                            </a:cxn>
                            <a:cxn ang="0">
                              <a:pos x="connsiteX3" y="connsiteY3"/>
                            </a:cxn>
                          </a:cxnLst>
                          <a:rect l="l" t="t" r="r" b="b"/>
                          <a:pathLst>
                            <a:path w="3436678" h="896496">
                              <a:moveTo>
                                <a:pt x="3429208" y="12451"/>
                              </a:moveTo>
                              <a:lnTo>
                                <a:pt x="3429208" y="889026"/>
                              </a:lnTo>
                              <a:lnTo>
                                <a:pt x="497239" y="889026"/>
                              </a:lnTo>
                              <a:lnTo>
                                <a:pt x="12452" y="12451"/>
                              </a:lnTo>
                              <a:close/>
                            </a:path>
                          </a:pathLst>
                        </a:custGeom>
                        <a:solidFill>
                          <a:srgbClr val="373545"/>
                        </a:solidFill>
                        <a:ln w="9525" cap="flat">
                          <a:noFill/>
                          <a:prstDash val="solid"/>
                          <a:miter/>
                        </a:ln>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 name="Полилиния: Фигура 9"/>
                      <wps:cNvSpPr/>
                      <wps:spPr>
                        <a:xfrm>
                          <a:off x="0" y="656216"/>
                          <a:ext cx="3519690" cy="896497"/>
                        </a:xfrm>
                        <a:custGeom>
                          <a:avLst/>
                          <a:gdLst>
                            <a:gd name="connsiteX0" fmla="*/ 12452 w 3519690"/>
                            <a:gd name="connsiteY0" fmla="*/ 890686 h 896496"/>
                            <a:gd name="connsiteX1" fmla="*/ 12452 w 3519690"/>
                            <a:gd name="connsiteY1" fmla="*/ 12451 h 896496"/>
                            <a:gd name="connsiteX2" fmla="*/ 3030752 w 3519690"/>
                            <a:gd name="connsiteY2" fmla="*/ 12451 h 896496"/>
                            <a:gd name="connsiteX3" fmla="*/ 3515540 w 3519690"/>
                            <a:gd name="connsiteY3" fmla="*/ 890686 h 896496"/>
                          </a:gdLst>
                          <a:ahLst/>
                          <a:cxnLst>
                            <a:cxn ang="0">
                              <a:pos x="connsiteX0" y="connsiteY0"/>
                            </a:cxn>
                            <a:cxn ang="0">
                              <a:pos x="connsiteX1" y="connsiteY1"/>
                            </a:cxn>
                            <a:cxn ang="0">
                              <a:pos x="connsiteX2" y="connsiteY2"/>
                            </a:cxn>
                            <a:cxn ang="0">
                              <a:pos x="connsiteX3" y="connsiteY3"/>
                            </a:cxn>
                          </a:cxnLst>
                          <a:rect l="l" t="t" r="r" b="b"/>
                          <a:pathLst>
                            <a:path w="3519690" h="896496">
                              <a:moveTo>
                                <a:pt x="12452" y="890686"/>
                              </a:moveTo>
                              <a:lnTo>
                                <a:pt x="12452" y="12451"/>
                              </a:lnTo>
                              <a:lnTo>
                                <a:pt x="3030752" y="12451"/>
                              </a:lnTo>
                              <a:lnTo>
                                <a:pt x="3515540" y="890686"/>
                              </a:lnTo>
                              <a:close/>
                            </a:path>
                          </a:pathLst>
                        </a:custGeom>
                        <a:solidFill>
                          <a:srgbClr val="373545"/>
                        </a:solidFill>
                        <a:ln w="9525" cap="flat">
                          <a:noFill/>
                          <a:prstDash val="solid"/>
                          <a:miter/>
                        </a:ln>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 name="Полилиния: Фигура 12"/>
                      <wps:cNvSpPr/>
                      <wps:spPr>
                        <a:xfrm>
                          <a:off x="3399416" y="9886277"/>
                          <a:ext cx="912495" cy="979170"/>
                        </a:xfrm>
                        <a:custGeom>
                          <a:avLst/>
                          <a:gdLst>
                            <a:gd name="connsiteX0" fmla="*/ 12452 w 913127"/>
                            <a:gd name="connsiteY0" fmla="*/ 981997 h 979505"/>
                            <a:gd name="connsiteX1" fmla="*/ 575270 w 913127"/>
                            <a:gd name="connsiteY1" fmla="*/ 12451 h 979505"/>
                            <a:gd name="connsiteX2" fmla="*/ 905656 w 913127"/>
                            <a:gd name="connsiteY2" fmla="*/ 12451 h 979505"/>
                            <a:gd name="connsiteX3" fmla="*/ 342838 w 913127"/>
                            <a:gd name="connsiteY3" fmla="*/ 981997 h 979505"/>
                          </a:gdLst>
                          <a:ahLst/>
                          <a:cxnLst>
                            <a:cxn ang="0">
                              <a:pos x="connsiteX0" y="connsiteY0"/>
                            </a:cxn>
                            <a:cxn ang="0">
                              <a:pos x="connsiteX1" y="connsiteY1"/>
                            </a:cxn>
                            <a:cxn ang="0">
                              <a:pos x="connsiteX2" y="connsiteY2"/>
                            </a:cxn>
                            <a:cxn ang="0">
                              <a:pos x="connsiteX3" y="connsiteY3"/>
                            </a:cxn>
                          </a:cxnLst>
                          <a:rect l="l" t="t" r="r" b="b"/>
                          <a:pathLst>
                            <a:path w="913127" h="979505">
                              <a:moveTo>
                                <a:pt x="12452" y="981997"/>
                              </a:moveTo>
                              <a:lnTo>
                                <a:pt x="575270" y="12451"/>
                              </a:lnTo>
                              <a:lnTo>
                                <a:pt x="905656" y="12451"/>
                              </a:lnTo>
                              <a:lnTo>
                                <a:pt x="342838" y="981997"/>
                              </a:lnTo>
                              <a:close/>
                            </a:path>
                          </a:pathLst>
                        </a:custGeom>
                        <a:solidFill>
                          <a:srgbClr val="58B6C0"/>
                        </a:solidFill>
                        <a:ln w="9525" cap="flat">
                          <a:noFill/>
                          <a:prstDash val="solid"/>
                          <a:miter/>
                        </a:ln>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 name="Полилиния: Фигура 13"/>
                      <wps:cNvSpPr/>
                      <wps:spPr>
                        <a:xfrm>
                          <a:off x="2829261" y="9886277"/>
                          <a:ext cx="913127" cy="979506"/>
                        </a:xfrm>
                        <a:custGeom>
                          <a:avLst/>
                          <a:gdLst>
                            <a:gd name="connsiteX0" fmla="*/ 12452 w 913127"/>
                            <a:gd name="connsiteY0" fmla="*/ 981997 h 979505"/>
                            <a:gd name="connsiteX1" fmla="*/ 570289 w 913127"/>
                            <a:gd name="connsiteY1" fmla="*/ 12451 h 979505"/>
                            <a:gd name="connsiteX2" fmla="*/ 900675 w 913127"/>
                            <a:gd name="connsiteY2" fmla="*/ 12451 h 979505"/>
                            <a:gd name="connsiteX3" fmla="*/ 342838 w 913127"/>
                            <a:gd name="connsiteY3" fmla="*/ 981997 h 979505"/>
                          </a:gdLst>
                          <a:ahLst/>
                          <a:cxnLst>
                            <a:cxn ang="0">
                              <a:pos x="connsiteX0" y="connsiteY0"/>
                            </a:cxn>
                            <a:cxn ang="0">
                              <a:pos x="connsiteX1" y="connsiteY1"/>
                            </a:cxn>
                            <a:cxn ang="0">
                              <a:pos x="connsiteX2" y="connsiteY2"/>
                            </a:cxn>
                            <a:cxn ang="0">
                              <a:pos x="connsiteX3" y="connsiteY3"/>
                            </a:cxn>
                          </a:cxnLst>
                          <a:rect l="l" t="t" r="r" b="b"/>
                          <a:pathLst>
                            <a:path w="913127" h="979505">
                              <a:moveTo>
                                <a:pt x="12452" y="981997"/>
                              </a:moveTo>
                              <a:lnTo>
                                <a:pt x="570289" y="12451"/>
                              </a:lnTo>
                              <a:lnTo>
                                <a:pt x="900675" y="12451"/>
                              </a:lnTo>
                              <a:lnTo>
                                <a:pt x="342838" y="981997"/>
                              </a:lnTo>
                              <a:close/>
                            </a:path>
                          </a:pathLst>
                        </a:custGeom>
                        <a:solidFill>
                          <a:srgbClr val="58B6C0"/>
                        </a:solidFill>
                        <a:ln w="9525" cap="flat">
                          <a:noFill/>
                          <a:prstDash val="solid"/>
                          <a:miter/>
                        </a:ln>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 name="Полилиния: фигура 14"/>
                      <wps:cNvSpPr/>
                      <wps:spPr>
                        <a:xfrm>
                          <a:off x="4034118" y="9886277"/>
                          <a:ext cx="3519690" cy="896497"/>
                        </a:xfrm>
                        <a:custGeom>
                          <a:avLst/>
                          <a:gdLst>
                            <a:gd name="connsiteX0" fmla="*/ 3515540 w 3519690"/>
                            <a:gd name="connsiteY0" fmla="*/ 889026 h 896496"/>
                            <a:gd name="connsiteX1" fmla="*/ 3515540 w 3519690"/>
                            <a:gd name="connsiteY1" fmla="*/ 12451 h 896496"/>
                            <a:gd name="connsiteX2" fmla="*/ 497239 w 3519690"/>
                            <a:gd name="connsiteY2" fmla="*/ 12451 h 896496"/>
                            <a:gd name="connsiteX3" fmla="*/ 12452 w 3519690"/>
                            <a:gd name="connsiteY3" fmla="*/ 889026 h 896496"/>
                          </a:gdLst>
                          <a:ahLst/>
                          <a:cxnLst>
                            <a:cxn ang="0">
                              <a:pos x="connsiteX0" y="connsiteY0"/>
                            </a:cxn>
                            <a:cxn ang="0">
                              <a:pos x="connsiteX1" y="connsiteY1"/>
                            </a:cxn>
                            <a:cxn ang="0">
                              <a:pos x="connsiteX2" y="connsiteY2"/>
                            </a:cxn>
                            <a:cxn ang="0">
                              <a:pos x="connsiteX3" y="connsiteY3"/>
                            </a:cxn>
                          </a:cxnLst>
                          <a:rect l="l" t="t" r="r" b="b"/>
                          <a:pathLst>
                            <a:path w="3519690" h="896496">
                              <a:moveTo>
                                <a:pt x="3515540" y="889026"/>
                              </a:moveTo>
                              <a:lnTo>
                                <a:pt x="3515540" y="12451"/>
                              </a:lnTo>
                              <a:lnTo>
                                <a:pt x="497239" y="12451"/>
                              </a:lnTo>
                              <a:lnTo>
                                <a:pt x="12452" y="889026"/>
                              </a:lnTo>
                              <a:close/>
                            </a:path>
                          </a:pathLst>
                        </a:custGeom>
                        <a:solidFill>
                          <a:srgbClr val="373545"/>
                        </a:solidFill>
                        <a:ln w="9525" cap="flat">
                          <a:noFill/>
                          <a:prstDash val="solid"/>
                          <a:miter/>
                        </a:ln>
                      </wps:spPr>
                      <wps:txbx>
                        <w:txbxContent>
                          <w:p w:rsidR="006D5CC7" w:rsidRPr="0063083D" w:rsidRDefault="006D5CC7" w:rsidP="006D5CC7">
                            <w:pPr>
                              <w:jc w:val="center"/>
                              <w:rPr>
                                <w:rFonts w:ascii="Times New Roman" w:hAnsi="Times New Roman" w:cs="Times New Roman"/>
                              </w:rPr>
                            </w:pPr>
                            <w:r w:rsidRPr="0063083D">
                              <w:rPr>
                                <w:rFonts w:ascii="Times New Roman" w:hAnsi="Times New Roman" w:cs="Times New Roman"/>
                              </w:rPr>
                              <w:t>Лектор: Айсачева Мафтунабону</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7" name="Полилиния: Фигура 8"/>
                      <wps:cNvSpPr/>
                      <wps:spPr>
                        <a:xfrm>
                          <a:off x="2872292" y="0"/>
                          <a:ext cx="1217295" cy="1542415"/>
                        </a:xfrm>
                        <a:custGeom>
                          <a:avLst/>
                          <a:gdLst>
                            <a:gd name="connsiteX0" fmla="*/ 0 w 1217675"/>
                            <a:gd name="connsiteY0" fmla="*/ 0 h 1542668"/>
                            <a:gd name="connsiteX1" fmla="*/ 330287 w 1217675"/>
                            <a:gd name="connsiteY1" fmla="*/ 0 h 1542668"/>
                            <a:gd name="connsiteX2" fmla="*/ 1217675 w 1217675"/>
                            <a:gd name="connsiteY2" fmla="*/ 1542668 h 1542668"/>
                            <a:gd name="connsiteX3" fmla="*/ 888533 w 1217675"/>
                            <a:gd name="connsiteY3" fmla="*/ 1542668 h 1542668"/>
                            <a:gd name="connsiteX4" fmla="*/ 0 w 1217675"/>
                            <a:gd name="connsiteY4" fmla="*/ 0 h 1542668"/>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217675" h="1542668">
                              <a:moveTo>
                                <a:pt x="0" y="0"/>
                              </a:moveTo>
                              <a:lnTo>
                                <a:pt x="330287" y="0"/>
                              </a:lnTo>
                              <a:lnTo>
                                <a:pt x="1217675" y="1542668"/>
                              </a:lnTo>
                              <a:lnTo>
                                <a:pt x="888533" y="1542668"/>
                              </a:lnTo>
                              <a:lnTo>
                                <a:pt x="0" y="0"/>
                              </a:lnTo>
                              <a:close/>
                            </a:path>
                          </a:pathLst>
                        </a:custGeom>
                        <a:solidFill>
                          <a:srgbClr val="58B6C0"/>
                        </a:solid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28" name="Полилиния: Фигура 7"/>
                      <wps:cNvSpPr/>
                      <wps:spPr>
                        <a:xfrm>
                          <a:off x="3474720" y="0"/>
                          <a:ext cx="1225138" cy="1542664"/>
                        </a:xfrm>
                        <a:custGeom>
                          <a:avLst/>
                          <a:gdLst>
                            <a:gd name="connsiteX0" fmla="*/ 0 w 1225138"/>
                            <a:gd name="connsiteY0" fmla="*/ 0 h 1542664"/>
                            <a:gd name="connsiteX1" fmla="*/ 330265 w 1225138"/>
                            <a:gd name="connsiteY1" fmla="*/ 0 h 1542664"/>
                            <a:gd name="connsiteX2" fmla="*/ 1225138 w 1225138"/>
                            <a:gd name="connsiteY2" fmla="*/ 1542664 h 1542664"/>
                            <a:gd name="connsiteX3" fmla="*/ 895208 w 1225138"/>
                            <a:gd name="connsiteY3" fmla="*/ 1542664 h 1542664"/>
                            <a:gd name="connsiteX4" fmla="*/ 0 w 1225138"/>
                            <a:gd name="connsiteY4" fmla="*/ 0 h 1542664"/>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225138" h="1542664">
                              <a:moveTo>
                                <a:pt x="0" y="0"/>
                              </a:moveTo>
                              <a:lnTo>
                                <a:pt x="330265" y="0"/>
                              </a:lnTo>
                              <a:lnTo>
                                <a:pt x="1225138" y="1542664"/>
                              </a:lnTo>
                              <a:lnTo>
                                <a:pt x="895208" y="1542664"/>
                              </a:lnTo>
                              <a:lnTo>
                                <a:pt x="0" y="0"/>
                              </a:lnTo>
                              <a:close/>
                            </a:path>
                          </a:pathLst>
                        </a:custGeom>
                        <a:solidFill>
                          <a:srgbClr val="58B6C0"/>
                        </a:solid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100000</wp14:pctWidth>
              </wp14:sizeRelH>
              <wp14:sizeRelV relativeFrom="page">
                <wp14:pctHeight>101600</wp14:pctHeight>
              </wp14:sizeRelV>
            </wp:anchor>
          </w:drawing>
        </mc:Choice>
        <mc:Fallback>
          <w:pict>
            <v:group w14:anchorId="25604ACD" id="Группа 29" o:spid="_x0000_s1027" style="position:absolute;left:0;text-align:left;margin-left:0;margin-top:0;width:595pt;height:855.55pt;z-index:-251657216;mso-width-percent:1000;mso-height-percent:1016;mso-position-horizontal:center;mso-position-horizontal-relative:page;mso-position-vertical:center;mso-position-vertical-relative:page;mso-width-percent:1000;mso-height-percent:1016" coordsize="75568,1086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">
              <v:shape id="Полилиния: Фигура 8" o:spid="_x0000_s1028" style="position:absolute;left:41201;width:34367;height:8964;visibility:visible;mso-wrap-style:square;v-text-anchor:middle" coordsize="3436678,8964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" path="m3429208,12451r,876575l497239,889026,12452,12451r3416756,xe" fillcolor="#373545" stroked="f">
                <v:stroke joinstyle="miter"/>
                <v:path arrowok="t" o:connecttype="custom" o:connectlocs="3429209,12451;3429209,889027;497239,889027;12452,12451" o:connectangles="0,0,0,0"/>
              </v:shape>
              <v:shape id="Полилиния: Фигура 9" o:spid="_x0000_s1029" style="position:absolute;top:6562;width:35196;height:8965;visibility:visible;mso-wrap-style:square;v-text-anchor:middle" coordsize="3519690,8964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nsOW8IA&#10;AADaAAAADwAAAGRycy9kb3ducmV2LnhtbESPQWsCMRSE70L/Q3iF3jRroWJXs2KF0h6s4Fbw+ti8&#10;3Q1uXpYk6vbfm4LgcZiZb5jlarCduJAPxrGC6SQDQVw5bbhRcPj9HM9BhIissXNMCv4owKp4Gi0x&#10;1+7Ke7qUsREJwiFHBW2MfS5lqFqyGCauJ05e7bzFmKRvpPZ4TXDbydcsm0mLhtNCiz1tWqpO5dkq&#10;OOofXbnZfid9/ZZtvram/DgbpV6eh/UCRKQhPsL39rdW8A7/V9INkMUN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2ew5bwgAAANoAAAAPAAAAAAAAAAAAAAAAAJgCAABkcnMvZG93&#10;bnJldi54bWxQSwUGAAAAAAQABAD1AAAAhwMAAAAA&#10;" path="m12452,890686r,-878235l3030752,12451r484788,878235l12452,890686xe" fillcolor="#373545" stroked="f">
                <v:stroke joinstyle="miter"/>
                <v:path arrowok="t" o:connecttype="custom" o:connectlocs="12452,890687;12452,12451;3030752,12451;3515540,890687" o:connectangles="0,0,0,0"/>
              </v:shape>
              <v:shape id="Полилиния: Фигура 12" o:spid="_x0000_s1030" style="position:absolute;left:33994;top:98862;width:9125;height:9792;visibility:visible;mso-wrap-style:square;v-text-anchor:middle" coordsize="913127,9795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2OUCb8A&#10;AADbAAAADwAAAGRycy9kb3ducmV2LnhtbERPTYvCMBC9L/gfwgjetqk9iFSjrILgSVhdEW9DMrZl&#10;k0lpou3+eyMIe5vH+5zlenBWPKgLjWcF0ywHQay9abhS8HPafc5BhIhs0HomBX8UYL0afSyxNL7n&#10;b3ocYyVSCIcSFdQxtqWUQdfkMGS+JU7czXcOY4JdJU2HfQp3VhZ5PpMOG04NNba0rUn/Hu9OwU4f&#10;3NZeQq/dteDzvLWb2/2s1GQ8fC1ARBriv/jt3ps0v4DXL+kAuXoC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XY5QJvwAAANsAAAAPAAAAAAAAAAAAAAAAAJgCAABkcnMvZG93bnJl&#10;di54bWxQSwUGAAAAAAQABAD1AAAAhAMAAAAA&#10;" path="m12452,981997l575270,12451r330386,l342838,981997r-330386,xe" fillcolor="#58b6c0" stroked="f">
                <v:stroke joinstyle="miter"/>
                <v:path arrowok="t" o:connecttype="custom" o:connectlocs="12443,981661;574872,12447;905029,12447;342601,981661" o:connectangles="0,0,0,0"/>
              </v:shape>
              <v:shape id="Полилиния: Фигура 13" o:spid="_x0000_s1031" style="position:absolute;left:28292;top:98862;width:9131;height:9795;visibility:visible;mso-wrap-style:square;v-text-anchor:middle" coordsize="913127,9795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C8xksAA&#10;AADbAAAADwAAAGRycy9kb3ducmV2LnhtbERPS2sCMRC+F/wPYYTealYLZdkaRQXBU8FtpfQ2JOPu&#10;0mSybLKP/ntTELzNx/ec9XZyVgzUhcazguUiA0GsvWm4UvD1eXzJQYSIbNB6JgV/FGC7mT2tsTB+&#10;5DMNZaxECuFQoII6xraQMuiaHIaFb4kTd/Wdw5hgV0nT4ZjCnZWrLHuTDhtODTW2dKhJ/5a9U3DU&#10;H+5gv8Oo3c+KL3lr99f+otTzfNq9g4g0xYf47j6ZNP8V/n9JB8jND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uC8xksAAAADbAAAADwAAAAAAAAAAAAAAAACYAgAAZHJzL2Rvd25y&#10;ZXYueG1sUEsFBgAAAAAEAAQA9QAAAIUDAAAAAA==&#10;" path="m12452,981997l570289,12451r330386,l342838,981997r-330386,xe" fillcolor="#58b6c0" stroked="f">
                <v:stroke joinstyle="miter"/>
                <v:path arrowok="t" o:connecttype="custom" o:connectlocs="12452,981998;570289,12451;900675,12451;342838,981998" o:connectangles="0,0,0,0"/>
              </v:shape>
              <v:shape id="Полилиния: фигура 14" o:spid="_x0000_s1032" style="position:absolute;left:40341;top:98862;width:35197;height:8965;visibility:visible;mso-wrap-style:square;v-text-anchor:middle" coordsize="3519690,89649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gOLjcIA&#10;AADbAAAADwAAAGRycy9kb3ducmV2LnhtbERPyWrDMBC9B/oPYgq9hEZqCSG4lkNaCORQQjbIdWpN&#10;LVNrZCzVdv++CgRym8dbJ1+NrhE9daH2rOFlpkAQl97UXGk4nzbPSxAhIhtsPJOGPwqwKh4mOWbG&#10;D3yg/hgrkUI4ZKjBxthmUobSksMw8y1x4r595zAm2FXSdDikcNfIV6UW0mHNqcFiSx+Wyp/jr9Pw&#10;tVbTz03T17R9t+p0uQy0o73WT4/j+g1EpDHexTf31qT5c7j+kg6QxT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KA4uNwgAAANsAAAAPAAAAAAAAAAAAAAAAAJgCAABkcnMvZG93&#10;bnJldi54bWxQSwUGAAAAAAQABAD1AAAAhwMAAAAA&#10;" adj="-11796480,,5400" path="m3515540,889026r,-876575l497239,12451,12452,889026r3503088,xe" fillcolor="#373545" stroked="f">
                <v:stroke joinstyle="miter"/>
                <v:formulas/>
                <v:path arrowok="t" o:connecttype="custom" o:connectlocs="3515540,889027;3515540,12451;497239,12451;12452,889027" o:connectangles="0,0,0,0" textboxrect="0,0,3519690,896496"/>
                <v:textbox>
                  <w:txbxContent>
                    <w:p w:rsidR="006D5CC7" w:rsidRPr="0063083D" w:rsidRDefault="006D5CC7" w:rsidP="006D5CC7">
                      <w:pPr>
                        <w:jc w:val="center"/>
                        <w:rPr>
                          <w:rFonts w:ascii="Times New Roman" w:hAnsi="Times New Roman" w:cs="Times New Roman"/>
                        </w:rPr>
                      </w:pPr>
                      <w:r w:rsidRPr="0063083D">
                        <w:rPr>
                          <w:rFonts w:ascii="Times New Roman" w:hAnsi="Times New Roman" w:cs="Times New Roman"/>
                        </w:rPr>
                        <w:t>Лектор: Айсачева Мафтунабону</w:t>
                      </w:r>
                    </w:p>
                  </w:txbxContent>
                </v:textbox>
              </v:shape>
              <v:shape id="Полилиния: Фигура 8" o:spid="_x0000_s1033" style="position:absolute;left:28722;width:12173;height:15424;visibility:visible;mso-wrap-style:square;v-text-anchor:middle" coordsize="1217675,15426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nOmOcIA&#10;AADbAAAADwAAAGRycy9kb3ducmV2LnhtbESPzarCMBSE9xd8h3CEu7loqguVahQRBRd34d/G3bE5&#10;psXmpDZR69sbQXA5zMw3zGTW2FLcqfaFYwW9bgKCOHO6YKPgsF91RiB8QNZYOiYFT/Iwm7Z+Jphq&#10;9+At3XfBiAhhn6KCPIQqldJnOVn0XVcRR+/saoshytpIXeMjwm0p+0kykBYLjgs5VrTIKbvsblbB&#10;7a85nsz/c+M3SzOkbIH7Hl2V+m038zGIQE34hj/ttVbQH8L7S/wBcvo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ic6Y5wgAAANsAAAAPAAAAAAAAAAAAAAAAAJgCAABkcnMvZG93&#10;bnJldi54bWxQSwUGAAAAAAQABAD1AAAAhwMAAAAA&#10;" path="m,l330287,r887388,1542668l888533,1542668,,xe" fillcolor="#58b6c0" stroked="f">
                <v:stroke joinstyle="miter"/>
                <v:path arrowok="t" o:connecttype="custom" o:connectlocs="0,0;330184,0;1217295,1542415;888256,1542415;0,0" o:connectangles="0,0,0,0,0"/>
              </v:shape>
              <v:shape id="Полилиния: Фигура 7" o:spid="_x0000_s1034" style="position:absolute;left:34747;width:12251;height:15426;visibility:visible;mso-wrap-style:square;v-text-anchor:middle" coordsize="1225138,154266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aY4Pb8A&#10;AADbAAAADwAAAGRycy9kb3ducmV2LnhtbERPS2vCQBC+C/6HZYReRDdKKRpdpRVahB6Cr/uQHZNg&#10;djbsjpr+++6h0OPH915ve9eqB4XYeDYwm2agiEtvG64MnE+fkwWoKMgWW89k4IcibDfDwRpz6598&#10;oMdRKpVCOOZooBbpcq1jWZPDOPUdceKuPjiUBEOlbcBnCnetnmfZm3bYcGqosaNdTeXteHcG6Gtf&#10;XF5jlCYUUvTL77srP8bGvIz69xUooV7+xX/uvTUwT2PTl/QD9OYX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9pjg9vwAAANsAAAAPAAAAAAAAAAAAAAAAAJgCAABkcnMvZG93bnJl&#10;di54bWxQSwUGAAAAAAQABAD1AAAAhAMAAAAA&#10;" path="m,l330265,r894873,1542664l895208,1542664,,xe" fillcolor="#58b6c0" stroked="f">
                <v:stroke joinstyle="miter"/>
                <v:path arrowok="t" o:connecttype="custom" o:connectlocs="0,0;330265,0;1225138,1542664;895208,1542664;0,0" o:connectangles="0,0,0,0,0"/>
              </v:shape>
              <w10:wrap anchorx="page" anchory="page"/>
            </v:group>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D5CC7" w:rsidRDefault="006D5CC7">
    <w:pPr>
      <w:pStyle w:val="a3"/>
    </w:pPr>
    <w:r w:rsidRPr="002F76DA">
      <w:rPr>
        <w:noProof/>
      </w:rPr>
      <mc:AlternateContent>
        <mc:Choice Requires="wps">
          <w:drawing>
            <wp:anchor distT="0" distB="0" distL="114300" distR="114300" simplePos="0" relativeHeight="251661312" behindDoc="1" locked="0" layoutInCell="1" allowOverlap="1" wp14:anchorId="0C1C310A" wp14:editId="30920F8C">
              <wp:simplePos x="0" y="0"/>
              <wp:positionH relativeFrom="column">
                <wp:posOffset>-552450</wp:posOffset>
              </wp:positionH>
              <wp:positionV relativeFrom="paragraph">
                <wp:posOffset>351790</wp:posOffset>
              </wp:positionV>
              <wp:extent cx="2833370" cy="943610"/>
              <wp:effectExtent l="19050" t="19050" r="24130" b="27940"/>
              <wp:wrapTight wrapText="bothSides">
                <wp:wrapPolygon edited="0">
                  <wp:start x="-145" y="-436"/>
                  <wp:lineTo x="-145" y="21803"/>
                  <wp:lineTo x="21639" y="21803"/>
                  <wp:lineTo x="21639" y="-436"/>
                  <wp:lineTo x="-145" y="-436"/>
                </wp:wrapPolygon>
              </wp:wrapTight>
              <wp:docPr id="21" name="Фигура 61">
                <a:extLst xmlns:a="http://schemas.openxmlformats.org/drawingml/2006/main">
                  <a:ext uri="{C183D7F6-B498-43B3-948B-1728B52AA6E4}">
                    <adec:decorative xmlns:adec="http://schemas.microsoft.com/office/drawing/2017/decorative"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 xmlns:w16se="http://schemas.microsoft.com/office/word/2015/wordml/symex" xmlns:cx="http://schemas.microsoft.com/office/drawing/2014/chartex" val="1"/>
                  </a:ext>
                </a:extLst>
              </wp:docPr>
              <wp:cNvGraphicFramePr/>
              <a:graphic xmlns:a="http://schemas.openxmlformats.org/drawingml/2006/main">
                <a:graphicData uri="http://schemas.microsoft.com/office/word/2010/wordprocessingShape">
                  <wps:wsp>
                    <wps:cNvSpPr/>
                    <wps:spPr>
                      <a:xfrm>
                        <a:off x="0" y="0"/>
                        <a:ext cx="2833370" cy="943610"/>
                      </a:xfrm>
                      <a:prstGeom prst="rect">
                        <a:avLst/>
                      </a:prstGeom>
                      <a:ln w="38100">
                        <a:solidFill>
                          <a:sysClr val="window" lastClr="FFFFFF"/>
                        </a:solidFill>
                        <a:miter lim="400000"/>
                      </a:ln>
                      <a:extLst>
                        <a:ext uri="{C572A759-6A51-4108-AA02-DFA0A04FC94B}">
                          <ma14:wrappingTextBoxFlag xmlns="" xmlns:w="http://schemas.openxmlformats.org/wordprocessingml/2006/main" xmlns:o="urn:schemas-microsoft-com:office:office" xmlns:v="urn:schemas-microsoft-com:vml" xmlns:w10="urn:schemas-microsoft-com:office:word" xmlns:ma14="http://schemas.microsoft.com/office/mac/drawingml/2011/main" xmlns:lc="http://schemas.openxmlformats.org/drawingml/2006/lockedCanvas" xmlns:p="http://schemas.openxmlformats.org/presentationml/2006/main"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w16se="http://schemas.microsoft.com/office/word/2015/wordml/symex" xmlns:cx="http://schemas.microsoft.com/office/drawing/2014/chartex" val="1"/>
                        </a:ext>
                      </a:extLst>
                    </wps:spPr>
                    <wps:txbx>
                      <w:txbxContent>
                        <w:p w:rsidR="006D5CC7" w:rsidRPr="00FA3FA4" w:rsidRDefault="006D5CC7" w:rsidP="006D5CC7">
                          <w:pPr>
                            <w:pStyle w:val="a5"/>
                            <w:shd w:val="clear" w:color="auto" w:fill="44546A"/>
                            <w:jc w:val="center"/>
                            <w:rPr>
                              <w:color w:val="FFFFFF"/>
                              <w:sz w:val="21"/>
                              <w:lang w:val="en-US"/>
                            </w:rPr>
                          </w:pPr>
                          <w:r w:rsidRPr="00FA3FA4">
                            <w:rPr>
                              <w:b/>
                              <w:color w:val="FFFFFF"/>
                              <w:sz w:val="26"/>
                              <w:szCs w:val="26"/>
                            </w:rPr>
                            <w:t>АНДИЖАНСКИЙ ГОСУДАРСТВЕННЫЙ МЕДИЦИНСКИЙ ИНСТИТУТ</w:t>
                          </w:r>
                        </w:p>
                      </w:txbxContent>
                    </wps:txbx>
                    <wps:bodyPr wrap="square" lIns="19050" tIns="19050" rIns="19050" bIns="19050" anchor="ctr">
                      <a:noAutofit/>
                    </wps:bodyPr>
                  </wps:wsp>
                </a:graphicData>
              </a:graphic>
              <wp14:sizeRelH relativeFrom="page">
                <wp14:pctWidth>0</wp14:pctWidth>
              </wp14:sizeRelH>
              <wp14:sizeRelV relativeFrom="page">
                <wp14:pctHeight>0</wp14:pctHeight>
              </wp14:sizeRelV>
            </wp:anchor>
          </w:drawing>
        </mc:Choice>
        <mc:Fallback>
          <w:pict>
            <v:rect w14:anchorId="0C1C310A" id="_x0000_s1035" style="position:absolute;left:0;text-align:left;margin-left:-43.5pt;margin-top:27.7pt;width:223.1pt;height:74.3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" filled="f" strokecolor="window" strokeweight="3pt">
              <v:stroke miterlimit="4"/>
              <v:textbox inset="1.5pt,1.5pt,1.5pt,1.5pt">
                <w:txbxContent>
                  <w:p w:rsidR="006D5CC7" w:rsidRPr="00FA3FA4" w:rsidRDefault="006D5CC7" w:rsidP="006D5CC7">
                    <w:pPr>
                      <w:pStyle w:val="a5"/>
                      <w:shd w:val="clear" w:color="auto" w:fill="44546A"/>
                      <w:jc w:val="center"/>
                      <w:rPr>
                        <w:color w:val="FFFFFF"/>
                        <w:sz w:val="21"/>
                        <w:lang w:val="en-US"/>
                      </w:rPr>
                    </w:pPr>
                    <w:r w:rsidRPr="00FA3FA4">
                      <w:rPr>
                        <w:b/>
                        <w:color w:val="FFFFFF"/>
                        <w:sz w:val="26"/>
                        <w:szCs w:val="26"/>
                      </w:rPr>
                      <w:t>АНДИЖАНСКИЙ ГОСУДАРСТВЕННЫЙ МЕДИЦИНСКИЙ ИНСТИТУТ</w:t>
                    </w:r>
                  </w:p>
                </w:txbxContent>
              </v:textbox>
              <w10:wrap type="tight"/>
            </v:rect>
          </w:pict>
        </mc:Fallback>
      </mc:AlternateContent>
    </w:r>
    <w:r w:rsidRPr="00FE777E">
      <w:rPr>
        <w:b/>
        <w:noProof/>
        <w:sz w:val="28"/>
        <w:szCs w:val="28"/>
      </w:rPr>
      <w:drawing>
        <wp:anchor distT="0" distB="0" distL="114300" distR="114300" simplePos="0" relativeHeight="251662336" behindDoc="1" locked="0" layoutInCell="1" allowOverlap="1" wp14:anchorId="6EBF982C" wp14:editId="473DCFD0">
          <wp:simplePos x="0" y="0"/>
          <wp:positionH relativeFrom="margin">
            <wp:align>right</wp:align>
          </wp:positionH>
          <wp:positionV relativeFrom="paragraph">
            <wp:posOffset>89192</wp:posOffset>
          </wp:positionV>
          <wp:extent cx="1266825" cy="1243330"/>
          <wp:effectExtent l="0" t="0" r="9525" b="0"/>
          <wp:wrapTight wrapText="bothSides">
            <wp:wrapPolygon edited="0">
              <wp:start x="8445" y="0"/>
              <wp:lineTo x="6821" y="331"/>
              <wp:lineTo x="1624" y="4302"/>
              <wp:lineTo x="0" y="9598"/>
              <wp:lineTo x="1624" y="15886"/>
              <wp:lineTo x="1624" y="17540"/>
              <wp:lineTo x="5847" y="21181"/>
              <wp:lineTo x="7795" y="21181"/>
              <wp:lineTo x="14292" y="21181"/>
              <wp:lineTo x="16241" y="21181"/>
              <wp:lineTo x="20788" y="17540"/>
              <wp:lineTo x="21438" y="9928"/>
              <wp:lineTo x="20463" y="4633"/>
              <wp:lineTo x="15591" y="662"/>
              <wp:lineTo x="13642" y="0"/>
              <wp:lineTo x="8445" y="0"/>
            </wp:wrapPolygon>
          </wp:wrapTight>
          <wp:docPr id="3" name="Рисунок 3" descr="C:\Users\User\Desktop\Без-имени-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Без-имени-1-1.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66825" cy="12433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84752">
      <w:rPr>
        <w:noProof/>
      </w:rPr>
      <mc:AlternateContent>
        <mc:Choice Requires="wpg">
          <w:drawing>
            <wp:anchor distT="0" distB="0" distL="114300" distR="114300" simplePos="0" relativeHeight="251660288" behindDoc="1" locked="0" layoutInCell="1" allowOverlap="1" wp14:anchorId="449665E7" wp14:editId="58D036B1">
              <wp:simplePos x="0" y="0"/>
              <wp:positionH relativeFrom="page">
                <wp:align>center</wp:align>
              </wp:positionH>
              <wp:positionV relativeFrom="page">
                <wp:align>center</wp:align>
              </wp:positionV>
              <wp:extent cx="7556500" cy="10865485"/>
              <wp:effectExtent l="0" t="0" r="2540" b="14605"/>
              <wp:wrapNone/>
              <wp:docPr id="22" name="Группа 22">
                <a:extLst xmlns:a="http://schemas.openxmlformats.org/drawingml/2006/main">
                  <a:ext uri="{C183D7F6-B498-43B3-948B-1728B52AA6E4}">
                    <adec:decorative xmlns:adec="http://schemas.microsoft.com/office/drawing/2017/decorative"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 xmlns:w16se="http://schemas.microsoft.com/office/word/2015/wordml/symex" xmlns:cx="http://schemas.microsoft.com/office/drawing/2014/chartex" val="1"/>
                  </a:ext>
                </a:extLst>
              </wp:docPr>
              <wp:cNvGraphicFramePr/>
              <a:graphic xmlns:a="http://schemas.openxmlformats.org/drawingml/2006/main">
                <a:graphicData uri="http://schemas.microsoft.com/office/word/2010/wordprocessingGroup">
                  <wpg:wgp>
                    <wpg:cNvGrpSpPr/>
                    <wpg:grpSpPr>
                      <a:xfrm>
                        <a:off x="0" y="0"/>
                        <a:ext cx="7556500" cy="10865485"/>
                        <a:chOff x="0" y="0"/>
                        <a:chExt cx="7556858" cy="10865783"/>
                      </a:xfrm>
                    </wpg:grpSpPr>
                    <wps:wsp>
                      <wps:cNvPr id="23" name="Полилиния: Фигура 23"/>
                      <wps:cNvSpPr/>
                      <wps:spPr>
                        <a:xfrm>
                          <a:off x="4120179" y="0"/>
                          <a:ext cx="3436679" cy="896497"/>
                        </a:xfrm>
                        <a:custGeom>
                          <a:avLst/>
                          <a:gdLst>
                            <a:gd name="connsiteX0" fmla="*/ 3429208 w 3436678"/>
                            <a:gd name="connsiteY0" fmla="*/ 12451 h 896496"/>
                            <a:gd name="connsiteX1" fmla="*/ 3429208 w 3436678"/>
                            <a:gd name="connsiteY1" fmla="*/ 889026 h 896496"/>
                            <a:gd name="connsiteX2" fmla="*/ 497239 w 3436678"/>
                            <a:gd name="connsiteY2" fmla="*/ 889026 h 896496"/>
                            <a:gd name="connsiteX3" fmla="*/ 12452 w 3436678"/>
                            <a:gd name="connsiteY3" fmla="*/ 12451 h 896496"/>
                          </a:gdLst>
                          <a:ahLst/>
                          <a:cxnLst>
                            <a:cxn ang="0">
                              <a:pos x="connsiteX0" y="connsiteY0"/>
                            </a:cxn>
                            <a:cxn ang="0">
                              <a:pos x="connsiteX1" y="connsiteY1"/>
                            </a:cxn>
                            <a:cxn ang="0">
                              <a:pos x="connsiteX2" y="connsiteY2"/>
                            </a:cxn>
                            <a:cxn ang="0">
                              <a:pos x="connsiteX3" y="connsiteY3"/>
                            </a:cxn>
                          </a:cxnLst>
                          <a:rect l="l" t="t" r="r" b="b"/>
                          <a:pathLst>
                            <a:path w="3436678" h="896496">
                              <a:moveTo>
                                <a:pt x="3429208" y="12451"/>
                              </a:moveTo>
                              <a:lnTo>
                                <a:pt x="3429208" y="889026"/>
                              </a:lnTo>
                              <a:lnTo>
                                <a:pt x="497239" y="889026"/>
                              </a:lnTo>
                              <a:lnTo>
                                <a:pt x="12452" y="12451"/>
                              </a:lnTo>
                              <a:close/>
                            </a:path>
                          </a:pathLst>
                        </a:custGeom>
                        <a:solidFill>
                          <a:srgbClr val="373545"/>
                        </a:solidFill>
                        <a:ln w="9525" cap="flat">
                          <a:noFill/>
                          <a:prstDash val="solid"/>
                          <a:miter/>
                        </a:ln>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 name="Полилиния: Форма 24"/>
                      <wps:cNvSpPr/>
                      <wps:spPr>
                        <a:xfrm>
                          <a:off x="0" y="656216"/>
                          <a:ext cx="3519690" cy="896497"/>
                        </a:xfrm>
                        <a:custGeom>
                          <a:avLst/>
                          <a:gdLst>
                            <a:gd name="connsiteX0" fmla="*/ 12452 w 3519690"/>
                            <a:gd name="connsiteY0" fmla="*/ 890686 h 896496"/>
                            <a:gd name="connsiteX1" fmla="*/ 12452 w 3519690"/>
                            <a:gd name="connsiteY1" fmla="*/ 12451 h 896496"/>
                            <a:gd name="connsiteX2" fmla="*/ 3030752 w 3519690"/>
                            <a:gd name="connsiteY2" fmla="*/ 12451 h 896496"/>
                            <a:gd name="connsiteX3" fmla="*/ 3515540 w 3519690"/>
                            <a:gd name="connsiteY3" fmla="*/ 890686 h 896496"/>
                          </a:gdLst>
                          <a:ahLst/>
                          <a:cxnLst>
                            <a:cxn ang="0">
                              <a:pos x="connsiteX0" y="connsiteY0"/>
                            </a:cxn>
                            <a:cxn ang="0">
                              <a:pos x="connsiteX1" y="connsiteY1"/>
                            </a:cxn>
                            <a:cxn ang="0">
                              <a:pos x="connsiteX2" y="connsiteY2"/>
                            </a:cxn>
                            <a:cxn ang="0">
                              <a:pos x="connsiteX3" y="connsiteY3"/>
                            </a:cxn>
                          </a:cxnLst>
                          <a:rect l="l" t="t" r="r" b="b"/>
                          <a:pathLst>
                            <a:path w="3519690" h="896496">
                              <a:moveTo>
                                <a:pt x="12452" y="890686"/>
                              </a:moveTo>
                              <a:lnTo>
                                <a:pt x="12452" y="12451"/>
                              </a:lnTo>
                              <a:lnTo>
                                <a:pt x="3030752" y="12451"/>
                              </a:lnTo>
                              <a:lnTo>
                                <a:pt x="3515540" y="890686"/>
                              </a:lnTo>
                              <a:close/>
                            </a:path>
                          </a:pathLst>
                        </a:custGeom>
                        <a:solidFill>
                          <a:srgbClr val="373545"/>
                        </a:solidFill>
                        <a:ln w="9525" cap="flat">
                          <a:noFill/>
                          <a:prstDash val="solid"/>
                          <a:miter/>
                        </a:ln>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5" name="Полилиния: Форма 25"/>
                      <wps:cNvSpPr/>
                      <wps:spPr>
                        <a:xfrm>
                          <a:off x="3399416" y="9886277"/>
                          <a:ext cx="912495" cy="979170"/>
                        </a:xfrm>
                        <a:custGeom>
                          <a:avLst/>
                          <a:gdLst>
                            <a:gd name="connsiteX0" fmla="*/ 12452 w 913127"/>
                            <a:gd name="connsiteY0" fmla="*/ 981997 h 979505"/>
                            <a:gd name="connsiteX1" fmla="*/ 575270 w 913127"/>
                            <a:gd name="connsiteY1" fmla="*/ 12451 h 979505"/>
                            <a:gd name="connsiteX2" fmla="*/ 905656 w 913127"/>
                            <a:gd name="connsiteY2" fmla="*/ 12451 h 979505"/>
                            <a:gd name="connsiteX3" fmla="*/ 342838 w 913127"/>
                            <a:gd name="connsiteY3" fmla="*/ 981997 h 979505"/>
                          </a:gdLst>
                          <a:ahLst/>
                          <a:cxnLst>
                            <a:cxn ang="0">
                              <a:pos x="connsiteX0" y="connsiteY0"/>
                            </a:cxn>
                            <a:cxn ang="0">
                              <a:pos x="connsiteX1" y="connsiteY1"/>
                            </a:cxn>
                            <a:cxn ang="0">
                              <a:pos x="connsiteX2" y="connsiteY2"/>
                            </a:cxn>
                            <a:cxn ang="0">
                              <a:pos x="connsiteX3" y="connsiteY3"/>
                            </a:cxn>
                          </a:cxnLst>
                          <a:rect l="l" t="t" r="r" b="b"/>
                          <a:pathLst>
                            <a:path w="913127" h="979505">
                              <a:moveTo>
                                <a:pt x="12452" y="981997"/>
                              </a:moveTo>
                              <a:lnTo>
                                <a:pt x="575270" y="12451"/>
                              </a:lnTo>
                              <a:lnTo>
                                <a:pt x="905656" y="12451"/>
                              </a:lnTo>
                              <a:lnTo>
                                <a:pt x="342838" y="981997"/>
                              </a:lnTo>
                              <a:close/>
                            </a:path>
                          </a:pathLst>
                        </a:custGeom>
                        <a:solidFill>
                          <a:srgbClr val="58B6C0"/>
                        </a:solidFill>
                        <a:ln w="9525" cap="flat">
                          <a:noFill/>
                          <a:prstDash val="solid"/>
                          <a:miter/>
                        </a:ln>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6" name="Полилиния: Форма 26"/>
                      <wps:cNvSpPr/>
                      <wps:spPr>
                        <a:xfrm>
                          <a:off x="2829261" y="9886277"/>
                          <a:ext cx="913127" cy="979506"/>
                        </a:xfrm>
                        <a:custGeom>
                          <a:avLst/>
                          <a:gdLst>
                            <a:gd name="connsiteX0" fmla="*/ 12452 w 913127"/>
                            <a:gd name="connsiteY0" fmla="*/ 981997 h 979505"/>
                            <a:gd name="connsiteX1" fmla="*/ 570289 w 913127"/>
                            <a:gd name="connsiteY1" fmla="*/ 12451 h 979505"/>
                            <a:gd name="connsiteX2" fmla="*/ 900675 w 913127"/>
                            <a:gd name="connsiteY2" fmla="*/ 12451 h 979505"/>
                            <a:gd name="connsiteX3" fmla="*/ 342838 w 913127"/>
                            <a:gd name="connsiteY3" fmla="*/ 981997 h 979505"/>
                          </a:gdLst>
                          <a:ahLst/>
                          <a:cxnLst>
                            <a:cxn ang="0">
                              <a:pos x="connsiteX0" y="connsiteY0"/>
                            </a:cxn>
                            <a:cxn ang="0">
                              <a:pos x="connsiteX1" y="connsiteY1"/>
                            </a:cxn>
                            <a:cxn ang="0">
                              <a:pos x="connsiteX2" y="connsiteY2"/>
                            </a:cxn>
                            <a:cxn ang="0">
                              <a:pos x="connsiteX3" y="connsiteY3"/>
                            </a:cxn>
                          </a:cxnLst>
                          <a:rect l="l" t="t" r="r" b="b"/>
                          <a:pathLst>
                            <a:path w="913127" h="979505">
                              <a:moveTo>
                                <a:pt x="12452" y="981997"/>
                              </a:moveTo>
                              <a:lnTo>
                                <a:pt x="570289" y="12451"/>
                              </a:lnTo>
                              <a:lnTo>
                                <a:pt x="900675" y="12451"/>
                              </a:lnTo>
                              <a:lnTo>
                                <a:pt x="342838" y="981997"/>
                              </a:lnTo>
                              <a:close/>
                            </a:path>
                          </a:pathLst>
                        </a:custGeom>
                        <a:solidFill>
                          <a:srgbClr val="58B6C0"/>
                        </a:solidFill>
                        <a:ln w="9525" cap="flat">
                          <a:noFill/>
                          <a:prstDash val="solid"/>
                          <a:miter/>
                        </a:ln>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0" name="Полилиния: Форма 30"/>
                      <wps:cNvSpPr/>
                      <wps:spPr>
                        <a:xfrm>
                          <a:off x="4034118" y="9886277"/>
                          <a:ext cx="3519690" cy="896497"/>
                        </a:xfrm>
                        <a:custGeom>
                          <a:avLst/>
                          <a:gdLst>
                            <a:gd name="connsiteX0" fmla="*/ 3515540 w 3519690"/>
                            <a:gd name="connsiteY0" fmla="*/ 889026 h 896496"/>
                            <a:gd name="connsiteX1" fmla="*/ 3515540 w 3519690"/>
                            <a:gd name="connsiteY1" fmla="*/ 12451 h 896496"/>
                            <a:gd name="connsiteX2" fmla="*/ 497239 w 3519690"/>
                            <a:gd name="connsiteY2" fmla="*/ 12451 h 896496"/>
                            <a:gd name="connsiteX3" fmla="*/ 12452 w 3519690"/>
                            <a:gd name="connsiteY3" fmla="*/ 889026 h 896496"/>
                          </a:gdLst>
                          <a:ahLst/>
                          <a:cxnLst>
                            <a:cxn ang="0">
                              <a:pos x="connsiteX0" y="connsiteY0"/>
                            </a:cxn>
                            <a:cxn ang="0">
                              <a:pos x="connsiteX1" y="connsiteY1"/>
                            </a:cxn>
                            <a:cxn ang="0">
                              <a:pos x="connsiteX2" y="connsiteY2"/>
                            </a:cxn>
                            <a:cxn ang="0">
                              <a:pos x="connsiteX3" y="connsiteY3"/>
                            </a:cxn>
                          </a:cxnLst>
                          <a:rect l="l" t="t" r="r" b="b"/>
                          <a:pathLst>
                            <a:path w="3519690" h="896496">
                              <a:moveTo>
                                <a:pt x="3515540" y="889026"/>
                              </a:moveTo>
                              <a:lnTo>
                                <a:pt x="3515540" y="12451"/>
                              </a:lnTo>
                              <a:lnTo>
                                <a:pt x="497239" y="12451"/>
                              </a:lnTo>
                              <a:lnTo>
                                <a:pt x="12452" y="889026"/>
                              </a:lnTo>
                              <a:close/>
                            </a:path>
                          </a:pathLst>
                        </a:custGeom>
                        <a:solidFill>
                          <a:srgbClr val="373545"/>
                        </a:solidFill>
                        <a:ln w="9525" cap="flat">
                          <a:noFill/>
                          <a:prstDash val="solid"/>
                          <a:miter/>
                        </a:ln>
                      </wps:spPr>
                      <wps:txbx>
                        <w:txbxContent>
                          <w:p w:rsidR="006D5CC7" w:rsidRDefault="006D5CC7" w:rsidP="006D5CC7">
                            <w:pPr>
                              <w:jc w:val="center"/>
                            </w:pPr>
                            <w:r w:rsidRPr="002273DF">
                              <w:t>Лектор: Айсачева Мафтунабону</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1" name="Полилиния: Фигура 8"/>
                      <wps:cNvSpPr/>
                      <wps:spPr>
                        <a:xfrm>
                          <a:off x="2872292" y="0"/>
                          <a:ext cx="1217295" cy="1542415"/>
                        </a:xfrm>
                        <a:custGeom>
                          <a:avLst/>
                          <a:gdLst>
                            <a:gd name="connsiteX0" fmla="*/ 0 w 1217675"/>
                            <a:gd name="connsiteY0" fmla="*/ 0 h 1542668"/>
                            <a:gd name="connsiteX1" fmla="*/ 330287 w 1217675"/>
                            <a:gd name="connsiteY1" fmla="*/ 0 h 1542668"/>
                            <a:gd name="connsiteX2" fmla="*/ 1217675 w 1217675"/>
                            <a:gd name="connsiteY2" fmla="*/ 1542668 h 1542668"/>
                            <a:gd name="connsiteX3" fmla="*/ 888533 w 1217675"/>
                            <a:gd name="connsiteY3" fmla="*/ 1542668 h 1542668"/>
                            <a:gd name="connsiteX4" fmla="*/ 0 w 1217675"/>
                            <a:gd name="connsiteY4" fmla="*/ 0 h 1542668"/>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217675" h="1542668">
                              <a:moveTo>
                                <a:pt x="0" y="0"/>
                              </a:moveTo>
                              <a:lnTo>
                                <a:pt x="330287" y="0"/>
                              </a:lnTo>
                              <a:lnTo>
                                <a:pt x="1217675" y="1542668"/>
                              </a:lnTo>
                              <a:lnTo>
                                <a:pt x="888533" y="1542668"/>
                              </a:lnTo>
                              <a:lnTo>
                                <a:pt x="0" y="0"/>
                              </a:lnTo>
                              <a:close/>
                            </a:path>
                          </a:pathLst>
                        </a:custGeom>
                        <a:solidFill>
                          <a:srgbClr val="58B6C0"/>
                        </a:solid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32" name="Полилиния: фигура 7"/>
                      <wps:cNvSpPr/>
                      <wps:spPr>
                        <a:xfrm>
                          <a:off x="3474720" y="0"/>
                          <a:ext cx="1225138" cy="1542664"/>
                        </a:xfrm>
                        <a:custGeom>
                          <a:avLst/>
                          <a:gdLst>
                            <a:gd name="connsiteX0" fmla="*/ 0 w 1225138"/>
                            <a:gd name="connsiteY0" fmla="*/ 0 h 1542664"/>
                            <a:gd name="connsiteX1" fmla="*/ 330265 w 1225138"/>
                            <a:gd name="connsiteY1" fmla="*/ 0 h 1542664"/>
                            <a:gd name="connsiteX2" fmla="*/ 1225138 w 1225138"/>
                            <a:gd name="connsiteY2" fmla="*/ 1542664 h 1542664"/>
                            <a:gd name="connsiteX3" fmla="*/ 895208 w 1225138"/>
                            <a:gd name="connsiteY3" fmla="*/ 1542664 h 1542664"/>
                            <a:gd name="connsiteX4" fmla="*/ 0 w 1225138"/>
                            <a:gd name="connsiteY4" fmla="*/ 0 h 1542664"/>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225138" h="1542664">
                              <a:moveTo>
                                <a:pt x="0" y="0"/>
                              </a:moveTo>
                              <a:lnTo>
                                <a:pt x="330265" y="0"/>
                              </a:lnTo>
                              <a:lnTo>
                                <a:pt x="1225138" y="1542664"/>
                              </a:lnTo>
                              <a:lnTo>
                                <a:pt x="895208" y="1542664"/>
                              </a:lnTo>
                              <a:lnTo>
                                <a:pt x="0" y="0"/>
                              </a:lnTo>
                              <a:close/>
                            </a:path>
                          </a:pathLst>
                        </a:custGeom>
                        <a:solidFill>
                          <a:srgbClr val="58B6C0"/>
                        </a:solid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100000</wp14:pctWidth>
              </wp14:sizeRelH>
              <wp14:sizeRelV relativeFrom="page">
                <wp14:pctHeight>101600</wp14:pctHeight>
              </wp14:sizeRelV>
            </wp:anchor>
          </w:drawing>
        </mc:Choice>
        <mc:Fallback>
          <w:pict>
            <v:group w14:anchorId="449665E7" id="Группа 22" o:spid="_x0000_s1036" style="position:absolute;left:0;text-align:left;margin-left:0;margin-top:0;width:595pt;height:855.55pt;z-index:-251656192;mso-width-percent:1000;mso-height-percent:1016;mso-position-horizontal:center;mso-position-horizontal-relative:page;mso-position-vertical:center;mso-position-vertical-relative:page;mso-width-percent:1000;mso-height-percent:1016" coordsize="75568,1086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">
              <v:shape id="Полилиния: Фигура 23" o:spid="_x0000_s1037" style="position:absolute;left:41201;width:34367;height:8964;visibility:visible;mso-wrap-style:square;v-text-anchor:middle" coordsize="3436678,8964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daQTcMA&#10;AADbAAAADwAAAGRycy9kb3ducmV2LnhtbESPQWsCMRSE70L/Q3hCb5rVBbFbo5SKYEEQ1/b+2DyT&#10;tZuXZZPq+u8bQfA4zMw3zGLVu0ZcqAu1ZwWTcQaCuPK6ZqPg+7gZzUGEiKyx8UwKbhRgtXwZLLDQ&#10;/soHupTRiAThUKACG2NbSBkqSw7D2LfEyTv5zmFMsjNSd3hNcNfIaZbNpMOa04LFlj4tVb/ln1Ng&#10;7Hrb/hy/dqZ+mzcHu89v5zJX6nXYf7yDiNTHZ/jR3moF0xzuX9IPkMt/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daQTcMAAADbAAAADwAAAAAAAAAAAAAAAACYAgAAZHJzL2Rv&#10;d25yZXYueG1sUEsFBgAAAAAEAAQA9QAAAIgDAAAAAA==&#10;" path="m3429208,12451r,876575l497239,889026,12452,12451r3416756,xe" fillcolor="#373545" stroked="f">
                <v:stroke joinstyle="miter"/>
                <v:path arrowok="t" o:connecttype="custom" o:connectlocs="3429209,12451;3429209,889027;497239,889027;12452,12451" o:connectangles="0,0,0,0"/>
              </v:shape>
              <v:shape id="Полилиния: Форма 24" o:spid="_x0000_s1038" style="position:absolute;top:6562;width:35196;height:8965;visibility:visible;mso-wrap-style:square;v-text-anchor:middle" coordsize="3519690,8964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QStRMMA&#10;AADbAAAADwAAAGRycy9kb3ducmV2LnhtbESPQWsCMRSE70L/Q3iF3jRbaUVWo1hB7EGF3Ra8PjbP&#10;3eDmZUmibv+9KQgeh5n5hpkve9uKK/lgHCt4H2UgiCunDdcKfn82wymIEJE1to5JwR8FWC5eBnPM&#10;tbtxQdcy1iJBOOSooImxy6UMVUMWw8h1xMk7OW8xJulrqT3eEty2cpxlE2nRcFposKN1Q9W5vFgF&#10;R73XlZsUB+lPn9l6uzPl18Uo9fbar2YgIvXxGX60v7WC8Qf8f0k/QC7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QStRMMAAADbAAAADwAAAAAAAAAAAAAAAACYAgAAZHJzL2Rv&#10;d25yZXYueG1sUEsFBgAAAAAEAAQA9QAAAIgDAAAAAA==&#10;" path="m12452,890686r,-878235l3030752,12451r484788,878235l12452,890686xe" fillcolor="#373545" stroked="f">
                <v:stroke joinstyle="miter"/>
                <v:path arrowok="t" o:connecttype="custom" o:connectlocs="12452,890687;12452,12451;3030752,12451;3515540,890687" o:connectangles="0,0,0,0"/>
              </v:shape>
              <v:shape id="Полилиния: Форма 25" o:spid="_x0000_s1039" style="position:absolute;left:33994;top:98862;width:9125;height:9792;visibility:visible;mso-wrap-style:square;v-text-anchor:middle" coordsize="913127,9795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ubGwMMA&#10;AADbAAAADwAAAGRycy9kb3ducmV2LnhtbESPwWrDMBBE74X8g9hAbo0cQ4txo4TWYMipULeh9LZI&#10;G9tUWhlLiZ2/rwqBHIeZecNs97Oz4kJj6D0r2KwzEMTam55bBV+f9WMBIkRkg9YzKbhSgP1u8bDF&#10;0viJP+jSxFYkCIcSFXQxDqWUQXfkMKz9QJy8kx8dxiTHVpoRpwR3VuZZ9iwd9pwWOhyo6kj/Nmen&#10;oNbvrrLfYdLuJ+djMdi30/mo1Go5v76AiDTHe/jWPhgF+RP8f0k/QO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ubGwMMAAADbAAAADwAAAAAAAAAAAAAAAACYAgAAZHJzL2Rv&#10;d25yZXYueG1sUEsFBgAAAAAEAAQA9QAAAIgDAAAAAA==&#10;" path="m12452,981997l575270,12451r330386,l342838,981997r-330386,xe" fillcolor="#58b6c0" stroked="f">
                <v:stroke joinstyle="miter"/>
                <v:path arrowok="t" o:connecttype="custom" o:connectlocs="12443,981661;574872,12447;905029,12447;342601,981661" o:connectangles="0,0,0,0"/>
              </v:shape>
              <v:shape id="Полилиния: Форма 26" o:spid="_x0000_s1040" style="position:absolute;left:28292;top:98862;width:9131;height:9795;visibility:visible;mso-wrap-style:square;v-text-anchor:middle" coordsize="913127,9795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jRYt8MA&#10;AADbAAAADwAAAGRycy9kb3ducmV2LnhtbESPwWrDMBBE74X8g9hAbo0cH4xxo4Q2EMipELem9LZI&#10;G9tUWhlLid2/jwKFHoeZecNs97Oz4kZj6D0r2KwzEMTam55bBZ8fx+cSRIjIBq1nUvBLAfa7xdMW&#10;K+MnPtOtjq1IEA4VKuhiHCopg+7IYVj7gTh5Fz86jEmOrTQjTgnurMyzrJAOe04LHQ506Ej/1Fen&#10;4Kjf3cF+hUm775ybcrBvl2uj1Go5v76AiDTH//Bf+2QU5AU8vqQfIHd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jRYt8MAAADbAAAADwAAAAAAAAAAAAAAAACYAgAAZHJzL2Rv&#10;d25yZXYueG1sUEsFBgAAAAAEAAQA9QAAAIgDAAAAAA==&#10;" path="m12452,981997l570289,12451r330386,l342838,981997r-330386,xe" fillcolor="#58b6c0" stroked="f">
                <v:stroke joinstyle="miter"/>
                <v:path arrowok="t" o:connecttype="custom" o:connectlocs="12452,981998;570289,12451;900675,12451;342838,981998" o:connectangles="0,0,0,0"/>
              </v:shape>
              <v:shape id="Полилиния: Форма 30" o:spid="_x0000_s1041" style="position:absolute;left:40341;top:98862;width:35197;height:8965;visibility:visible;mso-wrap-style:square;v-text-anchor:middle" coordsize="3519690,89649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o3R7sEA&#10;AADbAAAADwAAAGRycy9kb3ducmV2LnhtbERPW2vCMBR+F/YfwhnsRWbiBJHOtLiB4IMMLwNfz5qz&#10;pqw5KU1s679fHgQfP777uhhdI3rqQu1Zw3ymQBCX3tRcafg+b19XIEJENth4Jg03ClDkT5M1ZsYP&#10;fKT+FCuRQjhkqMHG2GZShtKSwzDzLXHifn3nMCbYVdJ0OKRw18g3pZbSYc2pwWJLn5bKv9PVafjZ&#10;qOl+2/Q17T6sOl8uA33RQeuX53HzDiLSGB/iu3tnNCzS+vQl/QCZ/w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6N0e7BAAAA2wAAAA8AAAAAAAAAAAAAAAAAmAIAAGRycy9kb3du&#10;cmV2LnhtbFBLBQYAAAAABAAEAPUAAACGAwAAAAA=&#10;" adj="-11796480,,5400" path="m3515540,889026r,-876575l497239,12451,12452,889026r3503088,xe" fillcolor="#373545" stroked="f">
                <v:stroke joinstyle="miter"/>
                <v:formulas/>
                <v:path arrowok="t" o:connecttype="custom" o:connectlocs="3515540,889027;3515540,12451;497239,12451;12452,889027" o:connectangles="0,0,0,0" textboxrect="0,0,3519690,896496"/>
                <v:textbox>
                  <w:txbxContent>
                    <w:p w:rsidR="006D5CC7" w:rsidRDefault="006D5CC7" w:rsidP="006D5CC7">
                      <w:pPr>
                        <w:jc w:val="center"/>
                      </w:pPr>
                      <w:r w:rsidRPr="002273DF">
                        <w:t>Лектор: Айсачева Мафтунабону</w:t>
                      </w:r>
                    </w:p>
                  </w:txbxContent>
                </v:textbox>
              </v:shape>
              <v:shape id="Полилиния: Фигура 8" o:spid="_x0000_s1042" style="position:absolute;left:28722;width:12173;height:15424;visibility:visible;mso-wrap-style:square;v-text-anchor:middle" coordsize="1217675,15426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w8NC8UA&#10;AADbAAAADwAAAGRycy9kb3ducmV2LnhtbESPQWvCQBSE7wX/w/IEL6VuYqEt0U0QacGDB6tevD2z&#10;r5vQ7NuYXU3y77uFQo/DzHzDrIrBNuJOna8dK0jnCQji0umajYLT8ePpDYQPyBobx6RgJA9FPnlY&#10;YaZdz590PwQjIoR9hgqqENpMSl9WZNHPXUscvS/XWQxRdkbqDvsIt41cJMmLtFhzXKiwpU1F5ffh&#10;ZhXcHofzxezGvd+/m1cqN3hM6arUbDqslyACDeE//NfeagXPKfx+iT9A5j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HDw0LxQAAANsAAAAPAAAAAAAAAAAAAAAAAJgCAABkcnMv&#10;ZG93bnJldi54bWxQSwUGAAAAAAQABAD1AAAAigMAAAAA&#10;" path="m,l330287,r887388,1542668l888533,1542668,,xe" fillcolor="#58b6c0" stroked="f">
                <v:stroke joinstyle="miter"/>
                <v:path arrowok="t" o:connecttype="custom" o:connectlocs="0,0;330184,0;1217295,1542415;888256,1542415;0,0" o:connectangles="0,0,0,0,0"/>
              </v:shape>
              <v:shape id="Полилиния: фигура 7" o:spid="_x0000_s1043" style="position:absolute;left:34747;width:12251;height:15426;visibility:visible;mso-wrap-style:square;v-text-anchor:middle" coordsize="1225138,154266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ZeZCsMA&#10;AADbAAAADwAAAGRycy9kb3ducmV2LnhtbESPQWvCQBSE7wX/w/IEL6Vu1FLa1FVUUIQeQq3eH9nX&#10;JDT7Nuw+Nf57t1DocZiZb5j5snetulCIjWcDk3EGirj0tuHKwPFr+/QKKgqyxdYzGbhRhOVi8DDH&#10;3Porf9LlIJVKEI45GqhFulzrWNbkMI59R5y8bx8cSpKh0jbgNcFdq6dZ9qIdNpwWauxoU1P5czg7&#10;A7TbF6fnGKUJhRT928fZletHY0bDfvUOSqiX//Bfe28NzKbw+yX9AL24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ZeZCsMAAADbAAAADwAAAAAAAAAAAAAAAACYAgAAZHJzL2Rv&#10;d25yZXYueG1sUEsFBgAAAAAEAAQA9QAAAIgDAAAAAA==&#10;" path="m,l330265,r894873,1542664l895208,1542664,,xe" fillcolor="#58b6c0" stroked="f">
                <v:stroke joinstyle="miter"/>
                <v:path arrowok="t" o:connecttype="custom" o:connectlocs="0,0;330265,0;1225138,1542664;895208,1542664;0,0" o:connectangles="0,0,0,0,0"/>
              </v:shape>
              <w10:wrap anchorx="page" anchory="page"/>
            </v:group>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9D37582"/>
    <w:multiLevelType w:val="hybridMultilevel"/>
    <w:tmpl w:val="8A9E48F6"/>
    <w:lvl w:ilvl="0" w:tplc="5F4676CE">
      <w:start w:val="1"/>
      <w:numFmt w:val="bullet"/>
      <w:lvlText w:val="•"/>
      <w:lvlJc w:val="left"/>
      <w:pPr>
        <w:tabs>
          <w:tab w:val="num" w:pos="720"/>
        </w:tabs>
        <w:ind w:left="720" w:hanging="360"/>
      </w:pPr>
      <w:rPr>
        <w:rFonts w:ascii="Arial" w:hAnsi="Arial" w:hint="default"/>
      </w:rPr>
    </w:lvl>
    <w:lvl w:ilvl="1" w:tplc="1D8CEB1E" w:tentative="1">
      <w:start w:val="1"/>
      <w:numFmt w:val="bullet"/>
      <w:lvlText w:val="•"/>
      <w:lvlJc w:val="left"/>
      <w:pPr>
        <w:tabs>
          <w:tab w:val="num" w:pos="1440"/>
        </w:tabs>
        <w:ind w:left="1440" w:hanging="360"/>
      </w:pPr>
      <w:rPr>
        <w:rFonts w:ascii="Arial" w:hAnsi="Arial" w:hint="default"/>
      </w:rPr>
    </w:lvl>
    <w:lvl w:ilvl="2" w:tplc="78001334" w:tentative="1">
      <w:start w:val="1"/>
      <w:numFmt w:val="bullet"/>
      <w:lvlText w:val="•"/>
      <w:lvlJc w:val="left"/>
      <w:pPr>
        <w:tabs>
          <w:tab w:val="num" w:pos="2160"/>
        </w:tabs>
        <w:ind w:left="2160" w:hanging="360"/>
      </w:pPr>
      <w:rPr>
        <w:rFonts w:ascii="Arial" w:hAnsi="Arial" w:hint="default"/>
      </w:rPr>
    </w:lvl>
    <w:lvl w:ilvl="3" w:tplc="0A0CC48A" w:tentative="1">
      <w:start w:val="1"/>
      <w:numFmt w:val="bullet"/>
      <w:lvlText w:val="•"/>
      <w:lvlJc w:val="left"/>
      <w:pPr>
        <w:tabs>
          <w:tab w:val="num" w:pos="2880"/>
        </w:tabs>
        <w:ind w:left="2880" w:hanging="360"/>
      </w:pPr>
      <w:rPr>
        <w:rFonts w:ascii="Arial" w:hAnsi="Arial" w:hint="default"/>
      </w:rPr>
    </w:lvl>
    <w:lvl w:ilvl="4" w:tplc="5D7A8A0A" w:tentative="1">
      <w:start w:val="1"/>
      <w:numFmt w:val="bullet"/>
      <w:lvlText w:val="•"/>
      <w:lvlJc w:val="left"/>
      <w:pPr>
        <w:tabs>
          <w:tab w:val="num" w:pos="3600"/>
        </w:tabs>
        <w:ind w:left="3600" w:hanging="360"/>
      </w:pPr>
      <w:rPr>
        <w:rFonts w:ascii="Arial" w:hAnsi="Arial" w:hint="default"/>
      </w:rPr>
    </w:lvl>
    <w:lvl w:ilvl="5" w:tplc="23E4582E" w:tentative="1">
      <w:start w:val="1"/>
      <w:numFmt w:val="bullet"/>
      <w:lvlText w:val="•"/>
      <w:lvlJc w:val="left"/>
      <w:pPr>
        <w:tabs>
          <w:tab w:val="num" w:pos="4320"/>
        </w:tabs>
        <w:ind w:left="4320" w:hanging="360"/>
      </w:pPr>
      <w:rPr>
        <w:rFonts w:ascii="Arial" w:hAnsi="Arial" w:hint="default"/>
      </w:rPr>
    </w:lvl>
    <w:lvl w:ilvl="6" w:tplc="75C80062" w:tentative="1">
      <w:start w:val="1"/>
      <w:numFmt w:val="bullet"/>
      <w:lvlText w:val="•"/>
      <w:lvlJc w:val="left"/>
      <w:pPr>
        <w:tabs>
          <w:tab w:val="num" w:pos="5040"/>
        </w:tabs>
        <w:ind w:left="5040" w:hanging="360"/>
      </w:pPr>
      <w:rPr>
        <w:rFonts w:ascii="Arial" w:hAnsi="Arial" w:hint="default"/>
      </w:rPr>
    </w:lvl>
    <w:lvl w:ilvl="7" w:tplc="206C539A" w:tentative="1">
      <w:start w:val="1"/>
      <w:numFmt w:val="bullet"/>
      <w:lvlText w:val="•"/>
      <w:lvlJc w:val="left"/>
      <w:pPr>
        <w:tabs>
          <w:tab w:val="num" w:pos="5760"/>
        </w:tabs>
        <w:ind w:left="5760" w:hanging="360"/>
      </w:pPr>
      <w:rPr>
        <w:rFonts w:ascii="Arial" w:hAnsi="Arial" w:hint="default"/>
      </w:rPr>
    </w:lvl>
    <w:lvl w:ilvl="8" w:tplc="B5D063F2" w:tentative="1">
      <w:start w:val="1"/>
      <w:numFmt w:val="bullet"/>
      <w:lvlText w:val="•"/>
      <w:lvlJc w:val="left"/>
      <w:pPr>
        <w:tabs>
          <w:tab w:val="num" w:pos="6480"/>
        </w:tabs>
        <w:ind w:left="6480" w:hanging="360"/>
      </w:pPr>
      <w:rPr>
        <w:rFonts w:ascii="Arial" w:hAnsi="Arial" w:hint="default"/>
      </w:rPr>
    </w:lvl>
  </w:abstractNum>
  <w:abstractNum w:abstractNumId="1">
    <w:nsid w:val="389A3516"/>
    <w:multiLevelType w:val="hybridMultilevel"/>
    <w:tmpl w:val="AB986BC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530D65FB"/>
    <w:multiLevelType w:val="hybridMultilevel"/>
    <w:tmpl w:val="2C8444C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6DCD25EA"/>
    <w:multiLevelType w:val="hybridMultilevel"/>
    <w:tmpl w:val="5FEA089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proofState w:grammar="clean"/>
  <w:defaultTabStop w:val="708"/>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5CC7"/>
    <w:rsid w:val="000631CC"/>
    <w:rsid w:val="00064610"/>
    <w:rsid w:val="00134923"/>
    <w:rsid w:val="001C13E6"/>
    <w:rsid w:val="001E7923"/>
    <w:rsid w:val="002C2511"/>
    <w:rsid w:val="003276B5"/>
    <w:rsid w:val="0063083D"/>
    <w:rsid w:val="006D5CC7"/>
    <w:rsid w:val="00945987"/>
    <w:rsid w:val="00A14C57"/>
    <w:rsid w:val="00B22ACF"/>
    <w:rsid w:val="00C42384"/>
    <w:rsid w:val="00F2210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4A2EF879-5150-4929-A7DD-5DAF2815BE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line="360" w:lineRule="auto"/>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6D5CC7"/>
    <w:pPr>
      <w:tabs>
        <w:tab w:val="center" w:pos="4677"/>
        <w:tab w:val="right" w:pos="9355"/>
      </w:tabs>
      <w:spacing w:line="240" w:lineRule="auto"/>
    </w:pPr>
  </w:style>
  <w:style w:type="character" w:customStyle="1" w:styleId="a4">
    <w:name w:val="Верхний колонтитул Знак"/>
    <w:basedOn w:val="a0"/>
    <w:link w:val="a3"/>
    <w:uiPriority w:val="99"/>
    <w:rsid w:val="006D5CC7"/>
  </w:style>
  <w:style w:type="paragraph" w:styleId="a5">
    <w:name w:val="Normal (Web)"/>
    <w:basedOn w:val="a"/>
    <w:uiPriority w:val="99"/>
    <w:semiHidden/>
    <w:unhideWhenUsed/>
    <w:rsid w:val="006D5CC7"/>
    <w:rPr>
      <w:rFonts w:ascii="Times New Roman" w:hAnsi="Times New Roman" w:cs="Times New Roman"/>
      <w:sz w:val="24"/>
      <w:szCs w:val="24"/>
    </w:rPr>
  </w:style>
  <w:style w:type="paragraph" w:styleId="a6">
    <w:name w:val="footer"/>
    <w:basedOn w:val="a"/>
    <w:link w:val="a7"/>
    <w:uiPriority w:val="99"/>
    <w:unhideWhenUsed/>
    <w:rsid w:val="006D5CC7"/>
    <w:pPr>
      <w:tabs>
        <w:tab w:val="center" w:pos="4677"/>
        <w:tab w:val="right" w:pos="9355"/>
      </w:tabs>
      <w:spacing w:line="240" w:lineRule="auto"/>
    </w:pPr>
  </w:style>
  <w:style w:type="character" w:customStyle="1" w:styleId="a7">
    <w:name w:val="Нижний колонтитул Знак"/>
    <w:basedOn w:val="a0"/>
    <w:link w:val="a6"/>
    <w:uiPriority w:val="99"/>
    <w:rsid w:val="006D5CC7"/>
  </w:style>
  <w:style w:type="paragraph" w:styleId="a8">
    <w:name w:val="List Paragraph"/>
    <w:basedOn w:val="a"/>
    <w:uiPriority w:val="34"/>
    <w:qFormat/>
    <w:rsid w:val="00C4238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0087069">
      <w:bodyDiv w:val="1"/>
      <w:marLeft w:val="0"/>
      <w:marRight w:val="0"/>
      <w:marTop w:val="0"/>
      <w:marBottom w:val="0"/>
      <w:divBdr>
        <w:top w:val="none" w:sz="0" w:space="0" w:color="auto"/>
        <w:left w:val="none" w:sz="0" w:space="0" w:color="auto"/>
        <w:bottom w:val="none" w:sz="0" w:space="0" w:color="auto"/>
        <w:right w:val="none" w:sz="0" w:space="0" w:color="auto"/>
      </w:divBdr>
      <w:divsChild>
        <w:div w:id="1612861334">
          <w:marLeft w:val="360"/>
          <w:marRight w:val="0"/>
          <w:marTop w:val="200"/>
          <w:marBottom w:val="0"/>
          <w:divBdr>
            <w:top w:val="none" w:sz="0" w:space="0" w:color="auto"/>
            <w:left w:val="none" w:sz="0" w:space="0" w:color="auto"/>
            <w:bottom w:val="none" w:sz="0" w:space="0" w:color="auto"/>
            <w:right w:val="none" w:sz="0" w:space="0" w:color="auto"/>
          </w:divBdr>
        </w:div>
        <w:div w:id="1410470018">
          <w:marLeft w:val="360"/>
          <w:marRight w:val="0"/>
          <w:marTop w:val="200"/>
          <w:marBottom w:val="0"/>
          <w:divBdr>
            <w:top w:val="none" w:sz="0" w:space="0" w:color="auto"/>
            <w:left w:val="none" w:sz="0" w:space="0" w:color="auto"/>
            <w:bottom w:val="none" w:sz="0" w:space="0" w:color="auto"/>
            <w:right w:val="none" w:sz="0" w:space="0" w:color="auto"/>
          </w:divBdr>
        </w:div>
        <w:div w:id="1207571204">
          <w:marLeft w:val="360"/>
          <w:marRight w:val="0"/>
          <w:marTop w:val="200"/>
          <w:marBottom w:val="0"/>
          <w:divBdr>
            <w:top w:val="none" w:sz="0" w:space="0" w:color="auto"/>
            <w:left w:val="none" w:sz="0" w:space="0" w:color="auto"/>
            <w:bottom w:val="none" w:sz="0" w:space="0" w:color="auto"/>
            <w:right w:val="none" w:sz="0" w:space="0" w:color="auto"/>
          </w:divBdr>
        </w:div>
        <w:div w:id="116871920">
          <w:marLeft w:val="360"/>
          <w:marRight w:val="0"/>
          <w:marTop w:val="200"/>
          <w:marBottom w:val="0"/>
          <w:divBdr>
            <w:top w:val="none" w:sz="0" w:space="0" w:color="auto"/>
            <w:left w:val="none" w:sz="0" w:space="0" w:color="auto"/>
            <w:bottom w:val="none" w:sz="0" w:space="0" w:color="auto"/>
            <w:right w:val="none" w:sz="0" w:space="0" w:color="auto"/>
          </w:divBdr>
        </w:div>
        <w:div w:id="126239655">
          <w:marLeft w:val="360"/>
          <w:marRight w:val="0"/>
          <w:marTop w:val="200"/>
          <w:marBottom w:val="0"/>
          <w:divBdr>
            <w:top w:val="none" w:sz="0" w:space="0" w:color="auto"/>
            <w:left w:val="none" w:sz="0" w:space="0" w:color="auto"/>
            <w:bottom w:val="none" w:sz="0" w:space="0" w:color="auto"/>
            <w:right w:val="none" w:sz="0" w:space="0" w:color="auto"/>
          </w:divBdr>
        </w:div>
        <w:div w:id="1140223003">
          <w:marLeft w:val="360"/>
          <w:marRight w:val="0"/>
          <w:marTop w:val="200"/>
          <w:marBottom w:val="0"/>
          <w:divBdr>
            <w:top w:val="none" w:sz="0" w:space="0" w:color="auto"/>
            <w:left w:val="none" w:sz="0" w:space="0" w:color="auto"/>
            <w:bottom w:val="none" w:sz="0" w:space="0" w:color="auto"/>
            <w:right w:val="none" w:sz="0" w:space="0" w:color="auto"/>
          </w:divBdr>
        </w:div>
        <w:div w:id="493185295">
          <w:marLeft w:val="360"/>
          <w:marRight w:val="0"/>
          <w:marTop w:val="200"/>
          <w:marBottom w:val="0"/>
          <w:divBdr>
            <w:top w:val="none" w:sz="0" w:space="0" w:color="auto"/>
            <w:left w:val="none" w:sz="0" w:space="0" w:color="auto"/>
            <w:bottom w:val="none" w:sz="0" w:space="0" w:color="auto"/>
            <w:right w:val="none" w:sz="0" w:space="0" w:color="auto"/>
          </w:divBdr>
        </w:div>
        <w:div w:id="511067625">
          <w:marLeft w:val="360"/>
          <w:marRight w:val="0"/>
          <w:marTop w:val="200"/>
          <w:marBottom w:val="0"/>
          <w:divBdr>
            <w:top w:val="none" w:sz="0" w:space="0" w:color="auto"/>
            <w:left w:val="none" w:sz="0" w:space="0" w:color="auto"/>
            <w:bottom w:val="none" w:sz="0" w:space="0" w:color="auto"/>
            <w:right w:val="none" w:sz="0" w:space="0" w:color="auto"/>
          </w:divBdr>
        </w:div>
        <w:div w:id="1366325974">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112</TotalTime>
  <Pages>44</Pages>
  <Words>21102</Words>
  <Characters>120284</Characters>
  <Application>Microsoft Office Word</Application>
  <DocSecurity>0</DocSecurity>
  <Lines>1002</Lines>
  <Paragraphs>282</Paragraphs>
  <ScaleCrop>false</ScaleCrop>
  <HeadingPairs>
    <vt:vector size="2" baseType="variant">
      <vt:variant>
        <vt:lpstr>Название</vt:lpstr>
      </vt:variant>
      <vt:variant>
        <vt:i4>1</vt:i4>
      </vt:variant>
    </vt:vector>
  </HeadingPairs>
  <TitlesOfParts>
    <vt:vector size="1" baseType="lpstr">
      <vt:lpstr/>
    </vt:vector>
  </TitlesOfParts>
  <Company>rg-adguard</Company>
  <LinksUpToDate>false</LinksUpToDate>
  <CharactersWithSpaces>141104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Rayyona</dc:creator>
  <cp:keywords/>
  <dc:description/>
  <cp:lastModifiedBy>Rayyona</cp:lastModifiedBy>
  <cp:revision>2</cp:revision>
  <dcterms:created xsi:type="dcterms:W3CDTF">2022-04-18T09:26:00Z</dcterms:created>
  <dcterms:modified xsi:type="dcterms:W3CDTF">2022-04-18T11:18:00Z</dcterms:modified>
</cp:coreProperties>
</file>