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6D8B" w:rsidRDefault="00DD6D8B" w:rsidP="00FA3FA4">
      <w:pPr>
        <w:spacing w:line="360" w:lineRule="auto"/>
        <w:jc w:val="center"/>
        <w:rPr>
          <w:b/>
          <w:color w:val="002060"/>
          <w:sz w:val="24"/>
          <w:szCs w:val="24"/>
          <w:lang w:val="en-US"/>
        </w:rPr>
      </w:pPr>
      <w:bookmarkStart w:id="0" w:name="_Toc213118549"/>
      <w:bookmarkStart w:id="1" w:name="_Toc213164096"/>
      <w:r>
        <w:rPr>
          <w:b/>
          <w:color w:val="002060"/>
          <w:sz w:val="24"/>
          <w:szCs w:val="24"/>
          <w:lang w:val="en-US"/>
        </w:rPr>
        <w:t>T</w:t>
      </w:r>
      <w:r w:rsidRPr="00DD6D8B">
        <w:rPr>
          <w:b/>
          <w:color w:val="002060"/>
          <w:sz w:val="24"/>
          <w:szCs w:val="24"/>
          <w:lang w:val="en-US"/>
        </w:rPr>
        <w:t>HE COURSE TITLE "ENDOCRINOLOGY: NEW ASPECTS IN DIAGNOSIS AND TREATMENT"</w:t>
      </w:r>
    </w:p>
    <w:p w:rsidR="00FA3FA4" w:rsidRPr="002273DF" w:rsidRDefault="009F7D3C" w:rsidP="00FA3FA4">
      <w:pPr>
        <w:spacing w:line="360" w:lineRule="auto"/>
        <w:jc w:val="center"/>
        <w:rPr>
          <w:b/>
          <w:bCs/>
          <w:color w:val="002060"/>
          <w:sz w:val="24"/>
          <w:szCs w:val="24"/>
          <w:lang w:val="en-US"/>
        </w:rPr>
      </w:pPr>
      <w:r w:rsidRPr="002273DF">
        <w:rPr>
          <w:b/>
          <w:color w:val="002060"/>
          <w:sz w:val="24"/>
          <w:szCs w:val="24"/>
          <w:lang w:val="en-US"/>
        </w:rPr>
        <w:t>LECTURE</w:t>
      </w:r>
      <w:r w:rsidR="0062682A" w:rsidRPr="002273DF">
        <w:rPr>
          <w:b/>
          <w:color w:val="002060"/>
          <w:sz w:val="24"/>
          <w:szCs w:val="24"/>
          <w:lang w:val="en-US"/>
        </w:rPr>
        <w:t>_</w:t>
      </w:r>
      <w:r w:rsidR="00F12121">
        <w:rPr>
          <w:b/>
          <w:color w:val="002060"/>
          <w:sz w:val="24"/>
          <w:szCs w:val="24"/>
          <w:lang w:val="en-US"/>
        </w:rPr>
        <w:t>7</w:t>
      </w:r>
      <w:r w:rsidR="0062682A" w:rsidRPr="00E553ED">
        <w:rPr>
          <w:rFonts w:eastAsiaTheme="minorEastAsia"/>
          <w:b/>
          <w:bCs/>
          <w:color w:val="002060"/>
          <w:kern w:val="24"/>
          <w:sz w:val="24"/>
          <w:szCs w:val="24"/>
          <w:lang w:val="en-US"/>
          <w14:shadow w14:blurRad="38100" w14:dist="38100" w14:dir="2700000" w14:sx="100000" w14:sy="100000" w14:kx="0" w14:ky="0" w14:algn="tl">
            <w14:srgbClr w14:val="000000">
              <w14:alpha w14:val="57000"/>
            </w14:srgbClr>
          </w14:shadow>
        </w:rPr>
        <w:t xml:space="preserve"> </w:t>
      </w:r>
      <w:r w:rsidR="00F12121" w:rsidRPr="00F12121">
        <w:rPr>
          <w:b/>
          <w:bCs/>
          <w:color w:val="002060"/>
          <w:sz w:val="24"/>
          <w:szCs w:val="24"/>
          <w:lang w:val="en-US"/>
        </w:rPr>
        <w:t>METABOLIC DISORDERS. HEREDITARY METABOLIC DISORDERS</w:t>
      </w:r>
      <w:r w:rsidR="00F12121" w:rsidRPr="002273DF">
        <w:rPr>
          <w:b/>
          <w:bCs/>
          <w:color w:val="002060"/>
          <w:sz w:val="24"/>
          <w:szCs w:val="24"/>
          <w:lang w:val="en-US"/>
        </w:rPr>
        <w:t>.</w:t>
      </w:r>
    </w:p>
    <w:p w:rsidR="00FA3FA4" w:rsidRPr="002273DF" w:rsidRDefault="0062682A" w:rsidP="00FA3FA4">
      <w:pPr>
        <w:spacing w:line="360" w:lineRule="auto"/>
        <w:jc w:val="center"/>
        <w:rPr>
          <w:b/>
          <w:bCs/>
          <w:color w:val="002060"/>
          <w:sz w:val="24"/>
          <w:szCs w:val="24"/>
        </w:rPr>
      </w:pPr>
      <w:r w:rsidRPr="002273DF">
        <w:rPr>
          <w:b/>
          <w:bCs/>
          <w:color w:val="002060"/>
          <w:sz w:val="24"/>
          <w:szCs w:val="24"/>
        </w:rPr>
        <w:t>ТЕМА-</w:t>
      </w:r>
      <w:r w:rsidR="0010487E">
        <w:rPr>
          <w:b/>
          <w:bCs/>
          <w:color w:val="002060"/>
          <w:sz w:val="24"/>
          <w:szCs w:val="24"/>
          <w:lang w:val="uz-Latn-UZ"/>
        </w:rPr>
        <w:t>7</w:t>
      </w:r>
      <w:r w:rsidRPr="002273DF">
        <w:rPr>
          <w:b/>
          <w:bCs/>
          <w:color w:val="002060"/>
          <w:sz w:val="24"/>
          <w:szCs w:val="24"/>
        </w:rPr>
        <w:t xml:space="preserve">: </w:t>
      </w:r>
      <w:r w:rsidR="00F12121" w:rsidRPr="00F12121">
        <w:rPr>
          <w:b/>
          <w:bCs/>
          <w:color w:val="002060"/>
          <w:sz w:val="24"/>
          <w:szCs w:val="24"/>
        </w:rPr>
        <w:t>НАРУШЕНИЯ ОБМЕНА ВЕЩЕСТВ. НАСЛЕДСТВЕННЫЕ НАРУШЕНИЯ ОБМЕНА ВЕЩЕСТВ</w:t>
      </w:r>
      <w:r w:rsidR="00F12121" w:rsidRPr="002273DF">
        <w:rPr>
          <w:b/>
          <w:bCs/>
          <w:color w:val="002060"/>
          <w:sz w:val="24"/>
          <w:szCs w:val="24"/>
        </w:rPr>
        <w:t>.</w:t>
      </w:r>
    </w:p>
    <w:p w:rsidR="005D1C1F" w:rsidRPr="002273DF" w:rsidRDefault="005D1C1F" w:rsidP="005D1C1F">
      <w:pPr>
        <w:jc w:val="center"/>
        <w:rPr>
          <w:b/>
          <w:bCs/>
          <w:color w:val="002060"/>
          <w:sz w:val="24"/>
          <w:szCs w:val="24"/>
        </w:rPr>
      </w:pPr>
      <w:r w:rsidRPr="002273DF">
        <w:rPr>
          <w:b/>
          <w:bCs/>
          <w:color w:val="002060"/>
          <w:sz w:val="24"/>
          <w:szCs w:val="24"/>
        </w:rPr>
        <w:t>План лекции:</w:t>
      </w:r>
      <w:bookmarkStart w:id="2" w:name="_GoBack"/>
      <w:bookmarkEnd w:id="2"/>
    </w:p>
    <w:p w:rsidR="00FA3FA4" w:rsidRPr="002273DF" w:rsidRDefault="00FA3FA4" w:rsidP="00FA3FA4">
      <w:pPr>
        <w:jc w:val="center"/>
        <w:rPr>
          <w:b/>
          <w:color w:val="00B050"/>
          <w:sz w:val="24"/>
          <w:szCs w:val="24"/>
        </w:rPr>
      </w:pPr>
    </w:p>
    <w:p w:rsidR="00F12121" w:rsidRDefault="00F12121" w:rsidP="00F12121">
      <w:pPr>
        <w:pStyle w:val="af8"/>
        <w:widowControl/>
        <w:numPr>
          <w:ilvl w:val="0"/>
          <w:numId w:val="13"/>
        </w:numPr>
        <w:autoSpaceDE/>
        <w:autoSpaceDN/>
        <w:adjustRightInd/>
        <w:spacing w:after="160" w:line="259" w:lineRule="auto"/>
        <w:jc w:val="both"/>
        <w:rPr>
          <w:sz w:val="24"/>
          <w:szCs w:val="24"/>
        </w:rPr>
      </w:pPr>
      <w:r w:rsidRPr="00F12121">
        <w:rPr>
          <w:sz w:val="24"/>
          <w:szCs w:val="24"/>
        </w:rPr>
        <w:t xml:space="preserve">Гипогликемия у взрослых </w:t>
      </w:r>
    </w:p>
    <w:p w:rsidR="00FA3FA4" w:rsidRPr="002273DF" w:rsidRDefault="00F12121" w:rsidP="00F12121">
      <w:pPr>
        <w:pStyle w:val="af8"/>
        <w:widowControl/>
        <w:numPr>
          <w:ilvl w:val="0"/>
          <w:numId w:val="13"/>
        </w:numPr>
        <w:autoSpaceDE/>
        <w:autoSpaceDN/>
        <w:adjustRightInd/>
        <w:spacing w:after="160" w:line="259" w:lineRule="auto"/>
        <w:jc w:val="both"/>
        <w:rPr>
          <w:sz w:val="24"/>
          <w:szCs w:val="24"/>
        </w:rPr>
      </w:pPr>
      <w:r w:rsidRPr="00F12121">
        <w:rPr>
          <w:sz w:val="24"/>
          <w:szCs w:val="24"/>
        </w:rPr>
        <w:t>Дислипопротеидемии</w:t>
      </w:r>
    </w:p>
    <w:p w:rsidR="00FA3FA4" w:rsidRPr="002273DF" w:rsidRDefault="00F12121" w:rsidP="00F12121">
      <w:pPr>
        <w:pStyle w:val="af8"/>
        <w:widowControl/>
        <w:numPr>
          <w:ilvl w:val="0"/>
          <w:numId w:val="13"/>
        </w:numPr>
        <w:autoSpaceDE/>
        <w:autoSpaceDN/>
        <w:adjustRightInd/>
        <w:spacing w:after="160" w:line="259" w:lineRule="auto"/>
        <w:jc w:val="both"/>
        <w:rPr>
          <w:sz w:val="24"/>
          <w:szCs w:val="24"/>
        </w:rPr>
      </w:pPr>
      <w:r w:rsidRPr="00F12121">
        <w:rPr>
          <w:sz w:val="24"/>
          <w:szCs w:val="24"/>
        </w:rPr>
        <w:t>Наследственные нарушения обмена веществ</w:t>
      </w:r>
    </w:p>
    <w:p w:rsidR="00F12121" w:rsidRPr="00F12121" w:rsidRDefault="00F12121" w:rsidP="00F12121">
      <w:pPr>
        <w:pStyle w:val="af8"/>
        <w:widowControl/>
        <w:numPr>
          <w:ilvl w:val="0"/>
          <w:numId w:val="13"/>
        </w:numPr>
        <w:autoSpaceDE/>
        <w:autoSpaceDN/>
        <w:adjustRightInd/>
        <w:spacing w:after="160" w:line="259" w:lineRule="auto"/>
        <w:jc w:val="both"/>
        <w:rPr>
          <w:sz w:val="24"/>
          <w:szCs w:val="24"/>
        </w:rPr>
      </w:pPr>
      <w:r w:rsidRPr="00F12121">
        <w:rPr>
          <w:sz w:val="24"/>
          <w:szCs w:val="24"/>
        </w:rPr>
        <w:t xml:space="preserve">Принципы диагностики и лечения наследственных нарушений обмена веществ </w:t>
      </w:r>
    </w:p>
    <w:p w:rsidR="00FA3FA4" w:rsidRPr="002273DF" w:rsidRDefault="00280C04" w:rsidP="00BF01F4">
      <w:pPr>
        <w:pStyle w:val="af8"/>
        <w:widowControl/>
        <w:numPr>
          <w:ilvl w:val="0"/>
          <w:numId w:val="13"/>
        </w:numPr>
        <w:autoSpaceDE/>
        <w:autoSpaceDN/>
        <w:adjustRightInd/>
        <w:spacing w:after="160" w:line="259" w:lineRule="auto"/>
        <w:jc w:val="both"/>
        <w:rPr>
          <w:sz w:val="24"/>
          <w:szCs w:val="24"/>
        </w:rPr>
      </w:pPr>
      <w:r>
        <w:rPr>
          <w:sz w:val="24"/>
          <w:szCs w:val="24"/>
        </w:rPr>
        <w:t>Литература</w:t>
      </w:r>
    </w:p>
    <w:p w:rsidR="00FA3FA4" w:rsidRPr="002273DF" w:rsidRDefault="005D1C1F" w:rsidP="00FA3FA4">
      <w:pPr>
        <w:widowControl/>
        <w:autoSpaceDE/>
        <w:autoSpaceDN/>
        <w:adjustRightInd/>
        <w:spacing w:before="100" w:beforeAutospacing="1" w:after="100" w:afterAutospacing="1"/>
        <w:outlineLvl w:val="1"/>
        <w:rPr>
          <w:sz w:val="36"/>
          <w:szCs w:val="36"/>
        </w:rPr>
      </w:pPr>
      <w:r w:rsidRPr="002273DF">
        <w:rPr>
          <w:bCs/>
          <w:sz w:val="36"/>
          <w:szCs w:val="36"/>
        </w:rPr>
        <w:t>План</w:t>
      </w:r>
      <w:r w:rsidR="00FA3FA4" w:rsidRPr="002273DF">
        <w:rPr>
          <w:bCs/>
          <w:sz w:val="36"/>
          <w:szCs w:val="36"/>
        </w:rPr>
        <w:t xml:space="preserve"> </w:t>
      </w:r>
      <w:r w:rsidRPr="002273DF">
        <w:rPr>
          <w:bCs/>
          <w:sz w:val="36"/>
          <w:szCs w:val="36"/>
          <w:lang w:val="uz-Latn-UZ"/>
        </w:rPr>
        <w:t>1</w:t>
      </w:r>
      <w:r w:rsidR="00FA3FA4" w:rsidRPr="002273DF">
        <w:rPr>
          <w:bCs/>
          <w:sz w:val="36"/>
          <w:szCs w:val="36"/>
        </w:rPr>
        <w:t xml:space="preserve">. </w:t>
      </w:r>
      <w:bookmarkEnd w:id="0"/>
      <w:bookmarkEnd w:id="1"/>
      <w:r w:rsidR="00F12121" w:rsidRPr="00F12121">
        <w:rPr>
          <w:bCs/>
          <w:sz w:val="36"/>
          <w:szCs w:val="36"/>
        </w:rPr>
        <w:t>Гипогликемия у взрослых</w:t>
      </w:r>
    </w:p>
    <w:p w:rsidR="00F12121" w:rsidRPr="00F12121" w:rsidRDefault="00F12121" w:rsidP="00F12121">
      <w:pPr>
        <w:widowControl/>
        <w:autoSpaceDE/>
        <w:autoSpaceDN/>
        <w:adjustRightInd/>
        <w:spacing w:before="100" w:beforeAutospacing="1" w:after="100" w:afterAutospacing="1"/>
        <w:jc w:val="both"/>
        <w:rPr>
          <w:sz w:val="24"/>
          <w:szCs w:val="24"/>
        </w:rPr>
      </w:pPr>
      <w:bookmarkStart w:id="3" w:name="_Toc213118550"/>
      <w:bookmarkStart w:id="4" w:name="_Toc213164097"/>
      <w:r w:rsidRPr="00F12121">
        <w:rPr>
          <w:sz w:val="24"/>
          <w:szCs w:val="24"/>
        </w:rPr>
        <w:t xml:space="preserve">Гипогликемия — это не самостоятельное заболевание, а синдром, обусловленный падением концентрации глюкозы в крови ниже минимального уровня, к которому адаптирован организм. Причины гипогликемии многообразны. Она может быть вызвана лекарственными средствами, опухолями, врожденными или послеоперационными аномалиями ЖКТ, эндокринными и другими заболеваниями. Иногда гипогликемия возникает при инфекциях и нарушении толерантности к глюкозе, т. е. в ситуациях, для которых характерно повышение уровня глюкозы. Диагноз гипогликемии обычно не представляет трудностей, гораздо сложнее установить ее причину. Эта глава посвящена главным образом этиологии и дифференциальной диагностике гипогликемии. </w:t>
      </w:r>
    </w:p>
    <w:p w:rsidR="00F12121" w:rsidRPr="00F12121" w:rsidRDefault="00F12121" w:rsidP="00F12121">
      <w:pPr>
        <w:widowControl/>
        <w:autoSpaceDE/>
        <w:autoSpaceDN/>
        <w:adjustRightInd/>
        <w:spacing w:before="30"/>
        <w:ind w:left="300" w:hanging="300"/>
        <w:jc w:val="both"/>
        <w:rPr>
          <w:sz w:val="24"/>
          <w:szCs w:val="24"/>
        </w:rPr>
      </w:pPr>
      <w:r w:rsidRPr="00F12121">
        <w:rPr>
          <w:b/>
          <w:bCs/>
          <w:sz w:val="24"/>
          <w:szCs w:val="24"/>
        </w:rPr>
        <w:t xml:space="preserve">I. Определение. </w:t>
      </w:r>
      <w:r w:rsidRPr="00F12121">
        <w:rPr>
          <w:sz w:val="24"/>
          <w:szCs w:val="24"/>
        </w:rPr>
        <w:t xml:space="preserve">Биохимические критерии гипогликемии приведены в табл. 34.1. Нельзя забывать, что концентрация глюкозы в плазме или сыворотке на 15% выше, чем в цельной крови. Надо учитывать и условия взятия крови. Например, концентрация глюкозы в плазме, равная 3,0 ммоль/л, указывает на гипогликемию, если кровь взяли натощак (после ночного голодания), но не считается признаком гипогликемии, если кровь взяли через 4 ч после приема глюкозы или пищи, богатой углеводами. </w:t>
      </w:r>
    </w:p>
    <w:p w:rsidR="00F12121" w:rsidRPr="00F12121" w:rsidRDefault="00F12121" w:rsidP="00F12121">
      <w:pPr>
        <w:widowControl/>
        <w:autoSpaceDE/>
        <w:autoSpaceDN/>
        <w:adjustRightInd/>
        <w:spacing w:before="30"/>
        <w:ind w:left="300" w:hanging="300"/>
        <w:jc w:val="both"/>
        <w:rPr>
          <w:sz w:val="24"/>
          <w:szCs w:val="24"/>
        </w:rPr>
      </w:pPr>
      <w:r w:rsidRPr="00F12121">
        <w:rPr>
          <w:b/>
          <w:bCs/>
          <w:sz w:val="24"/>
          <w:szCs w:val="24"/>
        </w:rPr>
        <w:t xml:space="preserve">II. Принципы обследования. </w:t>
      </w:r>
      <w:r w:rsidRPr="00F12121">
        <w:rPr>
          <w:sz w:val="24"/>
          <w:szCs w:val="24"/>
        </w:rPr>
        <w:t xml:space="preserve">При подозрении на гипогликемию определяют концентрацию глюкозы в крови или плазме, начинают лечение и проводят обследование для выяснения причины гипогликемии. Прежде всего нужно выяснить, в каких условиях она возникает. У одних больных приступы гипогликемии случаются, если они вовремя не поели </w:t>
      </w:r>
      <w:r w:rsidRPr="00F12121">
        <w:rPr>
          <w:b/>
          <w:bCs/>
          <w:sz w:val="24"/>
          <w:szCs w:val="24"/>
        </w:rPr>
        <w:t>(гипогликемия голодания).</w:t>
      </w:r>
      <w:r w:rsidRPr="00F12121">
        <w:rPr>
          <w:sz w:val="24"/>
          <w:szCs w:val="24"/>
        </w:rPr>
        <w:t xml:space="preserve"> У других больных приступы возникают после еды, особенно после приема пищи, богатой углеводами </w:t>
      </w:r>
      <w:r w:rsidRPr="00F12121">
        <w:rPr>
          <w:b/>
          <w:bCs/>
          <w:sz w:val="24"/>
          <w:szCs w:val="24"/>
        </w:rPr>
        <w:t>(реактивная гипогликемия).</w:t>
      </w:r>
      <w:r w:rsidRPr="00F12121">
        <w:rPr>
          <w:sz w:val="24"/>
          <w:szCs w:val="24"/>
        </w:rPr>
        <w:t xml:space="preserve"> Эти сведения очень важны, так как этиология и механизмы развития гипогликемии голодания и реактивной гипогликемии различаются. Гипогликемия голодания нередко бывает проявлением тяжелого заболевания (например, инсулиномы) и более опасна для головного мозга. Чтобы понимать, как развивается та или иная форма гипогликемии, необходимо знать, как происходит обмен глюкозы у здорового человека. </w:t>
      </w:r>
    </w:p>
    <w:p w:rsidR="00F12121" w:rsidRPr="00F12121" w:rsidRDefault="00F12121" w:rsidP="00F12121">
      <w:pPr>
        <w:widowControl/>
        <w:autoSpaceDE/>
        <w:autoSpaceDN/>
        <w:adjustRightInd/>
        <w:spacing w:before="30"/>
        <w:ind w:left="300" w:hanging="300"/>
        <w:jc w:val="both"/>
        <w:rPr>
          <w:sz w:val="24"/>
          <w:szCs w:val="24"/>
        </w:rPr>
      </w:pPr>
      <w:r w:rsidRPr="00F12121">
        <w:rPr>
          <w:b/>
          <w:bCs/>
          <w:sz w:val="24"/>
          <w:szCs w:val="24"/>
        </w:rPr>
        <w:lastRenderedPageBreak/>
        <w:t>III. Реакция эндокринной системы на гипогликемию</w:t>
      </w:r>
      <w:r w:rsidRPr="00F12121">
        <w:rPr>
          <w:sz w:val="24"/>
          <w:szCs w:val="24"/>
        </w:rPr>
        <w:t xml:space="preserve"> </w:t>
      </w:r>
    </w:p>
    <w:p w:rsidR="00F12121" w:rsidRPr="00F12121" w:rsidRDefault="00F12121" w:rsidP="00F12121">
      <w:pPr>
        <w:widowControl/>
        <w:autoSpaceDE/>
        <w:autoSpaceDN/>
        <w:adjustRightInd/>
        <w:spacing w:before="30"/>
        <w:ind w:left="600" w:hanging="300"/>
        <w:jc w:val="both"/>
        <w:rPr>
          <w:sz w:val="24"/>
          <w:szCs w:val="24"/>
        </w:rPr>
      </w:pPr>
      <w:r w:rsidRPr="00F12121">
        <w:rPr>
          <w:b/>
          <w:bCs/>
          <w:sz w:val="24"/>
          <w:szCs w:val="24"/>
        </w:rPr>
        <w:t xml:space="preserve">А. Норма. </w:t>
      </w:r>
      <w:r w:rsidRPr="00F12121">
        <w:rPr>
          <w:sz w:val="24"/>
          <w:szCs w:val="24"/>
        </w:rPr>
        <w:t>Нейроны гипоталамуса первыми реагируют на снижение концентрации глюкозы и запускают гормональную реакцию на гипогликемию.</w:t>
      </w:r>
      <w:r w:rsidRPr="00F12121">
        <w:rPr>
          <w:b/>
          <w:bCs/>
          <w:sz w:val="24"/>
          <w:szCs w:val="24"/>
        </w:rPr>
        <w:t xml:space="preserve"> </w:t>
      </w:r>
      <w:r w:rsidRPr="00F12121">
        <w:rPr>
          <w:sz w:val="24"/>
          <w:szCs w:val="24"/>
        </w:rPr>
        <w:t xml:space="preserve">Сигналом для нейронов гипоталамуса может служить либо падение концентрации глюкозы в плазме ниже некоторого порогового уровня, либо слишком большая скорость снижения концентрации глюкозы. Снижение концентрации глюкозы от нормальной до уровня гипогликемии может и не вызвать секрецию контринсулярных гормонов, тогда как резкий переход от гипергликемии (16,0—22,0 ммоль/л) до нормогликемии (5,5—8,0 ммоль/л) стимулирует секрецию гормонов, препятствующих дальнейшему снижению концентрации глюкозы до опасного уровня (см. табл. 34.2). </w:t>
      </w:r>
    </w:p>
    <w:p w:rsidR="00F12121" w:rsidRPr="00F12121" w:rsidRDefault="00F12121" w:rsidP="00F12121">
      <w:pPr>
        <w:widowControl/>
        <w:autoSpaceDE/>
        <w:autoSpaceDN/>
        <w:adjustRightInd/>
        <w:spacing w:before="30"/>
        <w:ind w:left="600"/>
        <w:jc w:val="both"/>
        <w:rPr>
          <w:sz w:val="24"/>
          <w:szCs w:val="24"/>
        </w:rPr>
      </w:pPr>
      <w:r w:rsidRPr="00F12121">
        <w:rPr>
          <w:sz w:val="24"/>
          <w:szCs w:val="24"/>
        </w:rPr>
        <w:t xml:space="preserve">В первую очередь усиливается секреция адреналина, норадреналина и глюкагона, затем — кортизола и СТГ. Участие многих гормонов в реакции на гипогликемию позволяет очень точно отрегулировать уровень глюкозы. Эффект контринсулярных гормонов проявляется уже в первые минуты после того, как гипоталамус распознает низкий или быстро снижающийся уровень глюкозы, и длится 8—12 ч. </w:t>
      </w:r>
    </w:p>
    <w:p w:rsidR="00F12121" w:rsidRPr="00F12121" w:rsidRDefault="00C916B2" w:rsidP="00F12121">
      <w:pPr>
        <w:widowControl/>
        <w:autoSpaceDE/>
        <w:autoSpaceDN/>
        <w:adjustRightInd/>
        <w:spacing w:before="30"/>
        <w:ind w:left="300" w:hanging="300"/>
        <w:jc w:val="both"/>
        <w:rPr>
          <w:sz w:val="24"/>
          <w:szCs w:val="24"/>
        </w:rPr>
      </w:pPr>
      <w:r>
        <w:rPr>
          <w:b/>
          <w:bCs/>
          <w:sz w:val="24"/>
          <w:szCs w:val="24"/>
          <w:lang w:val="en-US"/>
        </w:rPr>
        <w:t>I</w:t>
      </w:r>
      <w:r w:rsidR="00F12121" w:rsidRPr="00F12121">
        <w:rPr>
          <w:b/>
          <w:bCs/>
          <w:sz w:val="24"/>
          <w:szCs w:val="24"/>
        </w:rPr>
        <w:t>V. Клинические проявления гипогликемии</w:t>
      </w:r>
      <w:r w:rsidR="00F12121" w:rsidRPr="00F12121">
        <w:rPr>
          <w:sz w:val="24"/>
          <w:szCs w:val="24"/>
        </w:rPr>
        <w:t xml:space="preserve"> (см. табл. 34.3) подразделяют на две категории. </w:t>
      </w:r>
    </w:p>
    <w:p w:rsidR="00F12121" w:rsidRPr="00F12121" w:rsidRDefault="00F12121" w:rsidP="00F12121">
      <w:pPr>
        <w:widowControl/>
        <w:autoSpaceDE/>
        <w:autoSpaceDN/>
        <w:adjustRightInd/>
        <w:spacing w:before="30"/>
        <w:ind w:left="600" w:hanging="300"/>
        <w:jc w:val="both"/>
        <w:rPr>
          <w:sz w:val="24"/>
          <w:szCs w:val="24"/>
        </w:rPr>
      </w:pPr>
      <w:r w:rsidRPr="00F12121">
        <w:rPr>
          <w:b/>
          <w:bCs/>
          <w:sz w:val="24"/>
          <w:szCs w:val="24"/>
        </w:rPr>
        <w:t>А. Адренергические симптомы</w:t>
      </w:r>
      <w:r w:rsidRPr="00F12121">
        <w:rPr>
          <w:sz w:val="24"/>
          <w:szCs w:val="24"/>
        </w:rPr>
        <w:t xml:space="preserve"> обусловлены усилением секреции катехоламинов и активацией вегетативной нервной системы. </w:t>
      </w:r>
    </w:p>
    <w:p w:rsidR="00F12121" w:rsidRPr="00F12121" w:rsidRDefault="00F12121" w:rsidP="00F12121">
      <w:pPr>
        <w:widowControl/>
        <w:autoSpaceDE/>
        <w:autoSpaceDN/>
        <w:adjustRightInd/>
        <w:spacing w:before="30"/>
        <w:ind w:left="600" w:hanging="300"/>
        <w:jc w:val="both"/>
        <w:rPr>
          <w:sz w:val="24"/>
          <w:szCs w:val="24"/>
        </w:rPr>
      </w:pPr>
      <w:r w:rsidRPr="00F12121">
        <w:rPr>
          <w:b/>
          <w:bCs/>
          <w:sz w:val="24"/>
          <w:szCs w:val="24"/>
        </w:rPr>
        <w:t>Б. Неврологические симптомы</w:t>
      </w:r>
      <w:r w:rsidRPr="00F12121">
        <w:rPr>
          <w:sz w:val="24"/>
          <w:szCs w:val="24"/>
        </w:rPr>
        <w:t xml:space="preserve"> обусловлены нарушением функции ЦНС (углеводным голоданием головного мозга). У здоровых людей секреция контринсулярных гормонов и активация вегетативной нервной системы начинаются при снижении уровня глюкозы плазмы примерно до 3,9 ммоль/л. Если нормогликемия не восстанавливается, то при уровне глюкозы около 3,3 ммоль/л возникают симптомы, обусловленные выбросом катехоламинов и ацетилхолина. Неврологические симптомы обычно появляются при концентрации глюкозы около 2,8 ммоль/л. Больные инсулинозависимым сахарным диабетом из-за нарушения секреции глюкагона, адреналина и дисфункции вегетативной нервной системы</w:t>
      </w:r>
      <w:r w:rsidRPr="00F12121">
        <w:rPr>
          <w:b/>
          <w:bCs/>
          <w:sz w:val="24"/>
          <w:szCs w:val="24"/>
        </w:rPr>
        <w:t xml:space="preserve"> не чувствуют приближения гипогликемии, </w:t>
      </w:r>
      <w:r w:rsidRPr="00F12121">
        <w:rPr>
          <w:sz w:val="24"/>
          <w:szCs w:val="24"/>
        </w:rPr>
        <w:t>поэтому</w:t>
      </w:r>
      <w:r w:rsidRPr="00F12121">
        <w:rPr>
          <w:b/>
          <w:bCs/>
          <w:sz w:val="24"/>
          <w:szCs w:val="24"/>
        </w:rPr>
        <w:t xml:space="preserve"> </w:t>
      </w:r>
      <w:r w:rsidRPr="00F12121">
        <w:rPr>
          <w:sz w:val="24"/>
          <w:szCs w:val="24"/>
        </w:rPr>
        <w:t xml:space="preserve">неврологические симптомы у них могут возникать без предшествующих адренергических симптомов. Кроме того, головной мозг у больных инсулинозависимым и инсулинонезависимым сахарным диабетом адаптирован к постоянной гипергликемии, поэтому адренергические (но не неврологические) симптомы могут появляться уже при концентрации глюкозы 6,7—8,3 ммоль/л. Для адаптации головного мозга к новому уровню глюкозы требуется несколько недель. Хорошо подобранная схема лечения позволяет добиться нормогликемии (компенсации сахарного диабета). У компенсированных больных симптомы гипогликемии появляются при уровне глюкозы 2,2—2,8 ммоль/л, что связано со снижением порога секреции контринсулярных гормонов и активации вегетативной нервной системы в ответ на гипогликемию. Этот порог снижен и у больных со стойкой гипогликемией любого происхождения. Например, у больных с инсулиномой симптомы гипогликемии возникают только при очень сильном снижении уровня глюкозы. Как уже говорилось выше, гипоталамус реагирует не только на гипогликемию, но и на слишком большую скорость снижения концентрации глюкозы. Поэтому у больных инсулинозависимым сахарным диабетом адренергические симптомы могут появляться после инъекции инсулина короткого действия (несмотря на то что концентрация глюкозы после инъекции остается в пределах нормы или может быть слегка повышена). Если концентрация глюкозы снижается медленно (например, после инъекции инсулина длительного действия), адренергические </w:t>
      </w:r>
      <w:r w:rsidRPr="00F12121">
        <w:rPr>
          <w:sz w:val="24"/>
          <w:szCs w:val="24"/>
        </w:rPr>
        <w:lastRenderedPageBreak/>
        <w:t xml:space="preserve">симптомы могут отсутствовать. При значительном снижении уровня глюкозы сразу появляются неврологические симптомы. Проявления гипогликемии у разных больных могут существенно различаться, но у одного и того же больного приступы гипогликемии обычно протекают однотипно. </w:t>
      </w:r>
    </w:p>
    <w:p w:rsidR="00C916B2" w:rsidRPr="00C916B2" w:rsidRDefault="00C916B2" w:rsidP="00C916B2">
      <w:pPr>
        <w:widowControl/>
        <w:autoSpaceDE/>
        <w:autoSpaceDN/>
        <w:adjustRightInd/>
        <w:spacing w:before="30"/>
        <w:ind w:left="284" w:hanging="300"/>
        <w:jc w:val="both"/>
        <w:rPr>
          <w:sz w:val="24"/>
          <w:szCs w:val="24"/>
        </w:rPr>
      </w:pPr>
      <w:r w:rsidRPr="00C916B2">
        <w:rPr>
          <w:b/>
          <w:bCs/>
          <w:sz w:val="24"/>
          <w:szCs w:val="24"/>
        </w:rPr>
        <w:t>Инсулинома</w:t>
      </w:r>
      <w:r w:rsidRPr="00C916B2">
        <w:rPr>
          <w:sz w:val="24"/>
          <w:szCs w:val="24"/>
        </w:rPr>
        <w:t xml:space="preserve"> </w:t>
      </w:r>
    </w:p>
    <w:p w:rsidR="00C916B2" w:rsidRPr="00C916B2" w:rsidRDefault="00C916B2" w:rsidP="00C916B2">
      <w:pPr>
        <w:widowControl/>
        <w:autoSpaceDE/>
        <w:autoSpaceDN/>
        <w:adjustRightInd/>
        <w:spacing w:before="30"/>
        <w:ind w:left="709" w:hanging="300"/>
        <w:jc w:val="both"/>
        <w:rPr>
          <w:sz w:val="24"/>
          <w:szCs w:val="24"/>
        </w:rPr>
      </w:pPr>
      <w:bookmarkStart w:id="5" w:name="VII.В.3.а."/>
      <w:r w:rsidRPr="00C916B2">
        <w:rPr>
          <w:b/>
          <w:bCs/>
          <w:sz w:val="24"/>
          <w:szCs w:val="24"/>
        </w:rPr>
        <w:t>а.</w:t>
      </w:r>
      <w:bookmarkEnd w:id="5"/>
      <w:r w:rsidRPr="00C916B2">
        <w:rPr>
          <w:b/>
          <w:bCs/>
          <w:sz w:val="24"/>
          <w:szCs w:val="24"/>
        </w:rPr>
        <w:t xml:space="preserve"> Проба с голоданием. </w:t>
      </w:r>
      <w:r w:rsidRPr="00C916B2">
        <w:rPr>
          <w:sz w:val="24"/>
          <w:szCs w:val="24"/>
        </w:rPr>
        <w:t xml:space="preserve">Голодание — физиологический способ подавления секреции инсулина. У здоровых людей при голодании снижаются уровни как глюкозы, так и инсулина. Некоторые люди способны переносить голодание в течение 24—72 ч без каких-либо симптомов гипогликемии; эти симптомы возникают только после того, как концентрация глюкозы падает до очень низких величин (1,7—1,9 ммоль/л). Чем дольше длится голодание, тем сильнее подавляется секреция инсулина. Поэтому уменьшается отношение концентрация инсулина в сыворотке (пмоль/л)/концентрация глюкозы в плазме (ммоль/л). У здоровых людей натощак это отношение всегда меньше 37. У больных с инсулиномой секреция инсулина при голодании не подавляется или даже усиливается; в результате отношение инсулин/глюкоза возрастает и превышает 37 (см. рис. 34.2). </w:t>
      </w:r>
    </w:p>
    <w:p w:rsidR="00C916B2" w:rsidRPr="00C916B2" w:rsidRDefault="00C916B2" w:rsidP="00C916B2">
      <w:pPr>
        <w:widowControl/>
        <w:autoSpaceDE/>
        <w:autoSpaceDN/>
        <w:adjustRightInd/>
        <w:spacing w:before="30"/>
        <w:ind w:left="709"/>
        <w:jc w:val="both"/>
        <w:rPr>
          <w:sz w:val="24"/>
          <w:szCs w:val="24"/>
        </w:rPr>
      </w:pPr>
      <w:r w:rsidRPr="00C916B2">
        <w:rPr>
          <w:sz w:val="24"/>
          <w:szCs w:val="24"/>
        </w:rPr>
        <w:t xml:space="preserve">Самый надежный способ диагностики инсулиномы — продление ночного голодания до появления симптомов гипогликемии. Сразу после пробуждения берут кровь из вены для определения концентраций глюкозы и инсулина в плазме. Затем каждые 2—4 ч берут кровь из пальца и определяют концентрацию глюкозы с помощью тест-полосок. Если содержание глюкозы в крови, взятой из пальца, оказалось меньше 2,8 ммоль/л или если появились симптомы гипогликемии, еще раз берут кровь из вены для определения концентрации инсулина и глюкозы в плазме. Диагноз инсулиномы считается подтвержденным, если отношение инсулин/глюкоза в любой пробе превышает 37. Примерно у 70% больных с инсулиномой симптомы гипогликемии появляются уже в 1-е сутки голодания, у 25% больных — на 2-е сутки, у 5% больных — на 3-и сутки. </w:t>
      </w:r>
    </w:p>
    <w:p w:rsidR="00C916B2" w:rsidRPr="00C916B2" w:rsidRDefault="00C916B2" w:rsidP="00C916B2">
      <w:pPr>
        <w:widowControl/>
        <w:autoSpaceDE/>
        <w:autoSpaceDN/>
        <w:adjustRightInd/>
        <w:spacing w:before="30"/>
        <w:ind w:left="709" w:hanging="300"/>
        <w:jc w:val="both"/>
        <w:rPr>
          <w:sz w:val="24"/>
          <w:szCs w:val="24"/>
        </w:rPr>
      </w:pPr>
      <w:bookmarkStart w:id="6" w:name="VII.В.3.б."/>
      <w:r w:rsidRPr="00C916B2">
        <w:rPr>
          <w:b/>
          <w:bCs/>
          <w:sz w:val="24"/>
          <w:szCs w:val="24"/>
        </w:rPr>
        <w:t>б.</w:t>
      </w:r>
      <w:bookmarkEnd w:id="6"/>
      <w:r w:rsidRPr="00C916B2">
        <w:rPr>
          <w:b/>
          <w:bCs/>
          <w:sz w:val="24"/>
          <w:szCs w:val="24"/>
        </w:rPr>
        <w:t xml:space="preserve"> Стимуляционные пробы </w:t>
      </w:r>
      <w:r w:rsidRPr="00C916B2">
        <w:rPr>
          <w:sz w:val="24"/>
          <w:szCs w:val="24"/>
        </w:rPr>
        <w:t xml:space="preserve">с толбутамидом, глюкагоном, глюконатом кальция и лейцином были предложены для диагностики инсулиномы в 60-х годах. Эти пробы основаны на предположении о том, что на фоне гипогликемии секреторная реакция нормальных бета-клеток на стимуляторы снижается, а реакция опухолевых бета-клеток остается неизменной. Например, в/в введение толбутамида натощак снижает уровень глюкозы у больных с инсулиномой более чем на 50%, а у больных с гипогликемией иного происхождения — менее чем на 50%. Однако все эти пробы оказались малочувствительными и неспецифичными и потому в настоящее время применяются редко. Они категорически противопоказаны больным с исходным уровнем глюкозы плазмы &lt; 2,7 ммоль/л. </w:t>
      </w:r>
    </w:p>
    <w:p w:rsidR="00C916B2" w:rsidRPr="00C916B2" w:rsidRDefault="00C916B2" w:rsidP="00C916B2">
      <w:pPr>
        <w:widowControl/>
        <w:autoSpaceDE/>
        <w:autoSpaceDN/>
        <w:adjustRightInd/>
        <w:spacing w:before="30"/>
        <w:ind w:left="284" w:hanging="300"/>
        <w:jc w:val="both"/>
        <w:rPr>
          <w:sz w:val="24"/>
          <w:szCs w:val="24"/>
        </w:rPr>
      </w:pPr>
      <w:r w:rsidRPr="00C916B2">
        <w:rPr>
          <w:b/>
          <w:bCs/>
          <w:sz w:val="24"/>
          <w:szCs w:val="24"/>
        </w:rPr>
        <w:t>Лечение.</w:t>
      </w:r>
      <w:r w:rsidRPr="00C916B2">
        <w:rPr>
          <w:sz w:val="24"/>
          <w:szCs w:val="24"/>
        </w:rPr>
        <w:t xml:space="preserve"> Если хирургическое вмешательство оказалось неэффективным (при множественных опухолях, незидиобластозе или гиперплазии островков поджелудочной железы либо при метастазирующей инсулиноме), проводят консервативное лечение. Оно направлено на подавление секреции инсулина. Диазоксид в дозе 100 мг внутрь 3—4 раза в сутки эффективен примерно у 50% больных. В отдельных случаях хорошо действуют фенитоин, хлорпромазин, пропранолол и верапамил. При злокачественной метастазирующей инсулиноме средство выбора — стрептозоцин; при резистентности к этому препарату иногда эффективны аспарагиназа, доксорубицин или пликамицин. </w:t>
      </w:r>
    </w:p>
    <w:p w:rsidR="00C916B2" w:rsidRPr="00C916B2" w:rsidRDefault="00C916B2" w:rsidP="00C916B2">
      <w:pPr>
        <w:widowControl/>
        <w:autoSpaceDE/>
        <w:autoSpaceDN/>
        <w:adjustRightInd/>
        <w:spacing w:before="30"/>
        <w:ind w:left="1200" w:hanging="300"/>
        <w:jc w:val="both"/>
        <w:rPr>
          <w:sz w:val="24"/>
          <w:szCs w:val="24"/>
        </w:rPr>
      </w:pPr>
    </w:p>
    <w:p w:rsidR="00280C04" w:rsidRPr="00587101" w:rsidRDefault="005D1C1F" w:rsidP="00C916B2">
      <w:pPr>
        <w:widowControl/>
        <w:autoSpaceDE/>
        <w:autoSpaceDN/>
        <w:adjustRightInd/>
        <w:spacing w:before="100" w:beforeAutospacing="1" w:after="100" w:afterAutospacing="1"/>
        <w:jc w:val="both"/>
        <w:outlineLvl w:val="1"/>
        <w:rPr>
          <w:sz w:val="36"/>
          <w:szCs w:val="36"/>
        </w:rPr>
      </w:pPr>
      <w:r w:rsidRPr="00587101">
        <w:rPr>
          <w:bCs/>
          <w:sz w:val="36"/>
          <w:szCs w:val="36"/>
        </w:rPr>
        <w:lastRenderedPageBreak/>
        <w:t>План</w:t>
      </w:r>
      <w:r w:rsidR="00FA3FA4" w:rsidRPr="00587101">
        <w:rPr>
          <w:bCs/>
          <w:sz w:val="36"/>
          <w:szCs w:val="36"/>
        </w:rPr>
        <w:t xml:space="preserve"> </w:t>
      </w:r>
      <w:r w:rsidRPr="00587101">
        <w:rPr>
          <w:bCs/>
          <w:sz w:val="36"/>
          <w:szCs w:val="36"/>
          <w:lang w:val="uz-Latn-UZ"/>
        </w:rPr>
        <w:t>2</w:t>
      </w:r>
      <w:r w:rsidR="00FA3FA4" w:rsidRPr="00587101">
        <w:rPr>
          <w:bCs/>
          <w:sz w:val="36"/>
          <w:szCs w:val="36"/>
        </w:rPr>
        <w:t xml:space="preserve">. </w:t>
      </w:r>
      <w:bookmarkStart w:id="7" w:name="_Toc213118551"/>
      <w:bookmarkStart w:id="8" w:name="_Toc213164098"/>
      <w:bookmarkEnd w:id="3"/>
      <w:bookmarkEnd w:id="4"/>
      <w:r w:rsidR="00C916B2" w:rsidRPr="00587101">
        <w:rPr>
          <w:bCs/>
          <w:sz w:val="36"/>
          <w:szCs w:val="36"/>
        </w:rPr>
        <w:t xml:space="preserve">Дислипопротеидемии </w:t>
      </w:r>
    </w:p>
    <w:p w:rsidR="00587101" w:rsidRPr="00587101" w:rsidRDefault="00587101" w:rsidP="00587101">
      <w:pPr>
        <w:widowControl/>
        <w:autoSpaceDE/>
        <w:autoSpaceDN/>
        <w:adjustRightInd/>
        <w:spacing w:before="100" w:beforeAutospacing="1" w:after="100" w:afterAutospacing="1"/>
        <w:jc w:val="both"/>
        <w:rPr>
          <w:sz w:val="24"/>
          <w:szCs w:val="24"/>
        </w:rPr>
      </w:pPr>
      <w:r w:rsidRPr="00587101">
        <w:rPr>
          <w:sz w:val="24"/>
          <w:szCs w:val="24"/>
        </w:rPr>
        <w:t xml:space="preserve">Дислипопротеидемии — один из главных факторов риска многих заболеваний, в первую очередь — атеросклероза. Проспективные клинические исследования показали, что профилактика дислипопротеидемии у лиц из группы риска ИБС и лечение дислипопротеидемии у больных ИБС замедляет рост атеросклеротических бляшек и даже вызывает их регрессию. Накапливается все больше данных о молекулярных механизмах развития атеросклероза и многочисленных наследственных дислипопротеидемий. Установлено, что клинические проявления и тяжесть дислипопротеидемий в значительной мере зависят от факторов окружающей среды, в частности от рациона и режима питания, а также от сопутствующих заболеваний. Дислипопротеидемии возникают или усиливаются при ожирении, сахарном диабете, гипотиреозе, болезнях почек и печени; при этом течение и прогноз дислипопротеидемий зависят от тяжести основного заболевания. </w:t>
      </w:r>
    </w:p>
    <w:p w:rsidR="00587101" w:rsidRPr="00587101" w:rsidRDefault="00587101" w:rsidP="00587101">
      <w:pPr>
        <w:widowControl/>
        <w:autoSpaceDE/>
        <w:autoSpaceDN/>
        <w:adjustRightInd/>
        <w:spacing w:before="30"/>
        <w:ind w:left="300" w:hanging="300"/>
        <w:jc w:val="both"/>
        <w:rPr>
          <w:sz w:val="24"/>
          <w:szCs w:val="24"/>
        </w:rPr>
      </w:pPr>
      <w:r w:rsidRPr="00587101">
        <w:rPr>
          <w:b/>
          <w:bCs/>
          <w:sz w:val="24"/>
          <w:szCs w:val="24"/>
        </w:rPr>
        <w:t>I. Лабораторная диагностика дислипопротеидемий</w:t>
      </w:r>
      <w:r w:rsidRPr="00587101">
        <w:rPr>
          <w:sz w:val="24"/>
          <w:szCs w:val="24"/>
        </w:rPr>
        <w:t xml:space="preserve"> (см. табл. 35.2). Диагностика и выбор лечения дислипопротеидемий в США основываются на результатах Национальной Программы по выявлению, классификации и лечению гиперхолестеринемии у взрослых. Одна из основных задач этого проспективного исследования заключалась в том, чтобы использовать уровень общего холестерина в качестве основного показателя риска ИБС. Для этого определили концентрации общего холестерина у больных ИБС с повышенным уровнем ЛПНП и у здоровых людей. </w:t>
      </w:r>
    </w:p>
    <w:p w:rsidR="00587101" w:rsidRPr="00587101" w:rsidRDefault="00587101" w:rsidP="00587101">
      <w:pPr>
        <w:widowControl/>
        <w:autoSpaceDE/>
        <w:autoSpaceDN/>
        <w:adjustRightInd/>
        <w:spacing w:before="30"/>
        <w:ind w:left="600" w:hanging="300"/>
        <w:jc w:val="both"/>
        <w:rPr>
          <w:sz w:val="24"/>
          <w:szCs w:val="24"/>
        </w:rPr>
      </w:pPr>
      <w:r w:rsidRPr="00587101">
        <w:rPr>
          <w:b/>
          <w:bCs/>
          <w:sz w:val="24"/>
          <w:szCs w:val="24"/>
        </w:rPr>
        <w:t>А. Гиперхолестеринемия</w:t>
      </w:r>
      <w:r w:rsidRPr="00587101">
        <w:rPr>
          <w:sz w:val="24"/>
          <w:szCs w:val="24"/>
        </w:rPr>
        <w:t xml:space="preserve"> </w:t>
      </w:r>
    </w:p>
    <w:p w:rsidR="00587101" w:rsidRPr="00587101" w:rsidRDefault="00587101" w:rsidP="00587101">
      <w:pPr>
        <w:widowControl/>
        <w:autoSpaceDE/>
        <w:autoSpaceDN/>
        <w:adjustRightInd/>
        <w:spacing w:before="30"/>
        <w:ind w:left="900" w:hanging="300"/>
        <w:jc w:val="both"/>
        <w:rPr>
          <w:sz w:val="24"/>
          <w:szCs w:val="24"/>
        </w:rPr>
      </w:pPr>
      <w:r w:rsidRPr="00587101">
        <w:rPr>
          <w:b/>
          <w:bCs/>
          <w:sz w:val="24"/>
          <w:szCs w:val="24"/>
        </w:rPr>
        <w:t xml:space="preserve">1. </w:t>
      </w:r>
      <w:r w:rsidRPr="00587101">
        <w:rPr>
          <w:sz w:val="24"/>
          <w:szCs w:val="24"/>
        </w:rPr>
        <w:t xml:space="preserve">Согласно рекомендациям Программы, уровень </w:t>
      </w:r>
      <w:r w:rsidRPr="00587101">
        <w:rPr>
          <w:b/>
          <w:bCs/>
          <w:sz w:val="24"/>
          <w:szCs w:val="24"/>
        </w:rPr>
        <w:t>общего холестерина</w:t>
      </w:r>
      <w:r w:rsidRPr="00587101">
        <w:rPr>
          <w:sz w:val="24"/>
          <w:szCs w:val="24"/>
        </w:rPr>
        <w:t xml:space="preserve"> следует определять у всех лиц старше 20 лет. В зависимости от концентрации общего холестерина обследуемых распределяют по следующим группам (без учета возраста и других факторов риска ИБС): </w:t>
      </w:r>
    </w:p>
    <w:p w:rsidR="00587101" w:rsidRPr="00587101" w:rsidRDefault="00587101" w:rsidP="00587101">
      <w:pPr>
        <w:widowControl/>
        <w:autoSpaceDE/>
        <w:autoSpaceDN/>
        <w:adjustRightInd/>
        <w:spacing w:before="30"/>
        <w:ind w:left="1200" w:hanging="300"/>
        <w:jc w:val="both"/>
        <w:rPr>
          <w:sz w:val="24"/>
          <w:szCs w:val="24"/>
        </w:rPr>
      </w:pPr>
      <w:r w:rsidRPr="00587101">
        <w:rPr>
          <w:b/>
          <w:bCs/>
          <w:sz w:val="24"/>
          <w:szCs w:val="24"/>
        </w:rPr>
        <w:t xml:space="preserve">а. </w:t>
      </w:r>
      <w:r w:rsidRPr="00587101">
        <w:rPr>
          <w:sz w:val="24"/>
          <w:szCs w:val="24"/>
        </w:rPr>
        <w:t xml:space="preserve">Нормальный уровень общего холестерина: &lt; 200 мг%. </w:t>
      </w:r>
    </w:p>
    <w:p w:rsidR="00587101" w:rsidRPr="00587101" w:rsidRDefault="00587101" w:rsidP="00587101">
      <w:pPr>
        <w:widowControl/>
        <w:autoSpaceDE/>
        <w:autoSpaceDN/>
        <w:adjustRightInd/>
        <w:spacing w:before="30"/>
        <w:ind w:left="1200" w:hanging="300"/>
        <w:jc w:val="both"/>
        <w:rPr>
          <w:sz w:val="24"/>
          <w:szCs w:val="24"/>
        </w:rPr>
      </w:pPr>
      <w:r w:rsidRPr="00587101">
        <w:rPr>
          <w:b/>
          <w:bCs/>
          <w:sz w:val="24"/>
          <w:szCs w:val="24"/>
        </w:rPr>
        <w:t xml:space="preserve">б. </w:t>
      </w:r>
      <w:r w:rsidRPr="00587101">
        <w:rPr>
          <w:sz w:val="24"/>
          <w:szCs w:val="24"/>
        </w:rPr>
        <w:t xml:space="preserve">Пограничный уровень: 200—239 мг%. </w:t>
      </w:r>
    </w:p>
    <w:p w:rsidR="00587101" w:rsidRPr="00587101" w:rsidRDefault="00587101" w:rsidP="00587101">
      <w:pPr>
        <w:widowControl/>
        <w:autoSpaceDE/>
        <w:autoSpaceDN/>
        <w:adjustRightInd/>
        <w:spacing w:before="30"/>
        <w:ind w:left="1200" w:hanging="300"/>
        <w:jc w:val="both"/>
        <w:rPr>
          <w:sz w:val="24"/>
          <w:szCs w:val="24"/>
        </w:rPr>
      </w:pPr>
      <w:bookmarkStart w:id="9" w:name="II.А.1.в."/>
      <w:r w:rsidRPr="00587101">
        <w:rPr>
          <w:b/>
          <w:bCs/>
          <w:sz w:val="24"/>
          <w:szCs w:val="24"/>
        </w:rPr>
        <w:t>в.</w:t>
      </w:r>
      <w:bookmarkEnd w:id="9"/>
      <w:r w:rsidRPr="00587101">
        <w:rPr>
          <w:b/>
          <w:bCs/>
          <w:sz w:val="24"/>
          <w:szCs w:val="24"/>
        </w:rPr>
        <w:t xml:space="preserve"> </w:t>
      </w:r>
      <w:r w:rsidRPr="00587101">
        <w:rPr>
          <w:sz w:val="24"/>
          <w:szCs w:val="24"/>
        </w:rPr>
        <w:t xml:space="preserve">Повышенный уровень: </w:t>
      </w:r>
      <w:r w:rsidRPr="00587101">
        <w:rPr>
          <w:sz w:val="24"/>
          <w:szCs w:val="24"/>
        </w:rPr>
        <w:t xml:space="preserve"> 240 мг%. </w:t>
      </w:r>
    </w:p>
    <w:p w:rsidR="00587101" w:rsidRPr="00587101" w:rsidRDefault="00587101" w:rsidP="00587101">
      <w:pPr>
        <w:widowControl/>
        <w:autoSpaceDE/>
        <w:autoSpaceDN/>
        <w:adjustRightInd/>
        <w:spacing w:before="30"/>
        <w:ind w:left="900" w:hanging="300"/>
        <w:jc w:val="both"/>
        <w:rPr>
          <w:sz w:val="24"/>
          <w:szCs w:val="24"/>
        </w:rPr>
      </w:pPr>
      <w:r w:rsidRPr="00587101">
        <w:rPr>
          <w:b/>
          <w:bCs/>
          <w:sz w:val="24"/>
          <w:szCs w:val="24"/>
        </w:rPr>
        <w:t xml:space="preserve">2. </w:t>
      </w:r>
      <w:r w:rsidRPr="00587101">
        <w:rPr>
          <w:sz w:val="24"/>
          <w:szCs w:val="24"/>
        </w:rPr>
        <w:t xml:space="preserve">Если уровень общего холестерина </w:t>
      </w:r>
      <w:r w:rsidRPr="00587101">
        <w:rPr>
          <w:sz w:val="24"/>
          <w:szCs w:val="24"/>
        </w:rPr>
        <w:t xml:space="preserve"> 240 мг% или </w:t>
      </w:r>
      <w:r w:rsidRPr="00587101">
        <w:rPr>
          <w:sz w:val="24"/>
          <w:szCs w:val="24"/>
        </w:rPr>
        <w:t xml:space="preserve"> 200 мг% в сочетании с другими факторами риска ИБС, проводят повторное обследование. Определяют концентрацию холестерина ЛПНП натощак (продолжительность голодания 12—14 ч) по формуле: холестерин ЛПНП = общий холестерин – (холестерин ЛПВП + триглицериды / 5). </w:t>
      </w:r>
    </w:p>
    <w:p w:rsidR="00587101" w:rsidRPr="00587101" w:rsidRDefault="00587101" w:rsidP="00587101">
      <w:pPr>
        <w:widowControl/>
        <w:autoSpaceDE/>
        <w:autoSpaceDN/>
        <w:adjustRightInd/>
        <w:spacing w:before="30"/>
        <w:ind w:left="900"/>
        <w:jc w:val="both"/>
        <w:rPr>
          <w:sz w:val="24"/>
          <w:szCs w:val="24"/>
        </w:rPr>
      </w:pPr>
      <w:r w:rsidRPr="00587101">
        <w:rPr>
          <w:sz w:val="24"/>
          <w:szCs w:val="24"/>
        </w:rPr>
        <w:t>Этот способ расчета концентрации холестерина ЛПНП не применим у больных с тяжелой гипертриглицеридемией (</w:t>
      </w:r>
      <w:r w:rsidRPr="00587101">
        <w:rPr>
          <w:sz w:val="24"/>
          <w:szCs w:val="24"/>
        </w:rPr>
        <w:t xml:space="preserve"> 400 мг%) и семейной дисбеталипопротеидемией. В таких случаях уровень ЛПНП и других липопротеидов определяют путем ультрацентрифугирования и анализа апопротеинов. В зависимости от концентрации холестерина ЛПНП обследуемых распределяют по группам: </w:t>
      </w:r>
    </w:p>
    <w:p w:rsidR="00587101" w:rsidRPr="00587101" w:rsidRDefault="00587101" w:rsidP="00587101">
      <w:pPr>
        <w:widowControl/>
        <w:autoSpaceDE/>
        <w:autoSpaceDN/>
        <w:adjustRightInd/>
        <w:spacing w:before="30"/>
        <w:ind w:left="1200" w:hanging="300"/>
        <w:jc w:val="both"/>
        <w:rPr>
          <w:sz w:val="24"/>
          <w:szCs w:val="24"/>
        </w:rPr>
      </w:pPr>
      <w:r w:rsidRPr="00587101">
        <w:rPr>
          <w:b/>
          <w:bCs/>
          <w:sz w:val="24"/>
          <w:szCs w:val="24"/>
        </w:rPr>
        <w:t xml:space="preserve">а. </w:t>
      </w:r>
      <w:r w:rsidRPr="00587101">
        <w:rPr>
          <w:sz w:val="24"/>
          <w:szCs w:val="24"/>
        </w:rPr>
        <w:t xml:space="preserve">Нормальный уровень холестерина ЛПНП: &lt; 130 мг%. </w:t>
      </w:r>
    </w:p>
    <w:p w:rsidR="00587101" w:rsidRPr="00587101" w:rsidRDefault="00587101" w:rsidP="00587101">
      <w:pPr>
        <w:widowControl/>
        <w:autoSpaceDE/>
        <w:autoSpaceDN/>
        <w:adjustRightInd/>
        <w:spacing w:before="30"/>
        <w:ind w:left="1200" w:hanging="300"/>
        <w:jc w:val="both"/>
        <w:rPr>
          <w:sz w:val="24"/>
          <w:szCs w:val="24"/>
        </w:rPr>
      </w:pPr>
      <w:r w:rsidRPr="00587101">
        <w:rPr>
          <w:b/>
          <w:bCs/>
          <w:sz w:val="24"/>
          <w:szCs w:val="24"/>
        </w:rPr>
        <w:t xml:space="preserve">б. </w:t>
      </w:r>
      <w:r w:rsidRPr="00587101">
        <w:rPr>
          <w:sz w:val="24"/>
          <w:szCs w:val="24"/>
        </w:rPr>
        <w:t xml:space="preserve">Пограничный уровень: 130—159 мг%. </w:t>
      </w:r>
    </w:p>
    <w:p w:rsidR="00587101" w:rsidRPr="00587101" w:rsidRDefault="00587101" w:rsidP="00587101">
      <w:pPr>
        <w:widowControl/>
        <w:autoSpaceDE/>
        <w:autoSpaceDN/>
        <w:adjustRightInd/>
        <w:spacing w:before="30"/>
        <w:ind w:left="1200" w:hanging="300"/>
        <w:jc w:val="both"/>
        <w:rPr>
          <w:sz w:val="24"/>
          <w:szCs w:val="24"/>
        </w:rPr>
      </w:pPr>
      <w:r w:rsidRPr="00587101">
        <w:rPr>
          <w:b/>
          <w:bCs/>
          <w:sz w:val="24"/>
          <w:szCs w:val="24"/>
        </w:rPr>
        <w:t xml:space="preserve">в. </w:t>
      </w:r>
      <w:r w:rsidRPr="00587101">
        <w:rPr>
          <w:sz w:val="24"/>
          <w:szCs w:val="24"/>
        </w:rPr>
        <w:t xml:space="preserve">Повышенный уровень: </w:t>
      </w:r>
      <w:r w:rsidRPr="00587101">
        <w:rPr>
          <w:sz w:val="24"/>
          <w:szCs w:val="24"/>
        </w:rPr>
        <w:t xml:space="preserve"> 160 мг%. </w:t>
      </w:r>
    </w:p>
    <w:p w:rsidR="00587101" w:rsidRPr="00587101" w:rsidRDefault="00587101" w:rsidP="00587101">
      <w:pPr>
        <w:widowControl/>
        <w:autoSpaceDE/>
        <w:autoSpaceDN/>
        <w:adjustRightInd/>
        <w:spacing w:before="30"/>
        <w:ind w:left="900" w:hanging="300"/>
        <w:jc w:val="both"/>
        <w:rPr>
          <w:sz w:val="24"/>
          <w:szCs w:val="24"/>
        </w:rPr>
      </w:pPr>
      <w:r w:rsidRPr="00587101">
        <w:rPr>
          <w:b/>
          <w:bCs/>
          <w:sz w:val="24"/>
          <w:szCs w:val="24"/>
        </w:rPr>
        <w:t xml:space="preserve">3. </w:t>
      </w:r>
      <w:r w:rsidRPr="00587101">
        <w:rPr>
          <w:sz w:val="24"/>
          <w:szCs w:val="24"/>
        </w:rPr>
        <w:t xml:space="preserve">В США уровни общего холестерина 200 и 240 мг% и холестерина ЛПНП 130 и 160 мг% соответствуют примерно 50-му и 75-му процентилям среди населения. </w:t>
      </w:r>
    </w:p>
    <w:p w:rsidR="00587101" w:rsidRPr="00587101" w:rsidRDefault="00587101" w:rsidP="00587101">
      <w:pPr>
        <w:widowControl/>
        <w:autoSpaceDE/>
        <w:autoSpaceDN/>
        <w:adjustRightInd/>
        <w:spacing w:before="30"/>
        <w:ind w:left="600" w:hanging="300"/>
        <w:jc w:val="both"/>
        <w:rPr>
          <w:sz w:val="24"/>
          <w:szCs w:val="24"/>
        </w:rPr>
      </w:pPr>
      <w:r w:rsidRPr="00587101">
        <w:rPr>
          <w:b/>
          <w:bCs/>
          <w:sz w:val="24"/>
          <w:szCs w:val="24"/>
        </w:rPr>
        <w:lastRenderedPageBreak/>
        <w:t>Б. Низкий уровень холестерина ЛПВП</w:t>
      </w:r>
      <w:r w:rsidRPr="00587101">
        <w:rPr>
          <w:sz w:val="24"/>
          <w:szCs w:val="24"/>
        </w:rPr>
        <w:t xml:space="preserve"> — независимый фактор риска ИБС, что было показано, в частности, в Хельсинкском проспективном исследовании эффективности первичной профилактики ИБС. Среднее содержание холестерина ЛПВП у мужчин и женщин в США составляет соответственно 45 и 55 мг%. По рекомендации Национальной Программы по выявлению, классификации и лечению гиперхолестеринемии у взрослых, фактором риска ИБС считают содержание холестерина ЛПВП &lt; 35 мг%; этот уровень соответствует 20-му процентилю у мужчин и 5-му процентилю у женщин. При обследовании жителей Фреймингема (Массачусетс, США) определяли уровень общего холестерина, холестерина ЛПВП и холестерина ЛПНП. Установили, что отношение общий холестерин/холестерин ЛПВП &gt; 4,5 — самый убедительный маркер высокого риска атеросклероза. Прогностическое значение низкого уровня холестерина ЛПВП на фоне низкого уровня холестерина ЛПНП не выяснено. </w:t>
      </w:r>
    </w:p>
    <w:p w:rsidR="00587101" w:rsidRPr="00587101" w:rsidRDefault="00587101" w:rsidP="00587101">
      <w:pPr>
        <w:widowControl/>
        <w:autoSpaceDE/>
        <w:autoSpaceDN/>
        <w:adjustRightInd/>
        <w:spacing w:before="30"/>
        <w:ind w:left="900" w:hanging="300"/>
        <w:jc w:val="both"/>
        <w:rPr>
          <w:sz w:val="24"/>
          <w:szCs w:val="24"/>
        </w:rPr>
      </w:pPr>
      <w:r w:rsidRPr="00587101">
        <w:rPr>
          <w:b/>
          <w:bCs/>
          <w:sz w:val="24"/>
          <w:szCs w:val="24"/>
        </w:rPr>
        <w:t xml:space="preserve">1. Общие сведения. </w:t>
      </w:r>
      <w:r w:rsidRPr="00587101">
        <w:rPr>
          <w:sz w:val="24"/>
          <w:szCs w:val="24"/>
        </w:rPr>
        <w:t xml:space="preserve">Роль гипертриглицеридемии как фактора риска атеросклероза остается предметом споров. В ранних эпидемиологических исследованиях не учитывали уровень холестерина ЛПВП, который обратно пропорционален уровню триглицеридов. Хельсинкское проспективное исследование эффективности первичной профилактики ИБС и аналогичное исследование в Мюнстере (ФРГ) показали, что избыток богатых триглицеридами липопротеидов является независимым фактором риска атеросклероза. Возможные механизмы развития атеросклероза при гипертриглицеридемии: </w:t>
      </w:r>
    </w:p>
    <w:p w:rsidR="00587101" w:rsidRPr="00587101" w:rsidRDefault="00587101" w:rsidP="00587101">
      <w:pPr>
        <w:widowControl/>
        <w:autoSpaceDE/>
        <w:autoSpaceDN/>
        <w:adjustRightInd/>
        <w:spacing w:before="30"/>
        <w:ind w:left="1200" w:hanging="300"/>
        <w:jc w:val="both"/>
        <w:rPr>
          <w:sz w:val="24"/>
          <w:szCs w:val="24"/>
        </w:rPr>
      </w:pPr>
      <w:r w:rsidRPr="00587101">
        <w:rPr>
          <w:b/>
          <w:bCs/>
          <w:sz w:val="24"/>
          <w:szCs w:val="24"/>
        </w:rPr>
        <w:t xml:space="preserve">а. </w:t>
      </w:r>
      <w:r w:rsidRPr="00587101">
        <w:rPr>
          <w:sz w:val="24"/>
          <w:szCs w:val="24"/>
        </w:rPr>
        <w:t xml:space="preserve">Накопление обогащенных холестерином ЛПОНП или ЛППП. </w:t>
      </w:r>
    </w:p>
    <w:p w:rsidR="00587101" w:rsidRPr="00587101" w:rsidRDefault="00587101" w:rsidP="00587101">
      <w:pPr>
        <w:widowControl/>
        <w:autoSpaceDE/>
        <w:autoSpaceDN/>
        <w:adjustRightInd/>
        <w:spacing w:before="30"/>
        <w:ind w:left="1200" w:hanging="300"/>
        <w:jc w:val="both"/>
        <w:rPr>
          <w:sz w:val="24"/>
          <w:szCs w:val="24"/>
        </w:rPr>
      </w:pPr>
      <w:r w:rsidRPr="00587101">
        <w:rPr>
          <w:b/>
          <w:bCs/>
          <w:sz w:val="24"/>
          <w:szCs w:val="24"/>
        </w:rPr>
        <w:t xml:space="preserve">б. </w:t>
      </w:r>
      <w:r w:rsidRPr="00587101">
        <w:rPr>
          <w:sz w:val="24"/>
          <w:szCs w:val="24"/>
        </w:rPr>
        <w:t xml:space="preserve">Захват обогащенных апопротеином E ЛПОНП макрофагами с превращением последних в ксантомные клетки. </w:t>
      </w:r>
    </w:p>
    <w:p w:rsidR="00587101" w:rsidRPr="00587101" w:rsidRDefault="00587101" w:rsidP="00587101">
      <w:pPr>
        <w:widowControl/>
        <w:autoSpaceDE/>
        <w:autoSpaceDN/>
        <w:adjustRightInd/>
        <w:spacing w:before="30"/>
        <w:ind w:left="1200" w:hanging="300"/>
        <w:jc w:val="both"/>
        <w:rPr>
          <w:sz w:val="24"/>
          <w:szCs w:val="24"/>
        </w:rPr>
      </w:pPr>
      <w:r w:rsidRPr="00587101">
        <w:rPr>
          <w:b/>
          <w:bCs/>
          <w:sz w:val="24"/>
          <w:szCs w:val="24"/>
        </w:rPr>
        <w:t xml:space="preserve">в. </w:t>
      </w:r>
      <w:r w:rsidRPr="00587101">
        <w:rPr>
          <w:sz w:val="24"/>
          <w:szCs w:val="24"/>
        </w:rPr>
        <w:t xml:space="preserve">Образование мелких ЛПНП (повышение уровня апопротеина B). </w:t>
      </w:r>
    </w:p>
    <w:p w:rsidR="00587101" w:rsidRPr="00587101" w:rsidRDefault="00587101" w:rsidP="00587101">
      <w:pPr>
        <w:widowControl/>
        <w:autoSpaceDE/>
        <w:autoSpaceDN/>
        <w:adjustRightInd/>
        <w:spacing w:before="30"/>
        <w:ind w:left="1200" w:hanging="300"/>
        <w:jc w:val="both"/>
        <w:rPr>
          <w:sz w:val="24"/>
          <w:szCs w:val="24"/>
        </w:rPr>
      </w:pPr>
      <w:bookmarkStart w:id="10" w:name="II.В.1.г."/>
      <w:r w:rsidRPr="00587101">
        <w:rPr>
          <w:b/>
          <w:bCs/>
          <w:sz w:val="24"/>
          <w:szCs w:val="24"/>
        </w:rPr>
        <w:t>г.</w:t>
      </w:r>
      <w:bookmarkEnd w:id="10"/>
      <w:r w:rsidRPr="00587101">
        <w:rPr>
          <w:b/>
          <w:bCs/>
          <w:sz w:val="24"/>
          <w:szCs w:val="24"/>
        </w:rPr>
        <w:t xml:space="preserve"> </w:t>
      </w:r>
      <w:r w:rsidRPr="00587101">
        <w:rPr>
          <w:sz w:val="24"/>
          <w:szCs w:val="24"/>
        </w:rPr>
        <w:t xml:space="preserve">Ускоренное выведение обогащенных триглицеридами ЛПВП. </w:t>
      </w:r>
    </w:p>
    <w:p w:rsidR="00587101" w:rsidRPr="00587101" w:rsidRDefault="00587101" w:rsidP="00587101">
      <w:pPr>
        <w:widowControl/>
        <w:autoSpaceDE/>
        <w:autoSpaceDN/>
        <w:adjustRightInd/>
        <w:spacing w:before="30"/>
        <w:ind w:left="1200" w:hanging="300"/>
        <w:jc w:val="both"/>
        <w:rPr>
          <w:sz w:val="24"/>
          <w:szCs w:val="24"/>
        </w:rPr>
      </w:pPr>
      <w:bookmarkStart w:id="11" w:name="II.В.1.д."/>
      <w:r w:rsidRPr="00587101">
        <w:rPr>
          <w:b/>
          <w:bCs/>
          <w:sz w:val="24"/>
          <w:szCs w:val="24"/>
        </w:rPr>
        <w:t>д.</w:t>
      </w:r>
      <w:bookmarkEnd w:id="11"/>
      <w:r w:rsidRPr="00587101">
        <w:rPr>
          <w:b/>
          <w:bCs/>
          <w:sz w:val="24"/>
          <w:szCs w:val="24"/>
        </w:rPr>
        <w:t xml:space="preserve"> </w:t>
      </w:r>
      <w:r w:rsidRPr="00587101">
        <w:rPr>
          <w:sz w:val="24"/>
          <w:szCs w:val="24"/>
        </w:rPr>
        <w:t xml:space="preserve">Усиленное тромбообразование. </w:t>
      </w:r>
    </w:p>
    <w:p w:rsidR="00587101" w:rsidRPr="00587101" w:rsidRDefault="00587101" w:rsidP="00587101">
      <w:pPr>
        <w:widowControl/>
        <w:autoSpaceDE/>
        <w:autoSpaceDN/>
        <w:adjustRightInd/>
        <w:spacing w:before="30"/>
        <w:ind w:left="900"/>
        <w:jc w:val="both"/>
        <w:rPr>
          <w:sz w:val="24"/>
          <w:szCs w:val="24"/>
        </w:rPr>
      </w:pPr>
      <w:r w:rsidRPr="00587101">
        <w:rPr>
          <w:sz w:val="24"/>
          <w:szCs w:val="24"/>
        </w:rPr>
        <w:t xml:space="preserve">У больных с семейной смешанной гиперлипопротеидемией риск атеросклероза повышен даже при нормальном уровне холестерина ЛПНП. </w:t>
      </w:r>
    </w:p>
    <w:p w:rsidR="00587101" w:rsidRPr="00587101" w:rsidRDefault="00587101" w:rsidP="00587101">
      <w:pPr>
        <w:widowControl/>
        <w:autoSpaceDE/>
        <w:autoSpaceDN/>
        <w:adjustRightInd/>
        <w:spacing w:before="30"/>
        <w:ind w:left="900" w:hanging="300"/>
        <w:jc w:val="both"/>
        <w:rPr>
          <w:sz w:val="24"/>
          <w:szCs w:val="24"/>
        </w:rPr>
      </w:pPr>
      <w:r w:rsidRPr="00587101">
        <w:rPr>
          <w:b/>
          <w:bCs/>
          <w:sz w:val="24"/>
          <w:szCs w:val="24"/>
        </w:rPr>
        <w:t xml:space="preserve">2. Лабораторная диагностика гипертриглицеридемии. </w:t>
      </w:r>
      <w:r w:rsidRPr="00587101">
        <w:rPr>
          <w:sz w:val="24"/>
          <w:szCs w:val="24"/>
        </w:rPr>
        <w:t xml:space="preserve">По рекомендации Национального института здоровья США, обследуемых распределяют по следующим группам в зависимости от уровня триглицеридов: </w:t>
      </w:r>
    </w:p>
    <w:p w:rsidR="00587101" w:rsidRPr="00587101" w:rsidRDefault="00587101" w:rsidP="00587101">
      <w:pPr>
        <w:widowControl/>
        <w:autoSpaceDE/>
        <w:autoSpaceDN/>
        <w:adjustRightInd/>
        <w:spacing w:before="30"/>
        <w:ind w:left="1200" w:hanging="300"/>
        <w:jc w:val="both"/>
        <w:rPr>
          <w:sz w:val="24"/>
          <w:szCs w:val="24"/>
        </w:rPr>
      </w:pPr>
      <w:r w:rsidRPr="00587101">
        <w:rPr>
          <w:b/>
          <w:bCs/>
          <w:sz w:val="24"/>
          <w:szCs w:val="24"/>
        </w:rPr>
        <w:t xml:space="preserve">а. </w:t>
      </w:r>
      <w:r w:rsidRPr="00587101">
        <w:rPr>
          <w:sz w:val="24"/>
          <w:szCs w:val="24"/>
        </w:rPr>
        <w:t xml:space="preserve">Норма: &lt; 250 мг%. </w:t>
      </w:r>
    </w:p>
    <w:p w:rsidR="00587101" w:rsidRPr="00587101" w:rsidRDefault="00587101" w:rsidP="00587101">
      <w:pPr>
        <w:widowControl/>
        <w:autoSpaceDE/>
        <w:autoSpaceDN/>
        <w:adjustRightInd/>
        <w:spacing w:before="30"/>
        <w:ind w:left="1200" w:hanging="300"/>
        <w:jc w:val="both"/>
        <w:rPr>
          <w:sz w:val="24"/>
          <w:szCs w:val="24"/>
        </w:rPr>
      </w:pPr>
      <w:r w:rsidRPr="00587101">
        <w:rPr>
          <w:b/>
          <w:bCs/>
          <w:sz w:val="24"/>
          <w:szCs w:val="24"/>
        </w:rPr>
        <w:t xml:space="preserve">б. </w:t>
      </w:r>
      <w:r w:rsidRPr="00587101">
        <w:rPr>
          <w:sz w:val="24"/>
          <w:szCs w:val="24"/>
        </w:rPr>
        <w:t xml:space="preserve">Умеренная гипертриглицеридемия: 250—500 мг%. </w:t>
      </w:r>
    </w:p>
    <w:p w:rsidR="00587101" w:rsidRPr="00587101" w:rsidRDefault="00587101" w:rsidP="00587101">
      <w:pPr>
        <w:widowControl/>
        <w:autoSpaceDE/>
        <w:autoSpaceDN/>
        <w:adjustRightInd/>
        <w:spacing w:before="30"/>
        <w:ind w:left="1200" w:hanging="300"/>
        <w:jc w:val="both"/>
        <w:rPr>
          <w:sz w:val="24"/>
          <w:szCs w:val="24"/>
        </w:rPr>
      </w:pPr>
      <w:r w:rsidRPr="00587101">
        <w:rPr>
          <w:b/>
          <w:bCs/>
          <w:sz w:val="24"/>
          <w:szCs w:val="24"/>
        </w:rPr>
        <w:t xml:space="preserve">в. </w:t>
      </w:r>
      <w:r w:rsidRPr="00587101">
        <w:rPr>
          <w:sz w:val="24"/>
          <w:szCs w:val="24"/>
        </w:rPr>
        <w:t xml:space="preserve">Тяжелая гипертриглицеридемия: &gt; 500 мг%. </w:t>
      </w:r>
    </w:p>
    <w:p w:rsidR="00587101" w:rsidRPr="00587101" w:rsidRDefault="00587101" w:rsidP="00587101">
      <w:pPr>
        <w:widowControl/>
        <w:autoSpaceDE/>
        <w:autoSpaceDN/>
        <w:adjustRightInd/>
        <w:spacing w:before="30"/>
        <w:ind w:left="900"/>
        <w:jc w:val="both"/>
        <w:rPr>
          <w:sz w:val="24"/>
          <w:szCs w:val="24"/>
        </w:rPr>
      </w:pPr>
      <w:r w:rsidRPr="00587101">
        <w:rPr>
          <w:sz w:val="24"/>
          <w:szCs w:val="24"/>
        </w:rPr>
        <w:t xml:space="preserve">В последнем случае, особенно при уровне триглицеридов, близком к 1000 мг%, необходимо безотлагательное лечение из-за опасности панкреатита. </w:t>
      </w:r>
    </w:p>
    <w:p w:rsidR="00587101" w:rsidRPr="00587101" w:rsidRDefault="00587101" w:rsidP="00587101">
      <w:pPr>
        <w:widowControl/>
        <w:autoSpaceDE/>
        <w:autoSpaceDN/>
        <w:adjustRightInd/>
        <w:spacing w:before="30"/>
        <w:ind w:left="300" w:hanging="300"/>
        <w:jc w:val="both"/>
        <w:rPr>
          <w:sz w:val="24"/>
          <w:szCs w:val="24"/>
        </w:rPr>
      </w:pPr>
      <w:r w:rsidRPr="00587101">
        <w:rPr>
          <w:b/>
          <w:bCs/>
          <w:sz w:val="24"/>
          <w:szCs w:val="24"/>
        </w:rPr>
        <w:t xml:space="preserve">II. Классификация дислипопротеидемий. </w:t>
      </w:r>
      <w:r w:rsidRPr="00587101">
        <w:rPr>
          <w:sz w:val="24"/>
          <w:szCs w:val="24"/>
        </w:rPr>
        <w:t xml:space="preserve">В 1967 г. Фредриксон, Леви и Лис предложили классификацию </w:t>
      </w:r>
      <w:r w:rsidRPr="00587101">
        <w:rPr>
          <w:b/>
          <w:bCs/>
          <w:sz w:val="24"/>
          <w:szCs w:val="24"/>
        </w:rPr>
        <w:t>гиперлипопротеидемий,</w:t>
      </w:r>
      <w:r w:rsidRPr="00587101">
        <w:rPr>
          <w:sz w:val="24"/>
          <w:szCs w:val="24"/>
        </w:rPr>
        <w:t xml:space="preserve"> основанную на результатах определения уровней общего холестерина и триглицеридов и на данных электрофореза и ультрацентрифугирования липопротеидов плазмы. Уровни общего холестерина и триглицеридов считали ненормальными, если они превышали 90-й процентиль среди населения. Фредриксон и соавт. описали 5 типов гиперлипопротеидемий, для каждого из которых характерен определенный </w:t>
      </w:r>
      <w:r w:rsidRPr="00587101">
        <w:rPr>
          <w:b/>
          <w:bCs/>
          <w:sz w:val="24"/>
          <w:szCs w:val="24"/>
        </w:rPr>
        <w:t>фенотип липопротеидов</w:t>
      </w:r>
      <w:r w:rsidRPr="00587101">
        <w:rPr>
          <w:sz w:val="24"/>
          <w:szCs w:val="24"/>
        </w:rPr>
        <w:t xml:space="preserve"> (подвижность при электрофорезе, количественные соотношения разных липопротеидов). Позднее эта классификация была пересмотрена специалистами ВОЗ (см. табл. 35.3). Основной недостаток классификации Фредриксона и соавт.: несоответствие </w:t>
      </w:r>
      <w:r w:rsidRPr="00587101">
        <w:rPr>
          <w:sz w:val="24"/>
          <w:szCs w:val="24"/>
        </w:rPr>
        <w:lastRenderedPageBreak/>
        <w:t xml:space="preserve">фенотипов липопротеидов генетическим дефектам, определяющим эти фенотипы (один и тот же фенотип может обнаруживаться при разных заболеваниях). Кроме того, выраженность гиперлипопротеидемии зависит от возраста, пола, питания и многих факторов окружающей среды. И, наконец, гиперлипопротеидемия любого типа может быть первичной (наследственной) или вторичной. Поэтому в последнее время более популярна классификация дислипопротеидемий, построенная по описательному принципу. В табл. 35.4 дана характеристика наиболее изученных наследственных гиперлипопротеидемий. Кроме гиперлипопротеидемий известны и другие (более редкие) формы наследственных дислипопротеидемий, в частности синдромы дефицита ЛПВП. </w:t>
      </w:r>
    </w:p>
    <w:p w:rsidR="00587101" w:rsidRPr="00587101" w:rsidRDefault="00587101" w:rsidP="00587101">
      <w:pPr>
        <w:widowControl/>
        <w:autoSpaceDE/>
        <w:autoSpaceDN/>
        <w:adjustRightInd/>
        <w:spacing w:before="30"/>
        <w:ind w:left="600" w:hanging="300"/>
        <w:jc w:val="both"/>
        <w:rPr>
          <w:sz w:val="24"/>
          <w:szCs w:val="24"/>
        </w:rPr>
      </w:pPr>
      <w:r w:rsidRPr="00587101">
        <w:rPr>
          <w:b/>
          <w:bCs/>
          <w:sz w:val="24"/>
          <w:szCs w:val="24"/>
        </w:rPr>
        <w:t xml:space="preserve">А. Первичные гиперлипопротеидемии </w:t>
      </w:r>
    </w:p>
    <w:p w:rsidR="00683EA4" w:rsidRPr="00587101" w:rsidRDefault="005B3A9C" w:rsidP="00587101">
      <w:pPr>
        <w:widowControl/>
        <w:numPr>
          <w:ilvl w:val="0"/>
          <w:numId w:val="15"/>
        </w:numPr>
        <w:autoSpaceDE/>
        <w:autoSpaceDN/>
        <w:adjustRightInd/>
        <w:ind w:left="714" w:hanging="357"/>
        <w:jc w:val="both"/>
        <w:rPr>
          <w:sz w:val="24"/>
          <w:szCs w:val="24"/>
        </w:rPr>
      </w:pPr>
      <w:r w:rsidRPr="00587101">
        <w:rPr>
          <w:sz w:val="24"/>
          <w:szCs w:val="24"/>
        </w:rPr>
        <w:t>Семейная гиперхолестеринемия (гиперлипопротеидемия типа II)</w:t>
      </w:r>
    </w:p>
    <w:p w:rsidR="00683EA4" w:rsidRPr="00587101" w:rsidRDefault="005B3A9C" w:rsidP="00587101">
      <w:pPr>
        <w:widowControl/>
        <w:numPr>
          <w:ilvl w:val="0"/>
          <w:numId w:val="15"/>
        </w:numPr>
        <w:autoSpaceDE/>
        <w:autoSpaceDN/>
        <w:adjustRightInd/>
        <w:ind w:left="714" w:hanging="357"/>
        <w:jc w:val="both"/>
        <w:rPr>
          <w:sz w:val="24"/>
          <w:szCs w:val="24"/>
        </w:rPr>
      </w:pPr>
      <w:r w:rsidRPr="00587101">
        <w:rPr>
          <w:sz w:val="24"/>
          <w:szCs w:val="24"/>
        </w:rPr>
        <w:t xml:space="preserve">Семейный дефект апопротеина </w:t>
      </w:r>
      <w:r w:rsidRPr="00587101">
        <w:rPr>
          <w:sz w:val="24"/>
          <w:szCs w:val="24"/>
          <w:lang w:val="en-US"/>
        </w:rPr>
        <w:t>B100.</w:t>
      </w:r>
    </w:p>
    <w:p w:rsidR="00683EA4" w:rsidRPr="00587101" w:rsidRDefault="005B3A9C" w:rsidP="00587101">
      <w:pPr>
        <w:widowControl/>
        <w:numPr>
          <w:ilvl w:val="0"/>
          <w:numId w:val="15"/>
        </w:numPr>
        <w:autoSpaceDE/>
        <w:autoSpaceDN/>
        <w:adjustRightInd/>
        <w:ind w:left="714" w:hanging="357"/>
        <w:jc w:val="both"/>
        <w:rPr>
          <w:sz w:val="24"/>
          <w:szCs w:val="24"/>
        </w:rPr>
      </w:pPr>
      <w:r w:rsidRPr="00587101">
        <w:rPr>
          <w:sz w:val="24"/>
          <w:szCs w:val="24"/>
        </w:rPr>
        <w:t>Семейная дисбеталипопротеидемия (гиперлипопротеидемия типа III)</w:t>
      </w:r>
    </w:p>
    <w:p w:rsidR="00683EA4" w:rsidRPr="00587101" w:rsidRDefault="005B3A9C" w:rsidP="00587101">
      <w:pPr>
        <w:widowControl/>
        <w:numPr>
          <w:ilvl w:val="0"/>
          <w:numId w:val="15"/>
        </w:numPr>
        <w:autoSpaceDE/>
        <w:autoSpaceDN/>
        <w:adjustRightInd/>
        <w:ind w:left="714" w:hanging="357"/>
        <w:jc w:val="both"/>
        <w:rPr>
          <w:sz w:val="24"/>
          <w:szCs w:val="24"/>
        </w:rPr>
      </w:pPr>
      <w:r w:rsidRPr="00587101">
        <w:rPr>
          <w:sz w:val="24"/>
          <w:szCs w:val="24"/>
        </w:rPr>
        <w:t xml:space="preserve">Семейная гипертриглицеридемия (гиперлипопротеидемия типа IV) </w:t>
      </w:r>
    </w:p>
    <w:p w:rsidR="00683EA4" w:rsidRPr="00587101" w:rsidRDefault="005B3A9C" w:rsidP="00587101">
      <w:pPr>
        <w:widowControl/>
        <w:numPr>
          <w:ilvl w:val="0"/>
          <w:numId w:val="15"/>
        </w:numPr>
        <w:autoSpaceDE/>
        <w:autoSpaceDN/>
        <w:adjustRightInd/>
        <w:ind w:left="714" w:hanging="357"/>
        <w:jc w:val="both"/>
        <w:rPr>
          <w:sz w:val="24"/>
          <w:szCs w:val="24"/>
        </w:rPr>
      </w:pPr>
      <w:r w:rsidRPr="00587101">
        <w:rPr>
          <w:sz w:val="24"/>
          <w:szCs w:val="24"/>
        </w:rPr>
        <w:t>Семейная гиперлипопротеидемия с фенотипом V</w:t>
      </w:r>
    </w:p>
    <w:p w:rsidR="00683EA4" w:rsidRPr="00587101" w:rsidRDefault="005B3A9C" w:rsidP="00587101">
      <w:pPr>
        <w:widowControl/>
        <w:numPr>
          <w:ilvl w:val="0"/>
          <w:numId w:val="15"/>
        </w:numPr>
        <w:autoSpaceDE/>
        <w:autoSpaceDN/>
        <w:adjustRightInd/>
        <w:ind w:left="714" w:hanging="357"/>
        <w:jc w:val="both"/>
        <w:rPr>
          <w:sz w:val="24"/>
          <w:szCs w:val="24"/>
        </w:rPr>
      </w:pPr>
      <w:r w:rsidRPr="00587101">
        <w:rPr>
          <w:sz w:val="24"/>
          <w:szCs w:val="24"/>
        </w:rPr>
        <w:t>Семейная недостаточность липопротеидлипазы (гиперлипопротеидемия типа I).</w:t>
      </w:r>
    </w:p>
    <w:p w:rsidR="00683EA4" w:rsidRPr="00587101" w:rsidRDefault="005B3A9C" w:rsidP="00587101">
      <w:pPr>
        <w:widowControl/>
        <w:numPr>
          <w:ilvl w:val="0"/>
          <w:numId w:val="15"/>
        </w:numPr>
        <w:autoSpaceDE/>
        <w:autoSpaceDN/>
        <w:adjustRightInd/>
        <w:ind w:left="714" w:hanging="357"/>
        <w:jc w:val="both"/>
        <w:rPr>
          <w:sz w:val="24"/>
          <w:szCs w:val="24"/>
        </w:rPr>
      </w:pPr>
      <w:r w:rsidRPr="00587101">
        <w:rPr>
          <w:sz w:val="24"/>
          <w:szCs w:val="24"/>
        </w:rPr>
        <w:t>Семейная смешанная гиперлипопротеидемия</w:t>
      </w:r>
    </w:p>
    <w:p w:rsidR="00587101" w:rsidRPr="00587101" w:rsidRDefault="00587101" w:rsidP="00587101">
      <w:pPr>
        <w:pStyle w:val="level20"/>
        <w:ind w:left="360" w:hanging="360"/>
        <w:jc w:val="both"/>
      </w:pPr>
      <w:r w:rsidRPr="00587101">
        <w:rPr>
          <w:b/>
          <w:bCs/>
        </w:rPr>
        <w:t>Первичные дислипопротеидемии, обусловленные нарушениями обмена ЛПВП</w:t>
      </w:r>
      <w:r w:rsidRPr="00587101">
        <w:t xml:space="preserve"> </w:t>
      </w:r>
    </w:p>
    <w:p w:rsidR="00587101" w:rsidRPr="00587101" w:rsidRDefault="00587101" w:rsidP="00587101">
      <w:pPr>
        <w:pStyle w:val="level30"/>
        <w:ind w:left="360" w:hanging="360"/>
        <w:jc w:val="both"/>
      </w:pPr>
      <w:r w:rsidRPr="00587101">
        <w:rPr>
          <w:b/>
          <w:bCs/>
        </w:rPr>
        <w:t>1. Семейная гипоальфалипопротеидемия (изолированный дефицит ЛПВП)</w:t>
      </w:r>
      <w:r w:rsidRPr="00587101">
        <w:t xml:space="preserve"> — самое распространенное заболевание из этой группы. Наследование аутосомно-доминантное; генетический дефект неизвестен. Уровень холестерина ЛПВП снижен на 50% при нормальных уровнях ЛПНП и ЛПОНП. Характерно развитие атеросклероза в молодом возрасте. </w:t>
      </w:r>
    </w:p>
    <w:p w:rsidR="00587101" w:rsidRPr="00587101" w:rsidRDefault="00587101" w:rsidP="00587101">
      <w:pPr>
        <w:pStyle w:val="level30"/>
        <w:ind w:left="360" w:hanging="360"/>
        <w:jc w:val="both"/>
      </w:pPr>
      <w:r w:rsidRPr="00587101">
        <w:rPr>
          <w:b/>
          <w:bCs/>
        </w:rPr>
        <w:t>2. Редкие наследственные нарушения обмена ЛПВП</w:t>
      </w:r>
      <w:r w:rsidRPr="00587101">
        <w:t xml:space="preserve"> </w:t>
      </w:r>
    </w:p>
    <w:p w:rsidR="00587101" w:rsidRPr="00587101" w:rsidRDefault="00587101" w:rsidP="00587101">
      <w:pPr>
        <w:pStyle w:val="level40"/>
        <w:ind w:left="993" w:hanging="360"/>
        <w:jc w:val="both"/>
      </w:pPr>
      <w:r w:rsidRPr="00587101">
        <w:rPr>
          <w:b/>
          <w:bCs/>
        </w:rPr>
        <w:t>а. Семейный дефицит апопротеина AI.</w:t>
      </w:r>
      <w:r w:rsidRPr="00587101">
        <w:t xml:space="preserve"> При этом заболевании нарушено образование ЛПВП. Риск атеросклероза повышен. </w:t>
      </w:r>
    </w:p>
    <w:p w:rsidR="00587101" w:rsidRPr="00587101" w:rsidRDefault="00587101" w:rsidP="00587101">
      <w:pPr>
        <w:pStyle w:val="level40"/>
        <w:ind w:left="993" w:hanging="360"/>
        <w:jc w:val="both"/>
      </w:pPr>
      <w:r w:rsidRPr="00587101">
        <w:rPr>
          <w:b/>
          <w:bCs/>
        </w:rPr>
        <w:t>б. Танджирская болезнь (семейная анальфалипопротеидемия).</w:t>
      </w:r>
      <w:r w:rsidRPr="00587101">
        <w:t xml:space="preserve"> Уровень ЛПВП не превышает 10% нормы. Риск атеросклероза очень высокий. </w:t>
      </w:r>
    </w:p>
    <w:p w:rsidR="00587101" w:rsidRPr="00587101" w:rsidRDefault="00587101" w:rsidP="00587101">
      <w:pPr>
        <w:pStyle w:val="level40"/>
        <w:ind w:left="993" w:hanging="360"/>
        <w:jc w:val="both"/>
      </w:pPr>
      <w:r w:rsidRPr="00587101">
        <w:rPr>
          <w:b/>
          <w:bCs/>
        </w:rPr>
        <w:t>в. Семейная недостаточность лецитинхолестерин-ацилтрансферазы.</w:t>
      </w:r>
      <w:r w:rsidRPr="00587101">
        <w:t xml:space="preserve"> Ускорен катаболизм ЛПВП. Появляется аномальный липопротеид X. Самое тяжелое осложнение — гломерулосклероз из-за накопления эфиров холестерина в мезангиальных клетках. Риск атеросклероза повышен. </w:t>
      </w:r>
    </w:p>
    <w:p w:rsidR="00587101" w:rsidRPr="00587101" w:rsidRDefault="00587101" w:rsidP="00587101">
      <w:pPr>
        <w:pStyle w:val="level40"/>
        <w:ind w:left="993" w:hanging="360"/>
        <w:jc w:val="both"/>
      </w:pPr>
      <w:r w:rsidRPr="00587101">
        <w:rPr>
          <w:b/>
          <w:bCs/>
        </w:rPr>
        <w:t>г. Синдром рыбьих глаз (недостаточность альфа-формы лецитинхолестерин-ацилтрансферазы).</w:t>
      </w:r>
      <w:r w:rsidRPr="00587101">
        <w:t xml:space="preserve"> Уровень холестерина ЛПВП не превышает 10% нормы; уровень ЛПОНП повышен; уровень ЛПНП сильно повышен; уровни апопротеинов AI и AII сильно снижены. Главный симптом — помутнение роговицы. Атеросклероз развивается у 30% больных. </w:t>
      </w:r>
    </w:p>
    <w:p w:rsidR="00587101" w:rsidRPr="00587101" w:rsidRDefault="00587101" w:rsidP="00587101">
      <w:pPr>
        <w:pStyle w:val="level40"/>
        <w:ind w:left="993" w:hanging="360"/>
        <w:jc w:val="both"/>
      </w:pPr>
      <w:r w:rsidRPr="00587101">
        <w:rPr>
          <w:b/>
          <w:bCs/>
        </w:rPr>
        <w:t>д. Недостаточность белка-переносчика эфиров холестерина.</w:t>
      </w:r>
      <w:r w:rsidRPr="00587101">
        <w:t xml:space="preserve"> Нарушено образование ЛПВП, ускорен катаболизм ЛПВП. Риск атеросклероза повышен. </w:t>
      </w:r>
    </w:p>
    <w:p w:rsidR="00587101" w:rsidRPr="00587101" w:rsidRDefault="00587101" w:rsidP="00587101">
      <w:pPr>
        <w:pStyle w:val="level40"/>
        <w:ind w:left="993" w:hanging="360"/>
        <w:jc w:val="both"/>
      </w:pPr>
      <w:bookmarkStart w:id="12" w:name="III.Б.2.е."/>
      <w:r w:rsidRPr="00587101">
        <w:rPr>
          <w:b/>
          <w:bCs/>
        </w:rPr>
        <w:t>е.</w:t>
      </w:r>
      <w:bookmarkEnd w:id="12"/>
      <w:r w:rsidRPr="00587101">
        <w:rPr>
          <w:b/>
          <w:bCs/>
        </w:rPr>
        <w:t xml:space="preserve"> </w:t>
      </w:r>
      <w:r w:rsidRPr="00587101">
        <w:t>Разные генетические</w:t>
      </w:r>
      <w:r w:rsidRPr="00587101">
        <w:rPr>
          <w:b/>
          <w:bCs/>
        </w:rPr>
        <w:t xml:space="preserve"> </w:t>
      </w:r>
      <w:r w:rsidRPr="00587101">
        <w:t xml:space="preserve">дефекты апопротеина AI. </w:t>
      </w:r>
    </w:p>
    <w:p w:rsidR="00587101" w:rsidRPr="00587101" w:rsidRDefault="00587101" w:rsidP="00587101">
      <w:pPr>
        <w:widowControl/>
        <w:autoSpaceDE/>
        <w:autoSpaceDN/>
        <w:adjustRightInd/>
        <w:spacing w:before="30"/>
        <w:ind w:left="600" w:hanging="300"/>
        <w:jc w:val="both"/>
        <w:rPr>
          <w:sz w:val="24"/>
          <w:szCs w:val="24"/>
        </w:rPr>
      </w:pPr>
      <w:r w:rsidRPr="00587101">
        <w:rPr>
          <w:b/>
          <w:bCs/>
          <w:sz w:val="24"/>
          <w:szCs w:val="24"/>
        </w:rPr>
        <w:t>В. Первичные дислипопротеидемии с низким риском атеросклероза</w:t>
      </w:r>
      <w:r w:rsidRPr="00587101">
        <w:rPr>
          <w:sz w:val="24"/>
          <w:szCs w:val="24"/>
        </w:rPr>
        <w:t xml:space="preserve"> </w:t>
      </w:r>
    </w:p>
    <w:p w:rsidR="00587101" w:rsidRPr="00587101" w:rsidRDefault="00587101" w:rsidP="00587101">
      <w:pPr>
        <w:widowControl/>
        <w:autoSpaceDE/>
        <w:autoSpaceDN/>
        <w:adjustRightInd/>
        <w:spacing w:before="30"/>
        <w:ind w:left="900" w:hanging="300"/>
        <w:jc w:val="both"/>
        <w:rPr>
          <w:sz w:val="24"/>
          <w:szCs w:val="24"/>
        </w:rPr>
      </w:pPr>
      <w:r w:rsidRPr="00587101">
        <w:rPr>
          <w:b/>
          <w:bCs/>
          <w:sz w:val="24"/>
          <w:szCs w:val="24"/>
        </w:rPr>
        <w:t xml:space="preserve">1. Семейная гиперальфалипопротеидемия. </w:t>
      </w:r>
      <w:r w:rsidRPr="00587101">
        <w:rPr>
          <w:sz w:val="24"/>
          <w:szCs w:val="24"/>
        </w:rPr>
        <w:t>В большинстве случаев этот синдром наследуется аутосомно-доминантно, но встречается и полигенная гиперальфалипопротеидемия. Уровень холестерина ЛПВП повышен (&gt; 90-</w:t>
      </w:r>
      <w:r w:rsidRPr="00587101">
        <w:rPr>
          <w:sz w:val="24"/>
          <w:szCs w:val="24"/>
        </w:rPr>
        <w:lastRenderedPageBreak/>
        <w:t xml:space="preserve">го процентиля); уровни ЛПНП и ЛПОНП нормальные. Продолжительность жизни у лиц с этим синдромом значительно больше, а риск атеросклероза гораздо ниже, чем среди населения. </w:t>
      </w:r>
    </w:p>
    <w:p w:rsidR="00587101" w:rsidRPr="00587101" w:rsidRDefault="00587101" w:rsidP="00587101">
      <w:pPr>
        <w:widowControl/>
        <w:autoSpaceDE/>
        <w:autoSpaceDN/>
        <w:adjustRightInd/>
        <w:spacing w:before="30"/>
        <w:ind w:left="900" w:hanging="300"/>
        <w:jc w:val="both"/>
        <w:rPr>
          <w:sz w:val="24"/>
          <w:szCs w:val="24"/>
        </w:rPr>
      </w:pPr>
      <w:r w:rsidRPr="00587101">
        <w:rPr>
          <w:b/>
          <w:bCs/>
          <w:sz w:val="24"/>
          <w:szCs w:val="24"/>
        </w:rPr>
        <w:t xml:space="preserve">2. Семейная гипобеталипопротеидемия </w:t>
      </w:r>
      <w:r w:rsidRPr="00587101">
        <w:rPr>
          <w:sz w:val="24"/>
          <w:szCs w:val="24"/>
        </w:rPr>
        <w:t>наследуется аутосомно-рецессивно.</w:t>
      </w:r>
      <w:r w:rsidRPr="00587101">
        <w:rPr>
          <w:b/>
          <w:bCs/>
          <w:sz w:val="24"/>
          <w:szCs w:val="24"/>
        </w:rPr>
        <w:t xml:space="preserve"> </w:t>
      </w:r>
      <w:r w:rsidRPr="00587101">
        <w:rPr>
          <w:sz w:val="24"/>
          <w:szCs w:val="24"/>
        </w:rPr>
        <w:t>У</w:t>
      </w:r>
      <w:r w:rsidRPr="00587101">
        <w:rPr>
          <w:b/>
          <w:bCs/>
          <w:sz w:val="24"/>
          <w:szCs w:val="24"/>
        </w:rPr>
        <w:t xml:space="preserve"> </w:t>
      </w:r>
      <w:r w:rsidRPr="00587101">
        <w:rPr>
          <w:sz w:val="24"/>
          <w:szCs w:val="24"/>
        </w:rPr>
        <w:t xml:space="preserve">гетерозигот продолжительность жизни больше, а риск атеросклероза меньше, чем среди населения. Синдром обусловлен мутацией гена апопротеина B100. Уровни апопротеина B, ЛПНП и ЛПОНП в 2 раза ниже среднего уровня среди населения; отношение холестерин ЛПНП/холестерин ЛПВП также понижено. </w:t>
      </w:r>
      <w:r w:rsidRPr="00587101">
        <w:rPr>
          <w:b/>
          <w:bCs/>
          <w:sz w:val="24"/>
          <w:szCs w:val="24"/>
        </w:rPr>
        <w:t>Гомозиготная форма семейной гипобеталипопротеидемии</w:t>
      </w:r>
      <w:r w:rsidRPr="00587101">
        <w:rPr>
          <w:sz w:val="24"/>
          <w:szCs w:val="24"/>
        </w:rPr>
        <w:t xml:space="preserve"> встречается очень редко и характеризуется высокой смертностью из-за нарушения всасывания жиров и поражения ЦНС. По клиническим проявлениям гомозиготная форма гипобеталипопротеидемии очень похожа на другое редкое аутосомно-рецессивное заболевание — </w:t>
      </w:r>
      <w:r w:rsidRPr="00587101">
        <w:rPr>
          <w:b/>
          <w:bCs/>
          <w:sz w:val="24"/>
          <w:szCs w:val="24"/>
        </w:rPr>
        <w:t>абеталипопротеидемию.</w:t>
      </w:r>
      <w:r w:rsidRPr="00587101">
        <w:rPr>
          <w:sz w:val="24"/>
          <w:szCs w:val="24"/>
        </w:rPr>
        <w:t xml:space="preserve"> Абеталипопротеидемия обусловлена мутацией гена микросомального белка, переносящего триглицериды. </w:t>
      </w:r>
    </w:p>
    <w:p w:rsidR="00587101" w:rsidRPr="00587101" w:rsidRDefault="00587101" w:rsidP="00587101">
      <w:pPr>
        <w:widowControl/>
        <w:autoSpaceDE/>
        <w:autoSpaceDN/>
        <w:adjustRightInd/>
        <w:spacing w:before="30"/>
        <w:ind w:left="600" w:hanging="300"/>
        <w:jc w:val="both"/>
        <w:rPr>
          <w:sz w:val="24"/>
          <w:szCs w:val="24"/>
        </w:rPr>
      </w:pPr>
      <w:r w:rsidRPr="00587101">
        <w:rPr>
          <w:b/>
          <w:bCs/>
          <w:sz w:val="24"/>
          <w:szCs w:val="24"/>
        </w:rPr>
        <w:t xml:space="preserve">Г. Вторичные дислипопротеидемии. </w:t>
      </w:r>
      <w:r w:rsidRPr="00587101">
        <w:rPr>
          <w:sz w:val="24"/>
          <w:szCs w:val="24"/>
        </w:rPr>
        <w:t xml:space="preserve">Вторичные дислипопротеидемии встречаются очень часто. Они могут быть вызваны заболеваниями, сопровождающимися нарушениями обмена веществ (ожирением, сахарным диабетом, алкоголизмом, гипотиреозом, болезнями почек и печени), либо обусловлены образом жизни (неправильным питанием, отсутствием физической нагрузки, курением, стрессами). Все перечисленные факторы изменяют или усиливают клинические проявления первичных дислипопротеидемий. </w:t>
      </w:r>
    </w:p>
    <w:p w:rsidR="00587101" w:rsidRPr="00587101" w:rsidRDefault="00587101" w:rsidP="00587101">
      <w:pPr>
        <w:widowControl/>
        <w:autoSpaceDE/>
        <w:autoSpaceDN/>
        <w:adjustRightInd/>
        <w:spacing w:before="30"/>
        <w:ind w:left="900" w:hanging="300"/>
        <w:jc w:val="both"/>
        <w:rPr>
          <w:sz w:val="24"/>
          <w:szCs w:val="24"/>
        </w:rPr>
      </w:pPr>
      <w:r w:rsidRPr="00587101">
        <w:rPr>
          <w:b/>
          <w:bCs/>
          <w:sz w:val="24"/>
          <w:szCs w:val="24"/>
        </w:rPr>
        <w:t xml:space="preserve">1. Диета. </w:t>
      </w:r>
      <w:r w:rsidRPr="00587101">
        <w:rPr>
          <w:sz w:val="24"/>
          <w:szCs w:val="24"/>
        </w:rPr>
        <w:t xml:space="preserve">При употреблении пищи, богатой насыщенными жирными кислотами и холестерином, подавляется синтез рецепторов ЛПНП, что приводит к накоплению ЛПНП, ЛПОНП и остаточных компонентов хиломикронов. Употребление жирной пищи — главная причина высокой распространенности гиперлипопротеидемии в развитых странах. В многочисленных эпидемиологических исследованиях установлена достоверная связь между употреблением насыщенных жирных кислот, содержанием холестерина в крови и смертностью от ИБС. Надо отметить, что почти все первичные дислипопротеидемии поддаются диетотерапии. </w:t>
      </w:r>
    </w:p>
    <w:p w:rsidR="00587101" w:rsidRPr="00587101" w:rsidRDefault="00587101" w:rsidP="00587101">
      <w:pPr>
        <w:widowControl/>
        <w:autoSpaceDE/>
        <w:autoSpaceDN/>
        <w:adjustRightInd/>
        <w:spacing w:before="30"/>
        <w:ind w:left="900" w:hanging="300"/>
        <w:jc w:val="both"/>
        <w:rPr>
          <w:sz w:val="24"/>
          <w:szCs w:val="24"/>
        </w:rPr>
      </w:pPr>
      <w:r w:rsidRPr="00587101">
        <w:rPr>
          <w:b/>
          <w:bCs/>
          <w:sz w:val="24"/>
          <w:szCs w:val="24"/>
        </w:rPr>
        <w:t xml:space="preserve">2. Сахарный диабет. </w:t>
      </w:r>
      <w:r w:rsidRPr="00587101">
        <w:rPr>
          <w:sz w:val="24"/>
          <w:szCs w:val="24"/>
        </w:rPr>
        <w:t xml:space="preserve">Преобладающее нарушение обмена липидов при сахарном диабете — </w:t>
      </w:r>
      <w:r w:rsidRPr="00587101">
        <w:rPr>
          <w:b/>
          <w:bCs/>
          <w:sz w:val="24"/>
          <w:szCs w:val="24"/>
        </w:rPr>
        <w:t xml:space="preserve">гипертриглицеридемия, </w:t>
      </w:r>
      <w:r w:rsidRPr="00587101">
        <w:rPr>
          <w:sz w:val="24"/>
          <w:szCs w:val="24"/>
        </w:rPr>
        <w:t xml:space="preserve">обусловленная повышением уровня ЛПОНП и хиломикронов. Причины накопления ЛПОНП и хиломикронов: </w:t>
      </w:r>
    </w:p>
    <w:p w:rsidR="00587101" w:rsidRPr="00587101" w:rsidRDefault="00587101" w:rsidP="00587101">
      <w:pPr>
        <w:widowControl/>
        <w:autoSpaceDE/>
        <w:autoSpaceDN/>
        <w:adjustRightInd/>
        <w:spacing w:before="30"/>
        <w:ind w:left="1200" w:hanging="300"/>
        <w:jc w:val="both"/>
        <w:rPr>
          <w:sz w:val="24"/>
          <w:szCs w:val="24"/>
        </w:rPr>
      </w:pPr>
      <w:r w:rsidRPr="00587101">
        <w:rPr>
          <w:b/>
          <w:bCs/>
          <w:sz w:val="24"/>
          <w:szCs w:val="24"/>
        </w:rPr>
        <w:t xml:space="preserve">а. </w:t>
      </w:r>
      <w:r w:rsidRPr="00587101">
        <w:rPr>
          <w:sz w:val="24"/>
          <w:szCs w:val="24"/>
        </w:rPr>
        <w:t xml:space="preserve">Дефицит инсулина при инсулинозависимом сахарном диабете и у некоторых больных инсулинонезависимым сахарным диабетом приводит к снижению скорости распада хиломикронов и ЛПОНП, поскольку инсулин необходим для синтеза липопротеидлипазы в адипоцитах. </w:t>
      </w:r>
    </w:p>
    <w:p w:rsidR="00587101" w:rsidRPr="00587101" w:rsidRDefault="00587101" w:rsidP="00587101">
      <w:pPr>
        <w:widowControl/>
        <w:autoSpaceDE/>
        <w:autoSpaceDN/>
        <w:adjustRightInd/>
        <w:spacing w:before="30"/>
        <w:ind w:left="1200" w:hanging="300"/>
        <w:jc w:val="both"/>
        <w:rPr>
          <w:sz w:val="24"/>
          <w:szCs w:val="24"/>
        </w:rPr>
      </w:pPr>
      <w:r w:rsidRPr="00587101">
        <w:rPr>
          <w:b/>
          <w:bCs/>
          <w:sz w:val="24"/>
          <w:szCs w:val="24"/>
        </w:rPr>
        <w:t xml:space="preserve">б. </w:t>
      </w:r>
      <w:r w:rsidRPr="00587101">
        <w:rPr>
          <w:sz w:val="24"/>
          <w:szCs w:val="24"/>
        </w:rPr>
        <w:t xml:space="preserve">У больных инсулинонезависимым сахарным диабетом с инсулинорезистентностью избыток инсулина стимулирует липогенез и секрецию ЛПОНП в печени. </w:t>
      </w:r>
    </w:p>
    <w:p w:rsidR="00587101" w:rsidRPr="00587101" w:rsidRDefault="00587101" w:rsidP="00587101">
      <w:pPr>
        <w:widowControl/>
        <w:autoSpaceDE/>
        <w:autoSpaceDN/>
        <w:adjustRightInd/>
        <w:spacing w:before="30"/>
        <w:ind w:left="1200" w:hanging="300"/>
        <w:jc w:val="both"/>
        <w:rPr>
          <w:sz w:val="24"/>
          <w:szCs w:val="24"/>
        </w:rPr>
      </w:pPr>
      <w:r w:rsidRPr="00587101">
        <w:rPr>
          <w:b/>
          <w:bCs/>
          <w:sz w:val="24"/>
          <w:szCs w:val="24"/>
        </w:rPr>
        <w:t xml:space="preserve">в. </w:t>
      </w:r>
      <w:r w:rsidRPr="00587101">
        <w:rPr>
          <w:sz w:val="24"/>
          <w:szCs w:val="24"/>
        </w:rPr>
        <w:t xml:space="preserve">У больных инсулинозависимым и инсулинонезависимым сахарным диабетом без инсулинорезистентности гипергликемия усиливает липогенез и секрецию ЛПОНП в печени. </w:t>
      </w:r>
    </w:p>
    <w:p w:rsidR="00587101" w:rsidRPr="00587101" w:rsidRDefault="00587101" w:rsidP="00587101">
      <w:pPr>
        <w:widowControl/>
        <w:autoSpaceDE/>
        <w:autoSpaceDN/>
        <w:adjustRightInd/>
        <w:spacing w:before="30"/>
        <w:ind w:left="900"/>
        <w:jc w:val="both"/>
        <w:rPr>
          <w:sz w:val="24"/>
          <w:szCs w:val="24"/>
        </w:rPr>
      </w:pPr>
      <w:r w:rsidRPr="00587101">
        <w:rPr>
          <w:sz w:val="24"/>
          <w:szCs w:val="24"/>
        </w:rPr>
        <w:t xml:space="preserve">У некоторых больных инсулинозависимым и у многих больных инсулинонезависимым сахарным диабетом наблюдается вторичная дислипопротеидемия, сходная с семейной гиперлипопротеидемией с фенотипом V. Предрасполагающие факторы у больных инсулинонезависимым сахарным диабетом — ожирение, семейная гипертриглицеридемия с фенотипом IV, семейная смешанная гиперлипопротеидемия. </w:t>
      </w:r>
      <w:r w:rsidRPr="00587101">
        <w:rPr>
          <w:sz w:val="24"/>
          <w:szCs w:val="24"/>
        </w:rPr>
        <w:lastRenderedPageBreak/>
        <w:t xml:space="preserve">Устранение гипергликемии влияет на частоту возникновения и тяжесть гиперлипопротеидемии при сахарном диабете. При инсулинонезависимом сахарном диабете нередко снижается уровень холестерина ЛПВП, отчасти вследствие ожирения. Другие нарушения обмена липопротеидов при сахарном диабете: накопление обогащенных холестерином ЛПОНП, мелких ЛПНП, ЛППП, остаточных компонентов хиломикронов; неферментативное гликозилирование апопротеинов; накопление липопротеида(a). Гипертриглицеридемия, повышение уровня холестерина ЛПОНП, снижение уровня холестерина ЛПВП и неферментативное гликозилирование апопротеинов — главные факторы риска атеросклероза у больных сахарным диабетом. Поддержание нормального уровня глюкозы позволяет предупредить или снизить тяжесть дислипопротеидемии и уменьшить риск атеросклероза. </w:t>
      </w:r>
    </w:p>
    <w:p w:rsidR="00587101" w:rsidRPr="00587101" w:rsidRDefault="00587101" w:rsidP="00587101">
      <w:pPr>
        <w:widowControl/>
        <w:autoSpaceDE/>
        <w:autoSpaceDN/>
        <w:adjustRightInd/>
        <w:spacing w:before="30"/>
        <w:ind w:left="900" w:hanging="300"/>
        <w:jc w:val="both"/>
        <w:rPr>
          <w:sz w:val="24"/>
          <w:szCs w:val="24"/>
        </w:rPr>
      </w:pPr>
      <w:r w:rsidRPr="00587101">
        <w:rPr>
          <w:b/>
          <w:bCs/>
          <w:sz w:val="24"/>
          <w:szCs w:val="24"/>
        </w:rPr>
        <w:t xml:space="preserve">3. Болезни почек. </w:t>
      </w:r>
      <w:r w:rsidRPr="00587101">
        <w:rPr>
          <w:sz w:val="24"/>
          <w:szCs w:val="24"/>
        </w:rPr>
        <w:t xml:space="preserve">При нефротическом синдроме повышен уровень холестерина ЛПНП и содержание ЛПОНП из-за усиленного синтеза холестерина в печени. Уровень холестерина ЛПНП обратно пропорционален концентрации альбумина в плазме. Механизм усиления синтеза холестерина в печени при протеинурии неясен. При болезнях почек повышается уровень липопротеида(a). ХПН сопровождается гипертриглицеридемией (из-за накопления ЛПОНП, ЛППП и остаточных компонентов хиломикронов) и значительным снижением уровня холестерина ЛПВП. При уремии в крови появляется ингибитор липопротеидлипазы. </w:t>
      </w:r>
    </w:p>
    <w:p w:rsidR="00587101" w:rsidRPr="00587101" w:rsidRDefault="00587101" w:rsidP="00587101">
      <w:pPr>
        <w:widowControl/>
        <w:autoSpaceDE/>
        <w:autoSpaceDN/>
        <w:adjustRightInd/>
        <w:spacing w:before="30"/>
        <w:ind w:left="900" w:hanging="300"/>
        <w:jc w:val="both"/>
        <w:rPr>
          <w:sz w:val="24"/>
          <w:szCs w:val="24"/>
        </w:rPr>
      </w:pPr>
      <w:r w:rsidRPr="00587101">
        <w:rPr>
          <w:b/>
          <w:bCs/>
          <w:sz w:val="24"/>
          <w:szCs w:val="24"/>
        </w:rPr>
        <w:t xml:space="preserve">4. Гипотиреоз. </w:t>
      </w:r>
      <w:r w:rsidRPr="00587101">
        <w:rPr>
          <w:sz w:val="24"/>
          <w:szCs w:val="24"/>
        </w:rPr>
        <w:t xml:space="preserve">Тиреоидные гормоны необходимы для связывания ЛПНП с их рецепторами. При гипотиреозе повышается уровень холестерина ЛПНП, уровень ЛППП, концентрация липопротеида(a) и снижается активность липопротеидлипазы. </w:t>
      </w:r>
    </w:p>
    <w:p w:rsidR="00587101" w:rsidRPr="00587101" w:rsidRDefault="00587101" w:rsidP="00587101">
      <w:pPr>
        <w:widowControl/>
        <w:autoSpaceDE/>
        <w:autoSpaceDN/>
        <w:adjustRightInd/>
        <w:spacing w:before="30"/>
        <w:ind w:left="300" w:hanging="300"/>
        <w:jc w:val="both"/>
        <w:rPr>
          <w:sz w:val="24"/>
          <w:szCs w:val="24"/>
        </w:rPr>
      </w:pPr>
      <w:r w:rsidRPr="00587101">
        <w:rPr>
          <w:b/>
          <w:bCs/>
          <w:sz w:val="24"/>
          <w:szCs w:val="24"/>
        </w:rPr>
        <w:t>IV. Лечение дислипопротеидемий</w:t>
      </w:r>
      <w:r w:rsidRPr="00587101">
        <w:rPr>
          <w:sz w:val="24"/>
          <w:szCs w:val="24"/>
        </w:rPr>
        <w:t xml:space="preserve"> </w:t>
      </w:r>
    </w:p>
    <w:p w:rsidR="00587101" w:rsidRPr="00587101" w:rsidRDefault="00587101" w:rsidP="00587101">
      <w:pPr>
        <w:widowControl/>
        <w:autoSpaceDE/>
        <w:autoSpaceDN/>
        <w:adjustRightInd/>
        <w:spacing w:before="30"/>
        <w:ind w:left="600" w:hanging="300"/>
        <w:jc w:val="both"/>
        <w:rPr>
          <w:sz w:val="24"/>
          <w:szCs w:val="24"/>
        </w:rPr>
      </w:pPr>
      <w:r w:rsidRPr="00587101">
        <w:rPr>
          <w:b/>
          <w:bCs/>
          <w:sz w:val="24"/>
          <w:szCs w:val="24"/>
        </w:rPr>
        <w:t xml:space="preserve">А. Принципы и цели лечения. </w:t>
      </w:r>
      <w:r w:rsidRPr="00587101">
        <w:rPr>
          <w:sz w:val="24"/>
          <w:szCs w:val="24"/>
        </w:rPr>
        <w:t xml:space="preserve">Проспективные исследования показывают, что риск атеросклероза и тяжесть ИБС уменьшаются при снижении концентрации липидов с помощью диеты или диеты в сочетании с медикаментозным лечением. Вот перечень некоторых из этих исследований. </w:t>
      </w:r>
    </w:p>
    <w:p w:rsidR="00587101" w:rsidRPr="00587101" w:rsidRDefault="00587101" w:rsidP="00587101">
      <w:pPr>
        <w:widowControl/>
        <w:autoSpaceDE/>
        <w:autoSpaceDN/>
        <w:adjustRightInd/>
        <w:spacing w:before="30"/>
        <w:ind w:left="900" w:hanging="300"/>
        <w:jc w:val="both"/>
        <w:rPr>
          <w:sz w:val="24"/>
          <w:szCs w:val="24"/>
        </w:rPr>
      </w:pPr>
      <w:r w:rsidRPr="00587101">
        <w:rPr>
          <w:b/>
          <w:bCs/>
          <w:sz w:val="24"/>
          <w:szCs w:val="24"/>
        </w:rPr>
        <w:t>1. Контролируемые испытания эффективности медикаментозной первичной профилактики ИБС</w:t>
      </w:r>
      <w:r w:rsidRPr="00587101">
        <w:rPr>
          <w:sz w:val="24"/>
          <w:szCs w:val="24"/>
        </w:rPr>
        <w:t xml:space="preserve"> </w:t>
      </w:r>
    </w:p>
    <w:p w:rsidR="00587101" w:rsidRPr="00587101" w:rsidRDefault="00587101" w:rsidP="00587101">
      <w:pPr>
        <w:widowControl/>
        <w:autoSpaceDE/>
        <w:autoSpaceDN/>
        <w:adjustRightInd/>
        <w:spacing w:before="30"/>
        <w:ind w:left="1200" w:hanging="300"/>
        <w:jc w:val="both"/>
        <w:rPr>
          <w:sz w:val="24"/>
          <w:szCs w:val="24"/>
        </w:rPr>
      </w:pPr>
      <w:r w:rsidRPr="00587101">
        <w:rPr>
          <w:b/>
          <w:bCs/>
          <w:sz w:val="24"/>
          <w:szCs w:val="24"/>
        </w:rPr>
        <w:t xml:space="preserve">а. </w:t>
      </w:r>
      <w:r w:rsidRPr="00587101">
        <w:rPr>
          <w:sz w:val="24"/>
          <w:szCs w:val="24"/>
        </w:rPr>
        <w:t xml:space="preserve">Испытание </w:t>
      </w:r>
      <w:r w:rsidRPr="00587101">
        <w:rPr>
          <w:b/>
          <w:bCs/>
          <w:sz w:val="24"/>
          <w:szCs w:val="24"/>
        </w:rPr>
        <w:t>холестирамина</w:t>
      </w:r>
      <w:r w:rsidRPr="00587101">
        <w:rPr>
          <w:sz w:val="24"/>
          <w:szCs w:val="24"/>
        </w:rPr>
        <w:t xml:space="preserve"> в отделениях нарушений липидного обмена в США (Lipid Research Clinics Study; LRC). </w:t>
      </w:r>
    </w:p>
    <w:p w:rsidR="00587101" w:rsidRPr="00587101" w:rsidRDefault="00587101" w:rsidP="00587101">
      <w:pPr>
        <w:widowControl/>
        <w:autoSpaceDE/>
        <w:autoSpaceDN/>
        <w:adjustRightInd/>
        <w:spacing w:before="30"/>
        <w:ind w:left="1200" w:hanging="300"/>
        <w:jc w:val="both"/>
        <w:rPr>
          <w:sz w:val="24"/>
          <w:szCs w:val="24"/>
        </w:rPr>
      </w:pPr>
      <w:r w:rsidRPr="00587101">
        <w:rPr>
          <w:b/>
          <w:bCs/>
          <w:sz w:val="24"/>
          <w:szCs w:val="24"/>
        </w:rPr>
        <w:t xml:space="preserve">б. </w:t>
      </w:r>
      <w:r w:rsidRPr="00587101">
        <w:rPr>
          <w:sz w:val="24"/>
          <w:szCs w:val="24"/>
        </w:rPr>
        <w:t xml:space="preserve">Испытание </w:t>
      </w:r>
      <w:r w:rsidRPr="00587101">
        <w:rPr>
          <w:b/>
          <w:bCs/>
          <w:sz w:val="24"/>
          <w:szCs w:val="24"/>
        </w:rPr>
        <w:t>клофибрата</w:t>
      </w:r>
      <w:r w:rsidRPr="00587101">
        <w:rPr>
          <w:sz w:val="24"/>
          <w:szCs w:val="24"/>
        </w:rPr>
        <w:t xml:space="preserve"> по программе ВОЗ. </w:t>
      </w:r>
    </w:p>
    <w:p w:rsidR="00587101" w:rsidRPr="00587101" w:rsidRDefault="00587101" w:rsidP="00587101">
      <w:pPr>
        <w:widowControl/>
        <w:autoSpaceDE/>
        <w:autoSpaceDN/>
        <w:adjustRightInd/>
        <w:spacing w:before="30"/>
        <w:ind w:left="1200" w:hanging="300"/>
        <w:jc w:val="both"/>
        <w:rPr>
          <w:sz w:val="24"/>
          <w:szCs w:val="24"/>
        </w:rPr>
      </w:pPr>
      <w:bookmarkStart w:id="13" w:name="IV.А.1.в."/>
      <w:r w:rsidRPr="00587101">
        <w:rPr>
          <w:b/>
          <w:bCs/>
          <w:sz w:val="24"/>
          <w:szCs w:val="24"/>
        </w:rPr>
        <w:t>в.</w:t>
      </w:r>
      <w:bookmarkEnd w:id="13"/>
      <w:r w:rsidRPr="00587101">
        <w:rPr>
          <w:b/>
          <w:bCs/>
          <w:sz w:val="24"/>
          <w:szCs w:val="24"/>
        </w:rPr>
        <w:t xml:space="preserve"> </w:t>
      </w:r>
      <w:r w:rsidRPr="00587101">
        <w:rPr>
          <w:sz w:val="24"/>
          <w:szCs w:val="24"/>
        </w:rPr>
        <w:t xml:space="preserve">Хельсинкское испытание </w:t>
      </w:r>
      <w:r w:rsidRPr="00587101">
        <w:rPr>
          <w:b/>
          <w:bCs/>
          <w:sz w:val="24"/>
          <w:szCs w:val="24"/>
        </w:rPr>
        <w:t>гемфиброзила</w:t>
      </w:r>
      <w:r w:rsidRPr="00587101">
        <w:rPr>
          <w:sz w:val="24"/>
          <w:szCs w:val="24"/>
        </w:rPr>
        <w:t xml:space="preserve">. </w:t>
      </w:r>
    </w:p>
    <w:p w:rsidR="00587101" w:rsidRPr="00587101" w:rsidRDefault="00587101" w:rsidP="00587101">
      <w:pPr>
        <w:widowControl/>
        <w:autoSpaceDE/>
        <w:autoSpaceDN/>
        <w:adjustRightInd/>
        <w:spacing w:before="30"/>
        <w:ind w:left="900" w:hanging="300"/>
        <w:jc w:val="both"/>
        <w:rPr>
          <w:sz w:val="24"/>
          <w:szCs w:val="24"/>
        </w:rPr>
      </w:pPr>
      <w:r w:rsidRPr="00587101">
        <w:rPr>
          <w:b/>
          <w:bCs/>
          <w:sz w:val="24"/>
          <w:szCs w:val="24"/>
        </w:rPr>
        <w:t>2. Проспективные ангиографические исследования эффективности гиполипидемической терапии у больных ИБС</w:t>
      </w:r>
      <w:r w:rsidRPr="00587101">
        <w:rPr>
          <w:sz w:val="24"/>
          <w:szCs w:val="24"/>
        </w:rPr>
        <w:t xml:space="preserve"> </w:t>
      </w:r>
    </w:p>
    <w:p w:rsidR="00587101" w:rsidRPr="00587101" w:rsidRDefault="00587101" w:rsidP="00587101">
      <w:pPr>
        <w:widowControl/>
        <w:autoSpaceDE/>
        <w:autoSpaceDN/>
        <w:adjustRightInd/>
        <w:spacing w:before="30"/>
        <w:ind w:left="1200" w:hanging="300"/>
        <w:jc w:val="both"/>
        <w:rPr>
          <w:sz w:val="24"/>
          <w:szCs w:val="24"/>
        </w:rPr>
      </w:pPr>
      <w:r w:rsidRPr="00587101">
        <w:rPr>
          <w:b/>
          <w:bCs/>
          <w:sz w:val="24"/>
          <w:szCs w:val="24"/>
        </w:rPr>
        <w:t xml:space="preserve">а. </w:t>
      </w:r>
      <w:r w:rsidRPr="00587101">
        <w:rPr>
          <w:sz w:val="24"/>
          <w:szCs w:val="24"/>
        </w:rPr>
        <w:t xml:space="preserve">Испытание </w:t>
      </w:r>
      <w:r w:rsidRPr="00587101">
        <w:rPr>
          <w:b/>
          <w:bCs/>
          <w:sz w:val="24"/>
          <w:szCs w:val="24"/>
        </w:rPr>
        <w:t>холестирамина</w:t>
      </w:r>
      <w:r w:rsidRPr="00587101">
        <w:rPr>
          <w:sz w:val="24"/>
          <w:szCs w:val="24"/>
        </w:rPr>
        <w:t xml:space="preserve"> </w:t>
      </w:r>
      <w:r w:rsidRPr="00587101">
        <w:rPr>
          <w:b/>
          <w:bCs/>
          <w:sz w:val="24"/>
          <w:szCs w:val="24"/>
        </w:rPr>
        <w:t>и диетотерапии</w:t>
      </w:r>
      <w:r w:rsidRPr="00587101">
        <w:rPr>
          <w:sz w:val="24"/>
          <w:szCs w:val="24"/>
        </w:rPr>
        <w:t xml:space="preserve"> при семейной гиперхолестеринемии у больных ИБС (National Heart Lung and Blood Institute Type II Coronary Intervention Study; CIT). </w:t>
      </w:r>
    </w:p>
    <w:p w:rsidR="00587101" w:rsidRPr="00587101" w:rsidRDefault="00587101" w:rsidP="00587101">
      <w:pPr>
        <w:widowControl/>
        <w:autoSpaceDE/>
        <w:autoSpaceDN/>
        <w:adjustRightInd/>
        <w:spacing w:before="30"/>
        <w:ind w:left="1200" w:hanging="300"/>
        <w:jc w:val="both"/>
        <w:rPr>
          <w:sz w:val="24"/>
          <w:szCs w:val="24"/>
        </w:rPr>
      </w:pPr>
      <w:r w:rsidRPr="00587101">
        <w:rPr>
          <w:b/>
          <w:bCs/>
          <w:sz w:val="24"/>
          <w:szCs w:val="24"/>
        </w:rPr>
        <w:t xml:space="preserve">б. </w:t>
      </w:r>
      <w:r w:rsidRPr="00587101">
        <w:rPr>
          <w:sz w:val="24"/>
          <w:szCs w:val="24"/>
        </w:rPr>
        <w:t xml:space="preserve">Испытание </w:t>
      </w:r>
      <w:r w:rsidRPr="00587101">
        <w:rPr>
          <w:b/>
          <w:bCs/>
          <w:sz w:val="24"/>
          <w:szCs w:val="24"/>
        </w:rPr>
        <w:t>колестипола</w:t>
      </w:r>
      <w:r w:rsidRPr="00587101">
        <w:rPr>
          <w:sz w:val="24"/>
          <w:szCs w:val="24"/>
        </w:rPr>
        <w:t xml:space="preserve"> </w:t>
      </w:r>
      <w:r w:rsidRPr="00587101">
        <w:rPr>
          <w:b/>
          <w:bCs/>
          <w:sz w:val="24"/>
          <w:szCs w:val="24"/>
        </w:rPr>
        <w:t>и никотиновой кислоты</w:t>
      </w:r>
      <w:r w:rsidRPr="00587101">
        <w:rPr>
          <w:sz w:val="24"/>
          <w:szCs w:val="24"/>
        </w:rPr>
        <w:t xml:space="preserve"> при коронарном атеросклерозе (Cholesterol Lowering Atherosclerosis Study; CLAS). </w:t>
      </w:r>
    </w:p>
    <w:p w:rsidR="00587101" w:rsidRPr="00587101" w:rsidRDefault="00587101" w:rsidP="00587101">
      <w:pPr>
        <w:widowControl/>
        <w:autoSpaceDE/>
        <w:autoSpaceDN/>
        <w:adjustRightInd/>
        <w:spacing w:before="30"/>
        <w:ind w:left="1200" w:hanging="300"/>
        <w:jc w:val="both"/>
        <w:rPr>
          <w:sz w:val="24"/>
          <w:szCs w:val="24"/>
        </w:rPr>
      </w:pPr>
      <w:r w:rsidRPr="00587101">
        <w:rPr>
          <w:b/>
          <w:bCs/>
          <w:sz w:val="24"/>
          <w:szCs w:val="24"/>
        </w:rPr>
        <w:t xml:space="preserve">в. </w:t>
      </w:r>
      <w:r w:rsidRPr="00587101">
        <w:rPr>
          <w:sz w:val="24"/>
          <w:szCs w:val="24"/>
        </w:rPr>
        <w:t xml:space="preserve">Исследование эффективности </w:t>
      </w:r>
      <w:r w:rsidRPr="00587101">
        <w:rPr>
          <w:b/>
          <w:bCs/>
          <w:sz w:val="24"/>
          <w:szCs w:val="24"/>
        </w:rPr>
        <w:t>гиполипидемической терапии</w:t>
      </w:r>
      <w:r w:rsidRPr="00587101">
        <w:rPr>
          <w:sz w:val="24"/>
          <w:szCs w:val="24"/>
        </w:rPr>
        <w:t xml:space="preserve"> при семейной гиперхолестеринемии по программе Университета Сан-Франциско. </w:t>
      </w:r>
    </w:p>
    <w:p w:rsidR="00587101" w:rsidRPr="00587101" w:rsidRDefault="00587101" w:rsidP="00587101">
      <w:pPr>
        <w:widowControl/>
        <w:autoSpaceDE/>
        <w:autoSpaceDN/>
        <w:adjustRightInd/>
        <w:spacing w:before="30"/>
        <w:ind w:left="1200" w:hanging="300"/>
        <w:jc w:val="both"/>
        <w:rPr>
          <w:sz w:val="24"/>
          <w:szCs w:val="24"/>
        </w:rPr>
      </w:pPr>
      <w:bookmarkStart w:id="14" w:name="IV.А.2.г."/>
      <w:r w:rsidRPr="00587101">
        <w:rPr>
          <w:b/>
          <w:bCs/>
          <w:sz w:val="24"/>
          <w:szCs w:val="24"/>
        </w:rPr>
        <w:lastRenderedPageBreak/>
        <w:t>г.</w:t>
      </w:r>
      <w:bookmarkEnd w:id="14"/>
      <w:r w:rsidRPr="00587101">
        <w:rPr>
          <w:b/>
          <w:bCs/>
          <w:sz w:val="24"/>
          <w:szCs w:val="24"/>
        </w:rPr>
        <w:t xml:space="preserve"> </w:t>
      </w:r>
      <w:r w:rsidRPr="00587101">
        <w:rPr>
          <w:sz w:val="24"/>
          <w:szCs w:val="24"/>
        </w:rPr>
        <w:t xml:space="preserve">Влияние образа жизни на сердце (Lifestyle Heart Trial). Изучали влияние </w:t>
      </w:r>
      <w:r w:rsidRPr="00587101">
        <w:rPr>
          <w:b/>
          <w:bCs/>
          <w:sz w:val="24"/>
          <w:szCs w:val="24"/>
        </w:rPr>
        <w:t>диеты с пониженным содержанием жиров, прекращения курения, методов релаксации и умеренных физических нагрузок</w:t>
      </w:r>
      <w:r w:rsidRPr="00587101">
        <w:rPr>
          <w:sz w:val="24"/>
          <w:szCs w:val="24"/>
        </w:rPr>
        <w:t xml:space="preserve"> на течение и тяжесть ИБС. </w:t>
      </w:r>
    </w:p>
    <w:p w:rsidR="00587101" w:rsidRPr="00587101" w:rsidRDefault="00587101" w:rsidP="00587101">
      <w:pPr>
        <w:widowControl/>
        <w:autoSpaceDE/>
        <w:autoSpaceDN/>
        <w:adjustRightInd/>
        <w:spacing w:before="30"/>
        <w:ind w:left="1200" w:hanging="300"/>
        <w:jc w:val="both"/>
        <w:rPr>
          <w:sz w:val="24"/>
          <w:szCs w:val="24"/>
        </w:rPr>
      </w:pPr>
      <w:bookmarkStart w:id="15" w:name="IV.А.2.д."/>
      <w:r w:rsidRPr="00587101">
        <w:rPr>
          <w:b/>
          <w:bCs/>
          <w:sz w:val="24"/>
          <w:szCs w:val="24"/>
        </w:rPr>
        <w:t>д.</w:t>
      </w:r>
      <w:bookmarkEnd w:id="15"/>
      <w:r w:rsidRPr="00587101">
        <w:rPr>
          <w:b/>
          <w:bCs/>
          <w:sz w:val="24"/>
          <w:szCs w:val="24"/>
        </w:rPr>
        <w:t xml:space="preserve"> </w:t>
      </w:r>
      <w:r w:rsidRPr="00587101">
        <w:rPr>
          <w:sz w:val="24"/>
          <w:szCs w:val="24"/>
        </w:rPr>
        <w:t xml:space="preserve">Исследование эффективности </w:t>
      </w:r>
      <w:r w:rsidRPr="00587101">
        <w:rPr>
          <w:b/>
          <w:bCs/>
          <w:sz w:val="24"/>
          <w:szCs w:val="24"/>
        </w:rPr>
        <w:t>хирургического лечения гиперлипопротеидемии</w:t>
      </w:r>
      <w:r w:rsidRPr="00587101">
        <w:rPr>
          <w:sz w:val="24"/>
          <w:szCs w:val="24"/>
        </w:rPr>
        <w:t xml:space="preserve"> путем наложения анастомоза между проксимальным отделом тощей кишки и дистальным отделом подвздошной кишки (Program on the Surgical Control of the Hyperlipidemias; POSCH). </w:t>
      </w:r>
    </w:p>
    <w:p w:rsidR="00587101" w:rsidRPr="00587101" w:rsidRDefault="00587101" w:rsidP="00587101">
      <w:pPr>
        <w:widowControl/>
        <w:autoSpaceDE/>
        <w:autoSpaceDN/>
        <w:adjustRightInd/>
        <w:spacing w:before="30"/>
        <w:ind w:left="1200" w:hanging="300"/>
        <w:jc w:val="both"/>
        <w:rPr>
          <w:sz w:val="24"/>
          <w:szCs w:val="24"/>
        </w:rPr>
      </w:pPr>
      <w:bookmarkStart w:id="16" w:name="IV.А.2.е."/>
      <w:r w:rsidRPr="00587101">
        <w:rPr>
          <w:b/>
          <w:bCs/>
          <w:sz w:val="24"/>
          <w:szCs w:val="24"/>
        </w:rPr>
        <w:t>е.</w:t>
      </w:r>
      <w:bookmarkEnd w:id="16"/>
      <w:r w:rsidRPr="00587101">
        <w:rPr>
          <w:b/>
          <w:bCs/>
          <w:sz w:val="24"/>
          <w:szCs w:val="24"/>
        </w:rPr>
        <w:t xml:space="preserve"> </w:t>
      </w:r>
      <w:r w:rsidRPr="00587101">
        <w:rPr>
          <w:sz w:val="24"/>
          <w:szCs w:val="24"/>
        </w:rPr>
        <w:t xml:space="preserve">Исследование эффективности профилактики и лечения семейной гиперхолестеринемии и ИБС </w:t>
      </w:r>
      <w:r w:rsidRPr="00587101">
        <w:rPr>
          <w:b/>
          <w:bCs/>
          <w:sz w:val="24"/>
          <w:szCs w:val="24"/>
        </w:rPr>
        <w:t>ловастатином</w:t>
      </w:r>
      <w:r w:rsidRPr="00587101">
        <w:rPr>
          <w:sz w:val="24"/>
          <w:szCs w:val="24"/>
        </w:rPr>
        <w:t xml:space="preserve"> </w:t>
      </w:r>
      <w:r w:rsidRPr="00587101">
        <w:rPr>
          <w:b/>
          <w:bCs/>
          <w:sz w:val="24"/>
          <w:szCs w:val="24"/>
        </w:rPr>
        <w:t>и колестиполом</w:t>
      </w:r>
      <w:r w:rsidRPr="00587101">
        <w:rPr>
          <w:sz w:val="24"/>
          <w:szCs w:val="24"/>
        </w:rPr>
        <w:t xml:space="preserve"> (Familial Atherosclerosis Treatment Study; FATS). </w:t>
      </w:r>
    </w:p>
    <w:p w:rsidR="00587101" w:rsidRPr="00587101" w:rsidRDefault="00587101" w:rsidP="00587101">
      <w:pPr>
        <w:widowControl/>
        <w:autoSpaceDE/>
        <w:autoSpaceDN/>
        <w:adjustRightInd/>
        <w:spacing w:before="30"/>
        <w:ind w:left="1200" w:hanging="300"/>
        <w:jc w:val="both"/>
        <w:rPr>
          <w:sz w:val="24"/>
          <w:szCs w:val="24"/>
          <w:lang w:val="en-US"/>
        </w:rPr>
      </w:pPr>
      <w:bookmarkStart w:id="17" w:name="IV.А.2.ж."/>
      <w:r w:rsidRPr="00587101">
        <w:rPr>
          <w:b/>
          <w:bCs/>
          <w:sz w:val="24"/>
          <w:szCs w:val="24"/>
        </w:rPr>
        <w:t>ж.</w:t>
      </w:r>
      <w:bookmarkEnd w:id="17"/>
      <w:r w:rsidRPr="00587101">
        <w:rPr>
          <w:b/>
          <w:bCs/>
          <w:sz w:val="24"/>
          <w:szCs w:val="24"/>
        </w:rPr>
        <w:t xml:space="preserve"> </w:t>
      </w:r>
      <w:r w:rsidRPr="00587101">
        <w:rPr>
          <w:sz w:val="24"/>
          <w:szCs w:val="24"/>
        </w:rPr>
        <w:t xml:space="preserve">Обратное развитие атеросклероза на фоне </w:t>
      </w:r>
      <w:r w:rsidRPr="00587101">
        <w:rPr>
          <w:b/>
          <w:bCs/>
          <w:sz w:val="24"/>
          <w:szCs w:val="24"/>
        </w:rPr>
        <w:t>диетотерапии и лечения холестирамином</w:t>
      </w:r>
      <w:r w:rsidRPr="00587101">
        <w:rPr>
          <w:sz w:val="24"/>
          <w:szCs w:val="24"/>
        </w:rPr>
        <w:t xml:space="preserve"> у больных ИБС с умеренной гиперхолестеринемией. Исследование</w:t>
      </w:r>
      <w:r w:rsidRPr="00587101">
        <w:rPr>
          <w:sz w:val="24"/>
          <w:szCs w:val="24"/>
          <w:lang w:val="en-US"/>
        </w:rPr>
        <w:t xml:space="preserve"> </w:t>
      </w:r>
      <w:r w:rsidRPr="00587101">
        <w:rPr>
          <w:sz w:val="24"/>
          <w:szCs w:val="24"/>
        </w:rPr>
        <w:t>проведено</w:t>
      </w:r>
      <w:r w:rsidRPr="00587101">
        <w:rPr>
          <w:sz w:val="24"/>
          <w:szCs w:val="24"/>
          <w:lang w:val="en-US"/>
        </w:rPr>
        <w:t xml:space="preserve"> </w:t>
      </w:r>
      <w:r w:rsidRPr="00587101">
        <w:rPr>
          <w:sz w:val="24"/>
          <w:szCs w:val="24"/>
        </w:rPr>
        <w:t>в</w:t>
      </w:r>
      <w:r w:rsidRPr="00587101">
        <w:rPr>
          <w:sz w:val="24"/>
          <w:szCs w:val="24"/>
          <w:lang w:val="en-US"/>
        </w:rPr>
        <w:t xml:space="preserve"> </w:t>
      </w:r>
      <w:r w:rsidRPr="00587101">
        <w:rPr>
          <w:sz w:val="24"/>
          <w:szCs w:val="24"/>
        </w:rPr>
        <w:t>клинике</w:t>
      </w:r>
      <w:r w:rsidRPr="00587101">
        <w:rPr>
          <w:sz w:val="24"/>
          <w:szCs w:val="24"/>
          <w:lang w:val="en-US"/>
        </w:rPr>
        <w:t xml:space="preserve"> </w:t>
      </w:r>
      <w:r w:rsidRPr="00587101">
        <w:rPr>
          <w:sz w:val="24"/>
          <w:szCs w:val="24"/>
        </w:rPr>
        <w:t>св</w:t>
      </w:r>
      <w:r w:rsidRPr="00587101">
        <w:rPr>
          <w:sz w:val="24"/>
          <w:szCs w:val="24"/>
          <w:lang w:val="en-US"/>
        </w:rPr>
        <w:t>. </w:t>
      </w:r>
      <w:r w:rsidRPr="00587101">
        <w:rPr>
          <w:sz w:val="24"/>
          <w:szCs w:val="24"/>
        </w:rPr>
        <w:t>Фомы</w:t>
      </w:r>
      <w:r w:rsidRPr="00587101">
        <w:rPr>
          <w:sz w:val="24"/>
          <w:szCs w:val="24"/>
          <w:lang w:val="en-US"/>
        </w:rPr>
        <w:t xml:space="preserve"> (St. Thomas Atherosclerosis Regression Study; STARS). </w:t>
      </w:r>
    </w:p>
    <w:p w:rsidR="00587101" w:rsidRPr="00587101" w:rsidRDefault="00587101" w:rsidP="00587101">
      <w:pPr>
        <w:widowControl/>
        <w:autoSpaceDE/>
        <w:autoSpaceDN/>
        <w:adjustRightInd/>
        <w:spacing w:before="30"/>
        <w:ind w:firstLine="567"/>
        <w:jc w:val="both"/>
        <w:rPr>
          <w:sz w:val="24"/>
          <w:szCs w:val="24"/>
        </w:rPr>
      </w:pPr>
      <w:r w:rsidRPr="00587101">
        <w:rPr>
          <w:sz w:val="24"/>
          <w:szCs w:val="24"/>
        </w:rPr>
        <w:t xml:space="preserve">Многочисленные исследования эффективности немедикаментозной и медикаментозной профилактики и терапии атеросклероза проводятся в разных странах и в настоящее время. Результаты завершенных и текущих исследований подтверждают эффективность снижения уровня холестерина ЛПНП и повышения уровня холестерина ЛПВП. Снижение уровня холестерина ЛПНП на 1% уменьшает риск ИБС на 2%, а повышение уровня холестерина ЛПВП на 1 мг% уменьшает риск ИБС еще на 2—3%. Эти данные получены при обследовании мужчин среднего возраста с исходным уровнем общего холестерина более 260 мг%. </w:t>
      </w:r>
    </w:p>
    <w:p w:rsidR="00587101" w:rsidRPr="00587101" w:rsidRDefault="00587101" w:rsidP="00587101">
      <w:pPr>
        <w:widowControl/>
        <w:autoSpaceDE/>
        <w:autoSpaceDN/>
        <w:adjustRightInd/>
        <w:spacing w:before="30"/>
        <w:ind w:firstLine="567"/>
        <w:jc w:val="both"/>
        <w:rPr>
          <w:sz w:val="24"/>
          <w:szCs w:val="24"/>
        </w:rPr>
      </w:pPr>
      <w:r w:rsidRPr="00587101">
        <w:rPr>
          <w:sz w:val="24"/>
          <w:szCs w:val="24"/>
        </w:rPr>
        <w:t xml:space="preserve">Современные рекомендации по лечению дислипопротеидемий основаны на определении уровня холестерина ЛПНП (см. табл. 35.2). Кроме того, учитывают и другие факторы риска, прежде всего — наличие ИБС. Лечение показано при концентрации триглицеридов &gt; 250 мг% в сочетании с повышенным уровнем холестерина ЛПНП, низким уровнем холестерина ЛПВП или другими значимыми факторами риска. При уровне триглицеридов &gt; 500 мг% назначают диету или медикаментозное лечение для предотвращения панкреатита. </w:t>
      </w:r>
    </w:p>
    <w:p w:rsidR="00587101" w:rsidRPr="00587101" w:rsidRDefault="00587101" w:rsidP="00587101">
      <w:pPr>
        <w:widowControl/>
        <w:autoSpaceDE/>
        <w:autoSpaceDN/>
        <w:adjustRightInd/>
        <w:spacing w:before="30"/>
        <w:ind w:left="600" w:hanging="316"/>
        <w:jc w:val="both"/>
        <w:rPr>
          <w:sz w:val="24"/>
          <w:szCs w:val="24"/>
        </w:rPr>
      </w:pPr>
      <w:r w:rsidRPr="00587101">
        <w:rPr>
          <w:b/>
          <w:bCs/>
          <w:sz w:val="24"/>
          <w:szCs w:val="24"/>
        </w:rPr>
        <w:t>Б. Диетотерапия</w:t>
      </w:r>
      <w:r w:rsidRPr="00587101">
        <w:rPr>
          <w:sz w:val="24"/>
          <w:szCs w:val="24"/>
        </w:rPr>
        <w:t xml:space="preserve"> (см. табл. 35.5 и табл. 35.6). Диета, регулярные физические нагрузки, избегание стрессов и перенапряжения, прекращение курения — основа лечения дислипопротеидемий. Поэтому прежде, чем назначить медикаментозное лечение, врач рекомендует больному изменить рацион и режим питания и образ жизни. Больной должен строго выполнять эти рекомендации в течение 3—6 мес. С помощью физических нагрузок и уменьшения веса можно добиться снижения уровня триглицеридов и повышения уровня холестерина ЛПВП. Для снижения уровня холестерина ЛПНП назначают рекомендованную Американской кардиологической ассоциацией диету с пониженным общим содержанием триглицеридов и пониженным содержанием насыщенных жирных кислот (см. табл. 35.6; этапы 1 и 2). Относительная пищевая ценность полиненасыщенных и мононенасыщенных жирных кислот до конца не выяснена, поэтому их следует потреблять в равных количествах. Наиболее ценны содержащиеся в рыбе и в рыбьем жире полиненасыщенные омега-3-жирные кислоты, снижающие агрегацию тромбоцитов и содержание триглицеридов. При гипертриглицеридемии наряду с уменьшением веса и физическими упражнениями рекомендуют исключить употребление алкоголя. Больным с тяжелой гипертриглицеридемией (с фенотипом IV или V) рекомендуют ограничить потребление жиров (на долю жиров должно приходиться не более 10—15% общей калорийности пищи). </w:t>
      </w:r>
    </w:p>
    <w:p w:rsidR="00587101" w:rsidRPr="00587101" w:rsidRDefault="00587101" w:rsidP="00587101">
      <w:pPr>
        <w:widowControl/>
        <w:autoSpaceDE/>
        <w:autoSpaceDN/>
        <w:adjustRightInd/>
        <w:spacing w:before="30"/>
        <w:ind w:left="600" w:hanging="316"/>
        <w:jc w:val="both"/>
        <w:rPr>
          <w:sz w:val="24"/>
          <w:szCs w:val="24"/>
        </w:rPr>
      </w:pPr>
      <w:r w:rsidRPr="00587101">
        <w:rPr>
          <w:b/>
          <w:bCs/>
          <w:sz w:val="24"/>
          <w:szCs w:val="24"/>
        </w:rPr>
        <w:lastRenderedPageBreak/>
        <w:t xml:space="preserve">В. Медикаментозное лечение </w:t>
      </w:r>
      <w:r w:rsidRPr="00587101">
        <w:rPr>
          <w:sz w:val="24"/>
          <w:szCs w:val="24"/>
        </w:rPr>
        <w:t xml:space="preserve">(см. табл. 35.7). По рекомендации Национальной Программы по выявлению, классификации и лечению гиперхолестеринемии у взрослых медикаментозное лечение начинают, если на фоне диетотерапии уровень холестерина ЛПНП остается повышенным в течение 6 мес. Медикаментозное лечение особенно показано больным ИБС и лицам с двумя и более факторами риска ИБС. Начальная цель лечения — снижение уровня холестерина ЛПНП до 130 мг%. Однако по данным ангиографии регрессия атеросклеротических бляшек у больных ИБС отмечается только при снижении уровня холестерина ЛПНП до 100 мг%. Этот показатель считают идеальным. Для лечения дислипопротеидемий применяют 5 групп препаратов. Обязательное условие эффективности лечения — точный подбор доз. </w:t>
      </w:r>
    </w:p>
    <w:p w:rsidR="002142C8" w:rsidRDefault="00587101" w:rsidP="00587101">
      <w:pPr>
        <w:widowControl/>
        <w:autoSpaceDE/>
        <w:autoSpaceDN/>
        <w:adjustRightInd/>
        <w:spacing w:before="30"/>
        <w:ind w:left="900" w:hanging="316"/>
        <w:jc w:val="both"/>
        <w:rPr>
          <w:sz w:val="24"/>
          <w:szCs w:val="24"/>
        </w:rPr>
      </w:pPr>
      <w:r w:rsidRPr="00587101">
        <w:rPr>
          <w:b/>
          <w:bCs/>
          <w:sz w:val="24"/>
          <w:szCs w:val="24"/>
        </w:rPr>
        <w:t xml:space="preserve">1. Секвестранты желчных кислот </w:t>
      </w:r>
      <w:r w:rsidRPr="00587101">
        <w:rPr>
          <w:sz w:val="24"/>
          <w:szCs w:val="24"/>
        </w:rPr>
        <w:t xml:space="preserve">(холестирамин и колестипол) снижают уровень холестерина ЛПНП на 10—30%. </w:t>
      </w:r>
    </w:p>
    <w:p w:rsidR="002142C8" w:rsidRDefault="00587101" w:rsidP="00587101">
      <w:pPr>
        <w:widowControl/>
        <w:autoSpaceDE/>
        <w:autoSpaceDN/>
        <w:adjustRightInd/>
        <w:spacing w:before="30"/>
        <w:ind w:left="900" w:hanging="316"/>
        <w:jc w:val="both"/>
        <w:rPr>
          <w:sz w:val="24"/>
          <w:szCs w:val="24"/>
        </w:rPr>
      </w:pPr>
      <w:r w:rsidRPr="00587101">
        <w:rPr>
          <w:b/>
          <w:bCs/>
          <w:sz w:val="24"/>
          <w:szCs w:val="24"/>
        </w:rPr>
        <w:t>2. Никотиновая кислота</w:t>
      </w:r>
      <w:r w:rsidRPr="00587101">
        <w:rPr>
          <w:sz w:val="24"/>
          <w:szCs w:val="24"/>
        </w:rPr>
        <w:t xml:space="preserve"> значительно снижает уровни ЛПНП и ЛПОНП и повышает уровень ЛПВП. </w:t>
      </w:r>
    </w:p>
    <w:p w:rsidR="00587101" w:rsidRPr="00587101" w:rsidRDefault="00587101" w:rsidP="00587101">
      <w:pPr>
        <w:widowControl/>
        <w:autoSpaceDE/>
        <w:autoSpaceDN/>
        <w:adjustRightInd/>
        <w:spacing w:before="30"/>
        <w:ind w:left="900" w:hanging="316"/>
        <w:jc w:val="both"/>
        <w:rPr>
          <w:sz w:val="24"/>
          <w:szCs w:val="24"/>
        </w:rPr>
      </w:pPr>
      <w:r w:rsidRPr="00587101">
        <w:rPr>
          <w:b/>
          <w:bCs/>
          <w:sz w:val="24"/>
          <w:szCs w:val="24"/>
        </w:rPr>
        <w:t>3. Ингибиторы ГМГ-КоА-редуктазы,</w:t>
      </w:r>
      <w:r w:rsidRPr="00587101">
        <w:rPr>
          <w:sz w:val="24"/>
          <w:szCs w:val="24"/>
        </w:rPr>
        <w:t xml:space="preserve"> ключевого фермента синтеза холестерина, снижают уровень холестерина ЛПНП более чем на 40%, поэтому они особенно показаны при тяжелой первичной и вторичной гиперхолестеринемии. </w:t>
      </w:r>
    </w:p>
    <w:p w:rsidR="002142C8" w:rsidRDefault="00587101" w:rsidP="00587101">
      <w:pPr>
        <w:widowControl/>
        <w:autoSpaceDE/>
        <w:autoSpaceDN/>
        <w:adjustRightInd/>
        <w:spacing w:before="30"/>
        <w:ind w:left="900" w:hanging="316"/>
        <w:jc w:val="both"/>
        <w:rPr>
          <w:b/>
          <w:bCs/>
          <w:sz w:val="24"/>
          <w:szCs w:val="24"/>
        </w:rPr>
      </w:pPr>
      <w:r w:rsidRPr="00587101">
        <w:rPr>
          <w:b/>
          <w:bCs/>
          <w:sz w:val="24"/>
          <w:szCs w:val="24"/>
        </w:rPr>
        <w:t xml:space="preserve">4. Производные фиброевой кислоты. </w:t>
      </w:r>
    </w:p>
    <w:p w:rsidR="002142C8" w:rsidRDefault="00587101" w:rsidP="00587101">
      <w:pPr>
        <w:widowControl/>
        <w:autoSpaceDE/>
        <w:autoSpaceDN/>
        <w:adjustRightInd/>
        <w:spacing w:before="30"/>
        <w:ind w:left="900" w:hanging="316"/>
        <w:jc w:val="both"/>
        <w:rPr>
          <w:sz w:val="24"/>
          <w:szCs w:val="24"/>
        </w:rPr>
      </w:pPr>
      <w:r w:rsidRPr="00587101">
        <w:rPr>
          <w:b/>
          <w:bCs/>
          <w:sz w:val="24"/>
          <w:szCs w:val="24"/>
        </w:rPr>
        <w:t>5. Пробукол</w:t>
      </w:r>
      <w:r w:rsidRPr="00587101">
        <w:rPr>
          <w:sz w:val="24"/>
          <w:szCs w:val="24"/>
        </w:rPr>
        <w:t xml:space="preserve">, производное бисфенола, подавляет перекисное окисление липидов и тем самым предупреждает захват ЛПНП макрофагами и превращение макрофагов в ксантомные клетки. </w:t>
      </w:r>
      <w:bookmarkStart w:id="18" w:name="IV.В.6."/>
    </w:p>
    <w:p w:rsidR="00587101" w:rsidRPr="00587101" w:rsidRDefault="00587101" w:rsidP="002142C8">
      <w:pPr>
        <w:widowControl/>
        <w:autoSpaceDE/>
        <w:autoSpaceDN/>
        <w:adjustRightInd/>
        <w:spacing w:before="30"/>
        <w:ind w:left="900" w:hanging="316"/>
        <w:jc w:val="both"/>
        <w:rPr>
          <w:sz w:val="24"/>
          <w:szCs w:val="24"/>
        </w:rPr>
      </w:pPr>
      <w:r w:rsidRPr="00587101">
        <w:rPr>
          <w:b/>
          <w:bCs/>
          <w:sz w:val="24"/>
          <w:szCs w:val="24"/>
        </w:rPr>
        <w:t>6.</w:t>
      </w:r>
      <w:bookmarkEnd w:id="18"/>
      <w:r w:rsidRPr="00587101">
        <w:rPr>
          <w:b/>
          <w:bCs/>
          <w:sz w:val="24"/>
          <w:szCs w:val="24"/>
        </w:rPr>
        <w:t xml:space="preserve"> Комбинированная терапия</w:t>
      </w:r>
      <w:r w:rsidRPr="00587101">
        <w:rPr>
          <w:sz w:val="24"/>
          <w:szCs w:val="24"/>
        </w:rPr>
        <w:t xml:space="preserve"> </w:t>
      </w:r>
    </w:p>
    <w:p w:rsidR="00FA3FA4" w:rsidRPr="002273DF" w:rsidRDefault="00800BDB" w:rsidP="00FA3FA4">
      <w:pPr>
        <w:widowControl/>
        <w:autoSpaceDE/>
        <w:autoSpaceDN/>
        <w:adjustRightInd/>
        <w:spacing w:before="100" w:beforeAutospacing="1" w:after="100" w:afterAutospacing="1"/>
        <w:outlineLvl w:val="1"/>
        <w:rPr>
          <w:sz w:val="36"/>
          <w:szCs w:val="36"/>
        </w:rPr>
      </w:pPr>
      <w:r w:rsidRPr="002273DF">
        <w:rPr>
          <w:bCs/>
          <w:sz w:val="36"/>
          <w:szCs w:val="36"/>
        </w:rPr>
        <w:t>План</w:t>
      </w:r>
      <w:r w:rsidR="00FA3FA4" w:rsidRPr="002273DF">
        <w:rPr>
          <w:bCs/>
          <w:sz w:val="36"/>
          <w:szCs w:val="36"/>
        </w:rPr>
        <w:t xml:space="preserve"> </w:t>
      </w:r>
      <w:r w:rsidRPr="002273DF">
        <w:rPr>
          <w:bCs/>
          <w:sz w:val="36"/>
          <w:szCs w:val="36"/>
        </w:rPr>
        <w:t>3</w:t>
      </w:r>
      <w:r w:rsidR="00FA3FA4" w:rsidRPr="002273DF">
        <w:rPr>
          <w:bCs/>
          <w:sz w:val="36"/>
          <w:szCs w:val="36"/>
        </w:rPr>
        <w:t xml:space="preserve">. </w:t>
      </w:r>
      <w:bookmarkEnd w:id="7"/>
      <w:bookmarkEnd w:id="8"/>
      <w:r w:rsidR="002142C8" w:rsidRPr="002142C8">
        <w:rPr>
          <w:bCs/>
          <w:sz w:val="36"/>
          <w:szCs w:val="36"/>
        </w:rPr>
        <w:t>Наследственные нарушения обмена веществ</w:t>
      </w:r>
    </w:p>
    <w:p w:rsidR="002142C8" w:rsidRDefault="002142C8" w:rsidP="002142C8">
      <w:pPr>
        <w:widowControl/>
        <w:autoSpaceDE/>
        <w:autoSpaceDN/>
        <w:adjustRightInd/>
        <w:spacing w:before="30"/>
        <w:ind w:left="300" w:hanging="300"/>
        <w:jc w:val="both"/>
        <w:rPr>
          <w:sz w:val="24"/>
          <w:szCs w:val="24"/>
        </w:rPr>
      </w:pPr>
      <w:bookmarkStart w:id="19" w:name="_Toc213118552"/>
      <w:bookmarkStart w:id="20" w:name="_Toc213164099"/>
      <w:r w:rsidRPr="002142C8">
        <w:rPr>
          <w:rFonts w:ascii="Arial" w:hAnsi="Arial" w:cs="Arial"/>
          <w:b/>
          <w:bCs/>
          <w:sz w:val="24"/>
          <w:szCs w:val="24"/>
        </w:rPr>
        <w:t xml:space="preserve">I. Общие сведения. </w:t>
      </w:r>
      <w:r w:rsidRPr="002142C8">
        <w:rPr>
          <w:sz w:val="24"/>
          <w:szCs w:val="24"/>
        </w:rPr>
        <w:t xml:space="preserve">Наследственные нарушения обмена веществ обусловлены мутациями — изменениями последовательности нуклеотидов ДНК. Мутации приводят к синтезу дефектных белков (в том числе — структурных белков, ферментов, гормонов, факторов роста, белков-рецепторов). В частности, если мутация затрагивает ген, кодирующий фермент, то последний частично или полностью утрачивает каталитическую активность. Подавляющее большинство наследственных нарушений метаболизма обусловлено генетическими дефектами ферментов, участвующих в обмене аминокислот, углеводов и липидов. Патогенез и клинические проявления определяются отсутствием промежуточных или конечных нормальных метаболитов и накоплением токсических метаболитов. </w:t>
      </w:r>
    </w:p>
    <w:p w:rsidR="004527B8" w:rsidRPr="004527B8" w:rsidRDefault="004527B8" w:rsidP="004527B8">
      <w:pPr>
        <w:widowControl/>
        <w:autoSpaceDE/>
        <w:autoSpaceDN/>
        <w:adjustRightInd/>
        <w:spacing w:before="30"/>
        <w:ind w:left="300" w:hanging="300"/>
        <w:jc w:val="both"/>
        <w:rPr>
          <w:sz w:val="24"/>
          <w:szCs w:val="24"/>
        </w:rPr>
      </w:pPr>
      <w:r w:rsidRPr="004527B8">
        <w:rPr>
          <w:rFonts w:ascii="Arial" w:hAnsi="Arial" w:cs="Arial"/>
          <w:b/>
          <w:bCs/>
          <w:sz w:val="24"/>
          <w:szCs w:val="24"/>
        </w:rPr>
        <w:t>II. Диагностика</w:t>
      </w:r>
      <w:r w:rsidRPr="004527B8">
        <w:rPr>
          <w:sz w:val="24"/>
          <w:szCs w:val="24"/>
        </w:rPr>
        <w:t xml:space="preserve"> </w:t>
      </w:r>
    </w:p>
    <w:p w:rsidR="004527B8" w:rsidRPr="004527B8" w:rsidRDefault="004527B8" w:rsidP="004527B8">
      <w:pPr>
        <w:widowControl/>
        <w:autoSpaceDE/>
        <w:autoSpaceDN/>
        <w:adjustRightInd/>
        <w:spacing w:before="30"/>
        <w:ind w:left="600" w:hanging="300"/>
        <w:jc w:val="both"/>
        <w:rPr>
          <w:sz w:val="24"/>
          <w:szCs w:val="24"/>
        </w:rPr>
      </w:pPr>
      <w:r w:rsidRPr="004527B8">
        <w:rPr>
          <w:rFonts w:ascii="Arial" w:hAnsi="Arial" w:cs="Arial"/>
          <w:b/>
          <w:bCs/>
          <w:sz w:val="24"/>
          <w:szCs w:val="24"/>
        </w:rPr>
        <w:t xml:space="preserve">А. Общие правила. </w:t>
      </w:r>
      <w:r w:rsidRPr="004527B8">
        <w:rPr>
          <w:sz w:val="24"/>
          <w:szCs w:val="24"/>
        </w:rPr>
        <w:t xml:space="preserve">Некоторые болезни (фенилкетонурию, галактоземию, болезнь кленового сиропа и другие) выявляют при массовом обследовании новорожденных. Менее распространенные заболевания диагностируют у новорожденных или детей старшего возраста из групп высокого риска. Заподозрить наследственное нарушение метаболизма следует при наличии одного и, в особенности, нескольких анамнестических, клинических и биохимических признаков, перечисленных в табл. 36.2. Надо помнить, что разные наследственные болезни могут проявляться сходными биохимическими нарушениями. Кроме того, многие клинические проявления наследственных нарушений метаболизма у новорожденных сходны с клиническими проявлениями других заболеваний. При остром </w:t>
      </w:r>
      <w:r w:rsidRPr="004527B8">
        <w:rPr>
          <w:sz w:val="24"/>
          <w:szCs w:val="24"/>
        </w:rPr>
        <w:lastRenderedPageBreak/>
        <w:t xml:space="preserve">проявлении нарушений метаболизма у новорожденных или у детей старшего возраста, а также при рецидивирующем течении болезни безотлагательно начинают лечение и стараются как можно быстрее установить метаболический дефект, лежащий в основе заболевания. Детальное обследование проводят в следующих случаях: </w:t>
      </w:r>
    </w:p>
    <w:p w:rsidR="004527B8" w:rsidRPr="004527B8" w:rsidRDefault="004527B8" w:rsidP="004527B8">
      <w:pPr>
        <w:widowControl/>
        <w:autoSpaceDE/>
        <w:autoSpaceDN/>
        <w:adjustRightInd/>
        <w:spacing w:before="30"/>
        <w:ind w:left="900" w:hanging="300"/>
        <w:jc w:val="both"/>
        <w:rPr>
          <w:sz w:val="24"/>
          <w:szCs w:val="24"/>
        </w:rPr>
      </w:pPr>
      <w:r w:rsidRPr="004527B8">
        <w:rPr>
          <w:rFonts w:ascii="Arial" w:hAnsi="Arial" w:cs="Arial"/>
          <w:b/>
          <w:bCs/>
          <w:sz w:val="24"/>
          <w:szCs w:val="24"/>
        </w:rPr>
        <w:t xml:space="preserve">1. </w:t>
      </w:r>
      <w:r w:rsidRPr="004527B8">
        <w:rPr>
          <w:sz w:val="24"/>
          <w:szCs w:val="24"/>
        </w:rPr>
        <w:t xml:space="preserve">Если на фоне лечения сохраняется один или несколько симптомов. </w:t>
      </w:r>
    </w:p>
    <w:p w:rsidR="004527B8" w:rsidRPr="004527B8" w:rsidRDefault="004527B8" w:rsidP="004527B8">
      <w:pPr>
        <w:widowControl/>
        <w:autoSpaceDE/>
        <w:autoSpaceDN/>
        <w:adjustRightInd/>
        <w:spacing w:before="30"/>
        <w:ind w:left="900" w:hanging="300"/>
        <w:jc w:val="both"/>
        <w:rPr>
          <w:sz w:val="24"/>
          <w:szCs w:val="24"/>
        </w:rPr>
      </w:pPr>
      <w:r w:rsidRPr="004527B8">
        <w:rPr>
          <w:rFonts w:ascii="Arial" w:hAnsi="Arial" w:cs="Arial"/>
          <w:b/>
          <w:bCs/>
          <w:sz w:val="24"/>
          <w:szCs w:val="24"/>
        </w:rPr>
        <w:t xml:space="preserve">2. </w:t>
      </w:r>
      <w:r w:rsidRPr="004527B8">
        <w:rPr>
          <w:sz w:val="24"/>
          <w:szCs w:val="24"/>
        </w:rPr>
        <w:t>Если обнаружено необычное сочетание</w:t>
      </w:r>
      <w:r w:rsidRPr="004527B8">
        <w:rPr>
          <w:rFonts w:ascii="Arial" w:hAnsi="Arial" w:cs="Arial"/>
          <w:b/>
          <w:bCs/>
          <w:sz w:val="24"/>
          <w:szCs w:val="24"/>
        </w:rPr>
        <w:t xml:space="preserve"> </w:t>
      </w:r>
      <w:r w:rsidRPr="004527B8">
        <w:rPr>
          <w:sz w:val="24"/>
          <w:szCs w:val="24"/>
        </w:rPr>
        <w:t xml:space="preserve">нескольких симптомов, не обусловленных сопутствующим заболеванием. </w:t>
      </w:r>
    </w:p>
    <w:p w:rsidR="004527B8" w:rsidRPr="004527B8" w:rsidRDefault="004527B8" w:rsidP="004527B8">
      <w:pPr>
        <w:widowControl/>
        <w:autoSpaceDE/>
        <w:autoSpaceDN/>
        <w:adjustRightInd/>
        <w:spacing w:before="30"/>
        <w:ind w:left="600" w:hanging="300"/>
        <w:jc w:val="both"/>
        <w:rPr>
          <w:sz w:val="24"/>
          <w:szCs w:val="24"/>
        </w:rPr>
      </w:pPr>
      <w:r w:rsidRPr="004527B8">
        <w:rPr>
          <w:rFonts w:ascii="Arial" w:hAnsi="Arial" w:cs="Arial"/>
          <w:b/>
          <w:bCs/>
          <w:sz w:val="24"/>
          <w:szCs w:val="24"/>
        </w:rPr>
        <w:t>Б. Лабораторная диагностика</w:t>
      </w:r>
      <w:r w:rsidRPr="004527B8">
        <w:rPr>
          <w:sz w:val="24"/>
          <w:szCs w:val="24"/>
        </w:rPr>
        <w:t xml:space="preserve"> </w:t>
      </w:r>
    </w:p>
    <w:p w:rsidR="004527B8" w:rsidRPr="004527B8" w:rsidRDefault="004527B8" w:rsidP="004527B8">
      <w:pPr>
        <w:widowControl/>
        <w:autoSpaceDE/>
        <w:autoSpaceDN/>
        <w:adjustRightInd/>
        <w:spacing w:before="30"/>
        <w:ind w:left="900" w:hanging="300"/>
        <w:jc w:val="both"/>
        <w:rPr>
          <w:sz w:val="24"/>
          <w:szCs w:val="24"/>
        </w:rPr>
      </w:pPr>
      <w:r w:rsidRPr="004527B8">
        <w:rPr>
          <w:rFonts w:ascii="Arial" w:hAnsi="Arial" w:cs="Arial"/>
          <w:b/>
          <w:bCs/>
          <w:sz w:val="24"/>
          <w:szCs w:val="24"/>
        </w:rPr>
        <w:t>1. Наследственные нарушения метаболизма малых молекул и</w:t>
      </w:r>
      <w:r w:rsidRPr="004527B8">
        <w:rPr>
          <w:sz w:val="24"/>
          <w:szCs w:val="24"/>
        </w:rPr>
        <w:t xml:space="preserve"> </w:t>
      </w:r>
      <w:r w:rsidRPr="004527B8">
        <w:rPr>
          <w:rFonts w:ascii="Arial" w:hAnsi="Arial" w:cs="Arial"/>
          <w:b/>
          <w:bCs/>
          <w:sz w:val="24"/>
          <w:szCs w:val="24"/>
        </w:rPr>
        <w:t>энергетического обмена.</w:t>
      </w:r>
      <w:r w:rsidRPr="004527B8">
        <w:rPr>
          <w:sz w:val="24"/>
          <w:szCs w:val="24"/>
        </w:rPr>
        <w:t xml:space="preserve"> В табл. 36.3 перечислены пробы, необходимые для исчерпывающей оценки метаболического дефекта. Стандартные исследования выполнимы практически в любой клинике. Остальные пробы выполняются в специализированных лабораториях или центрах. Самое распространенное специальное исследование — это количественный и качественный </w:t>
      </w:r>
      <w:r w:rsidRPr="004527B8">
        <w:rPr>
          <w:rFonts w:ascii="Arial" w:hAnsi="Arial" w:cs="Arial"/>
          <w:b/>
          <w:bCs/>
          <w:sz w:val="24"/>
          <w:szCs w:val="24"/>
        </w:rPr>
        <w:t>анализ аминокислот в моче.</w:t>
      </w:r>
      <w:r w:rsidRPr="004527B8">
        <w:rPr>
          <w:sz w:val="24"/>
          <w:szCs w:val="24"/>
        </w:rPr>
        <w:t xml:space="preserve"> Его проводят при умеренном риске наследственных нарушений метаболизма. При остром начале заболевания на первом этапе обследования рекомендуется провести </w:t>
      </w:r>
      <w:r w:rsidRPr="004527B8">
        <w:rPr>
          <w:rFonts w:ascii="Arial" w:hAnsi="Arial" w:cs="Arial"/>
          <w:b/>
          <w:bCs/>
          <w:sz w:val="24"/>
          <w:szCs w:val="24"/>
        </w:rPr>
        <w:t>количественный анализ аминокислот в плазме.</w:t>
      </w:r>
      <w:r w:rsidRPr="004527B8">
        <w:rPr>
          <w:sz w:val="24"/>
          <w:szCs w:val="24"/>
        </w:rPr>
        <w:t xml:space="preserve"> При остром, хроническом или рецидивирующем метаболическом ацидозе требуется </w:t>
      </w:r>
      <w:r w:rsidRPr="004527B8">
        <w:rPr>
          <w:rFonts w:ascii="Arial" w:hAnsi="Arial" w:cs="Arial"/>
          <w:b/>
          <w:bCs/>
          <w:sz w:val="24"/>
          <w:szCs w:val="24"/>
        </w:rPr>
        <w:t>определение органических кислот в моче.</w:t>
      </w:r>
      <w:r w:rsidRPr="004527B8">
        <w:rPr>
          <w:sz w:val="24"/>
          <w:szCs w:val="24"/>
        </w:rPr>
        <w:t xml:space="preserve"> Обычно для исследования достаточно одной капли крови или мочи. </w:t>
      </w:r>
    </w:p>
    <w:p w:rsidR="004527B8" w:rsidRPr="004527B8" w:rsidRDefault="004527B8" w:rsidP="004527B8">
      <w:pPr>
        <w:widowControl/>
        <w:autoSpaceDE/>
        <w:autoSpaceDN/>
        <w:adjustRightInd/>
        <w:spacing w:before="30"/>
        <w:ind w:left="900" w:hanging="300"/>
        <w:jc w:val="both"/>
        <w:rPr>
          <w:sz w:val="24"/>
          <w:szCs w:val="24"/>
        </w:rPr>
      </w:pPr>
      <w:r w:rsidRPr="004527B8">
        <w:rPr>
          <w:rFonts w:ascii="Arial" w:hAnsi="Arial" w:cs="Arial"/>
          <w:b/>
          <w:bCs/>
          <w:sz w:val="24"/>
          <w:szCs w:val="24"/>
        </w:rPr>
        <w:t>2. Лизосомные болезни накопления</w:t>
      </w:r>
      <w:r w:rsidRPr="004527B8">
        <w:rPr>
          <w:sz w:val="24"/>
          <w:szCs w:val="24"/>
        </w:rPr>
        <w:t xml:space="preserve"> характеризуются сравнительно небольшими сдвигами уровней метаболитов в биологических жидкостях и более существенными — в пораженных клетках. Характерные внешние признаки: грубые черты лица, множественный дизостоз, спланхномегалия. Стандартные лабораторные исследования перечислены в табл. 36.4. По наличию частично гидролизованных внутриклеточных компонентов </w:t>
      </w:r>
      <w:r w:rsidRPr="004527B8">
        <w:rPr>
          <w:rFonts w:ascii="Arial" w:hAnsi="Arial" w:cs="Arial"/>
          <w:b/>
          <w:bCs/>
          <w:sz w:val="24"/>
          <w:szCs w:val="24"/>
        </w:rPr>
        <w:t>в моче</w:t>
      </w:r>
      <w:r w:rsidRPr="004527B8">
        <w:rPr>
          <w:sz w:val="24"/>
          <w:szCs w:val="24"/>
        </w:rPr>
        <w:t xml:space="preserve"> можно судить о дефектах некоторых лизосомных ферментов. Накопление аномальных метаболитов </w:t>
      </w:r>
      <w:r w:rsidRPr="004527B8">
        <w:rPr>
          <w:rFonts w:ascii="Arial" w:hAnsi="Arial" w:cs="Arial"/>
          <w:b/>
          <w:bCs/>
          <w:sz w:val="24"/>
          <w:szCs w:val="24"/>
        </w:rPr>
        <w:t>в клетках</w:t>
      </w:r>
      <w:r w:rsidRPr="004527B8">
        <w:rPr>
          <w:sz w:val="24"/>
          <w:szCs w:val="24"/>
        </w:rPr>
        <w:t xml:space="preserve"> доказывают с помощью </w:t>
      </w:r>
      <w:r w:rsidRPr="004527B8">
        <w:rPr>
          <w:rFonts w:ascii="Arial" w:hAnsi="Arial" w:cs="Arial"/>
          <w:b/>
          <w:bCs/>
          <w:sz w:val="24"/>
          <w:szCs w:val="24"/>
        </w:rPr>
        <w:t>биопсии.</w:t>
      </w:r>
      <w:r w:rsidRPr="004527B8">
        <w:rPr>
          <w:sz w:val="24"/>
          <w:szCs w:val="24"/>
        </w:rPr>
        <w:t xml:space="preserve"> Исследование биоптатов конъюнктивы дает больше информации, чем исследование биоптатов кожи, поскольку клеточный состав конъюнктивы более разнообразен. Исследование наличия и активности лизосомных ферментов </w:t>
      </w:r>
      <w:r w:rsidRPr="004527B8">
        <w:rPr>
          <w:rFonts w:ascii="Arial" w:hAnsi="Arial" w:cs="Arial"/>
          <w:b/>
          <w:bCs/>
          <w:sz w:val="24"/>
          <w:szCs w:val="24"/>
        </w:rPr>
        <w:t>в плазме</w:t>
      </w:r>
      <w:r w:rsidRPr="004527B8">
        <w:rPr>
          <w:sz w:val="24"/>
          <w:szCs w:val="24"/>
        </w:rPr>
        <w:t xml:space="preserve"> не всегда надежно, поскольку методы определения лизосомных ферментов не стандартизованы. Тем не менее таким путем диагностируют муколипидоз типа II (болезнь Леруа) и те лизосомные ферментопатии, на определении которых специализируется данная лаборатория. </w:t>
      </w:r>
    </w:p>
    <w:p w:rsidR="004527B8" w:rsidRPr="004527B8" w:rsidRDefault="004527B8" w:rsidP="004527B8">
      <w:pPr>
        <w:widowControl/>
        <w:autoSpaceDE/>
        <w:autoSpaceDN/>
        <w:adjustRightInd/>
        <w:spacing w:before="30"/>
        <w:ind w:left="600" w:hanging="300"/>
        <w:jc w:val="both"/>
        <w:rPr>
          <w:sz w:val="24"/>
          <w:szCs w:val="24"/>
        </w:rPr>
      </w:pPr>
      <w:r w:rsidRPr="004527B8">
        <w:rPr>
          <w:rFonts w:ascii="Arial" w:hAnsi="Arial" w:cs="Arial"/>
          <w:b/>
          <w:bCs/>
          <w:sz w:val="24"/>
          <w:szCs w:val="24"/>
        </w:rPr>
        <w:t>В. Неврологическое и офтальмологическое</w:t>
      </w:r>
      <w:r w:rsidRPr="004527B8">
        <w:rPr>
          <w:sz w:val="24"/>
          <w:szCs w:val="24"/>
        </w:rPr>
        <w:t xml:space="preserve"> </w:t>
      </w:r>
      <w:r w:rsidRPr="004527B8">
        <w:rPr>
          <w:rFonts w:ascii="Arial" w:hAnsi="Arial" w:cs="Arial"/>
          <w:b/>
          <w:bCs/>
          <w:sz w:val="24"/>
          <w:szCs w:val="24"/>
        </w:rPr>
        <w:t>обследование</w:t>
      </w:r>
      <w:r w:rsidRPr="004527B8">
        <w:rPr>
          <w:sz w:val="24"/>
          <w:szCs w:val="24"/>
        </w:rPr>
        <w:t xml:space="preserve"> во многих случаях играет решающую роль в диагностике наследственных нарушений обмена веществ. Специальные методы: анализ слуховых, зрительных и соматосенсорных вызванных потенциалов; определение скорости распространения возбуждения; ЭМГ. Часто применяются КТ и МРТ головы или ЭЭГ, но, по нашему мнению, эти исследования малоинформативны. </w:t>
      </w:r>
    </w:p>
    <w:p w:rsidR="004527B8" w:rsidRPr="004527B8" w:rsidRDefault="004527B8" w:rsidP="004527B8">
      <w:pPr>
        <w:widowControl/>
        <w:autoSpaceDE/>
        <w:autoSpaceDN/>
        <w:adjustRightInd/>
        <w:spacing w:before="30"/>
        <w:ind w:left="600" w:hanging="300"/>
        <w:jc w:val="both"/>
        <w:rPr>
          <w:sz w:val="24"/>
          <w:szCs w:val="24"/>
        </w:rPr>
      </w:pPr>
      <w:r w:rsidRPr="004527B8">
        <w:rPr>
          <w:rFonts w:ascii="Arial" w:hAnsi="Arial" w:cs="Arial"/>
          <w:b/>
          <w:bCs/>
          <w:sz w:val="24"/>
          <w:szCs w:val="24"/>
        </w:rPr>
        <w:t>Г. Определение активности ферментов.</w:t>
      </w:r>
      <w:r w:rsidRPr="004527B8">
        <w:rPr>
          <w:sz w:val="24"/>
          <w:szCs w:val="24"/>
        </w:rPr>
        <w:t xml:space="preserve"> Если известно, что нарушение метаболизма обусловлено дефектом только </w:t>
      </w:r>
      <w:r w:rsidRPr="004527B8">
        <w:rPr>
          <w:rFonts w:ascii="Arial" w:hAnsi="Arial" w:cs="Arial"/>
          <w:b/>
          <w:bCs/>
          <w:sz w:val="24"/>
          <w:szCs w:val="24"/>
        </w:rPr>
        <w:t>одного</w:t>
      </w:r>
      <w:r w:rsidRPr="004527B8">
        <w:rPr>
          <w:sz w:val="24"/>
          <w:szCs w:val="24"/>
        </w:rPr>
        <w:t xml:space="preserve"> фермента, то выявление пониженной или отсутствующей активности этого фермента на фоне накопления его субстрата позволяет избежать долгих поисков и размышлений и сразу установить диагноз. К сожалению, в большей части случаев накопление одного и того же субстрата может быть обусловлено дефектом одного из </w:t>
      </w:r>
      <w:r w:rsidRPr="004527B8">
        <w:rPr>
          <w:rFonts w:ascii="Arial" w:hAnsi="Arial" w:cs="Arial"/>
          <w:b/>
          <w:bCs/>
          <w:sz w:val="24"/>
          <w:szCs w:val="24"/>
        </w:rPr>
        <w:t>нескольких</w:t>
      </w:r>
      <w:r w:rsidRPr="004527B8">
        <w:rPr>
          <w:sz w:val="24"/>
          <w:szCs w:val="24"/>
        </w:rPr>
        <w:t xml:space="preserve"> ферментов, участвующих в последовательных превращениях субстрата. В таких ситуациях успешность лечения и надежность прогноза </w:t>
      </w:r>
      <w:r w:rsidRPr="004527B8">
        <w:rPr>
          <w:sz w:val="24"/>
          <w:szCs w:val="24"/>
        </w:rPr>
        <w:lastRenderedPageBreak/>
        <w:t xml:space="preserve">зависят от точности выяснения дефекта. Самые частые причины ошибочных диагнозов — это небрежный анализ накапливающихся субстратов и недостаточное знание нормального метаболизма. Таким образом, если врач предполагает, что наследственное нарушение метаболизма обусловлено определенным ферментным дефектом, он должен непременно подтвердить свое предположение. </w:t>
      </w:r>
    </w:p>
    <w:p w:rsidR="004527B8" w:rsidRPr="004527B8" w:rsidRDefault="004527B8" w:rsidP="004527B8">
      <w:pPr>
        <w:widowControl/>
        <w:autoSpaceDE/>
        <w:autoSpaceDN/>
        <w:adjustRightInd/>
        <w:spacing w:before="30"/>
        <w:ind w:left="600" w:hanging="300"/>
        <w:jc w:val="both"/>
        <w:rPr>
          <w:sz w:val="24"/>
          <w:szCs w:val="24"/>
        </w:rPr>
      </w:pPr>
      <w:r w:rsidRPr="004527B8">
        <w:rPr>
          <w:rFonts w:ascii="Arial" w:hAnsi="Arial" w:cs="Arial"/>
          <w:b/>
          <w:bCs/>
          <w:sz w:val="24"/>
          <w:szCs w:val="24"/>
        </w:rPr>
        <w:t xml:space="preserve">Д. Молекулярно-биологические исследования. </w:t>
      </w:r>
      <w:r w:rsidRPr="004527B8">
        <w:rPr>
          <w:sz w:val="24"/>
          <w:szCs w:val="24"/>
        </w:rPr>
        <w:t>За последние десятилетия</w:t>
      </w:r>
      <w:r w:rsidRPr="004527B8">
        <w:rPr>
          <w:rFonts w:ascii="Arial" w:hAnsi="Arial" w:cs="Arial"/>
          <w:b/>
          <w:bCs/>
          <w:sz w:val="24"/>
          <w:szCs w:val="24"/>
        </w:rPr>
        <w:t xml:space="preserve"> </w:t>
      </w:r>
      <w:r w:rsidRPr="004527B8">
        <w:rPr>
          <w:sz w:val="24"/>
          <w:szCs w:val="24"/>
        </w:rPr>
        <w:t xml:space="preserve">выяснены генетические дефекты, лежащие в основе многих наследственных нарушений обмена веществ. Получены олигонуклеотидные зонды, позволяющие точно и быстро установить генетический дефект. Метод ПЦР дает возможность использовать следовые количества ДНК больного. Анализ ДНК незаменим, если определение активности фермента затруднено или невозможно, особенно при пренатальной диагностике, когда нельзя измерить накопление субстрата. </w:t>
      </w:r>
    </w:p>
    <w:p w:rsidR="004527B8" w:rsidRPr="004527B8" w:rsidRDefault="004527B8" w:rsidP="004527B8">
      <w:pPr>
        <w:widowControl/>
        <w:autoSpaceDE/>
        <w:autoSpaceDN/>
        <w:adjustRightInd/>
        <w:spacing w:before="30"/>
        <w:ind w:left="300" w:hanging="300"/>
        <w:jc w:val="both"/>
        <w:rPr>
          <w:sz w:val="24"/>
          <w:szCs w:val="24"/>
        </w:rPr>
      </w:pPr>
      <w:r w:rsidRPr="004527B8">
        <w:rPr>
          <w:rFonts w:ascii="Arial" w:hAnsi="Arial" w:cs="Arial"/>
          <w:b/>
          <w:bCs/>
          <w:sz w:val="24"/>
          <w:szCs w:val="24"/>
        </w:rPr>
        <w:t>III. Лечение</w:t>
      </w:r>
      <w:r w:rsidRPr="004527B8">
        <w:rPr>
          <w:sz w:val="24"/>
          <w:szCs w:val="24"/>
        </w:rPr>
        <w:t xml:space="preserve"> </w:t>
      </w:r>
    </w:p>
    <w:p w:rsidR="004527B8" w:rsidRPr="004527B8" w:rsidRDefault="004527B8" w:rsidP="004527B8">
      <w:pPr>
        <w:widowControl/>
        <w:autoSpaceDE/>
        <w:autoSpaceDN/>
        <w:adjustRightInd/>
        <w:spacing w:before="30"/>
        <w:ind w:left="600" w:hanging="300"/>
        <w:jc w:val="both"/>
        <w:rPr>
          <w:sz w:val="24"/>
          <w:szCs w:val="24"/>
        </w:rPr>
      </w:pPr>
      <w:r w:rsidRPr="004527B8">
        <w:rPr>
          <w:rFonts w:ascii="Arial" w:hAnsi="Arial" w:cs="Arial"/>
          <w:b/>
          <w:bCs/>
          <w:sz w:val="24"/>
          <w:szCs w:val="24"/>
        </w:rPr>
        <w:t>А. Общие правила</w:t>
      </w:r>
      <w:r w:rsidRPr="004527B8">
        <w:rPr>
          <w:sz w:val="24"/>
          <w:szCs w:val="24"/>
        </w:rPr>
        <w:t xml:space="preserve"> </w:t>
      </w:r>
    </w:p>
    <w:p w:rsidR="004527B8" w:rsidRPr="004527B8" w:rsidRDefault="004527B8" w:rsidP="004527B8">
      <w:pPr>
        <w:widowControl/>
        <w:autoSpaceDE/>
        <w:autoSpaceDN/>
        <w:adjustRightInd/>
        <w:spacing w:before="30"/>
        <w:ind w:left="900" w:hanging="300"/>
        <w:jc w:val="both"/>
        <w:rPr>
          <w:sz w:val="24"/>
          <w:szCs w:val="24"/>
        </w:rPr>
      </w:pPr>
      <w:r w:rsidRPr="004527B8">
        <w:rPr>
          <w:rFonts w:ascii="Arial" w:hAnsi="Arial" w:cs="Arial"/>
          <w:b/>
          <w:bCs/>
          <w:sz w:val="24"/>
          <w:szCs w:val="24"/>
        </w:rPr>
        <w:t>1. Нарушения метаболизма малых молекул и</w:t>
      </w:r>
      <w:r w:rsidRPr="004527B8">
        <w:rPr>
          <w:sz w:val="24"/>
          <w:szCs w:val="24"/>
        </w:rPr>
        <w:t xml:space="preserve"> </w:t>
      </w:r>
      <w:r w:rsidRPr="004527B8">
        <w:rPr>
          <w:rFonts w:ascii="Arial" w:hAnsi="Arial" w:cs="Arial"/>
          <w:b/>
          <w:bCs/>
          <w:sz w:val="24"/>
          <w:szCs w:val="24"/>
        </w:rPr>
        <w:t>энергетического обмена.</w:t>
      </w:r>
      <w:r w:rsidRPr="004527B8">
        <w:rPr>
          <w:sz w:val="24"/>
          <w:szCs w:val="24"/>
        </w:rPr>
        <w:t xml:space="preserve"> Цель лечения: снижение накопления субстратов или восполнение недостающих продуктов реакции. Возможные подходы: коррекция уровней субстратов или продуктов либо коррекция активности соответствующих ферментов (см. табл. 36.5). </w:t>
      </w:r>
    </w:p>
    <w:p w:rsidR="004527B8" w:rsidRPr="004527B8" w:rsidRDefault="004527B8" w:rsidP="004527B8">
      <w:pPr>
        <w:widowControl/>
        <w:autoSpaceDE/>
        <w:autoSpaceDN/>
        <w:adjustRightInd/>
        <w:spacing w:before="30"/>
        <w:ind w:left="1200" w:hanging="300"/>
        <w:jc w:val="both"/>
        <w:rPr>
          <w:sz w:val="24"/>
          <w:szCs w:val="24"/>
        </w:rPr>
      </w:pPr>
      <w:r w:rsidRPr="004527B8">
        <w:rPr>
          <w:rFonts w:ascii="Arial" w:hAnsi="Arial" w:cs="Arial"/>
          <w:b/>
          <w:bCs/>
          <w:sz w:val="24"/>
          <w:szCs w:val="24"/>
        </w:rPr>
        <w:t>а. Диета с исключением</w:t>
      </w:r>
      <w:r w:rsidRPr="004527B8">
        <w:rPr>
          <w:sz w:val="24"/>
          <w:szCs w:val="24"/>
        </w:rPr>
        <w:t xml:space="preserve"> определенных веществ — самый распространенный способ лечения. Он был впервые использован для лечения </w:t>
      </w:r>
      <w:r w:rsidRPr="004527B8">
        <w:rPr>
          <w:rFonts w:ascii="Arial" w:hAnsi="Arial" w:cs="Arial"/>
          <w:b/>
          <w:bCs/>
          <w:sz w:val="24"/>
          <w:szCs w:val="24"/>
        </w:rPr>
        <w:t>галактоземии</w:t>
      </w:r>
      <w:r w:rsidRPr="004527B8">
        <w:rPr>
          <w:sz w:val="24"/>
          <w:szCs w:val="24"/>
        </w:rPr>
        <w:t xml:space="preserve"> и </w:t>
      </w:r>
      <w:r w:rsidRPr="004527B8">
        <w:rPr>
          <w:rFonts w:ascii="Arial" w:hAnsi="Arial" w:cs="Arial"/>
          <w:b/>
          <w:bCs/>
          <w:sz w:val="24"/>
          <w:szCs w:val="24"/>
        </w:rPr>
        <w:t>фенилкетонурии.</w:t>
      </w:r>
      <w:r w:rsidRPr="004527B8">
        <w:rPr>
          <w:sz w:val="24"/>
          <w:szCs w:val="24"/>
        </w:rPr>
        <w:t xml:space="preserve"> При галактоземии назначают диету со сниженным содержанием галактозы, а при фенилкетонурии и большинстве других нарушений используют полусинтетические смеси. В США такие смеси выпускают лаборатории Mead—Johnson (Эвансвилл, Индиана) и Ross (Колумбус, Огайо). Неправильное использование смесей может вызвать нарушение питания, поэтому лечение лучше проводить под наблюдением врача. Диету подбирают строго индивидуально. Лечение угрожающих жизни состояний описано ниже (см. гл. 36, п. III.Б). </w:t>
      </w:r>
    </w:p>
    <w:p w:rsidR="004527B8" w:rsidRPr="004527B8" w:rsidRDefault="004527B8" w:rsidP="004527B8">
      <w:pPr>
        <w:widowControl/>
        <w:autoSpaceDE/>
        <w:autoSpaceDN/>
        <w:adjustRightInd/>
        <w:spacing w:before="30"/>
        <w:ind w:left="1200" w:hanging="300"/>
        <w:jc w:val="both"/>
        <w:rPr>
          <w:sz w:val="24"/>
          <w:szCs w:val="24"/>
        </w:rPr>
      </w:pPr>
      <w:r w:rsidRPr="004527B8">
        <w:rPr>
          <w:rFonts w:ascii="Arial" w:hAnsi="Arial" w:cs="Arial"/>
          <w:b/>
          <w:bCs/>
          <w:sz w:val="24"/>
          <w:szCs w:val="24"/>
        </w:rPr>
        <w:t xml:space="preserve">б. </w:t>
      </w:r>
      <w:r w:rsidRPr="004527B8">
        <w:rPr>
          <w:sz w:val="24"/>
          <w:szCs w:val="24"/>
        </w:rPr>
        <w:t xml:space="preserve">Метод </w:t>
      </w:r>
      <w:r w:rsidRPr="004527B8">
        <w:rPr>
          <w:rFonts w:ascii="Arial" w:hAnsi="Arial" w:cs="Arial"/>
          <w:b/>
          <w:bCs/>
          <w:sz w:val="24"/>
          <w:szCs w:val="24"/>
        </w:rPr>
        <w:t>восполнения продукта</w:t>
      </w:r>
      <w:r w:rsidRPr="004527B8">
        <w:rPr>
          <w:sz w:val="24"/>
          <w:szCs w:val="24"/>
        </w:rPr>
        <w:t xml:space="preserve"> применяют для лечения </w:t>
      </w:r>
      <w:r w:rsidRPr="004527B8">
        <w:rPr>
          <w:rFonts w:ascii="Arial" w:hAnsi="Arial" w:cs="Arial"/>
          <w:b/>
          <w:bCs/>
          <w:sz w:val="24"/>
          <w:szCs w:val="24"/>
        </w:rPr>
        <w:t>гликогенозов</w:t>
      </w:r>
      <w:r w:rsidRPr="004527B8">
        <w:rPr>
          <w:sz w:val="24"/>
          <w:szCs w:val="24"/>
        </w:rPr>
        <w:t xml:space="preserve"> (введение глюкозы) и </w:t>
      </w:r>
      <w:r w:rsidRPr="004527B8">
        <w:rPr>
          <w:rFonts w:ascii="Arial" w:hAnsi="Arial" w:cs="Arial"/>
          <w:b/>
          <w:bCs/>
          <w:sz w:val="24"/>
          <w:szCs w:val="24"/>
        </w:rPr>
        <w:t>недостаточности пируватдегидрогеназы</w:t>
      </w:r>
      <w:r w:rsidRPr="004527B8">
        <w:rPr>
          <w:sz w:val="24"/>
          <w:szCs w:val="24"/>
        </w:rPr>
        <w:t xml:space="preserve"> (создание запаса липидов). При некоторых ферментопатиях, например при недостаточности пируватдегидрогеназы или пируваткарбоксилазы, требуется очень точный расчет количества восполняемого продукта. В противном случае лечение будет неэффективным. </w:t>
      </w:r>
    </w:p>
    <w:p w:rsidR="004527B8" w:rsidRPr="004527B8" w:rsidRDefault="004527B8" w:rsidP="004527B8">
      <w:pPr>
        <w:widowControl/>
        <w:autoSpaceDE/>
        <w:autoSpaceDN/>
        <w:adjustRightInd/>
        <w:spacing w:before="30"/>
        <w:ind w:left="1200" w:hanging="300"/>
        <w:jc w:val="both"/>
        <w:rPr>
          <w:sz w:val="24"/>
          <w:szCs w:val="24"/>
        </w:rPr>
      </w:pPr>
      <w:r w:rsidRPr="004527B8">
        <w:rPr>
          <w:rFonts w:ascii="Arial" w:hAnsi="Arial" w:cs="Arial"/>
          <w:b/>
          <w:bCs/>
          <w:sz w:val="24"/>
          <w:szCs w:val="24"/>
        </w:rPr>
        <w:t xml:space="preserve">в. </w:t>
      </w:r>
      <w:r w:rsidRPr="004527B8">
        <w:rPr>
          <w:sz w:val="24"/>
          <w:szCs w:val="24"/>
        </w:rPr>
        <w:t xml:space="preserve">Метод </w:t>
      </w:r>
      <w:r w:rsidRPr="004527B8">
        <w:rPr>
          <w:rFonts w:ascii="Arial" w:hAnsi="Arial" w:cs="Arial"/>
          <w:b/>
          <w:bCs/>
          <w:sz w:val="24"/>
          <w:szCs w:val="24"/>
        </w:rPr>
        <w:t>регуляции уровня субстрата или его предшественника</w:t>
      </w:r>
      <w:r w:rsidRPr="004527B8">
        <w:rPr>
          <w:sz w:val="24"/>
          <w:szCs w:val="24"/>
        </w:rPr>
        <w:t xml:space="preserve"> заключается в применении лекарственных средств, направляющих обмен неметаболизируемых субстратов или их предшественников по обходному пути, что уменьшает нагрузку на дефектную ферментную систему. Например, для лечения </w:t>
      </w:r>
      <w:r w:rsidRPr="004527B8">
        <w:rPr>
          <w:rFonts w:ascii="Arial" w:hAnsi="Arial" w:cs="Arial"/>
          <w:b/>
          <w:bCs/>
          <w:sz w:val="24"/>
          <w:szCs w:val="24"/>
        </w:rPr>
        <w:t>гипераммониемии</w:t>
      </w:r>
      <w:r w:rsidRPr="004527B8">
        <w:rPr>
          <w:sz w:val="24"/>
          <w:szCs w:val="24"/>
        </w:rPr>
        <w:t xml:space="preserve"> используют бензойную кислоту и фенилацетат натрия. Бензойная кислота экскретируется в виде бензоилглицина (гиппурата), а фенилацетат — в виде фенилацетилглутамина. При введении 1 моля бензойной кислоты из организма выводится 1 моль азота, а при введении 1 моля фенилацетата натрия — 2 моля азота. Синтез гиппурата и фенилацетилглутамина «отвлекает на себя» аммиак, который иначе включился бы в цикл мочевины. Таким же образом лечат нарушения метаболизма органических кислот — </w:t>
      </w:r>
      <w:r w:rsidRPr="004527B8">
        <w:rPr>
          <w:rFonts w:ascii="Arial" w:hAnsi="Arial" w:cs="Arial"/>
          <w:b/>
          <w:bCs/>
          <w:sz w:val="24"/>
          <w:szCs w:val="24"/>
        </w:rPr>
        <w:t>метилмалоновую ацидемию</w:t>
      </w:r>
      <w:r w:rsidRPr="004527B8">
        <w:rPr>
          <w:sz w:val="24"/>
          <w:szCs w:val="24"/>
        </w:rPr>
        <w:t xml:space="preserve"> и </w:t>
      </w:r>
      <w:r w:rsidRPr="004527B8">
        <w:rPr>
          <w:rFonts w:ascii="Arial" w:hAnsi="Arial" w:cs="Arial"/>
          <w:b/>
          <w:bCs/>
          <w:sz w:val="24"/>
          <w:szCs w:val="24"/>
        </w:rPr>
        <w:t>гомоцистинурию.</w:t>
      </w:r>
      <w:r w:rsidRPr="004527B8">
        <w:rPr>
          <w:sz w:val="24"/>
          <w:szCs w:val="24"/>
        </w:rPr>
        <w:t xml:space="preserve"> В первом случае применяют левокарнитин, во втором — бетаин. </w:t>
      </w:r>
    </w:p>
    <w:p w:rsidR="004527B8" w:rsidRPr="002273DF" w:rsidRDefault="004527B8" w:rsidP="004527B8">
      <w:pPr>
        <w:widowControl/>
        <w:autoSpaceDE/>
        <w:autoSpaceDN/>
        <w:adjustRightInd/>
        <w:spacing w:before="100" w:beforeAutospacing="1" w:after="100" w:afterAutospacing="1"/>
        <w:jc w:val="both"/>
        <w:outlineLvl w:val="1"/>
        <w:rPr>
          <w:sz w:val="36"/>
          <w:szCs w:val="36"/>
        </w:rPr>
      </w:pPr>
      <w:r w:rsidRPr="002273DF">
        <w:rPr>
          <w:bCs/>
          <w:sz w:val="36"/>
          <w:szCs w:val="36"/>
        </w:rPr>
        <w:lastRenderedPageBreak/>
        <w:t xml:space="preserve">План </w:t>
      </w:r>
      <w:r>
        <w:rPr>
          <w:bCs/>
          <w:sz w:val="36"/>
          <w:szCs w:val="36"/>
        </w:rPr>
        <w:t>4</w:t>
      </w:r>
      <w:r w:rsidRPr="002273DF">
        <w:rPr>
          <w:bCs/>
          <w:sz w:val="36"/>
          <w:szCs w:val="36"/>
        </w:rPr>
        <w:t xml:space="preserve">. </w:t>
      </w:r>
      <w:r w:rsidRPr="004527B8">
        <w:rPr>
          <w:bCs/>
          <w:sz w:val="36"/>
          <w:szCs w:val="36"/>
        </w:rPr>
        <w:t>Принципы диагностики и лечения наследственных нарушений обмена веществ</w:t>
      </w:r>
    </w:p>
    <w:p w:rsidR="004527B8" w:rsidRPr="004527B8" w:rsidRDefault="004527B8" w:rsidP="004527B8">
      <w:pPr>
        <w:widowControl/>
        <w:autoSpaceDE/>
        <w:autoSpaceDN/>
        <w:adjustRightInd/>
        <w:spacing w:before="30"/>
        <w:ind w:left="600" w:hanging="300"/>
        <w:jc w:val="both"/>
        <w:rPr>
          <w:sz w:val="24"/>
          <w:szCs w:val="24"/>
        </w:rPr>
      </w:pPr>
      <w:r w:rsidRPr="004527B8">
        <w:rPr>
          <w:rFonts w:ascii="Arial" w:hAnsi="Arial" w:cs="Arial"/>
          <w:b/>
          <w:bCs/>
          <w:sz w:val="24"/>
          <w:szCs w:val="24"/>
        </w:rPr>
        <w:t>Лечение острых нарушений обмена веществ</w:t>
      </w:r>
      <w:r w:rsidRPr="004527B8">
        <w:rPr>
          <w:sz w:val="24"/>
          <w:szCs w:val="24"/>
        </w:rPr>
        <w:t xml:space="preserve"> </w:t>
      </w:r>
    </w:p>
    <w:p w:rsidR="004527B8" w:rsidRPr="004527B8" w:rsidRDefault="004527B8" w:rsidP="004527B8">
      <w:pPr>
        <w:widowControl/>
        <w:autoSpaceDE/>
        <w:autoSpaceDN/>
        <w:adjustRightInd/>
        <w:spacing w:before="30"/>
        <w:ind w:left="1200" w:hanging="300"/>
        <w:jc w:val="both"/>
        <w:rPr>
          <w:sz w:val="24"/>
          <w:szCs w:val="24"/>
        </w:rPr>
      </w:pPr>
      <w:r w:rsidRPr="004527B8">
        <w:rPr>
          <w:rFonts w:ascii="Arial" w:hAnsi="Arial" w:cs="Arial"/>
          <w:b/>
          <w:bCs/>
          <w:sz w:val="24"/>
          <w:szCs w:val="24"/>
        </w:rPr>
        <w:t>Принципы лечения</w:t>
      </w:r>
      <w:r w:rsidRPr="004527B8">
        <w:rPr>
          <w:sz w:val="24"/>
          <w:szCs w:val="24"/>
        </w:rPr>
        <w:t xml:space="preserve"> больных всех возрастных групп одинаковы, но конкретные рекомендации зависят от возраста и состояния больного. </w:t>
      </w:r>
    </w:p>
    <w:p w:rsidR="004527B8" w:rsidRPr="004527B8" w:rsidRDefault="004527B8" w:rsidP="004527B8">
      <w:pPr>
        <w:widowControl/>
        <w:autoSpaceDE/>
        <w:autoSpaceDN/>
        <w:adjustRightInd/>
        <w:spacing w:before="30"/>
        <w:ind w:left="1500" w:hanging="300"/>
        <w:jc w:val="both"/>
        <w:rPr>
          <w:sz w:val="24"/>
          <w:szCs w:val="24"/>
        </w:rPr>
      </w:pPr>
      <w:bookmarkStart w:id="21" w:name="III.Б.1.в.1)"/>
      <w:r w:rsidRPr="004527B8">
        <w:rPr>
          <w:rFonts w:ascii="Arial" w:hAnsi="Arial" w:cs="Arial"/>
          <w:b/>
          <w:bCs/>
          <w:sz w:val="24"/>
          <w:szCs w:val="24"/>
        </w:rPr>
        <w:t>1)</w:t>
      </w:r>
      <w:bookmarkEnd w:id="21"/>
      <w:r w:rsidRPr="004527B8">
        <w:rPr>
          <w:rFonts w:ascii="Arial" w:hAnsi="Arial" w:cs="Arial"/>
          <w:b/>
          <w:bCs/>
          <w:sz w:val="24"/>
          <w:szCs w:val="24"/>
        </w:rPr>
        <w:t xml:space="preserve"> </w:t>
      </w:r>
      <w:r w:rsidRPr="004527B8">
        <w:rPr>
          <w:sz w:val="24"/>
          <w:szCs w:val="24"/>
        </w:rPr>
        <w:t xml:space="preserve">В большинстве случаев необходимо исключить белок из рациона. Чтобы свести к минимуму потери эндогенного белка и затормозить глюконеогенез, назначают парентеральное или зондовое питание. Больной должен получать достаточное количество калорий в виде углеводов и жиров. Если возникает гипергликемия, назначают инсулин. </w:t>
      </w:r>
    </w:p>
    <w:p w:rsidR="004527B8" w:rsidRPr="004527B8" w:rsidRDefault="004527B8" w:rsidP="004527B8">
      <w:pPr>
        <w:widowControl/>
        <w:autoSpaceDE/>
        <w:autoSpaceDN/>
        <w:adjustRightInd/>
        <w:spacing w:before="30"/>
        <w:ind w:left="1500" w:hanging="300"/>
        <w:jc w:val="both"/>
        <w:rPr>
          <w:sz w:val="24"/>
          <w:szCs w:val="24"/>
        </w:rPr>
      </w:pPr>
      <w:bookmarkStart w:id="22" w:name="III.Б.1.в.2)"/>
      <w:r w:rsidRPr="004527B8">
        <w:rPr>
          <w:rFonts w:ascii="Arial" w:hAnsi="Arial" w:cs="Arial"/>
          <w:b/>
          <w:bCs/>
          <w:sz w:val="24"/>
          <w:szCs w:val="24"/>
        </w:rPr>
        <w:t>2)</w:t>
      </w:r>
      <w:bookmarkEnd w:id="22"/>
      <w:r w:rsidRPr="004527B8">
        <w:rPr>
          <w:rFonts w:ascii="Arial" w:hAnsi="Arial" w:cs="Arial"/>
          <w:b/>
          <w:bCs/>
          <w:sz w:val="24"/>
          <w:szCs w:val="24"/>
        </w:rPr>
        <w:t xml:space="preserve"> </w:t>
      </w:r>
      <w:r w:rsidRPr="004527B8">
        <w:rPr>
          <w:sz w:val="24"/>
          <w:szCs w:val="24"/>
        </w:rPr>
        <w:t xml:space="preserve">При метаболическом ацидозе определяют уровень лактата в плазме, поскольку лактацидоз может усиливаться при избыточном введении глюкозы. В таких случаях глюкозу назначают в количестве, обеспечивающем нормогликемию, и увеличивают содержание жира в рационе. </w:t>
      </w:r>
    </w:p>
    <w:p w:rsidR="004527B8" w:rsidRPr="004527B8" w:rsidRDefault="004527B8" w:rsidP="004527B8">
      <w:pPr>
        <w:widowControl/>
        <w:autoSpaceDE/>
        <w:autoSpaceDN/>
        <w:adjustRightInd/>
        <w:spacing w:before="30"/>
        <w:ind w:left="1500" w:hanging="300"/>
        <w:jc w:val="both"/>
        <w:rPr>
          <w:sz w:val="24"/>
          <w:szCs w:val="24"/>
        </w:rPr>
      </w:pPr>
      <w:bookmarkStart w:id="23" w:name="III.Б.1.в.3)"/>
      <w:r w:rsidRPr="004527B8">
        <w:rPr>
          <w:rFonts w:ascii="Arial" w:hAnsi="Arial" w:cs="Arial"/>
          <w:b/>
          <w:bCs/>
          <w:sz w:val="24"/>
          <w:szCs w:val="24"/>
        </w:rPr>
        <w:t>3)</w:t>
      </w:r>
      <w:bookmarkEnd w:id="23"/>
      <w:r w:rsidRPr="004527B8">
        <w:rPr>
          <w:rFonts w:ascii="Arial" w:hAnsi="Arial" w:cs="Arial"/>
          <w:b/>
          <w:bCs/>
          <w:sz w:val="24"/>
          <w:szCs w:val="24"/>
        </w:rPr>
        <w:t xml:space="preserve"> </w:t>
      </w:r>
      <w:r w:rsidRPr="004527B8">
        <w:rPr>
          <w:sz w:val="24"/>
          <w:szCs w:val="24"/>
        </w:rPr>
        <w:t xml:space="preserve">Бикарбонат вводят в дозах, достаточных для поддержания его концентрации в плазме на уровне 10 мэкв/л или выше. При угрозе смерти мозга или его необратимого повреждения проводят перитонеальный диализ или обменное переливание крови. При диализе проводят не меньше одного замещения ОЦК в час, используя диализат с осмоляльностью вдвое выше нормальной. Обменное переливание крови неэффективно в случаях, когда накапливающиеся токсические метаболиты не связываются с белками плазмы. Если состояние продолжает ухудшаться, вводят большие дозы всех водорастворимых витаминов (в 1000 раз больше суточной потребности). При лактацидозе витаминная смесь должна содержать биотин. Гемодиализ небезопасен из-за непредсказуемого перераспределения жидкости в организме. После установления окончательного или предположительного диагноза начинают целенаправленное лечение. </w:t>
      </w:r>
    </w:p>
    <w:p w:rsidR="004527B8" w:rsidRPr="004527B8" w:rsidRDefault="004527B8" w:rsidP="004527B8">
      <w:pPr>
        <w:widowControl/>
        <w:autoSpaceDE/>
        <w:autoSpaceDN/>
        <w:adjustRightInd/>
        <w:spacing w:before="30"/>
        <w:ind w:left="900" w:hanging="300"/>
        <w:jc w:val="both"/>
        <w:rPr>
          <w:sz w:val="24"/>
          <w:szCs w:val="24"/>
        </w:rPr>
      </w:pPr>
      <w:r w:rsidRPr="004527B8">
        <w:rPr>
          <w:rFonts w:ascii="Arial" w:hAnsi="Arial" w:cs="Arial"/>
          <w:b/>
          <w:bCs/>
          <w:sz w:val="24"/>
          <w:szCs w:val="24"/>
        </w:rPr>
        <w:t>2. Диагноз установлен.</w:t>
      </w:r>
      <w:r w:rsidRPr="004527B8">
        <w:rPr>
          <w:sz w:val="24"/>
          <w:szCs w:val="24"/>
        </w:rPr>
        <w:t xml:space="preserve"> Безбелковое питание, которое назначают при острых нарушениях метаболизма, опасно тем, что распад эндогенного белка приводит к накоплению тех аминокислот, катаболизм которых нарушен. После установления диагноза для коррекции уровней аминокислот в плазме применяют аминокислотные смеси, составленные с учетом уже известного нарушения. Эти смеси вводят в/в или через назогастральный зонд. </w:t>
      </w:r>
    </w:p>
    <w:p w:rsidR="004527B8" w:rsidRPr="004527B8" w:rsidRDefault="004527B8" w:rsidP="004527B8">
      <w:pPr>
        <w:widowControl/>
        <w:autoSpaceDE/>
        <w:autoSpaceDN/>
        <w:adjustRightInd/>
        <w:spacing w:before="30"/>
        <w:ind w:left="1200" w:hanging="300"/>
        <w:jc w:val="both"/>
        <w:rPr>
          <w:sz w:val="24"/>
          <w:szCs w:val="24"/>
        </w:rPr>
      </w:pPr>
      <w:r w:rsidRPr="004527B8">
        <w:rPr>
          <w:rFonts w:ascii="Arial" w:hAnsi="Arial" w:cs="Arial"/>
          <w:b/>
          <w:bCs/>
          <w:sz w:val="24"/>
          <w:szCs w:val="24"/>
        </w:rPr>
        <w:t xml:space="preserve">а. </w:t>
      </w:r>
      <w:r w:rsidRPr="004527B8">
        <w:rPr>
          <w:sz w:val="24"/>
          <w:szCs w:val="24"/>
        </w:rPr>
        <w:t xml:space="preserve">При </w:t>
      </w:r>
      <w:r w:rsidRPr="004527B8">
        <w:rPr>
          <w:rFonts w:ascii="Arial" w:hAnsi="Arial" w:cs="Arial"/>
          <w:b/>
          <w:bCs/>
          <w:sz w:val="24"/>
          <w:szCs w:val="24"/>
        </w:rPr>
        <w:t>болезни кленового сиропа</w:t>
      </w:r>
      <w:r w:rsidRPr="004527B8">
        <w:rPr>
          <w:sz w:val="24"/>
          <w:szCs w:val="24"/>
        </w:rPr>
        <w:t xml:space="preserve"> применяют смесь аминокислот с разветвленным радикалом (лейцина, изолейцина и валина). Эти аминокислоты получают из натуральных продуктов. Периодически определяют концентрацию аминокислот в плазме и корректируют содержание лейцина, изолейцина и валина в питательной смеси. У грудных детей потребление аминокислот в пересчете на азот должно быть не менее 1,5 г/кг/сут, а в старшем возрасте — 1 г/кг/сут. Напомним, что 1 г азота содержится в 6,25 г белка. </w:t>
      </w:r>
    </w:p>
    <w:p w:rsidR="004527B8" w:rsidRPr="004527B8" w:rsidRDefault="004527B8" w:rsidP="004527B8">
      <w:pPr>
        <w:widowControl/>
        <w:autoSpaceDE/>
        <w:autoSpaceDN/>
        <w:adjustRightInd/>
        <w:spacing w:before="30"/>
        <w:ind w:left="1200" w:hanging="300"/>
        <w:jc w:val="both"/>
        <w:rPr>
          <w:sz w:val="24"/>
          <w:szCs w:val="24"/>
        </w:rPr>
      </w:pPr>
      <w:r w:rsidRPr="004527B8">
        <w:rPr>
          <w:rFonts w:ascii="Arial" w:hAnsi="Arial" w:cs="Arial"/>
          <w:b/>
          <w:bCs/>
          <w:sz w:val="24"/>
          <w:szCs w:val="24"/>
        </w:rPr>
        <w:t xml:space="preserve">б. </w:t>
      </w:r>
      <w:r w:rsidRPr="004527B8">
        <w:rPr>
          <w:sz w:val="24"/>
          <w:szCs w:val="24"/>
        </w:rPr>
        <w:t xml:space="preserve">При </w:t>
      </w:r>
      <w:r w:rsidRPr="004527B8">
        <w:rPr>
          <w:rFonts w:ascii="Arial" w:hAnsi="Arial" w:cs="Arial"/>
          <w:b/>
          <w:bCs/>
          <w:sz w:val="24"/>
          <w:szCs w:val="24"/>
        </w:rPr>
        <w:t xml:space="preserve">нарушениях цикла мочевины </w:t>
      </w:r>
      <w:r w:rsidRPr="004527B8">
        <w:rPr>
          <w:sz w:val="24"/>
          <w:szCs w:val="24"/>
        </w:rPr>
        <w:t xml:space="preserve">используют смеси незаменимых аминокислот. Их назначают в небольших количествах, чтобы не допустить гипераммониемии. Смеси незаменимых аминокислот для в/в введения не выпускаются, поэтому их назначают внутрь. Нужное количество аминокислот можно растворить в очень </w:t>
      </w:r>
      <w:r w:rsidRPr="004527B8">
        <w:rPr>
          <w:sz w:val="24"/>
          <w:szCs w:val="24"/>
        </w:rPr>
        <w:lastRenderedPageBreak/>
        <w:t xml:space="preserve">небольшом объеме. Иногда для длительной инфузионной терапии требуются самодельные аминокислотные смеси, которые готовят из имеющихся в продаже нетоксичных кристаллических аминокислот. Эти смеси можно получить также в некоторых центрах, специализирующиеся на лечении наследственных нарушений метаболизма. </w:t>
      </w:r>
    </w:p>
    <w:p w:rsidR="004527B8" w:rsidRPr="004527B8" w:rsidRDefault="004527B8" w:rsidP="004527B8">
      <w:pPr>
        <w:widowControl/>
        <w:autoSpaceDE/>
        <w:autoSpaceDN/>
        <w:adjustRightInd/>
        <w:spacing w:before="30"/>
        <w:ind w:left="1200" w:hanging="300"/>
        <w:jc w:val="both"/>
        <w:rPr>
          <w:sz w:val="24"/>
          <w:szCs w:val="24"/>
        </w:rPr>
      </w:pPr>
      <w:r w:rsidRPr="004527B8">
        <w:rPr>
          <w:rFonts w:ascii="Arial" w:hAnsi="Arial" w:cs="Arial"/>
          <w:b/>
          <w:bCs/>
          <w:sz w:val="24"/>
          <w:szCs w:val="24"/>
        </w:rPr>
        <w:t>в. Гипераммониемия</w:t>
      </w:r>
      <w:r w:rsidRPr="004527B8">
        <w:rPr>
          <w:sz w:val="24"/>
          <w:szCs w:val="24"/>
        </w:rPr>
        <w:t xml:space="preserve">, не связанная с первичным нарушением метаболизма аминокислот, требует особого подхода. При уровне аммиака 500 мкг%, угрожающем поражением ЦНС, проводят перитонеальный диализ. Постоянно контролируют ВЧД. У новорожденных применяют неинвазивные методы мониторинга или наблюдают за родничком. У детей старшего возраста иногда требуется измерение ВЧД с помощью субдуральной или субарахноидальной канюли-болта. Лечение: осмотические средства (маннитол); снижение объема внеклеточной жидкости (диализ); барбитуратная кома (эффективность не доказана); ИВЛ в режиме гипервентиляции. Предполагают, что ИВЛ в режиме гипервентиляции способствует переходу аммиака в клетки. Поэтому такой метод лечения надо применять с осторожностью. Назначают в/в инфузию бензойной кислоты (в виде бензоата натрия) в дозе 500 мг/кг/сут (можно вводить нагрузочную дозу 500 мг/кг в течение 1 ч) и фенилацетата натрия в дозе 250—500 мг/кг/сут. После снижения уровня аммиака дозу бензойной кислоты уменьшают до 250 мг/кг/сут, а фенилацетат отменяют (чтобы персонал не страдал от неприятного запаха препарата). </w:t>
      </w:r>
    </w:p>
    <w:p w:rsidR="004527B8" w:rsidRPr="004527B8" w:rsidRDefault="004527B8" w:rsidP="004527B8">
      <w:pPr>
        <w:widowControl/>
        <w:autoSpaceDE/>
        <w:autoSpaceDN/>
        <w:adjustRightInd/>
        <w:spacing w:before="30"/>
        <w:ind w:left="600" w:hanging="300"/>
        <w:jc w:val="both"/>
        <w:rPr>
          <w:sz w:val="24"/>
          <w:szCs w:val="24"/>
        </w:rPr>
      </w:pPr>
      <w:r w:rsidRPr="004527B8">
        <w:rPr>
          <w:rFonts w:ascii="Arial" w:hAnsi="Arial" w:cs="Arial"/>
          <w:b/>
          <w:bCs/>
          <w:sz w:val="24"/>
          <w:szCs w:val="24"/>
        </w:rPr>
        <w:t>Длительное лечение.</w:t>
      </w:r>
      <w:r w:rsidRPr="004527B8">
        <w:rPr>
          <w:sz w:val="24"/>
          <w:szCs w:val="24"/>
        </w:rPr>
        <w:t xml:space="preserve"> Общие правила такие же, как при лечении острых нарушений метаболизма. Ограничивают прием субстратов и вводят продукты нарушенных биохимических реакций; ограничивают прием белка или других метаболитов; поддерживают максимальную активность фермента; стараются избежать усиления катаболизма. Лечение назначает и контролирует специалист по наследственным нарушениям обмена веществ. </w:t>
      </w:r>
    </w:p>
    <w:p w:rsidR="004527B8" w:rsidRPr="004527B8" w:rsidRDefault="004527B8" w:rsidP="004527B8">
      <w:pPr>
        <w:widowControl/>
        <w:autoSpaceDE/>
        <w:autoSpaceDN/>
        <w:adjustRightInd/>
        <w:spacing w:before="30"/>
        <w:ind w:left="900" w:hanging="300"/>
        <w:jc w:val="both"/>
        <w:rPr>
          <w:sz w:val="24"/>
          <w:szCs w:val="24"/>
        </w:rPr>
      </w:pPr>
      <w:r w:rsidRPr="004527B8">
        <w:rPr>
          <w:rFonts w:ascii="Arial" w:hAnsi="Arial" w:cs="Arial"/>
          <w:b/>
          <w:bCs/>
          <w:sz w:val="24"/>
          <w:szCs w:val="24"/>
        </w:rPr>
        <w:t xml:space="preserve">1. Гиперфенилаланинемии. </w:t>
      </w:r>
      <w:r w:rsidRPr="004527B8">
        <w:rPr>
          <w:sz w:val="24"/>
          <w:szCs w:val="24"/>
        </w:rPr>
        <w:t xml:space="preserve">Гиперфенилаланинемии — очень хорошо изученная группа заболеваний. Все они обусловлены нарушениями обмена фенилаланина. На примере этих болезней удобнее всего объяснять принципы диагностики и лечения наследственных нарушений обмена веществ. </w:t>
      </w:r>
    </w:p>
    <w:p w:rsidR="004527B8" w:rsidRPr="004527B8" w:rsidRDefault="004527B8" w:rsidP="004527B8">
      <w:pPr>
        <w:widowControl/>
        <w:autoSpaceDE/>
        <w:autoSpaceDN/>
        <w:adjustRightInd/>
        <w:spacing w:before="30"/>
        <w:ind w:left="1200" w:hanging="300"/>
        <w:jc w:val="both"/>
        <w:rPr>
          <w:sz w:val="24"/>
          <w:szCs w:val="24"/>
        </w:rPr>
      </w:pPr>
      <w:r w:rsidRPr="004527B8">
        <w:rPr>
          <w:rFonts w:ascii="Arial" w:hAnsi="Arial" w:cs="Arial"/>
          <w:b/>
          <w:bCs/>
          <w:sz w:val="24"/>
          <w:szCs w:val="24"/>
        </w:rPr>
        <w:t xml:space="preserve">а. </w:t>
      </w:r>
      <w:r w:rsidRPr="004527B8">
        <w:rPr>
          <w:sz w:val="24"/>
          <w:szCs w:val="24"/>
        </w:rPr>
        <w:t xml:space="preserve">Схема метаболизма фенилаланина представлена на рис. 36.1. У большинства больных с гиперфенилаланинемией имеется частичная или полная недостаточность апофермента фенилаланингидроксилазы. Примерно у 1% больных нарушен синтез или восстановление дигидробиоптерина — кофактора фенилаланингидроксилазы. Восстановленная форма кофактора, тетрагидробиоптерин, участвует также в гидроксилировании тирозина и триптофана с образованием L-ДОФА и серотонина. Недостаточность фермента приводит к дефициту этих медиаторов, который проявляется другим заболеванием, труднее поддающимся лечению. Поэтому у всех больных с гиперфенилаланинемией необходимо определять не только активность фермента, но и уровень кофактора. </w:t>
      </w:r>
    </w:p>
    <w:p w:rsidR="004527B8" w:rsidRPr="004527B8" w:rsidRDefault="004527B8" w:rsidP="004527B8">
      <w:pPr>
        <w:widowControl/>
        <w:autoSpaceDE/>
        <w:autoSpaceDN/>
        <w:adjustRightInd/>
        <w:spacing w:before="30"/>
        <w:ind w:left="1200" w:hanging="300"/>
        <w:jc w:val="both"/>
        <w:rPr>
          <w:sz w:val="24"/>
          <w:szCs w:val="24"/>
        </w:rPr>
      </w:pPr>
      <w:r w:rsidRPr="004527B8">
        <w:rPr>
          <w:rFonts w:ascii="Arial" w:hAnsi="Arial" w:cs="Arial"/>
          <w:b/>
          <w:bCs/>
          <w:sz w:val="24"/>
          <w:szCs w:val="24"/>
        </w:rPr>
        <w:t xml:space="preserve">б. </w:t>
      </w:r>
      <w:r w:rsidRPr="004527B8">
        <w:rPr>
          <w:sz w:val="24"/>
          <w:szCs w:val="24"/>
        </w:rPr>
        <w:t>Полная недостаточность фенилаланингидроксилазы обычно сопровождается значительным повышением концентрации фенилаланина в плазме (&gt; 1200 ммоль/л) и требует пожизненного ограничения приема фенилаланина с пищей, чтобы его уровень не превышал 600 ммоль/л. Это</w:t>
      </w:r>
      <w:r w:rsidRPr="004527B8">
        <w:rPr>
          <w:rFonts w:ascii="Arial" w:hAnsi="Arial" w:cs="Arial"/>
          <w:b/>
          <w:bCs/>
          <w:sz w:val="24"/>
          <w:szCs w:val="24"/>
        </w:rPr>
        <w:t xml:space="preserve"> классическая фенилкетонурия.</w:t>
      </w:r>
      <w:r w:rsidRPr="004527B8">
        <w:rPr>
          <w:sz w:val="24"/>
          <w:szCs w:val="24"/>
        </w:rPr>
        <w:t xml:space="preserve"> При частичной недостаточности фенилаланингидроксилазы накапливается меньше </w:t>
      </w:r>
      <w:r w:rsidRPr="004527B8">
        <w:rPr>
          <w:sz w:val="24"/>
          <w:szCs w:val="24"/>
        </w:rPr>
        <w:lastRenderedPageBreak/>
        <w:t xml:space="preserve">фенилаланина. Цель лечения: снизить уровень фенилаланина до 600 ммоль/л (по возможности еще ниже). </w:t>
      </w:r>
    </w:p>
    <w:p w:rsidR="004527B8" w:rsidRPr="004527B8" w:rsidRDefault="004527B8" w:rsidP="004527B8">
      <w:pPr>
        <w:widowControl/>
        <w:autoSpaceDE/>
        <w:autoSpaceDN/>
        <w:adjustRightInd/>
        <w:spacing w:before="30"/>
        <w:ind w:left="1200" w:hanging="300"/>
        <w:jc w:val="both"/>
        <w:rPr>
          <w:sz w:val="24"/>
          <w:szCs w:val="24"/>
        </w:rPr>
      </w:pPr>
      <w:r w:rsidRPr="004527B8">
        <w:rPr>
          <w:rFonts w:ascii="Arial" w:hAnsi="Arial" w:cs="Arial"/>
          <w:b/>
          <w:bCs/>
          <w:sz w:val="24"/>
          <w:szCs w:val="24"/>
        </w:rPr>
        <w:t>в. Лечение.</w:t>
      </w:r>
      <w:r w:rsidRPr="004527B8">
        <w:rPr>
          <w:sz w:val="24"/>
          <w:szCs w:val="24"/>
        </w:rPr>
        <w:t xml:space="preserve"> Ограничивают прием фенилаланина с пищей; назначают вегетарианскую диету с добавлением белковых или аминокислотных смесей, не содержащих фенилаланин либо содержащих его в небольших количествах. Белковые или аминокислотные смеси должны включать достаточно незаменимых аминокислот. </w:t>
      </w:r>
    </w:p>
    <w:p w:rsidR="004527B8" w:rsidRPr="004527B8" w:rsidRDefault="004527B8" w:rsidP="004527B8">
      <w:pPr>
        <w:widowControl/>
        <w:autoSpaceDE/>
        <w:autoSpaceDN/>
        <w:adjustRightInd/>
        <w:spacing w:before="30"/>
        <w:ind w:left="1200" w:hanging="300"/>
        <w:jc w:val="both"/>
        <w:rPr>
          <w:sz w:val="24"/>
          <w:szCs w:val="24"/>
        </w:rPr>
      </w:pPr>
      <w:r w:rsidRPr="004527B8">
        <w:rPr>
          <w:rFonts w:ascii="Arial" w:hAnsi="Arial" w:cs="Arial"/>
          <w:b/>
          <w:bCs/>
          <w:sz w:val="24"/>
          <w:szCs w:val="24"/>
        </w:rPr>
        <w:t xml:space="preserve">г. </w:t>
      </w:r>
      <w:r w:rsidRPr="004527B8">
        <w:rPr>
          <w:sz w:val="24"/>
          <w:szCs w:val="24"/>
        </w:rPr>
        <w:t xml:space="preserve">Ранее было принято прекращать диетотерапию начиная с 6 лет (поскольку головной мозг наиболее чувствителен к токсическому действию фенилаланина именно до этого возраста). В последнее время установлено, что головной мозг страдает от избытка фенилаланина на протяжении всей жизни, поэтому диету не отменяют. Правильное лечение позволяет предупредить умственную отсталость и сохранить работоспособность. Прогнозировать отдаленные последствия заболевания (через 20—30 лет) трудно. </w:t>
      </w:r>
    </w:p>
    <w:p w:rsidR="004527B8" w:rsidRPr="004527B8" w:rsidRDefault="004527B8" w:rsidP="004527B8">
      <w:pPr>
        <w:widowControl/>
        <w:autoSpaceDE/>
        <w:autoSpaceDN/>
        <w:adjustRightInd/>
        <w:spacing w:before="30"/>
        <w:ind w:left="1200" w:hanging="300"/>
        <w:jc w:val="both"/>
        <w:rPr>
          <w:sz w:val="24"/>
          <w:szCs w:val="24"/>
        </w:rPr>
      </w:pPr>
      <w:r w:rsidRPr="004527B8">
        <w:rPr>
          <w:rFonts w:ascii="Arial" w:hAnsi="Arial" w:cs="Arial"/>
          <w:b/>
          <w:bCs/>
          <w:sz w:val="24"/>
          <w:szCs w:val="24"/>
        </w:rPr>
        <w:t xml:space="preserve">д. </w:t>
      </w:r>
      <w:r w:rsidRPr="004527B8">
        <w:rPr>
          <w:sz w:val="24"/>
          <w:szCs w:val="24"/>
        </w:rPr>
        <w:t xml:space="preserve">Разработка и широкое внедрение методов лечения фенилкетонурии привели к тому, что многие больные женщины достигли детородного возраста. У детей таких женщин нередко наблюдаются микроцефалия и врожденные пороки сердца; повышен риск умственной отсталости. Поскольку дети женщин с фенилкетонурией являются носителями только одного рецессивного мутантного гена фенилаланингидроксилазы, нарушения развития у них объясняются повышенным уровнем фенилаланина в крови беременной </w:t>
      </w:r>
      <w:r w:rsidRPr="004527B8">
        <w:rPr>
          <w:rFonts w:ascii="Arial" w:hAnsi="Arial" w:cs="Arial"/>
          <w:b/>
          <w:bCs/>
          <w:sz w:val="24"/>
          <w:szCs w:val="24"/>
        </w:rPr>
        <w:t>(материнская фенилкетонурия).</w:t>
      </w:r>
      <w:r w:rsidRPr="004527B8">
        <w:rPr>
          <w:sz w:val="24"/>
          <w:szCs w:val="24"/>
        </w:rPr>
        <w:t xml:space="preserve"> Уровень фенилаланина, безопасный для беременной и не препятствующий нормальному постнатальному развитию, может быть опасным для плода. Поэтому концентрация фенилаланина в плазме беременной не должна превышать 350 ммоль/л. Беременным с фенилкетонурией назначают диету с ограничением фенилаланина. </w:t>
      </w:r>
    </w:p>
    <w:p w:rsidR="00F86699" w:rsidRPr="002142C8" w:rsidRDefault="00F86699" w:rsidP="002142C8">
      <w:pPr>
        <w:widowControl/>
        <w:autoSpaceDE/>
        <w:autoSpaceDN/>
        <w:adjustRightInd/>
        <w:spacing w:before="30"/>
        <w:ind w:left="300" w:hanging="300"/>
        <w:jc w:val="both"/>
        <w:rPr>
          <w:sz w:val="24"/>
          <w:szCs w:val="24"/>
        </w:rPr>
      </w:pPr>
    </w:p>
    <w:p w:rsidR="002142C8" w:rsidRDefault="002142C8" w:rsidP="00FA3FA4">
      <w:pPr>
        <w:widowControl/>
        <w:autoSpaceDE/>
        <w:autoSpaceDN/>
        <w:adjustRightInd/>
        <w:spacing w:before="100" w:beforeAutospacing="1" w:after="100" w:afterAutospacing="1"/>
        <w:ind w:left="142" w:right="-28"/>
        <w:outlineLvl w:val="1"/>
        <w:rPr>
          <w:bCs/>
          <w:sz w:val="36"/>
          <w:szCs w:val="36"/>
        </w:rPr>
      </w:pPr>
    </w:p>
    <w:p w:rsidR="002142C8" w:rsidRDefault="002142C8" w:rsidP="00FA3FA4">
      <w:pPr>
        <w:widowControl/>
        <w:autoSpaceDE/>
        <w:autoSpaceDN/>
        <w:adjustRightInd/>
        <w:spacing w:before="100" w:beforeAutospacing="1" w:after="100" w:afterAutospacing="1"/>
        <w:ind w:left="142" w:right="-28"/>
        <w:outlineLvl w:val="1"/>
        <w:rPr>
          <w:bCs/>
          <w:sz w:val="36"/>
          <w:szCs w:val="36"/>
        </w:rPr>
      </w:pPr>
    </w:p>
    <w:p w:rsidR="00FA3FA4" w:rsidRPr="002273DF" w:rsidRDefault="00800BDB" w:rsidP="00FA3FA4">
      <w:pPr>
        <w:widowControl/>
        <w:autoSpaceDE/>
        <w:autoSpaceDN/>
        <w:adjustRightInd/>
        <w:spacing w:before="100" w:beforeAutospacing="1" w:after="100" w:afterAutospacing="1"/>
        <w:ind w:left="142" w:right="-28"/>
        <w:outlineLvl w:val="1"/>
        <w:rPr>
          <w:sz w:val="36"/>
          <w:szCs w:val="36"/>
        </w:rPr>
      </w:pPr>
      <w:r w:rsidRPr="002273DF">
        <w:rPr>
          <w:bCs/>
          <w:sz w:val="36"/>
          <w:szCs w:val="36"/>
        </w:rPr>
        <w:t>План</w:t>
      </w:r>
      <w:r w:rsidR="00FA3FA4" w:rsidRPr="002273DF">
        <w:rPr>
          <w:bCs/>
          <w:sz w:val="36"/>
          <w:szCs w:val="36"/>
        </w:rPr>
        <w:t xml:space="preserve"> </w:t>
      </w:r>
      <w:r w:rsidRPr="002273DF">
        <w:rPr>
          <w:bCs/>
          <w:sz w:val="36"/>
          <w:szCs w:val="36"/>
        </w:rPr>
        <w:t>4</w:t>
      </w:r>
      <w:r w:rsidR="00FA3FA4" w:rsidRPr="002273DF">
        <w:rPr>
          <w:bCs/>
          <w:sz w:val="36"/>
          <w:szCs w:val="36"/>
        </w:rPr>
        <w:t xml:space="preserve">. </w:t>
      </w:r>
      <w:bookmarkEnd w:id="19"/>
      <w:bookmarkEnd w:id="20"/>
      <w:r w:rsidR="005A72D4" w:rsidRPr="005A72D4">
        <w:rPr>
          <w:bCs/>
          <w:sz w:val="36"/>
          <w:szCs w:val="36"/>
        </w:rPr>
        <w:t>Нарушения секреции пролактина</w:t>
      </w:r>
    </w:p>
    <w:p w:rsidR="005A72D4" w:rsidRPr="005A72D4" w:rsidRDefault="005A72D4" w:rsidP="005A72D4">
      <w:pPr>
        <w:widowControl/>
        <w:autoSpaceDE/>
        <w:autoSpaceDN/>
        <w:adjustRightInd/>
        <w:spacing w:before="100" w:beforeAutospacing="1" w:after="100" w:afterAutospacing="1"/>
        <w:jc w:val="both"/>
        <w:rPr>
          <w:sz w:val="24"/>
          <w:szCs w:val="24"/>
        </w:rPr>
      </w:pPr>
      <w:r w:rsidRPr="005A72D4">
        <w:rPr>
          <w:b/>
          <w:bCs/>
          <w:sz w:val="24"/>
          <w:szCs w:val="24"/>
        </w:rPr>
        <w:t xml:space="preserve">Общие сведения </w:t>
      </w:r>
    </w:p>
    <w:p w:rsidR="005A72D4" w:rsidRPr="005A72D4" w:rsidRDefault="005A72D4" w:rsidP="005A72D4">
      <w:pPr>
        <w:widowControl/>
        <w:autoSpaceDE/>
        <w:autoSpaceDN/>
        <w:adjustRightInd/>
        <w:spacing w:before="30"/>
        <w:ind w:left="300" w:hanging="300"/>
        <w:jc w:val="both"/>
        <w:rPr>
          <w:sz w:val="24"/>
          <w:szCs w:val="24"/>
        </w:rPr>
      </w:pPr>
      <w:r w:rsidRPr="005A72D4">
        <w:rPr>
          <w:b/>
          <w:bCs/>
          <w:sz w:val="24"/>
          <w:szCs w:val="24"/>
        </w:rPr>
        <w:t>I. Регуляция секреции пролактина</w:t>
      </w:r>
      <w:r w:rsidRPr="005A72D4">
        <w:rPr>
          <w:sz w:val="24"/>
          <w:szCs w:val="24"/>
        </w:rPr>
        <w:t xml:space="preserve"> (см. рис. 10.1). Пролактин синтезируется лактотропными клетками аденогипофиза и секретируется в кровь в очень небольших количествах. В норме концентрация пролактина в сыворотке не превышает 15 нг/мл (средние значения из разных лабораторий различаются). </w:t>
      </w:r>
      <w:r w:rsidRPr="005A72D4">
        <w:rPr>
          <w:b/>
          <w:bCs/>
          <w:sz w:val="24"/>
          <w:szCs w:val="24"/>
        </w:rPr>
        <w:t>Секреция пролактина постоянно тормозится гипоталамическим гормоном дофамином.</w:t>
      </w:r>
      <w:r w:rsidRPr="005A72D4">
        <w:rPr>
          <w:sz w:val="24"/>
          <w:szCs w:val="24"/>
        </w:rPr>
        <w:t xml:space="preserve"> Дофамин образуется в нейронах паравентрикулярных и серобугорных ядер, а также в нейронах ядра воронки и дугообразного ядра гипоталамуса. Дофамин поступает в воротную систему гипофиза и связывается с </w:t>
      </w:r>
      <w:r w:rsidRPr="005A72D4">
        <w:rPr>
          <w:sz w:val="24"/>
          <w:szCs w:val="24"/>
        </w:rPr>
        <w:lastRenderedPageBreak/>
        <w:t xml:space="preserve">дофаминовыми рецепторами на лактотропных клетках. Секреция пролактина </w:t>
      </w:r>
      <w:r w:rsidRPr="005A72D4">
        <w:rPr>
          <w:b/>
          <w:bCs/>
          <w:sz w:val="24"/>
          <w:szCs w:val="24"/>
        </w:rPr>
        <w:t>усиливается</w:t>
      </w:r>
      <w:r w:rsidRPr="005A72D4">
        <w:rPr>
          <w:sz w:val="24"/>
          <w:szCs w:val="24"/>
        </w:rPr>
        <w:t xml:space="preserve"> под действием эстрогенов, тиролиберина и нервных импульсов от сосков.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 xml:space="preserve">А. </w:t>
      </w:r>
      <w:r w:rsidRPr="005A72D4">
        <w:rPr>
          <w:sz w:val="24"/>
          <w:szCs w:val="24"/>
        </w:rPr>
        <w:t xml:space="preserve">Во время беременности уровень </w:t>
      </w:r>
      <w:r w:rsidRPr="005A72D4">
        <w:rPr>
          <w:b/>
          <w:bCs/>
          <w:sz w:val="24"/>
          <w:szCs w:val="24"/>
        </w:rPr>
        <w:t>эстрогенов</w:t>
      </w:r>
      <w:r w:rsidRPr="005A72D4">
        <w:rPr>
          <w:sz w:val="24"/>
          <w:szCs w:val="24"/>
        </w:rPr>
        <w:t xml:space="preserve"> постоянно возрастает и в III триместре становится достаточно высоким, чтобы стимулировать секрецию пролактина. Повышение содержания пролактина в крови необходимо для подготовки молочных желез к лактации.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 xml:space="preserve">Б. Нервная регуляция. </w:t>
      </w:r>
      <w:r w:rsidRPr="005A72D4">
        <w:rPr>
          <w:sz w:val="24"/>
          <w:szCs w:val="24"/>
        </w:rPr>
        <w:t xml:space="preserve">Раздражение сосков во время кормления еще больше стимулирует секрецию пролактина.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В. Тиролиберин</w:t>
      </w:r>
      <w:r w:rsidRPr="005A72D4">
        <w:rPr>
          <w:sz w:val="24"/>
          <w:szCs w:val="24"/>
        </w:rPr>
        <w:t xml:space="preserve"> также стимулирует продукцию пролактина. Считают, что именно избыток тиролиберина служит причиной гиперпролактинемии, галактореи, аменореи, импотенции и бесплодия, которые иногда наблюдаются у больных с первичным гипотиреозом. </w:t>
      </w:r>
    </w:p>
    <w:p w:rsidR="005A72D4" w:rsidRPr="005A72D4" w:rsidRDefault="005A72D4" w:rsidP="005A72D4">
      <w:pPr>
        <w:widowControl/>
        <w:autoSpaceDE/>
        <w:autoSpaceDN/>
        <w:adjustRightInd/>
        <w:spacing w:before="30"/>
        <w:ind w:left="300" w:hanging="300"/>
        <w:jc w:val="both"/>
        <w:rPr>
          <w:sz w:val="24"/>
          <w:szCs w:val="24"/>
        </w:rPr>
      </w:pPr>
      <w:r w:rsidRPr="005A72D4">
        <w:rPr>
          <w:b/>
          <w:bCs/>
          <w:sz w:val="24"/>
          <w:szCs w:val="24"/>
        </w:rPr>
        <w:t xml:space="preserve">II. Физиологическая гиперпролактинемия </w:t>
      </w:r>
      <w:r w:rsidRPr="005A72D4">
        <w:rPr>
          <w:sz w:val="24"/>
          <w:szCs w:val="24"/>
        </w:rPr>
        <w:t xml:space="preserve">наблюдается только во время беременности, когда в крови возрастает содержание эстрогенов. Эстрогены действуют на лактотропные клетки аденогипофиза, преодолевая тормозящий эффект дофамина и стимулируют секрецию больших количеств пролактина. В свою очередь, пролактин действует на клетки ацинусов молочной железы и стимулирует лактацию. Физиологическая гиперпролактинемия необходима для грудного вскармливания. </w:t>
      </w:r>
    </w:p>
    <w:p w:rsidR="005A72D4" w:rsidRPr="005A72D4" w:rsidRDefault="005A72D4" w:rsidP="005A72D4">
      <w:pPr>
        <w:widowControl/>
        <w:autoSpaceDE/>
        <w:autoSpaceDN/>
        <w:adjustRightInd/>
        <w:spacing w:before="30"/>
        <w:ind w:left="300" w:hanging="300"/>
        <w:jc w:val="both"/>
        <w:rPr>
          <w:sz w:val="24"/>
          <w:szCs w:val="24"/>
        </w:rPr>
      </w:pPr>
      <w:r w:rsidRPr="005A72D4">
        <w:rPr>
          <w:b/>
          <w:bCs/>
          <w:sz w:val="24"/>
          <w:szCs w:val="24"/>
        </w:rPr>
        <w:t>III. Патологическая гиперпролактинемия</w:t>
      </w:r>
      <w:r w:rsidRPr="005A72D4">
        <w:rPr>
          <w:sz w:val="24"/>
          <w:szCs w:val="24"/>
        </w:rPr>
        <w:t xml:space="preserve"> — это повышенный уровень пролактина в сыворотке вне беременности. Причины и клинические проявления патологической гиперпролактинемии рассмотрены ниже. Симптомы гиперпролактинемии зависят от пола. </w:t>
      </w:r>
    </w:p>
    <w:p w:rsidR="005A72D4" w:rsidRPr="005A72D4" w:rsidRDefault="005A72D4" w:rsidP="005A72D4">
      <w:pPr>
        <w:widowControl/>
        <w:autoSpaceDE/>
        <w:autoSpaceDN/>
        <w:adjustRightInd/>
        <w:spacing w:before="30"/>
        <w:ind w:left="300" w:hanging="300"/>
        <w:jc w:val="both"/>
        <w:rPr>
          <w:sz w:val="24"/>
          <w:szCs w:val="24"/>
        </w:rPr>
      </w:pPr>
      <w:r w:rsidRPr="005A72D4">
        <w:rPr>
          <w:b/>
          <w:bCs/>
          <w:sz w:val="24"/>
          <w:szCs w:val="24"/>
        </w:rPr>
        <w:t>IV. Гипопролактинемия</w:t>
      </w:r>
      <w:r w:rsidRPr="005A72D4">
        <w:rPr>
          <w:sz w:val="24"/>
          <w:szCs w:val="24"/>
        </w:rPr>
        <w:t xml:space="preserve"> встречается редко и служит признаком скрытых гипоталамо-гипофизарных расстройств. </w:t>
      </w:r>
    </w:p>
    <w:p w:rsidR="005A72D4" w:rsidRPr="005A72D4" w:rsidRDefault="005A72D4" w:rsidP="005A72D4">
      <w:pPr>
        <w:widowControl/>
        <w:autoSpaceDE/>
        <w:autoSpaceDN/>
        <w:adjustRightInd/>
        <w:spacing w:before="100" w:beforeAutospacing="1" w:after="100" w:afterAutospacing="1"/>
        <w:jc w:val="both"/>
        <w:rPr>
          <w:sz w:val="24"/>
          <w:szCs w:val="24"/>
        </w:rPr>
      </w:pPr>
      <w:r w:rsidRPr="005A72D4">
        <w:rPr>
          <w:b/>
          <w:bCs/>
          <w:sz w:val="24"/>
          <w:szCs w:val="24"/>
        </w:rPr>
        <w:t xml:space="preserve">Гиперпролактинемия </w:t>
      </w:r>
    </w:p>
    <w:p w:rsidR="005A72D4" w:rsidRPr="005A72D4" w:rsidRDefault="005A72D4" w:rsidP="005A72D4">
      <w:pPr>
        <w:widowControl/>
        <w:autoSpaceDE/>
        <w:autoSpaceDN/>
        <w:adjustRightInd/>
        <w:spacing w:before="30"/>
        <w:ind w:left="300" w:hanging="300"/>
        <w:jc w:val="both"/>
        <w:rPr>
          <w:sz w:val="24"/>
          <w:szCs w:val="24"/>
        </w:rPr>
      </w:pPr>
      <w:r w:rsidRPr="005A72D4">
        <w:rPr>
          <w:b/>
          <w:bCs/>
          <w:sz w:val="24"/>
          <w:szCs w:val="24"/>
        </w:rPr>
        <w:t>V.</w:t>
      </w:r>
      <w:r w:rsidRPr="005A72D4">
        <w:rPr>
          <w:sz w:val="24"/>
          <w:szCs w:val="24"/>
        </w:rPr>
        <w:t xml:space="preserve"> </w:t>
      </w:r>
      <w:r w:rsidRPr="005A72D4">
        <w:rPr>
          <w:b/>
          <w:bCs/>
          <w:sz w:val="24"/>
          <w:szCs w:val="24"/>
        </w:rPr>
        <w:t xml:space="preserve">Этиология. </w:t>
      </w:r>
      <w:r w:rsidRPr="005A72D4">
        <w:rPr>
          <w:sz w:val="24"/>
          <w:szCs w:val="24"/>
        </w:rPr>
        <w:t xml:space="preserve">Причины гиперпролактинемии перечислены в табл. 10.1. </w:t>
      </w:r>
    </w:p>
    <w:p w:rsidR="005A72D4" w:rsidRPr="005A72D4" w:rsidRDefault="005A72D4" w:rsidP="005A72D4">
      <w:pPr>
        <w:widowControl/>
        <w:autoSpaceDE/>
        <w:autoSpaceDN/>
        <w:adjustRightInd/>
        <w:spacing w:before="30"/>
        <w:ind w:left="300" w:hanging="300"/>
        <w:jc w:val="both"/>
        <w:rPr>
          <w:sz w:val="24"/>
          <w:szCs w:val="24"/>
        </w:rPr>
      </w:pPr>
      <w:r w:rsidRPr="005A72D4">
        <w:rPr>
          <w:b/>
          <w:bCs/>
          <w:sz w:val="24"/>
          <w:szCs w:val="24"/>
        </w:rPr>
        <w:t>VI.</w:t>
      </w:r>
      <w:r w:rsidRPr="005A72D4">
        <w:rPr>
          <w:sz w:val="24"/>
          <w:szCs w:val="24"/>
        </w:rPr>
        <w:t xml:space="preserve"> </w:t>
      </w:r>
      <w:r w:rsidRPr="005A72D4">
        <w:rPr>
          <w:b/>
          <w:bCs/>
          <w:sz w:val="24"/>
          <w:szCs w:val="24"/>
        </w:rPr>
        <w:t>Клиническая картина</w:t>
      </w:r>
      <w:r w:rsidRPr="005A72D4">
        <w:rPr>
          <w:sz w:val="24"/>
          <w:szCs w:val="24"/>
        </w:rPr>
        <w:t xml:space="preserve">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А.</w:t>
      </w:r>
      <w:r w:rsidRPr="005A72D4">
        <w:rPr>
          <w:sz w:val="24"/>
          <w:szCs w:val="24"/>
        </w:rPr>
        <w:t xml:space="preserve"> Гиперпролактинемия приводит к нарушениям </w:t>
      </w:r>
      <w:r w:rsidRPr="005A72D4">
        <w:rPr>
          <w:b/>
          <w:bCs/>
          <w:sz w:val="24"/>
          <w:szCs w:val="24"/>
        </w:rPr>
        <w:t>половой функции.</w:t>
      </w:r>
      <w:r w:rsidRPr="005A72D4">
        <w:rPr>
          <w:sz w:val="24"/>
          <w:szCs w:val="24"/>
        </w:rPr>
        <w:t xml:space="preserve"> У женщин наблюдаются нарушения менструального цикла (аменорея, олигоменорея, ановуляторные циклы, укорочение лютеиновой фазы, бесплодие); у мужчин снижаются половое влечение и потенция, развиваются олигозооспермия и бесплодие. Все эти нарушения обусловлены тем, что избыток пролактина подавляет импульсную секрецию гонадолиберина.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Б.</w:t>
      </w:r>
      <w:r w:rsidRPr="005A72D4">
        <w:rPr>
          <w:sz w:val="24"/>
          <w:szCs w:val="24"/>
        </w:rPr>
        <w:t xml:space="preserve"> </w:t>
      </w:r>
      <w:r w:rsidRPr="005A72D4">
        <w:rPr>
          <w:b/>
          <w:bCs/>
          <w:sz w:val="24"/>
          <w:szCs w:val="24"/>
        </w:rPr>
        <w:t>Галакторея</w:t>
      </w:r>
      <w:r w:rsidRPr="005A72D4">
        <w:rPr>
          <w:sz w:val="24"/>
          <w:szCs w:val="24"/>
        </w:rPr>
        <w:t xml:space="preserve"> — истечение молока из молочных желез, не связанное с беременностью, родами и кормлением, — наблюдается примерно у 70% женщин с гиперпролактинемией. Необходимое условие развития галактореи: увеличение уровня пролактина на фоне нормального или повышенного содержания эстрогенов. Истечение жидкости из сосков, напоминающее галакторею, может наблюдаться и в отсутствие гиперпролактинемии — при папилломатозе и раке молочной железы, а также у женщин, сознательно раздражающих соски.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В.</w:t>
      </w:r>
      <w:r w:rsidRPr="005A72D4">
        <w:rPr>
          <w:sz w:val="24"/>
          <w:szCs w:val="24"/>
        </w:rPr>
        <w:t xml:space="preserve"> </w:t>
      </w:r>
      <w:r w:rsidRPr="005A72D4">
        <w:rPr>
          <w:b/>
          <w:bCs/>
          <w:sz w:val="24"/>
          <w:szCs w:val="24"/>
        </w:rPr>
        <w:t>Гиперпролактинемия и остеопороз.</w:t>
      </w:r>
      <w:r w:rsidRPr="005A72D4">
        <w:rPr>
          <w:sz w:val="24"/>
          <w:szCs w:val="24"/>
        </w:rPr>
        <w:t xml:space="preserve"> У больных с нелеченной гиперпролактинемией постепенно уменьшается плотность кости и развивается остеопороз, сопровождающийся болями. После нормализации уровней пролактина и половых гормонов состояние больных улучшается.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Г.</w:t>
      </w:r>
      <w:r w:rsidRPr="005A72D4">
        <w:rPr>
          <w:sz w:val="24"/>
          <w:szCs w:val="24"/>
        </w:rPr>
        <w:t xml:space="preserve"> Временное умеренное повышение уровня пролактина наблюдается после венепункции, физических нагрузок, эпилептических припадков, а также при стрессах. Чтобы исключить </w:t>
      </w:r>
      <w:r w:rsidRPr="005A72D4">
        <w:rPr>
          <w:sz w:val="24"/>
          <w:szCs w:val="24"/>
        </w:rPr>
        <w:lastRenderedPageBreak/>
        <w:t xml:space="preserve">случайное повышение уровня пролактина и подтвердить патологическую гиперпролактинемию, измерения концентрации гормона проводят многократно. Стойкая гиперпролактинемия — признак нарушения регуляции секреции пролактина.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Д.</w:t>
      </w:r>
      <w:r w:rsidRPr="005A72D4">
        <w:rPr>
          <w:sz w:val="24"/>
          <w:szCs w:val="24"/>
        </w:rPr>
        <w:t xml:space="preserve"> </w:t>
      </w:r>
      <w:r w:rsidRPr="005A72D4">
        <w:rPr>
          <w:b/>
          <w:bCs/>
          <w:sz w:val="24"/>
          <w:szCs w:val="24"/>
        </w:rPr>
        <w:t xml:space="preserve">Показания к обследованию </w:t>
      </w:r>
      <w:r w:rsidRPr="005A72D4">
        <w:rPr>
          <w:sz w:val="24"/>
          <w:szCs w:val="24"/>
        </w:rPr>
        <w:t xml:space="preserve">многообразны. Уровень пролактина в сыворотке рекомендуется определять при нарушениях менструального цикла и бесплодии у женщин, при импотенции и бесплодии у мужчин. </w:t>
      </w:r>
    </w:p>
    <w:p w:rsidR="005A72D4" w:rsidRPr="005A72D4" w:rsidRDefault="005A72D4" w:rsidP="005A72D4">
      <w:pPr>
        <w:widowControl/>
        <w:autoSpaceDE/>
        <w:autoSpaceDN/>
        <w:adjustRightInd/>
        <w:spacing w:before="30"/>
        <w:ind w:left="300" w:hanging="300"/>
        <w:jc w:val="both"/>
        <w:rPr>
          <w:sz w:val="24"/>
          <w:szCs w:val="24"/>
        </w:rPr>
      </w:pPr>
      <w:r w:rsidRPr="005A72D4">
        <w:rPr>
          <w:b/>
          <w:bCs/>
          <w:sz w:val="24"/>
          <w:szCs w:val="24"/>
        </w:rPr>
        <w:t>VII.</w:t>
      </w:r>
      <w:r w:rsidRPr="005A72D4">
        <w:rPr>
          <w:sz w:val="24"/>
          <w:szCs w:val="24"/>
        </w:rPr>
        <w:t xml:space="preserve"> </w:t>
      </w:r>
      <w:r w:rsidRPr="005A72D4">
        <w:rPr>
          <w:b/>
          <w:bCs/>
          <w:sz w:val="24"/>
          <w:szCs w:val="24"/>
        </w:rPr>
        <w:t>Гиперпролактинемия</w:t>
      </w:r>
      <w:r w:rsidRPr="005A72D4">
        <w:rPr>
          <w:sz w:val="24"/>
          <w:szCs w:val="24"/>
        </w:rPr>
        <w:t xml:space="preserve"> </w:t>
      </w:r>
      <w:r w:rsidRPr="005A72D4">
        <w:rPr>
          <w:b/>
          <w:bCs/>
          <w:sz w:val="24"/>
          <w:szCs w:val="24"/>
        </w:rPr>
        <w:t>у женщин с нормальной функцией щитовидной железы</w:t>
      </w:r>
      <w:r w:rsidRPr="005A72D4">
        <w:rPr>
          <w:sz w:val="24"/>
          <w:szCs w:val="24"/>
        </w:rPr>
        <w:t xml:space="preserve"> обусловлена нарушением механизма торможения секреции пролактина.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А.</w:t>
      </w:r>
      <w:r w:rsidRPr="005A72D4">
        <w:rPr>
          <w:sz w:val="24"/>
          <w:szCs w:val="24"/>
        </w:rPr>
        <w:t xml:space="preserve"> Для</w:t>
      </w:r>
      <w:r w:rsidRPr="005A72D4">
        <w:rPr>
          <w:b/>
          <w:bCs/>
          <w:sz w:val="24"/>
          <w:szCs w:val="24"/>
        </w:rPr>
        <w:t xml:space="preserve"> </w:t>
      </w:r>
      <w:r w:rsidRPr="005A72D4">
        <w:rPr>
          <w:sz w:val="24"/>
          <w:szCs w:val="24"/>
        </w:rPr>
        <w:t xml:space="preserve">физиологического торможения секреции пролактина необходимы: </w:t>
      </w:r>
    </w:p>
    <w:p w:rsidR="005A72D4" w:rsidRPr="005A72D4" w:rsidRDefault="005A72D4" w:rsidP="005A72D4">
      <w:pPr>
        <w:widowControl/>
        <w:autoSpaceDE/>
        <w:autoSpaceDN/>
        <w:adjustRightInd/>
        <w:spacing w:before="30"/>
        <w:ind w:left="900" w:hanging="300"/>
        <w:jc w:val="both"/>
        <w:rPr>
          <w:sz w:val="24"/>
          <w:szCs w:val="24"/>
        </w:rPr>
      </w:pPr>
      <w:r w:rsidRPr="005A72D4">
        <w:rPr>
          <w:b/>
          <w:bCs/>
          <w:sz w:val="24"/>
          <w:szCs w:val="24"/>
        </w:rPr>
        <w:t>1.</w:t>
      </w:r>
      <w:r w:rsidRPr="005A72D4">
        <w:rPr>
          <w:sz w:val="24"/>
          <w:szCs w:val="24"/>
        </w:rPr>
        <w:t xml:space="preserve"> Секреция дофамина гипоталамусом. </w:t>
      </w:r>
    </w:p>
    <w:p w:rsidR="005A72D4" w:rsidRPr="005A72D4" w:rsidRDefault="005A72D4" w:rsidP="005A72D4">
      <w:pPr>
        <w:widowControl/>
        <w:autoSpaceDE/>
        <w:autoSpaceDN/>
        <w:adjustRightInd/>
        <w:spacing w:before="30"/>
        <w:ind w:left="900" w:hanging="300"/>
        <w:jc w:val="both"/>
        <w:rPr>
          <w:sz w:val="24"/>
          <w:szCs w:val="24"/>
        </w:rPr>
      </w:pPr>
      <w:r w:rsidRPr="005A72D4">
        <w:rPr>
          <w:b/>
          <w:bCs/>
          <w:sz w:val="24"/>
          <w:szCs w:val="24"/>
        </w:rPr>
        <w:t>2.</w:t>
      </w:r>
      <w:r w:rsidRPr="005A72D4">
        <w:rPr>
          <w:sz w:val="24"/>
          <w:szCs w:val="24"/>
        </w:rPr>
        <w:t xml:space="preserve"> Доставка дофамина в аденогипофиз по воротной системе гипофиза. </w:t>
      </w:r>
    </w:p>
    <w:p w:rsidR="005A72D4" w:rsidRPr="005A72D4" w:rsidRDefault="005A72D4" w:rsidP="005A72D4">
      <w:pPr>
        <w:widowControl/>
        <w:autoSpaceDE/>
        <w:autoSpaceDN/>
        <w:adjustRightInd/>
        <w:spacing w:before="30"/>
        <w:ind w:left="900" w:hanging="300"/>
        <w:jc w:val="both"/>
        <w:rPr>
          <w:sz w:val="24"/>
          <w:szCs w:val="24"/>
        </w:rPr>
      </w:pPr>
      <w:bookmarkStart w:id="24" w:name="VII.А.3."/>
      <w:r w:rsidRPr="005A72D4">
        <w:rPr>
          <w:b/>
          <w:bCs/>
          <w:sz w:val="24"/>
          <w:szCs w:val="24"/>
        </w:rPr>
        <w:t>3.</w:t>
      </w:r>
      <w:bookmarkEnd w:id="24"/>
      <w:r w:rsidRPr="005A72D4">
        <w:rPr>
          <w:sz w:val="24"/>
          <w:szCs w:val="24"/>
        </w:rPr>
        <w:t xml:space="preserve"> Связывание дофамина с рецепторами на лактотропных клетках.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Б.</w:t>
      </w:r>
      <w:r w:rsidRPr="005A72D4">
        <w:rPr>
          <w:sz w:val="24"/>
          <w:szCs w:val="24"/>
        </w:rPr>
        <w:t xml:space="preserve"> Многие </w:t>
      </w:r>
      <w:r w:rsidRPr="005A72D4">
        <w:rPr>
          <w:b/>
          <w:bCs/>
          <w:sz w:val="24"/>
          <w:szCs w:val="24"/>
        </w:rPr>
        <w:t>лекарственные средства,</w:t>
      </w:r>
      <w:r w:rsidRPr="005A72D4">
        <w:rPr>
          <w:sz w:val="24"/>
          <w:szCs w:val="24"/>
        </w:rPr>
        <w:t xml:space="preserve"> применяемые для лечения артериальной гипертонии, тошноты и рвоты, атонии желудка, психических расстройств, вызывают гиперпролактинемию, снижая содержание дофамина в гипоталамусе, блокируя дофаминовые рецепторы или противодействуя торможению секреции пролактина. Такие препараты перечислены в табл. 10.1.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В.</w:t>
      </w:r>
      <w:r w:rsidRPr="005A72D4">
        <w:rPr>
          <w:sz w:val="24"/>
          <w:szCs w:val="24"/>
        </w:rPr>
        <w:t xml:space="preserve"> Если у женщины с бесплодием или нарушением менструального цикла или у мужчины с импотенцией или бесплодием выявлена гиперпролактинемия, необходимо более детальное обследование. </w:t>
      </w:r>
    </w:p>
    <w:p w:rsidR="005A72D4" w:rsidRPr="005A72D4" w:rsidRDefault="005A72D4" w:rsidP="005A72D4">
      <w:pPr>
        <w:widowControl/>
        <w:autoSpaceDE/>
        <w:autoSpaceDN/>
        <w:adjustRightInd/>
        <w:spacing w:before="30"/>
        <w:ind w:left="300" w:hanging="300"/>
        <w:jc w:val="both"/>
        <w:rPr>
          <w:sz w:val="24"/>
          <w:szCs w:val="24"/>
        </w:rPr>
      </w:pPr>
      <w:r w:rsidRPr="005A72D4">
        <w:rPr>
          <w:b/>
          <w:bCs/>
          <w:sz w:val="24"/>
          <w:szCs w:val="24"/>
        </w:rPr>
        <w:t>VIII.</w:t>
      </w:r>
      <w:r w:rsidRPr="005A72D4">
        <w:rPr>
          <w:sz w:val="24"/>
          <w:szCs w:val="24"/>
        </w:rPr>
        <w:t xml:space="preserve"> </w:t>
      </w:r>
      <w:r w:rsidRPr="005A72D4">
        <w:rPr>
          <w:b/>
          <w:bCs/>
          <w:sz w:val="24"/>
          <w:szCs w:val="24"/>
        </w:rPr>
        <w:t xml:space="preserve">Диагностика. </w:t>
      </w:r>
      <w:r w:rsidRPr="005A72D4">
        <w:rPr>
          <w:sz w:val="24"/>
          <w:szCs w:val="24"/>
        </w:rPr>
        <w:t xml:space="preserve">Собирают анамнез и проводят физикальное исследование. Исключают ятрогенные и другие неспецифические причины гиперпролактинемии (см. табл. 10.1). При подозрении на первичное заболевание гипоталамуса или гипофиза проводят визуализацию и оценивают функцию этих органов.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А.</w:t>
      </w:r>
      <w:r w:rsidRPr="005A72D4">
        <w:rPr>
          <w:sz w:val="24"/>
          <w:szCs w:val="24"/>
        </w:rPr>
        <w:t xml:space="preserve"> </w:t>
      </w:r>
      <w:r w:rsidRPr="005A72D4">
        <w:rPr>
          <w:b/>
          <w:bCs/>
          <w:sz w:val="24"/>
          <w:szCs w:val="24"/>
        </w:rPr>
        <w:t>МРТ и КТ.</w:t>
      </w:r>
      <w:r w:rsidRPr="005A72D4">
        <w:rPr>
          <w:sz w:val="24"/>
          <w:szCs w:val="24"/>
        </w:rPr>
        <w:t xml:space="preserve"> В аксиальной проекции удается хорошо визуализировать гипофиз и гипоталамус и выявить микроаденому или макроаденому гипофиза и краниофарингиому. </w:t>
      </w:r>
      <w:r w:rsidRPr="005A72D4">
        <w:rPr>
          <w:b/>
          <w:bCs/>
          <w:sz w:val="24"/>
          <w:szCs w:val="24"/>
        </w:rPr>
        <w:t xml:space="preserve">Микроаденомы </w:t>
      </w:r>
      <w:r w:rsidRPr="005A72D4">
        <w:rPr>
          <w:sz w:val="24"/>
          <w:szCs w:val="24"/>
        </w:rPr>
        <w:t>(микропролактиномы)</w:t>
      </w:r>
      <w:r w:rsidRPr="005A72D4">
        <w:rPr>
          <w:b/>
          <w:bCs/>
          <w:sz w:val="24"/>
          <w:szCs w:val="24"/>
        </w:rPr>
        <w:t xml:space="preserve"> </w:t>
      </w:r>
      <w:r w:rsidRPr="005A72D4">
        <w:rPr>
          <w:sz w:val="24"/>
          <w:szCs w:val="24"/>
        </w:rPr>
        <w:t xml:space="preserve">имеют вид небольших (&lt; 10 мм) участков пониженной прозрачности и обычно локализуются в боковых отделах гипофиза. </w:t>
      </w:r>
      <w:r w:rsidRPr="005A72D4">
        <w:rPr>
          <w:b/>
          <w:bCs/>
          <w:sz w:val="24"/>
          <w:szCs w:val="24"/>
        </w:rPr>
        <w:t>Макроаденомы</w:t>
      </w:r>
      <w:r w:rsidRPr="005A72D4">
        <w:rPr>
          <w:sz w:val="24"/>
          <w:szCs w:val="24"/>
        </w:rPr>
        <w:t xml:space="preserve"> (макропролактиномы) часто достигают размеров &gt; 10 мм и растут вверх, сдавливая зрительный перекрест; вбок, проникая в пещеристые синусы; или вниз, разрушая дно турецкого седла. </w:t>
      </w:r>
      <w:r w:rsidRPr="005A72D4">
        <w:rPr>
          <w:b/>
          <w:bCs/>
          <w:sz w:val="24"/>
          <w:szCs w:val="24"/>
        </w:rPr>
        <w:t>Краниофарингиомы</w:t>
      </w:r>
      <w:r w:rsidRPr="005A72D4">
        <w:rPr>
          <w:sz w:val="24"/>
          <w:szCs w:val="24"/>
        </w:rPr>
        <w:t xml:space="preserve"> вызывают гиперпролактинемию, нарушая транспорт дофамина из гипоталамуса в аденогипофиз. Они представляют собой кистозные обызвествленные объемные образования, расположенные супраселлярно. Если новообразование не обнаружено, устанавливают диагноз </w:t>
      </w:r>
      <w:r w:rsidRPr="005A72D4">
        <w:rPr>
          <w:b/>
          <w:bCs/>
          <w:sz w:val="24"/>
          <w:szCs w:val="24"/>
        </w:rPr>
        <w:t>идиопатической гиперпролактинемии.</w:t>
      </w:r>
      <w:r w:rsidRPr="005A72D4">
        <w:rPr>
          <w:sz w:val="24"/>
          <w:szCs w:val="24"/>
        </w:rPr>
        <w:t xml:space="preserve">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Б.</w:t>
      </w:r>
      <w:r w:rsidRPr="005A72D4">
        <w:rPr>
          <w:sz w:val="24"/>
          <w:szCs w:val="24"/>
        </w:rPr>
        <w:t xml:space="preserve"> </w:t>
      </w:r>
      <w:r w:rsidRPr="005A72D4">
        <w:rPr>
          <w:b/>
          <w:bCs/>
          <w:sz w:val="24"/>
          <w:szCs w:val="24"/>
        </w:rPr>
        <w:t>Оценка резерва гормонов аденогипофиза.</w:t>
      </w:r>
      <w:r w:rsidRPr="005A72D4">
        <w:rPr>
          <w:sz w:val="24"/>
          <w:szCs w:val="24"/>
        </w:rPr>
        <w:t xml:space="preserve"> При заболеваниях аденогипофиза (особенно — при макропролактиномах) гиперпролактинемия часто сочетается с другими формами дисфункции аденогипофиза, в том числе с гипофизарно-надпочечниковой и гипофизарно-тиреоидной недостаточностью. В таких случаях с помощью стимуляционных проб оценивают резерв АКТГ и ТТГ и при необходимости начинают заместительную терапию глюкокортикоидами или левотироксином.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В.</w:t>
      </w:r>
      <w:r w:rsidRPr="005A72D4">
        <w:rPr>
          <w:sz w:val="24"/>
          <w:szCs w:val="24"/>
        </w:rPr>
        <w:t xml:space="preserve"> </w:t>
      </w:r>
      <w:r w:rsidRPr="005A72D4">
        <w:rPr>
          <w:b/>
          <w:bCs/>
          <w:sz w:val="24"/>
          <w:szCs w:val="24"/>
        </w:rPr>
        <w:t>У женщин с гиперпролактинемией</w:t>
      </w:r>
      <w:r w:rsidRPr="005A72D4">
        <w:rPr>
          <w:sz w:val="24"/>
          <w:szCs w:val="24"/>
        </w:rPr>
        <w:t xml:space="preserve"> определяют уровни</w:t>
      </w:r>
      <w:r w:rsidRPr="005A72D4">
        <w:rPr>
          <w:b/>
          <w:bCs/>
          <w:sz w:val="24"/>
          <w:szCs w:val="24"/>
        </w:rPr>
        <w:t xml:space="preserve"> ЛГ,</w:t>
      </w:r>
      <w:r w:rsidRPr="005A72D4">
        <w:rPr>
          <w:sz w:val="24"/>
          <w:szCs w:val="24"/>
        </w:rPr>
        <w:t xml:space="preserve"> </w:t>
      </w:r>
      <w:r w:rsidRPr="005A72D4">
        <w:rPr>
          <w:b/>
          <w:bCs/>
          <w:sz w:val="24"/>
          <w:szCs w:val="24"/>
        </w:rPr>
        <w:t>ФСГ и эстрогенов,</w:t>
      </w:r>
      <w:r w:rsidRPr="005A72D4">
        <w:rPr>
          <w:sz w:val="24"/>
          <w:szCs w:val="24"/>
        </w:rPr>
        <w:t xml:space="preserve"> поскольку гиперпролактинемия нередко сочетается с синдромом поликистозных яичников. У некоторых больных после нормализации уровня пролактина восстанавливаются </w:t>
      </w:r>
      <w:r w:rsidRPr="005A72D4">
        <w:rPr>
          <w:sz w:val="24"/>
          <w:szCs w:val="24"/>
        </w:rPr>
        <w:lastRenderedPageBreak/>
        <w:t xml:space="preserve">овуляции. Остальным для полного восстановления половой функции показано лечение кломифеном.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Г.</w:t>
      </w:r>
      <w:r w:rsidRPr="005A72D4">
        <w:rPr>
          <w:sz w:val="24"/>
          <w:szCs w:val="24"/>
        </w:rPr>
        <w:t xml:space="preserve"> </w:t>
      </w:r>
      <w:r w:rsidRPr="005A72D4">
        <w:rPr>
          <w:b/>
          <w:bCs/>
          <w:sz w:val="24"/>
          <w:szCs w:val="24"/>
        </w:rPr>
        <w:t>У мужчин с гиперпролактинемией</w:t>
      </w:r>
      <w:r w:rsidRPr="005A72D4">
        <w:rPr>
          <w:sz w:val="24"/>
          <w:szCs w:val="24"/>
        </w:rPr>
        <w:t xml:space="preserve"> уровни ЛГ, ФСГ и тестостерона могут быть нормальным или сниженными. Гиперпролактинемия угнетает функцию гипоталамо-гипофизарно-гонадной системы, и концентрация тестостерона в сыворотке падает до уровня, характерного для гипогонадизма. Заместительная терапия тестостероном не восстанавливает потенцию у мужчин с гиперпролактинемическим гипогонадизмом. Напротив, нормализация уровня пролактина может восстановить функцию гипоталамо-гипофизарно-гонадной системы и секрецию эндогенного тестостерона. В этом случае можно обойтись без лечения андрогенами. Дополнительное лечение тестостероном оправдано и эффективно только в том случае, когда после нормализации уровня пролактина секреция тестостерона остается недостаточной. </w:t>
      </w:r>
    </w:p>
    <w:p w:rsidR="005A72D4" w:rsidRPr="005A72D4" w:rsidRDefault="005A72D4" w:rsidP="005A72D4">
      <w:pPr>
        <w:widowControl/>
        <w:autoSpaceDE/>
        <w:autoSpaceDN/>
        <w:adjustRightInd/>
        <w:spacing w:before="30"/>
        <w:ind w:left="600" w:hanging="300"/>
        <w:jc w:val="both"/>
        <w:rPr>
          <w:sz w:val="24"/>
          <w:szCs w:val="24"/>
        </w:rPr>
      </w:pPr>
      <w:bookmarkStart w:id="25" w:name="VIII.Д."/>
      <w:r w:rsidRPr="005A72D4">
        <w:rPr>
          <w:b/>
          <w:bCs/>
          <w:sz w:val="24"/>
          <w:szCs w:val="24"/>
        </w:rPr>
        <w:t>Д.</w:t>
      </w:r>
      <w:bookmarkEnd w:id="25"/>
      <w:r w:rsidRPr="005A72D4">
        <w:rPr>
          <w:sz w:val="24"/>
          <w:szCs w:val="24"/>
        </w:rPr>
        <w:t xml:space="preserve"> Стимуляционные пробы с тиролиберином, леводофой, хлорпромазином и супрессивная проба с бромокриптином (ингибитор секреции пролактина) не позволяют отличить пролактиному от идиопатической гиперпролактинемии. </w:t>
      </w:r>
    </w:p>
    <w:p w:rsidR="005A72D4" w:rsidRPr="005A72D4" w:rsidRDefault="005A72D4" w:rsidP="005A72D4">
      <w:pPr>
        <w:widowControl/>
        <w:autoSpaceDE/>
        <w:autoSpaceDN/>
        <w:adjustRightInd/>
        <w:spacing w:before="30"/>
        <w:ind w:left="600" w:hanging="300"/>
        <w:jc w:val="both"/>
        <w:rPr>
          <w:sz w:val="24"/>
          <w:szCs w:val="24"/>
        </w:rPr>
      </w:pPr>
      <w:bookmarkStart w:id="26" w:name="VIII.Е."/>
      <w:r w:rsidRPr="005A72D4">
        <w:rPr>
          <w:b/>
          <w:bCs/>
          <w:sz w:val="24"/>
          <w:szCs w:val="24"/>
        </w:rPr>
        <w:t>Е.</w:t>
      </w:r>
      <w:bookmarkEnd w:id="26"/>
      <w:r w:rsidRPr="005A72D4">
        <w:rPr>
          <w:sz w:val="24"/>
          <w:szCs w:val="24"/>
        </w:rPr>
        <w:t xml:space="preserve"> </w:t>
      </w:r>
      <w:r w:rsidRPr="005A72D4">
        <w:rPr>
          <w:b/>
          <w:bCs/>
          <w:sz w:val="24"/>
          <w:szCs w:val="24"/>
        </w:rPr>
        <w:t>Базальная концентрация пролактина в сыворотке</w:t>
      </w:r>
      <w:r w:rsidRPr="005A72D4">
        <w:rPr>
          <w:sz w:val="24"/>
          <w:szCs w:val="24"/>
        </w:rPr>
        <w:t xml:space="preserve">, как правило, коррелирует с размерами пролактиномы. </w:t>
      </w:r>
    </w:p>
    <w:p w:rsidR="005A72D4" w:rsidRPr="005A72D4" w:rsidRDefault="005A72D4" w:rsidP="005A72D4">
      <w:pPr>
        <w:widowControl/>
        <w:autoSpaceDE/>
        <w:autoSpaceDN/>
        <w:adjustRightInd/>
        <w:spacing w:before="30"/>
        <w:ind w:left="900" w:hanging="300"/>
        <w:jc w:val="both"/>
        <w:rPr>
          <w:sz w:val="24"/>
          <w:szCs w:val="24"/>
        </w:rPr>
      </w:pPr>
      <w:bookmarkStart w:id="27" w:name="VIII.Е.1."/>
      <w:r w:rsidRPr="005A72D4">
        <w:rPr>
          <w:b/>
          <w:bCs/>
          <w:sz w:val="24"/>
          <w:szCs w:val="24"/>
        </w:rPr>
        <w:t>1.</w:t>
      </w:r>
      <w:bookmarkEnd w:id="27"/>
      <w:r w:rsidRPr="005A72D4">
        <w:rPr>
          <w:sz w:val="24"/>
          <w:szCs w:val="24"/>
        </w:rPr>
        <w:t xml:space="preserve"> Уровень пролактина</w:t>
      </w:r>
      <w:r w:rsidRPr="005A72D4">
        <w:rPr>
          <w:b/>
          <w:bCs/>
          <w:sz w:val="24"/>
          <w:szCs w:val="24"/>
        </w:rPr>
        <w:t xml:space="preserve"> </w:t>
      </w:r>
      <w:r w:rsidRPr="005A72D4">
        <w:rPr>
          <w:sz w:val="24"/>
          <w:szCs w:val="24"/>
        </w:rPr>
        <w:t xml:space="preserve">&gt; 200 нг/мл характерен для </w:t>
      </w:r>
      <w:r w:rsidRPr="005A72D4">
        <w:rPr>
          <w:b/>
          <w:bCs/>
          <w:sz w:val="24"/>
          <w:szCs w:val="24"/>
        </w:rPr>
        <w:t>макропролактином.</w:t>
      </w:r>
      <w:r w:rsidRPr="005A72D4">
        <w:rPr>
          <w:sz w:val="24"/>
          <w:szCs w:val="24"/>
        </w:rPr>
        <w:t xml:space="preserve"> </w:t>
      </w:r>
    </w:p>
    <w:p w:rsidR="005A72D4" w:rsidRPr="005A72D4" w:rsidRDefault="005A72D4" w:rsidP="005A72D4">
      <w:pPr>
        <w:widowControl/>
        <w:autoSpaceDE/>
        <w:autoSpaceDN/>
        <w:adjustRightInd/>
        <w:spacing w:before="30"/>
        <w:ind w:left="900" w:hanging="300"/>
        <w:jc w:val="both"/>
        <w:rPr>
          <w:sz w:val="24"/>
          <w:szCs w:val="24"/>
        </w:rPr>
      </w:pPr>
      <w:bookmarkStart w:id="28" w:name="VIII.Е.2."/>
      <w:r w:rsidRPr="005A72D4">
        <w:rPr>
          <w:b/>
          <w:bCs/>
          <w:sz w:val="24"/>
          <w:szCs w:val="24"/>
        </w:rPr>
        <w:t>2.</w:t>
      </w:r>
      <w:bookmarkEnd w:id="28"/>
      <w:r w:rsidRPr="005A72D4">
        <w:rPr>
          <w:sz w:val="24"/>
          <w:szCs w:val="24"/>
        </w:rPr>
        <w:t xml:space="preserve"> При уровне пролактина &lt; 200 нг/мл наиболее вероятны </w:t>
      </w:r>
      <w:r w:rsidRPr="005A72D4">
        <w:rPr>
          <w:b/>
          <w:bCs/>
          <w:sz w:val="24"/>
          <w:szCs w:val="24"/>
        </w:rPr>
        <w:t>микропролактинома</w:t>
      </w:r>
      <w:r w:rsidRPr="005A72D4">
        <w:rPr>
          <w:sz w:val="24"/>
          <w:szCs w:val="24"/>
        </w:rPr>
        <w:t xml:space="preserve"> или </w:t>
      </w:r>
      <w:r w:rsidRPr="005A72D4">
        <w:rPr>
          <w:b/>
          <w:bCs/>
          <w:sz w:val="24"/>
          <w:szCs w:val="24"/>
        </w:rPr>
        <w:t>идиопатическая гиперпролактинемия.</w:t>
      </w:r>
      <w:r w:rsidRPr="005A72D4">
        <w:rPr>
          <w:sz w:val="24"/>
          <w:szCs w:val="24"/>
        </w:rPr>
        <w:t xml:space="preserve"> Умеренное повышение уровня пролактина (до 40—85 нг/мл) характерно для краниофарингиомы (нарушающей транспорт дофамина из гипоталамуса в аденогипофиз), гипотиреоза, а также для лекарственной гиперпролактинемии. </w:t>
      </w:r>
    </w:p>
    <w:p w:rsidR="005A72D4" w:rsidRPr="005A72D4" w:rsidRDefault="005A72D4" w:rsidP="005A72D4">
      <w:pPr>
        <w:widowControl/>
        <w:autoSpaceDE/>
        <w:autoSpaceDN/>
        <w:adjustRightInd/>
        <w:spacing w:before="30"/>
        <w:ind w:left="900" w:hanging="300"/>
        <w:jc w:val="both"/>
        <w:rPr>
          <w:sz w:val="24"/>
          <w:szCs w:val="24"/>
        </w:rPr>
      </w:pPr>
      <w:bookmarkStart w:id="29" w:name="VIII.Е.3."/>
      <w:r w:rsidRPr="005A72D4">
        <w:rPr>
          <w:b/>
          <w:bCs/>
          <w:sz w:val="24"/>
          <w:szCs w:val="24"/>
        </w:rPr>
        <w:t>3.</w:t>
      </w:r>
      <w:bookmarkEnd w:id="29"/>
      <w:r w:rsidRPr="005A72D4">
        <w:rPr>
          <w:sz w:val="24"/>
          <w:szCs w:val="24"/>
        </w:rPr>
        <w:t xml:space="preserve"> Резкие периодические </w:t>
      </w:r>
      <w:r w:rsidRPr="005A72D4">
        <w:rPr>
          <w:b/>
          <w:bCs/>
          <w:sz w:val="24"/>
          <w:szCs w:val="24"/>
        </w:rPr>
        <w:t>повышения</w:t>
      </w:r>
      <w:r w:rsidRPr="005A72D4">
        <w:rPr>
          <w:sz w:val="24"/>
          <w:szCs w:val="24"/>
        </w:rPr>
        <w:t xml:space="preserve"> уровня пролактина в сыворотке (&gt; 200 нг/мл) иногда встречаются и в отсутствие пролактиномы и обусловлены сочетанием двух или более провоцирующих факторов (например, у больных с ХПН, получающих метоклопрамид). </w:t>
      </w:r>
    </w:p>
    <w:p w:rsidR="005A72D4" w:rsidRPr="005A72D4" w:rsidRDefault="005A72D4" w:rsidP="005A72D4">
      <w:pPr>
        <w:widowControl/>
        <w:autoSpaceDE/>
        <w:autoSpaceDN/>
        <w:adjustRightInd/>
        <w:spacing w:before="30"/>
        <w:ind w:left="600" w:hanging="300"/>
        <w:jc w:val="both"/>
        <w:rPr>
          <w:sz w:val="24"/>
          <w:szCs w:val="24"/>
        </w:rPr>
      </w:pPr>
      <w:bookmarkStart w:id="30" w:name="VIII.Ж."/>
      <w:r w:rsidRPr="005A72D4">
        <w:rPr>
          <w:b/>
          <w:bCs/>
          <w:sz w:val="24"/>
          <w:szCs w:val="24"/>
        </w:rPr>
        <w:t>Ж.</w:t>
      </w:r>
      <w:bookmarkEnd w:id="30"/>
      <w:r w:rsidRPr="005A72D4">
        <w:rPr>
          <w:sz w:val="24"/>
          <w:szCs w:val="24"/>
        </w:rPr>
        <w:t xml:space="preserve"> </w:t>
      </w:r>
      <w:r w:rsidRPr="005A72D4">
        <w:rPr>
          <w:b/>
          <w:bCs/>
          <w:sz w:val="24"/>
          <w:szCs w:val="24"/>
        </w:rPr>
        <w:t>Нарушения полей зрения.</w:t>
      </w:r>
      <w:r w:rsidRPr="005A72D4">
        <w:rPr>
          <w:sz w:val="24"/>
          <w:szCs w:val="24"/>
        </w:rPr>
        <w:t xml:space="preserve"> Пролактинома может расти вверх, достигая медиального края зрительного перекреста и вызывая верхнеквадрантную битемпоральную гемианопсию. Краниофарингиомы, сдавливая верхние края зрительного перекреста, вызывают нижнеквадрантную битемпоральную гемианопсию. Дальнейший рост любой опухоли может привести к полной битемпоральной гемианопсии. Для сохранения зрения нужно устранить избыточное давление на зрительный перекрест. </w:t>
      </w:r>
    </w:p>
    <w:p w:rsidR="005A72D4" w:rsidRPr="005A72D4" w:rsidRDefault="005A72D4" w:rsidP="005A72D4">
      <w:pPr>
        <w:widowControl/>
        <w:autoSpaceDE/>
        <w:autoSpaceDN/>
        <w:adjustRightInd/>
        <w:spacing w:before="30"/>
        <w:ind w:left="300" w:hanging="300"/>
        <w:jc w:val="both"/>
        <w:rPr>
          <w:sz w:val="24"/>
          <w:szCs w:val="24"/>
        </w:rPr>
      </w:pPr>
      <w:r w:rsidRPr="005A72D4">
        <w:rPr>
          <w:b/>
          <w:bCs/>
          <w:sz w:val="24"/>
          <w:szCs w:val="24"/>
        </w:rPr>
        <w:t>IX.</w:t>
      </w:r>
      <w:r w:rsidRPr="005A72D4">
        <w:rPr>
          <w:sz w:val="24"/>
          <w:szCs w:val="24"/>
        </w:rPr>
        <w:t xml:space="preserve"> </w:t>
      </w:r>
      <w:r w:rsidRPr="005A72D4">
        <w:rPr>
          <w:b/>
          <w:bCs/>
          <w:sz w:val="24"/>
          <w:szCs w:val="24"/>
        </w:rPr>
        <w:t>Лечение</w:t>
      </w:r>
      <w:r w:rsidRPr="005A72D4">
        <w:rPr>
          <w:sz w:val="24"/>
          <w:szCs w:val="24"/>
        </w:rPr>
        <w:t xml:space="preserve">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А.</w:t>
      </w:r>
      <w:r w:rsidRPr="005A72D4">
        <w:rPr>
          <w:sz w:val="24"/>
          <w:szCs w:val="24"/>
        </w:rPr>
        <w:t xml:space="preserve"> На начальном этапе средство выбора — </w:t>
      </w:r>
      <w:r w:rsidRPr="005A72D4">
        <w:rPr>
          <w:b/>
          <w:bCs/>
          <w:sz w:val="24"/>
          <w:szCs w:val="24"/>
        </w:rPr>
        <w:t>бромокриптин</w:t>
      </w:r>
      <w:r w:rsidRPr="005A72D4">
        <w:rPr>
          <w:sz w:val="24"/>
          <w:szCs w:val="24"/>
        </w:rPr>
        <w:t xml:space="preserve">. Препарат подавляет секрецию пролактина и вызывает регрессию микро- и макропролактином. </w:t>
      </w:r>
    </w:p>
    <w:p w:rsidR="005A72D4" w:rsidRPr="005A72D4" w:rsidRDefault="005A72D4" w:rsidP="005A72D4">
      <w:pPr>
        <w:widowControl/>
        <w:autoSpaceDE/>
        <w:autoSpaceDN/>
        <w:adjustRightInd/>
        <w:spacing w:before="30"/>
        <w:ind w:left="900" w:hanging="300"/>
        <w:jc w:val="both"/>
        <w:rPr>
          <w:sz w:val="24"/>
          <w:szCs w:val="24"/>
        </w:rPr>
      </w:pPr>
      <w:r w:rsidRPr="005A72D4">
        <w:rPr>
          <w:b/>
          <w:bCs/>
          <w:sz w:val="24"/>
          <w:szCs w:val="24"/>
        </w:rPr>
        <w:t>1.</w:t>
      </w:r>
      <w:r w:rsidRPr="005A72D4">
        <w:rPr>
          <w:sz w:val="24"/>
          <w:szCs w:val="24"/>
        </w:rPr>
        <w:t xml:space="preserve"> </w:t>
      </w:r>
      <w:r w:rsidRPr="005A72D4">
        <w:rPr>
          <w:b/>
          <w:bCs/>
          <w:sz w:val="24"/>
          <w:szCs w:val="24"/>
        </w:rPr>
        <w:t>Механизм действия и дозы.</w:t>
      </w:r>
      <w:r w:rsidRPr="005A72D4">
        <w:rPr>
          <w:sz w:val="24"/>
          <w:szCs w:val="24"/>
        </w:rPr>
        <w:t xml:space="preserve"> Бромокриптин — стимулятор дофаминовых рецепторов, действующий: </w:t>
      </w:r>
    </w:p>
    <w:p w:rsidR="005A72D4" w:rsidRPr="005A72D4" w:rsidRDefault="005A72D4" w:rsidP="005A72D4">
      <w:pPr>
        <w:widowControl/>
        <w:autoSpaceDE/>
        <w:autoSpaceDN/>
        <w:adjustRightInd/>
        <w:spacing w:before="30"/>
        <w:ind w:left="1200" w:hanging="300"/>
        <w:jc w:val="both"/>
        <w:rPr>
          <w:sz w:val="24"/>
          <w:szCs w:val="24"/>
        </w:rPr>
      </w:pPr>
      <w:bookmarkStart w:id="31" w:name="IX.А.1.а."/>
      <w:r w:rsidRPr="005A72D4">
        <w:rPr>
          <w:b/>
          <w:bCs/>
          <w:sz w:val="24"/>
          <w:szCs w:val="24"/>
        </w:rPr>
        <w:t>а.</w:t>
      </w:r>
      <w:bookmarkEnd w:id="31"/>
      <w:r w:rsidRPr="005A72D4">
        <w:rPr>
          <w:sz w:val="24"/>
          <w:szCs w:val="24"/>
        </w:rPr>
        <w:t xml:space="preserve"> На уровне гипоталамуса (замедляет разрушение дофамина). </w:t>
      </w:r>
    </w:p>
    <w:p w:rsidR="005A72D4" w:rsidRPr="005A72D4" w:rsidRDefault="005A72D4" w:rsidP="005A72D4">
      <w:pPr>
        <w:widowControl/>
        <w:autoSpaceDE/>
        <w:autoSpaceDN/>
        <w:adjustRightInd/>
        <w:spacing w:before="30"/>
        <w:ind w:left="1200" w:hanging="300"/>
        <w:jc w:val="both"/>
        <w:rPr>
          <w:sz w:val="24"/>
          <w:szCs w:val="24"/>
        </w:rPr>
      </w:pPr>
      <w:bookmarkStart w:id="32" w:name="IX.А.1.б."/>
      <w:r w:rsidRPr="005A72D4">
        <w:rPr>
          <w:b/>
          <w:bCs/>
          <w:sz w:val="24"/>
          <w:szCs w:val="24"/>
        </w:rPr>
        <w:t>б.</w:t>
      </w:r>
      <w:bookmarkEnd w:id="32"/>
      <w:r w:rsidRPr="005A72D4">
        <w:rPr>
          <w:sz w:val="24"/>
          <w:szCs w:val="24"/>
        </w:rPr>
        <w:t xml:space="preserve"> На уровне лактотропных клеток (связывается с дофаминовыми рецепторами и снижает продукцию пролактина). </w:t>
      </w:r>
    </w:p>
    <w:p w:rsidR="005A72D4" w:rsidRPr="005A72D4" w:rsidRDefault="005A72D4" w:rsidP="005A72D4">
      <w:pPr>
        <w:widowControl/>
        <w:autoSpaceDE/>
        <w:autoSpaceDN/>
        <w:adjustRightInd/>
        <w:spacing w:before="30"/>
        <w:ind w:left="900"/>
        <w:jc w:val="both"/>
        <w:rPr>
          <w:sz w:val="24"/>
          <w:szCs w:val="24"/>
        </w:rPr>
      </w:pPr>
      <w:r w:rsidRPr="005A72D4">
        <w:rPr>
          <w:sz w:val="24"/>
          <w:szCs w:val="24"/>
        </w:rPr>
        <w:t xml:space="preserve">Начальные дозы бромокриптина для нормализации уровня пролактина: 1,25 или 2,5 мг/сут внутрь, перед сном. Чтобы предупредить побочные эффекты, препарат принимают во время еды. В дальнейшем для поддержания нормального уровня пролактина обычно требуется принимать бромокриптин в дозе 2,5 мг 2 раза в сутки. </w:t>
      </w:r>
    </w:p>
    <w:p w:rsidR="005A72D4" w:rsidRPr="005A72D4" w:rsidRDefault="005A72D4" w:rsidP="005A72D4">
      <w:pPr>
        <w:widowControl/>
        <w:autoSpaceDE/>
        <w:autoSpaceDN/>
        <w:adjustRightInd/>
        <w:spacing w:before="30"/>
        <w:ind w:left="900" w:hanging="300"/>
        <w:jc w:val="both"/>
        <w:rPr>
          <w:sz w:val="24"/>
          <w:szCs w:val="24"/>
        </w:rPr>
      </w:pPr>
      <w:r w:rsidRPr="005A72D4">
        <w:rPr>
          <w:b/>
          <w:bCs/>
          <w:sz w:val="24"/>
          <w:szCs w:val="24"/>
        </w:rPr>
        <w:lastRenderedPageBreak/>
        <w:t>2.</w:t>
      </w:r>
      <w:r w:rsidRPr="005A72D4">
        <w:rPr>
          <w:sz w:val="24"/>
          <w:szCs w:val="24"/>
        </w:rPr>
        <w:t xml:space="preserve"> </w:t>
      </w:r>
      <w:r w:rsidRPr="005A72D4">
        <w:rPr>
          <w:b/>
          <w:bCs/>
          <w:sz w:val="24"/>
          <w:szCs w:val="24"/>
        </w:rPr>
        <w:t>Показания.</w:t>
      </w:r>
      <w:r w:rsidRPr="005A72D4">
        <w:rPr>
          <w:sz w:val="24"/>
          <w:szCs w:val="24"/>
        </w:rPr>
        <w:t xml:space="preserve"> Бромокриптин дает хорошие результаты при лечении пролактином любого размера. Препарат снижает уровень пролактина в сыворотке, вызывает регрессию опухоли, устраняет дефекты полей зрения и облегчает другие симптомы, обусловленные ростом пролактиномы. Уменьшение размеров пролактиномы под влиянием бромокриптина контролируют с помощью МРТ или КТ. </w:t>
      </w:r>
    </w:p>
    <w:p w:rsidR="005A72D4" w:rsidRPr="005A72D4" w:rsidRDefault="005A72D4" w:rsidP="005A72D4">
      <w:pPr>
        <w:widowControl/>
        <w:autoSpaceDE/>
        <w:autoSpaceDN/>
        <w:adjustRightInd/>
        <w:spacing w:before="30"/>
        <w:ind w:left="900" w:hanging="300"/>
        <w:jc w:val="both"/>
        <w:rPr>
          <w:sz w:val="24"/>
          <w:szCs w:val="24"/>
        </w:rPr>
      </w:pPr>
      <w:r w:rsidRPr="005A72D4">
        <w:rPr>
          <w:b/>
          <w:bCs/>
          <w:sz w:val="24"/>
          <w:szCs w:val="24"/>
        </w:rPr>
        <w:t>3.</w:t>
      </w:r>
      <w:r w:rsidRPr="005A72D4">
        <w:rPr>
          <w:sz w:val="24"/>
          <w:szCs w:val="24"/>
        </w:rPr>
        <w:t xml:space="preserve"> </w:t>
      </w:r>
      <w:r w:rsidRPr="005A72D4">
        <w:rPr>
          <w:b/>
          <w:bCs/>
          <w:sz w:val="24"/>
          <w:szCs w:val="24"/>
        </w:rPr>
        <w:t>Побочные эффекты:</w:t>
      </w:r>
      <w:r w:rsidRPr="005A72D4">
        <w:rPr>
          <w:sz w:val="24"/>
          <w:szCs w:val="24"/>
        </w:rPr>
        <w:t xml:space="preserve"> ортостатическая гипотония, отек слизистой носа, тошнота, рвота. Как правило, побочные эффекты сильнее всего выражены после приема первой дозы и ослабевают по мере лечения. Прием препарата с пищей сводит их к минимуму.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Б.</w:t>
      </w:r>
      <w:r w:rsidRPr="005A72D4">
        <w:rPr>
          <w:sz w:val="24"/>
          <w:szCs w:val="24"/>
        </w:rPr>
        <w:t xml:space="preserve"> </w:t>
      </w:r>
      <w:r w:rsidRPr="005A72D4">
        <w:rPr>
          <w:b/>
          <w:bCs/>
          <w:sz w:val="24"/>
          <w:szCs w:val="24"/>
        </w:rPr>
        <w:t xml:space="preserve">Хирургическое вмешательство. </w:t>
      </w:r>
      <w:r w:rsidRPr="005A72D4">
        <w:rPr>
          <w:sz w:val="24"/>
          <w:szCs w:val="24"/>
        </w:rPr>
        <w:t xml:space="preserve">Резекция </w:t>
      </w:r>
      <w:r w:rsidRPr="005A72D4">
        <w:rPr>
          <w:b/>
          <w:bCs/>
          <w:sz w:val="24"/>
          <w:szCs w:val="24"/>
        </w:rPr>
        <w:t>микропролактиномы</w:t>
      </w:r>
      <w:r w:rsidRPr="005A72D4">
        <w:rPr>
          <w:sz w:val="24"/>
          <w:szCs w:val="24"/>
        </w:rPr>
        <w:t xml:space="preserve"> показана женщинам, желающим иметь детей, если на томограмме опухоль имеет четкие очертания. Больным с </w:t>
      </w:r>
      <w:r w:rsidRPr="005A72D4">
        <w:rPr>
          <w:b/>
          <w:bCs/>
          <w:sz w:val="24"/>
          <w:szCs w:val="24"/>
        </w:rPr>
        <w:t>макропролактиномами</w:t>
      </w:r>
      <w:r w:rsidRPr="005A72D4">
        <w:rPr>
          <w:sz w:val="24"/>
          <w:szCs w:val="24"/>
        </w:rPr>
        <w:t xml:space="preserve"> операция показана в тех случаях, когда опухоль сдавливает зрительный перекрест, прорастает в пещеристые синусы, или при кровоизлиянии в опухоль. Для резекции четко очерченных микропролактином используют транссфеноидальный доступ. После операции уровень пролактина нормализуется, исчезает галакторея и восстанавливается овуляторный менструальный цикл. Успех операции определяется двумя факторами: размером опухоли и опытом нейрохирурга. Мелкие пролактиномы (&lt; 10 мм) легче поддаются лечению, более крупные (&gt; 10 мм) — труднее. Первоначальные сообщения о 85—90% частоте излечения оказались чересчур оптимистичными, но до сих пор приводятся весьма впечатляющие показатели ближайшего результата операции (частота излечения — 70%). Некоторых больных ошибочно считают излеченными, наблюдая улучшение на ранних сроках после хирургического вмешательства. Однако доказано, что пролактинома рецидивирует более чем у 50% больных в первые 6 лет после операции. Послеоперационный уровень пролактина в сыворотке &lt; 7 нг/мл — хороший прогностический признак; если же сразу после операции уровень пролактина </w:t>
      </w:r>
      <w:r w:rsidRPr="005A72D4">
        <w:rPr>
          <w:sz w:val="24"/>
          <w:szCs w:val="24"/>
        </w:rPr>
        <w:t xml:space="preserve"> 8 нг/мл, то пролактинома скорее всего рецидивирует.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В.</w:t>
      </w:r>
      <w:r w:rsidRPr="005A72D4">
        <w:rPr>
          <w:sz w:val="24"/>
          <w:szCs w:val="24"/>
        </w:rPr>
        <w:t xml:space="preserve"> </w:t>
      </w:r>
      <w:r w:rsidRPr="005A72D4">
        <w:rPr>
          <w:b/>
          <w:bCs/>
          <w:sz w:val="24"/>
          <w:szCs w:val="24"/>
        </w:rPr>
        <w:t xml:space="preserve">Выбор лечения </w:t>
      </w:r>
      <w:r w:rsidRPr="005A72D4">
        <w:rPr>
          <w:sz w:val="24"/>
          <w:szCs w:val="24"/>
        </w:rPr>
        <w:t xml:space="preserve">должен быть индивидуальным. Поскольку и лечение бромокриптином, и хирургическое вмешательство устраняют гиперпролактинемию, можно использовать любой подход. Бромокриптин начинает действовать быстро (в пределах 4 ч) и, хотя этот препарат достаточно дорог, является средством выбора на начальных этапах лечения. Операция, если она выполнена успешно, обладает одним преимуществом — это одномоментная процедура. Однако всегда существует риск нарушения функций адено- и нейрогипофиза, вследствие чего у больных, ранее страдавших только гиперпролактинемией, развиваются преходящий или стойкий гипопитуитаризм и несахарный диабет. При селективной транссфеноидальной аденомэктомии повышен риск послеоперационного менингита. </w:t>
      </w:r>
    </w:p>
    <w:p w:rsidR="005A72D4" w:rsidRPr="005A72D4" w:rsidRDefault="005A72D4" w:rsidP="005A72D4">
      <w:pPr>
        <w:widowControl/>
        <w:autoSpaceDE/>
        <w:autoSpaceDN/>
        <w:adjustRightInd/>
        <w:spacing w:before="30"/>
        <w:ind w:left="600"/>
        <w:jc w:val="both"/>
        <w:rPr>
          <w:sz w:val="24"/>
          <w:szCs w:val="24"/>
        </w:rPr>
      </w:pPr>
      <w:r w:rsidRPr="005A72D4">
        <w:rPr>
          <w:sz w:val="24"/>
          <w:szCs w:val="24"/>
        </w:rPr>
        <w:t xml:space="preserve">Медикаментозное и хирургическое лечение не являются взаимоисключающими методами. В сложных случаях (макропролактинома) могут потребоваться как лечение бромокриптином, так и операция. </w:t>
      </w:r>
    </w:p>
    <w:p w:rsidR="005A72D4" w:rsidRPr="005A72D4" w:rsidRDefault="005A72D4" w:rsidP="005A72D4">
      <w:pPr>
        <w:widowControl/>
        <w:autoSpaceDE/>
        <w:autoSpaceDN/>
        <w:adjustRightInd/>
        <w:spacing w:before="30"/>
        <w:ind w:left="600"/>
        <w:jc w:val="both"/>
        <w:rPr>
          <w:sz w:val="24"/>
          <w:szCs w:val="24"/>
        </w:rPr>
      </w:pPr>
      <w:r w:rsidRPr="005A72D4">
        <w:rPr>
          <w:sz w:val="24"/>
          <w:szCs w:val="24"/>
        </w:rPr>
        <w:t xml:space="preserve">В настоящее время проводятся клинические испытания длительно действующего стимулятора дофаминовых рецепторов CV-205-502. Сообщалось, что этот препарат подавляет секрецию пролактина и вызывает регрессию макропролактином. Препарат эффективен при приеме 1 раз в сутки; побочные эффекты незначительны. Кроме того, в отличие от других стимуляторов дофаминовых рецепторов, CV-205-502 не является алкалоидом спорыньи. Возможно, в будущем CV-205-502 получит широкое распространение. </w:t>
      </w:r>
    </w:p>
    <w:p w:rsidR="005A72D4" w:rsidRPr="005A72D4" w:rsidRDefault="005A72D4" w:rsidP="005A72D4">
      <w:pPr>
        <w:widowControl/>
        <w:autoSpaceDE/>
        <w:autoSpaceDN/>
        <w:adjustRightInd/>
        <w:spacing w:before="100" w:beforeAutospacing="1" w:after="100" w:afterAutospacing="1"/>
        <w:jc w:val="both"/>
        <w:rPr>
          <w:sz w:val="24"/>
          <w:szCs w:val="24"/>
        </w:rPr>
      </w:pPr>
      <w:r w:rsidRPr="005A72D4">
        <w:rPr>
          <w:b/>
          <w:bCs/>
          <w:sz w:val="24"/>
          <w:szCs w:val="24"/>
        </w:rPr>
        <w:lastRenderedPageBreak/>
        <w:t xml:space="preserve">Гипопролактинемия </w:t>
      </w:r>
    </w:p>
    <w:p w:rsidR="005A72D4" w:rsidRPr="005A72D4" w:rsidRDefault="005A72D4" w:rsidP="005A72D4">
      <w:pPr>
        <w:widowControl/>
        <w:autoSpaceDE/>
        <w:autoSpaceDN/>
        <w:adjustRightInd/>
        <w:spacing w:before="100" w:beforeAutospacing="1" w:after="100" w:afterAutospacing="1"/>
        <w:jc w:val="both"/>
        <w:rPr>
          <w:sz w:val="24"/>
          <w:szCs w:val="24"/>
        </w:rPr>
      </w:pPr>
      <w:r w:rsidRPr="005A72D4">
        <w:rPr>
          <w:sz w:val="24"/>
          <w:szCs w:val="24"/>
        </w:rPr>
        <w:t xml:space="preserve">Торможение секреции пролактина дофамином очень редко бывает причиной падения концентрации пролактина ниже уровня чувствительности РИА или ИФА. Отсутствие или резкое снижение секреции пролактина характерно для синдрома Шихана (послеродового инфаркта гипофиза) и для изолированного дефицита гонадотропных гормонов. У здоровых мужчин-добровольцев падение уровня пролактина в сыворотке после введения бромокриптина привело к угнетению сперматогенеза и к снижению базальной и стимулируемой ЛГ и ФСГ секреции тестостерона. По-видимому, для поддержания нормальной функции яичек в крови должна сохраняться некоторая минимальная концентрация пролактина. </w:t>
      </w:r>
    </w:p>
    <w:p w:rsidR="005A72D4" w:rsidRPr="005A72D4" w:rsidRDefault="005A72D4" w:rsidP="005A72D4">
      <w:pPr>
        <w:widowControl/>
        <w:autoSpaceDE/>
        <w:autoSpaceDN/>
        <w:adjustRightInd/>
        <w:spacing w:before="30"/>
        <w:ind w:left="300" w:hanging="300"/>
        <w:jc w:val="both"/>
        <w:rPr>
          <w:sz w:val="24"/>
          <w:szCs w:val="24"/>
        </w:rPr>
      </w:pPr>
      <w:r w:rsidRPr="005A72D4">
        <w:rPr>
          <w:b/>
          <w:bCs/>
          <w:sz w:val="24"/>
          <w:szCs w:val="24"/>
        </w:rPr>
        <w:t>X.</w:t>
      </w:r>
      <w:r w:rsidRPr="005A72D4">
        <w:rPr>
          <w:sz w:val="24"/>
          <w:szCs w:val="24"/>
        </w:rPr>
        <w:t xml:space="preserve"> </w:t>
      </w:r>
      <w:r w:rsidRPr="005A72D4">
        <w:rPr>
          <w:b/>
          <w:bCs/>
          <w:sz w:val="24"/>
          <w:szCs w:val="24"/>
        </w:rPr>
        <w:t>Синдром Шихана</w:t>
      </w:r>
      <w:r w:rsidRPr="005A72D4">
        <w:rPr>
          <w:sz w:val="24"/>
          <w:szCs w:val="24"/>
        </w:rPr>
        <w:t xml:space="preserve"> (послеродовой инфаркт гипофиза) возникает, когда роды осложняются массивным кровотечением с артериальной гипотонией. Во время беременности размеры гипофиза увеличиваются, но кровоснабжение его не усиливается. Если послеродовое кровотечение вызывает артериальную гипотонию, гипофизарный кровоток резко падает и развиваются гипоксия и некроз гипофиза. В результате может быть поражен весь аденогипофиз (гипопитуитаризм), но чаще всего повреждаются именно лактотропные клетки. Из-за отсутствия пролактина становится невозможным грудное вскармливание. </w:t>
      </w:r>
    </w:p>
    <w:p w:rsidR="005A72D4" w:rsidRDefault="005A72D4" w:rsidP="005A72D4">
      <w:pPr>
        <w:widowControl/>
        <w:autoSpaceDE/>
        <w:autoSpaceDN/>
        <w:adjustRightInd/>
        <w:spacing w:before="30"/>
        <w:ind w:left="300" w:hanging="300"/>
        <w:jc w:val="both"/>
        <w:rPr>
          <w:sz w:val="24"/>
          <w:szCs w:val="24"/>
        </w:rPr>
      </w:pPr>
      <w:r w:rsidRPr="005A72D4">
        <w:rPr>
          <w:b/>
          <w:bCs/>
          <w:sz w:val="24"/>
          <w:szCs w:val="24"/>
        </w:rPr>
        <w:t>XI.</w:t>
      </w:r>
      <w:r w:rsidRPr="005A72D4">
        <w:rPr>
          <w:sz w:val="24"/>
          <w:szCs w:val="24"/>
        </w:rPr>
        <w:t xml:space="preserve"> У подростков с </w:t>
      </w:r>
      <w:r w:rsidRPr="005A72D4">
        <w:rPr>
          <w:b/>
          <w:bCs/>
          <w:sz w:val="24"/>
          <w:szCs w:val="24"/>
        </w:rPr>
        <w:t>конституциональной задержкой полового развития</w:t>
      </w:r>
      <w:r w:rsidRPr="005A72D4">
        <w:rPr>
          <w:sz w:val="24"/>
          <w:szCs w:val="24"/>
        </w:rPr>
        <w:t xml:space="preserve"> и </w:t>
      </w:r>
      <w:r w:rsidRPr="005A72D4">
        <w:rPr>
          <w:b/>
          <w:bCs/>
          <w:sz w:val="24"/>
          <w:szCs w:val="24"/>
        </w:rPr>
        <w:t xml:space="preserve">изолированным дефицитом гонадотропных гормонов </w:t>
      </w:r>
      <w:r w:rsidRPr="005A72D4">
        <w:rPr>
          <w:sz w:val="24"/>
          <w:szCs w:val="24"/>
        </w:rPr>
        <w:t>гормональные нарушения весьма сходны, но в первом случае половое развитие постепенно нормализуется без лечения, а во втором случае требуется заместительная гормональная терапия. Чтобы различить эти состояния, проводят стимуляционные пробы с тиролиберином или хлорпромазином. Для изолированного дефицита гонадотропных гормонов</w:t>
      </w:r>
      <w:r w:rsidRPr="005A72D4">
        <w:rPr>
          <w:b/>
          <w:bCs/>
          <w:sz w:val="24"/>
          <w:szCs w:val="24"/>
        </w:rPr>
        <w:t xml:space="preserve"> </w:t>
      </w:r>
      <w:r w:rsidRPr="005A72D4">
        <w:rPr>
          <w:sz w:val="24"/>
          <w:szCs w:val="24"/>
        </w:rPr>
        <w:t>характерны низкий базальный уровень пролактина в сыворотке и отсутствие реакции на тиролиберин и хлорпромазин. При конституциональной задержке полового развития секреторная реакция лактотропных клеток на тиролиберин и хлорпромазин не нарушена. При конституциональной задержке полового развития медикаментозное лечение не требуется: необходимо объяснить подростку и его родственникам, что это преходящее состояние и вариант нормы, и заверить их в том, что половое созревание обязательно завершится нормально. При изолированном дефиците гонадотропных гормонов</w:t>
      </w:r>
      <w:r w:rsidRPr="005A72D4">
        <w:rPr>
          <w:b/>
          <w:bCs/>
          <w:sz w:val="24"/>
          <w:szCs w:val="24"/>
        </w:rPr>
        <w:t xml:space="preserve"> </w:t>
      </w:r>
      <w:r w:rsidRPr="005A72D4">
        <w:rPr>
          <w:sz w:val="24"/>
          <w:szCs w:val="24"/>
        </w:rPr>
        <w:t xml:space="preserve">лечение необходимо. Его начинают как можно раньше, чтобы избавить подростка от переживаний, связанных с несоответствием полового развития паспортному возрасту. </w:t>
      </w:r>
    </w:p>
    <w:p w:rsidR="005A72D4" w:rsidRDefault="005A72D4" w:rsidP="005A72D4">
      <w:pPr>
        <w:widowControl/>
        <w:autoSpaceDE/>
        <w:autoSpaceDN/>
        <w:adjustRightInd/>
        <w:spacing w:before="30"/>
        <w:ind w:left="300" w:hanging="300"/>
        <w:jc w:val="both"/>
        <w:rPr>
          <w:sz w:val="24"/>
          <w:szCs w:val="24"/>
        </w:rPr>
      </w:pPr>
    </w:p>
    <w:p w:rsidR="005A72D4" w:rsidRDefault="005A72D4" w:rsidP="005A72D4">
      <w:pPr>
        <w:widowControl/>
        <w:autoSpaceDE/>
        <w:autoSpaceDN/>
        <w:adjustRightInd/>
        <w:spacing w:before="30"/>
        <w:ind w:left="300" w:hanging="300"/>
        <w:jc w:val="both"/>
        <w:rPr>
          <w:sz w:val="24"/>
          <w:szCs w:val="24"/>
        </w:rPr>
      </w:pPr>
    </w:p>
    <w:p w:rsidR="005A72D4" w:rsidRDefault="005A72D4" w:rsidP="005A72D4">
      <w:pPr>
        <w:widowControl/>
        <w:autoSpaceDE/>
        <w:autoSpaceDN/>
        <w:adjustRightInd/>
        <w:spacing w:before="100" w:beforeAutospacing="1" w:after="100" w:afterAutospacing="1"/>
        <w:outlineLvl w:val="1"/>
        <w:rPr>
          <w:bCs/>
          <w:sz w:val="36"/>
          <w:szCs w:val="36"/>
        </w:rPr>
      </w:pPr>
      <w:r w:rsidRPr="002273DF">
        <w:rPr>
          <w:bCs/>
          <w:sz w:val="36"/>
          <w:szCs w:val="36"/>
        </w:rPr>
        <w:t xml:space="preserve">План </w:t>
      </w:r>
      <w:r>
        <w:rPr>
          <w:bCs/>
          <w:sz w:val="36"/>
          <w:szCs w:val="36"/>
          <w:lang w:val="uz-Latn-UZ"/>
        </w:rPr>
        <w:t>5</w:t>
      </w:r>
      <w:r w:rsidRPr="002273DF">
        <w:rPr>
          <w:bCs/>
          <w:sz w:val="36"/>
          <w:szCs w:val="36"/>
        </w:rPr>
        <w:t xml:space="preserve">. </w:t>
      </w:r>
      <w:r w:rsidRPr="005A72D4">
        <w:rPr>
          <w:bCs/>
          <w:sz w:val="36"/>
          <w:szCs w:val="36"/>
        </w:rPr>
        <w:t>Нервная анорексия</w:t>
      </w:r>
    </w:p>
    <w:p w:rsidR="005A72D4" w:rsidRPr="005A72D4" w:rsidRDefault="005A72D4" w:rsidP="005A72D4">
      <w:pPr>
        <w:widowControl/>
        <w:autoSpaceDE/>
        <w:autoSpaceDN/>
        <w:adjustRightInd/>
        <w:spacing w:before="100" w:beforeAutospacing="1" w:after="100" w:afterAutospacing="1"/>
        <w:jc w:val="both"/>
        <w:rPr>
          <w:sz w:val="24"/>
          <w:szCs w:val="24"/>
        </w:rPr>
      </w:pPr>
      <w:r w:rsidRPr="005A72D4">
        <w:rPr>
          <w:sz w:val="24"/>
          <w:szCs w:val="24"/>
        </w:rPr>
        <w:t xml:space="preserve">Нервная анорексия была впервые описана Мортоном в 1689 г. Это тяжелая болезнь; летальность достигает 15%. Нервную анорексию считают преимущественно психическим заболеванием с многочисленными соматическими проявлениями. </w:t>
      </w:r>
    </w:p>
    <w:p w:rsidR="005A72D4" w:rsidRPr="005A72D4" w:rsidRDefault="005A72D4" w:rsidP="005A72D4">
      <w:pPr>
        <w:widowControl/>
        <w:autoSpaceDE/>
        <w:autoSpaceDN/>
        <w:adjustRightInd/>
        <w:spacing w:before="30"/>
        <w:ind w:left="300" w:hanging="300"/>
        <w:jc w:val="both"/>
        <w:rPr>
          <w:sz w:val="24"/>
          <w:szCs w:val="24"/>
        </w:rPr>
      </w:pPr>
      <w:r w:rsidRPr="005A72D4">
        <w:rPr>
          <w:b/>
          <w:bCs/>
          <w:sz w:val="24"/>
          <w:szCs w:val="24"/>
        </w:rPr>
        <w:t>I. Клиническая картина</w:t>
      </w:r>
      <w:r w:rsidRPr="005A72D4">
        <w:rPr>
          <w:sz w:val="24"/>
          <w:szCs w:val="24"/>
        </w:rPr>
        <w:t xml:space="preserve">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 xml:space="preserve">А. </w:t>
      </w:r>
      <w:r w:rsidRPr="005A72D4">
        <w:rPr>
          <w:sz w:val="24"/>
          <w:szCs w:val="24"/>
        </w:rPr>
        <w:t xml:space="preserve">Страх перед ожирением; активное нежелание поддерживать нормальный вес.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lastRenderedPageBreak/>
        <w:t xml:space="preserve">Б. </w:t>
      </w:r>
      <w:r w:rsidRPr="005A72D4">
        <w:rPr>
          <w:sz w:val="24"/>
          <w:szCs w:val="24"/>
        </w:rPr>
        <w:t xml:space="preserve">Нарушенное представление о своем облике: больные даже при крайнем истощении считают себя толстыми.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 xml:space="preserve">В. </w:t>
      </w:r>
      <w:r w:rsidRPr="005A72D4">
        <w:rPr>
          <w:sz w:val="24"/>
          <w:szCs w:val="24"/>
        </w:rPr>
        <w:t xml:space="preserve">Значительная потеря веса (не менее 15% исходного) или отсутствие прибавки в весе в период роста организма (вес меньше 85% возрастной нормы по диаграммам физического развития). Жалобы на потерю аппетита обычно отсутствуют.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 xml:space="preserve">Г. </w:t>
      </w:r>
      <w:r w:rsidRPr="005A72D4">
        <w:rPr>
          <w:sz w:val="24"/>
          <w:szCs w:val="24"/>
        </w:rPr>
        <w:t xml:space="preserve">У женщин — аменорея (по-видимому, обусловленная снижением секреции ЛГ и ФСГ, вызванным дисфункцией гипоталамуса).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 xml:space="preserve">Д. </w:t>
      </w:r>
      <w:r w:rsidRPr="005A72D4">
        <w:rPr>
          <w:sz w:val="24"/>
          <w:szCs w:val="24"/>
        </w:rPr>
        <w:t xml:space="preserve">Больные предпочитают низкокалорийную, нежирную пищу, главным образом салаты и диетические продукты. </w:t>
      </w:r>
    </w:p>
    <w:p w:rsidR="005A72D4" w:rsidRPr="005A72D4" w:rsidRDefault="005A72D4" w:rsidP="005A72D4">
      <w:pPr>
        <w:widowControl/>
        <w:autoSpaceDE/>
        <w:autoSpaceDN/>
        <w:adjustRightInd/>
        <w:spacing w:before="30"/>
        <w:ind w:left="600" w:hanging="300"/>
        <w:jc w:val="both"/>
        <w:rPr>
          <w:sz w:val="24"/>
          <w:szCs w:val="24"/>
        </w:rPr>
      </w:pPr>
      <w:bookmarkStart w:id="33" w:name="I.Е."/>
      <w:r w:rsidRPr="005A72D4">
        <w:rPr>
          <w:b/>
          <w:bCs/>
          <w:sz w:val="24"/>
          <w:szCs w:val="24"/>
        </w:rPr>
        <w:t>Е.</w:t>
      </w:r>
      <w:bookmarkEnd w:id="33"/>
      <w:r w:rsidRPr="005A72D4">
        <w:rPr>
          <w:b/>
          <w:bCs/>
          <w:sz w:val="24"/>
          <w:szCs w:val="24"/>
        </w:rPr>
        <w:t xml:space="preserve"> </w:t>
      </w:r>
      <w:r w:rsidRPr="005A72D4">
        <w:rPr>
          <w:sz w:val="24"/>
          <w:szCs w:val="24"/>
        </w:rPr>
        <w:t xml:space="preserve">Извращенное отношение к еде, например припрятывание пищи или обжорство с последующим приемом слабительных или искусственно вызываемой рвотой. </w:t>
      </w:r>
    </w:p>
    <w:p w:rsidR="005A72D4" w:rsidRPr="005A72D4" w:rsidRDefault="005A72D4" w:rsidP="005A72D4">
      <w:pPr>
        <w:widowControl/>
        <w:autoSpaceDE/>
        <w:autoSpaceDN/>
        <w:adjustRightInd/>
        <w:spacing w:before="30"/>
        <w:ind w:left="600" w:hanging="300"/>
        <w:jc w:val="both"/>
        <w:rPr>
          <w:sz w:val="24"/>
          <w:szCs w:val="24"/>
        </w:rPr>
      </w:pPr>
      <w:bookmarkStart w:id="34" w:name="I.Ж."/>
      <w:r w:rsidRPr="005A72D4">
        <w:rPr>
          <w:b/>
          <w:bCs/>
          <w:sz w:val="24"/>
          <w:szCs w:val="24"/>
        </w:rPr>
        <w:t>Ж.</w:t>
      </w:r>
      <w:bookmarkEnd w:id="34"/>
      <w:r w:rsidRPr="005A72D4">
        <w:rPr>
          <w:b/>
          <w:bCs/>
          <w:sz w:val="24"/>
          <w:szCs w:val="24"/>
        </w:rPr>
        <w:t xml:space="preserve"> </w:t>
      </w:r>
      <w:r w:rsidRPr="005A72D4">
        <w:rPr>
          <w:sz w:val="24"/>
          <w:szCs w:val="24"/>
        </w:rPr>
        <w:t xml:space="preserve">Постоянные физические нагрузки с целью похудеть и «приобрести форму»; даже на фоне сильной потери веса. </w:t>
      </w:r>
    </w:p>
    <w:p w:rsidR="005A72D4" w:rsidRPr="005A72D4" w:rsidRDefault="005A72D4" w:rsidP="005A72D4">
      <w:pPr>
        <w:widowControl/>
        <w:autoSpaceDE/>
        <w:autoSpaceDN/>
        <w:adjustRightInd/>
        <w:spacing w:before="30"/>
        <w:ind w:left="600" w:hanging="300"/>
        <w:jc w:val="both"/>
        <w:rPr>
          <w:sz w:val="24"/>
          <w:szCs w:val="24"/>
        </w:rPr>
      </w:pPr>
      <w:bookmarkStart w:id="35" w:name="I.З."/>
      <w:r w:rsidRPr="005A72D4">
        <w:rPr>
          <w:b/>
          <w:bCs/>
          <w:sz w:val="24"/>
          <w:szCs w:val="24"/>
        </w:rPr>
        <w:t>З.</w:t>
      </w:r>
      <w:bookmarkEnd w:id="35"/>
      <w:r w:rsidRPr="005A72D4">
        <w:rPr>
          <w:b/>
          <w:bCs/>
          <w:sz w:val="24"/>
          <w:szCs w:val="24"/>
        </w:rPr>
        <w:t xml:space="preserve"> </w:t>
      </w:r>
      <w:r w:rsidRPr="005A72D4">
        <w:rPr>
          <w:sz w:val="24"/>
          <w:szCs w:val="24"/>
        </w:rPr>
        <w:t xml:space="preserve">Отрицательное отношение к любым советам и рекомендациям, касающимся питания и веса. Если больных принуждают обратиться к врачу, они пускаются на всяческие ухищрения, чтобы скрыть потерю веса: наедаются перед посещением врача или прячут на себе тяжелые предметы. </w:t>
      </w:r>
    </w:p>
    <w:p w:rsidR="005A72D4" w:rsidRPr="005A72D4" w:rsidRDefault="005A72D4" w:rsidP="005A72D4">
      <w:pPr>
        <w:widowControl/>
        <w:autoSpaceDE/>
        <w:autoSpaceDN/>
        <w:adjustRightInd/>
        <w:spacing w:before="30"/>
        <w:ind w:left="300" w:hanging="300"/>
        <w:jc w:val="both"/>
        <w:rPr>
          <w:sz w:val="24"/>
          <w:szCs w:val="24"/>
        </w:rPr>
      </w:pPr>
      <w:r w:rsidRPr="005A72D4">
        <w:rPr>
          <w:b/>
          <w:bCs/>
          <w:sz w:val="24"/>
          <w:szCs w:val="24"/>
        </w:rPr>
        <w:t>II. Эпидемиология</w:t>
      </w:r>
      <w:r w:rsidRPr="005A72D4">
        <w:rPr>
          <w:sz w:val="24"/>
          <w:szCs w:val="24"/>
        </w:rPr>
        <w:t xml:space="preserve">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 xml:space="preserve">А. </w:t>
      </w:r>
      <w:r w:rsidRPr="005A72D4">
        <w:rPr>
          <w:sz w:val="24"/>
          <w:szCs w:val="24"/>
        </w:rPr>
        <w:t xml:space="preserve">Нервная анорексия чаще всего (в 95% случаев) встречается у девочек и женщин.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 xml:space="preserve">Б. </w:t>
      </w:r>
      <w:r w:rsidRPr="005A72D4">
        <w:rPr>
          <w:sz w:val="24"/>
          <w:szCs w:val="24"/>
        </w:rPr>
        <w:t xml:space="preserve">Возраст больных — от 12 до 30 лет, причем в этой возрастной группе заболеваемость среди женщин достигает 1:200. Нервной анорексией чаще страдают девушки и неработающие женщины из материально обеспеченных слоев общества. Заболеваемость нервной анорексией постепенно растет. </w:t>
      </w:r>
    </w:p>
    <w:p w:rsidR="005A72D4" w:rsidRPr="005A72D4" w:rsidRDefault="005A72D4" w:rsidP="005A72D4">
      <w:pPr>
        <w:widowControl/>
        <w:autoSpaceDE/>
        <w:autoSpaceDN/>
        <w:adjustRightInd/>
        <w:spacing w:before="30"/>
        <w:ind w:left="300" w:hanging="300"/>
        <w:jc w:val="both"/>
        <w:rPr>
          <w:sz w:val="24"/>
          <w:szCs w:val="24"/>
        </w:rPr>
      </w:pPr>
      <w:r w:rsidRPr="005A72D4">
        <w:rPr>
          <w:b/>
          <w:bCs/>
          <w:sz w:val="24"/>
          <w:szCs w:val="24"/>
        </w:rPr>
        <w:t xml:space="preserve">III. Эндокринные нарушения. </w:t>
      </w:r>
      <w:r w:rsidRPr="005A72D4">
        <w:rPr>
          <w:sz w:val="24"/>
          <w:szCs w:val="24"/>
        </w:rPr>
        <w:t xml:space="preserve">Проведено множество исследований эндокринного статуса больных нервной анорексией; особое внимание уделяется функции гипофиза и гипоталамуса. Тяжесть эндокринных нарушений зависит от степени недоедания. После нормализации питания и прибавки в весе эти нарушения, как правило, исчезают.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А. Щитовидная железа.</w:t>
      </w:r>
      <w:r w:rsidRPr="005A72D4">
        <w:rPr>
          <w:sz w:val="24"/>
          <w:szCs w:val="24"/>
        </w:rPr>
        <w:t xml:space="preserve"> Основной обмен снижен, уровень общего T</w:t>
      </w:r>
      <w:r w:rsidRPr="005A72D4">
        <w:rPr>
          <w:sz w:val="24"/>
          <w:szCs w:val="24"/>
          <w:vertAlign w:val="subscript"/>
        </w:rPr>
        <w:t>3</w:t>
      </w:r>
      <w:r w:rsidRPr="005A72D4">
        <w:rPr>
          <w:sz w:val="24"/>
          <w:szCs w:val="24"/>
        </w:rPr>
        <w:t xml:space="preserve"> в сыворотке снижен или нормальный, уровень реверсивного T</w:t>
      </w:r>
      <w:r w:rsidRPr="005A72D4">
        <w:rPr>
          <w:sz w:val="24"/>
          <w:szCs w:val="24"/>
          <w:vertAlign w:val="subscript"/>
        </w:rPr>
        <w:t>3</w:t>
      </w:r>
      <w:r w:rsidRPr="005A72D4">
        <w:rPr>
          <w:sz w:val="24"/>
          <w:szCs w:val="24"/>
        </w:rPr>
        <w:t xml:space="preserve"> слегка повышен, уровни общего T</w:t>
      </w:r>
      <w:r w:rsidRPr="005A72D4">
        <w:rPr>
          <w:sz w:val="24"/>
          <w:szCs w:val="24"/>
          <w:vertAlign w:val="subscript"/>
        </w:rPr>
        <w:t>4</w:t>
      </w:r>
      <w:r w:rsidRPr="005A72D4">
        <w:rPr>
          <w:sz w:val="24"/>
          <w:szCs w:val="24"/>
        </w:rPr>
        <w:t xml:space="preserve"> и ТТГ нормальные, в пробе с тиролиберином секреторная реакция запаздывает или нормальная.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Б. Кора надпочечников.</w:t>
      </w:r>
      <w:r w:rsidRPr="005A72D4">
        <w:rPr>
          <w:sz w:val="24"/>
          <w:szCs w:val="24"/>
        </w:rPr>
        <w:t xml:space="preserve"> Уровень кортизола в сыворотке, как правило, нормальный; в пробе с метирапоном секреторная реакция нормальная или усилена; в пробах с дексаметазоном секреторная реакция ослаблена.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В. СТГ.</w:t>
      </w:r>
      <w:r w:rsidRPr="005A72D4">
        <w:rPr>
          <w:sz w:val="24"/>
          <w:szCs w:val="24"/>
        </w:rPr>
        <w:t xml:space="preserve"> Уровень СТГ колеблется в широких пределах. У некоторых больных базальный уровень СТГ повышен, но признаков акромегалии нет.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Г. ЛГ и ФСГ.</w:t>
      </w:r>
      <w:r w:rsidRPr="005A72D4">
        <w:rPr>
          <w:sz w:val="24"/>
          <w:szCs w:val="24"/>
        </w:rPr>
        <w:t xml:space="preserve"> Уровни ЛГ и ФСГ снижены; в пробе с гонадолиберином секреторная реакция гонадотропных клеток ослаблена или отсутствует. </w:t>
      </w:r>
    </w:p>
    <w:p w:rsidR="005A72D4" w:rsidRPr="005A72D4" w:rsidRDefault="005A72D4" w:rsidP="005A72D4">
      <w:pPr>
        <w:widowControl/>
        <w:autoSpaceDE/>
        <w:autoSpaceDN/>
        <w:adjustRightInd/>
        <w:spacing w:before="30"/>
        <w:ind w:left="300" w:hanging="300"/>
        <w:jc w:val="both"/>
        <w:rPr>
          <w:sz w:val="24"/>
          <w:szCs w:val="24"/>
        </w:rPr>
      </w:pPr>
      <w:r w:rsidRPr="005A72D4">
        <w:rPr>
          <w:b/>
          <w:bCs/>
          <w:sz w:val="24"/>
          <w:szCs w:val="24"/>
        </w:rPr>
        <w:t xml:space="preserve">IV. Дифференциальная диагностика. </w:t>
      </w:r>
      <w:r w:rsidRPr="005A72D4">
        <w:rPr>
          <w:sz w:val="24"/>
          <w:szCs w:val="24"/>
        </w:rPr>
        <w:t xml:space="preserve">Диагноз нервной анорексии устанавливают методом исключения. Потеря веса может наблюдаться при многих болезнях, но </w:t>
      </w:r>
      <w:r w:rsidRPr="005A72D4">
        <w:rPr>
          <w:b/>
          <w:bCs/>
          <w:sz w:val="24"/>
          <w:szCs w:val="24"/>
        </w:rPr>
        <w:t>характерные психологические особенности позволяют отличить больных нервной анорексией от лиц с другими психическими и</w:t>
      </w:r>
      <w:r w:rsidRPr="005A72D4">
        <w:rPr>
          <w:sz w:val="24"/>
          <w:szCs w:val="24"/>
        </w:rPr>
        <w:t xml:space="preserve"> </w:t>
      </w:r>
      <w:r w:rsidRPr="005A72D4">
        <w:rPr>
          <w:b/>
          <w:bCs/>
          <w:sz w:val="24"/>
          <w:szCs w:val="24"/>
        </w:rPr>
        <w:t>соматическими заболеваниями</w:t>
      </w:r>
      <w:r w:rsidRPr="005A72D4">
        <w:rPr>
          <w:sz w:val="24"/>
          <w:szCs w:val="24"/>
        </w:rPr>
        <w:t xml:space="preserve">. В тех случаях, когда осмотр, физикальное исследование и оценка эндокринологического статуса дают основание заподозрить инфекцию, злокачественное новообразование, нарушения всасывания или эндокринное заболевание, необходимо более глубокое обследование.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lastRenderedPageBreak/>
        <w:t>А. Другие психические заболевания</w:t>
      </w:r>
      <w:r w:rsidRPr="005A72D4">
        <w:rPr>
          <w:sz w:val="24"/>
          <w:szCs w:val="24"/>
        </w:rPr>
        <w:t xml:space="preserve"> </w:t>
      </w:r>
    </w:p>
    <w:p w:rsidR="005A72D4" w:rsidRPr="005A72D4" w:rsidRDefault="005A72D4" w:rsidP="005A72D4">
      <w:pPr>
        <w:widowControl/>
        <w:autoSpaceDE/>
        <w:autoSpaceDN/>
        <w:adjustRightInd/>
        <w:spacing w:before="30"/>
        <w:ind w:left="900" w:hanging="300"/>
        <w:jc w:val="both"/>
        <w:rPr>
          <w:sz w:val="24"/>
          <w:szCs w:val="24"/>
        </w:rPr>
      </w:pPr>
      <w:r w:rsidRPr="005A72D4">
        <w:rPr>
          <w:b/>
          <w:bCs/>
          <w:sz w:val="24"/>
          <w:szCs w:val="24"/>
        </w:rPr>
        <w:t>1. Аффективные расстройства.</w:t>
      </w:r>
      <w:r w:rsidRPr="005A72D4">
        <w:rPr>
          <w:sz w:val="24"/>
          <w:szCs w:val="24"/>
        </w:rPr>
        <w:t xml:space="preserve"> Депрессия часто сопровождается похуданием, однако у больных с депрессией отсутствуют характерные для нервной анорексии психологические особенности. Кроме того, имеются типичные вегетативные симптомы депрессии. Наконец, депрессией обычно страдают люди старше 30 лет. </w:t>
      </w:r>
    </w:p>
    <w:p w:rsidR="005A72D4" w:rsidRPr="005A72D4" w:rsidRDefault="005A72D4" w:rsidP="005A72D4">
      <w:pPr>
        <w:widowControl/>
        <w:autoSpaceDE/>
        <w:autoSpaceDN/>
        <w:adjustRightInd/>
        <w:spacing w:before="30"/>
        <w:ind w:left="900" w:hanging="300"/>
        <w:jc w:val="both"/>
        <w:rPr>
          <w:sz w:val="24"/>
          <w:szCs w:val="24"/>
        </w:rPr>
      </w:pPr>
      <w:r w:rsidRPr="005A72D4">
        <w:rPr>
          <w:b/>
          <w:bCs/>
          <w:sz w:val="24"/>
          <w:szCs w:val="24"/>
        </w:rPr>
        <w:t>2. Психозы.</w:t>
      </w:r>
      <w:r w:rsidRPr="005A72D4">
        <w:rPr>
          <w:sz w:val="24"/>
          <w:szCs w:val="24"/>
        </w:rPr>
        <w:t xml:space="preserve"> Потеря веса у больных шизофренией и психозами связана с иллюзиями и галлюцинациями в отношении пищи (например, с боязнью отравления). У таких больных имеются основные симптомы психозов, а признаки нервной анорексии отсутствуют. </w:t>
      </w:r>
    </w:p>
    <w:p w:rsidR="005A72D4" w:rsidRPr="005A72D4" w:rsidRDefault="005A72D4" w:rsidP="005A72D4">
      <w:pPr>
        <w:widowControl/>
        <w:autoSpaceDE/>
        <w:autoSpaceDN/>
        <w:adjustRightInd/>
        <w:spacing w:before="30"/>
        <w:ind w:left="900" w:hanging="300"/>
        <w:jc w:val="both"/>
        <w:rPr>
          <w:sz w:val="24"/>
          <w:szCs w:val="24"/>
        </w:rPr>
      </w:pPr>
      <w:bookmarkStart w:id="36" w:name="IV.А.3."/>
      <w:r w:rsidRPr="005A72D4">
        <w:rPr>
          <w:b/>
          <w:bCs/>
          <w:sz w:val="24"/>
          <w:szCs w:val="24"/>
        </w:rPr>
        <w:t>3.</w:t>
      </w:r>
      <w:bookmarkEnd w:id="36"/>
      <w:r w:rsidRPr="005A72D4">
        <w:rPr>
          <w:b/>
          <w:bCs/>
          <w:sz w:val="24"/>
          <w:szCs w:val="24"/>
        </w:rPr>
        <w:t xml:space="preserve"> Смешанные состояния.</w:t>
      </w:r>
      <w:r w:rsidRPr="005A72D4">
        <w:rPr>
          <w:sz w:val="24"/>
          <w:szCs w:val="24"/>
        </w:rPr>
        <w:t xml:space="preserve"> Нервная анорексия может присутствовать одновременно с психозами и аффективными состояниями. В таких случаях на наличие двух заболеваний указывает сочетание симптомов. Лечение должно быть направлено на оба заболевания.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Б. Соматические заболевания</w:t>
      </w:r>
      <w:r w:rsidRPr="005A72D4">
        <w:rPr>
          <w:sz w:val="24"/>
          <w:szCs w:val="24"/>
        </w:rPr>
        <w:t xml:space="preserve"> </w:t>
      </w:r>
    </w:p>
    <w:p w:rsidR="005A72D4" w:rsidRPr="005A72D4" w:rsidRDefault="005A72D4" w:rsidP="005A72D4">
      <w:pPr>
        <w:widowControl/>
        <w:autoSpaceDE/>
        <w:autoSpaceDN/>
        <w:adjustRightInd/>
        <w:spacing w:before="30"/>
        <w:ind w:left="900" w:hanging="300"/>
        <w:jc w:val="both"/>
        <w:rPr>
          <w:sz w:val="24"/>
          <w:szCs w:val="24"/>
        </w:rPr>
      </w:pPr>
      <w:r w:rsidRPr="005A72D4">
        <w:rPr>
          <w:b/>
          <w:bCs/>
          <w:sz w:val="24"/>
          <w:szCs w:val="24"/>
        </w:rPr>
        <w:t>1. Синдром нарушенного всасывания.</w:t>
      </w:r>
      <w:r w:rsidRPr="005A72D4">
        <w:rPr>
          <w:sz w:val="24"/>
          <w:szCs w:val="24"/>
        </w:rPr>
        <w:t xml:space="preserve"> У больных в состоянии кахексии могут выявляться такие же эндокринные нарушения, как при нервной анорексии, но характерные для нее особенности психики отсутствуют. Проводят анализ кала на жир, анализ крови; оценивают функцию печени и щитовидной железы; может потребоваться рентгенологическое исследование органов брюшной полости. </w:t>
      </w:r>
    </w:p>
    <w:p w:rsidR="005A72D4" w:rsidRPr="005A72D4" w:rsidRDefault="005A72D4" w:rsidP="005A72D4">
      <w:pPr>
        <w:widowControl/>
        <w:autoSpaceDE/>
        <w:autoSpaceDN/>
        <w:adjustRightInd/>
        <w:spacing w:before="30"/>
        <w:ind w:left="900" w:hanging="300"/>
        <w:jc w:val="both"/>
        <w:rPr>
          <w:sz w:val="24"/>
          <w:szCs w:val="24"/>
        </w:rPr>
      </w:pPr>
      <w:r w:rsidRPr="005A72D4">
        <w:rPr>
          <w:b/>
          <w:bCs/>
          <w:sz w:val="24"/>
          <w:szCs w:val="24"/>
        </w:rPr>
        <w:t>2. Гипопитуитаризм.</w:t>
      </w:r>
      <w:r w:rsidRPr="005A72D4">
        <w:rPr>
          <w:sz w:val="24"/>
          <w:szCs w:val="24"/>
        </w:rPr>
        <w:t xml:space="preserve"> Эндокринные нарушения при анорексии отличаются от нарушений при гипопитуитаризме. Кахексия не относится к характерным признакам гипопитуитаризма. </w:t>
      </w:r>
    </w:p>
    <w:p w:rsidR="005A72D4" w:rsidRPr="005A72D4" w:rsidRDefault="005A72D4" w:rsidP="005A72D4">
      <w:pPr>
        <w:widowControl/>
        <w:autoSpaceDE/>
        <w:autoSpaceDN/>
        <w:adjustRightInd/>
        <w:spacing w:before="30"/>
        <w:ind w:left="900" w:hanging="300"/>
        <w:jc w:val="both"/>
        <w:rPr>
          <w:sz w:val="24"/>
          <w:szCs w:val="24"/>
        </w:rPr>
      </w:pPr>
      <w:r w:rsidRPr="005A72D4">
        <w:rPr>
          <w:b/>
          <w:bCs/>
          <w:sz w:val="24"/>
          <w:szCs w:val="24"/>
        </w:rPr>
        <w:t>3. Диабетический парез желудка.</w:t>
      </w:r>
      <w:r w:rsidRPr="005A72D4">
        <w:rPr>
          <w:sz w:val="24"/>
          <w:szCs w:val="24"/>
        </w:rPr>
        <w:t xml:space="preserve"> Преобладающий признак — рвота; иногда отмечается нарушение эвакуации желудочного содержимого. </w:t>
      </w:r>
    </w:p>
    <w:p w:rsidR="005A72D4" w:rsidRPr="005A72D4" w:rsidRDefault="005A72D4" w:rsidP="005A72D4">
      <w:pPr>
        <w:widowControl/>
        <w:autoSpaceDE/>
        <w:autoSpaceDN/>
        <w:adjustRightInd/>
        <w:spacing w:before="30"/>
        <w:ind w:left="300" w:hanging="300"/>
        <w:jc w:val="both"/>
        <w:rPr>
          <w:sz w:val="24"/>
          <w:szCs w:val="24"/>
        </w:rPr>
      </w:pPr>
      <w:r w:rsidRPr="005A72D4">
        <w:rPr>
          <w:b/>
          <w:bCs/>
          <w:sz w:val="24"/>
          <w:szCs w:val="24"/>
        </w:rPr>
        <w:t>V. Лабораторная диагностика</w:t>
      </w:r>
      <w:r w:rsidRPr="005A72D4">
        <w:rPr>
          <w:sz w:val="24"/>
          <w:szCs w:val="24"/>
        </w:rPr>
        <w:t xml:space="preserve">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 xml:space="preserve">А. </w:t>
      </w:r>
      <w:r w:rsidRPr="005A72D4">
        <w:rPr>
          <w:sz w:val="24"/>
          <w:szCs w:val="24"/>
        </w:rPr>
        <w:t xml:space="preserve">Низкая СОЭ.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 xml:space="preserve">Б. </w:t>
      </w:r>
      <w:r w:rsidRPr="005A72D4">
        <w:rPr>
          <w:sz w:val="24"/>
          <w:szCs w:val="24"/>
        </w:rPr>
        <w:t xml:space="preserve">Гипокалиемический ацидоз (указывает на искусственно вызываемую рвоту).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 xml:space="preserve">В. </w:t>
      </w:r>
      <w:r w:rsidRPr="005A72D4">
        <w:rPr>
          <w:sz w:val="24"/>
          <w:szCs w:val="24"/>
        </w:rPr>
        <w:t xml:space="preserve">Отсутствие изменений стула, характерных для нарушенного всасывания. </w:t>
      </w:r>
    </w:p>
    <w:p w:rsidR="005A72D4" w:rsidRPr="005A72D4" w:rsidRDefault="005A72D4" w:rsidP="005A72D4">
      <w:pPr>
        <w:widowControl/>
        <w:autoSpaceDE/>
        <w:autoSpaceDN/>
        <w:adjustRightInd/>
        <w:spacing w:before="30"/>
        <w:ind w:left="300" w:hanging="300"/>
        <w:jc w:val="both"/>
        <w:rPr>
          <w:sz w:val="24"/>
          <w:szCs w:val="24"/>
        </w:rPr>
      </w:pPr>
      <w:r w:rsidRPr="005A72D4">
        <w:rPr>
          <w:b/>
          <w:bCs/>
          <w:sz w:val="24"/>
          <w:szCs w:val="24"/>
        </w:rPr>
        <w:t>VI. Течение и прогноз</w:t>
      </w:r>
      <w:r w:rsidRPr="005A72D4">
        <w:rPr>
          <w:sz w:val="24"/>
          <w:szCs w:val="24"/>
        </w:rPr>
        <w:t xml:space="preserve">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 xml:space="preserve">А. </w:t>
      </w:r>
      <w:r w:rsidRPr="005A72D4">
        <w:rPr>
          <w:sz w:val="24"/>
          <w:szCs w:val="24"/>
        </w:rPr>
        <w:t xml:space="preserve">Частота выздоровления: 25—75%.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 xml:space="preserve">Б. </w:t>
      </w:r>
      <w:r w:rsidRPr="005A72D4">
        <w:rPr>
          <w:sz w:val="24"/>
          <w:szCs w:val="24"/>
        </w:rPr>
        <w:t xml:space="preserve">Осложнения длительного голодания: инфекция, остеопороз.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 xml:space="preserve">В. </w:t>
      </w:r>
      <w:r w:rsidRPr="005A72D4">
        <w:rPr>
          <w:sz w:val="24"/>
          <w:szCs w:val="24"/>
        </w:rPr>
        <w:t xml:space="preserve">Смертность при нервной анорексии колеблется между 3 и 15%. Смерть может быть вызвана метаболическими и иммунологическими осложнениями голодания. Нередко больные нервной анорексией кончают жизнь самоубийством.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 xml:space="preserve">Г. </w:t>
      </w:r>
      <w:r w:rsidRPr="005A72D4">
        <w:rPr>
          <w:sz w:val="24"/>
          <w:szCs w:val="24"/>
        </w:rPr>
        <w:t xml:space="preserve">При длительном течении часто развивается депрессия.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 xml:space="preserve">Д. </w:t>
      </w:r>
      <w:r w:rsidRPr="005A72D4">
        <w:rPr>
          <w:sz w:val="24"/>
          <w:szCs w:val="24"/>
        </w:rPr>
        <w:t xml:space="preserve">Критерии неблагоприятного прогноза: </w:t>
      </w:r>
    </w:p>
    <w:p w:rsidR="005A72D4" w:rsidRPr="005A72D4" w:rsidRDefault="005A72D4" w:rsidP="005A72D4">
      <w:pPr>
        <w:widowControl/>
        <w:autoSpaceDE/>
        <w:autoSpaceDN/>
        <w:adjustRightInd/>
        <w:spacing w:before="30"/>
        <w:ind w:left="900" w:hanging="300"/>
        <w:jc w:val="both"/>
        <w:rPr>
          <w:sz w:val="24"/>
          <w:szCs w:val="24"/>
        </w:rPr>
      </w:pPr>
      <w:bookmarkStart w:id="37" w:name="VI.Д.1."/>
      <w:r w:rsidRPr="005A72D4">
        <w:rPr>
          <w:b/>
          <w:bCs/>
          <w:sz w:val="24"/>
          <w:szCs w:val="24"/>
        </w:rPr>
        <w:t>1.</w:t>
      </w:r>
      <w:bookmarkEnd w:id="37"/>
      <w:r w:rsidRPr="005A72D4">
        <w:rPr>
          <w:b/>
          <w:bCs/>
          <w:sz w:val="24"/>
          <w:szCs w:val="24"/>
        </w:rPr>
        <w:t xml:space="preserve"> </w:t>
      </w:r>
      <w:r w:rsidRPr="005A72D4">
        <w:rPr>
          <w:sz w:val="24"/>
          <w:szCs w:val="24"/>
        </w:rPr>
        <w:t xml:space="preserve">Неоднократные госпитализации. </w:t>
      </w:r>
    </w:p>
    <w:p w:rsidR="005A72D4" w:rsidRPr="005A72D4" w:rsidRDefault="005A72D4" w:rsidP="005A72D4">
      <w:pPr>
        <w:widowControl/>
        <w:autoSpaceDE/>
        <w:autoSpaceDN/>
        <w:adjustRightInd/>
        <w:spacing w:before="30"/>
        <w:ind w:left="900" w:hanging="300"/>
        <w:jc w:val="both"/>
        <w:rPr>
          <w:sz w:val="24"/>
          <w:szCs w:val="24"/>
        </w:rPr>
      </w:pPr>
      <w:bookmarkStart w:id="38" w:name="VI.Д.2."/>
      <w:r w:rsidRPr="005A72D4">
        <w:rPr>
          <w:b/>
          <w:bCs/>
          <w:sz w:val="24"/>
          <w:szCs w:val="24"/>
        </w:rPr>
        <w:t>2.</w:t>
      </w:r>
      <w:bookmarkEnd w:id="38"/>
      <w:r w:rsidRPr="005A72D4">
        <w:rPr>
          <w:b/>
          <w:bCs/>
          <w:sz w:val="24"/>
          <w:szCs w:val="24"/>
        </w:rPr>
        <w:t xml:space="preserve"> </w:t>
      </w:r>
      <w:r w:rsidRPr="005A72D4">
        <w:rPr>
          <w:sz w:val="24"/>
          <w:szCs w:val="24"/>
        </w:rPr>
        <w:t xml:space="preserve">Значительная потеря веса к моменту установления диагноза. </w:t>
      </w:r>
    </w:p>
    <w:p w:rsidR="005A72D4" w:rsidRPr="005A72D4" w:rsidRDefault="005A72D4" w:rsidP="005A72D4">
      <w:pPr>
        <w:widowControl/>
        <w:autoSpaceDE/>
        <w:autoSpaceDN/>
        <w:adjustRightInd/>
        <w:spacing w:before="30"/>
        <w:ind w:left="900" w:hanging="300"/>
        <w:jc w:val="both"/>
        <w:rPr>
          <w:sz w:val="24"/>
          <w:szCs w:val="24"/>
        </w:rPr>
      </w:pPr>
      <w:bookmarkStart w:id="39" w:name="VI.Д.3."/>
      <w:r w:rsidRPr="005A72D4">
        <w:rPr>
          <w:b/>
          <w:bCs/>
          <w:sz w:val="24"/>
          <w:szCs w:val="24"/>
        </w:rPr>
        <w:t>3.</w:t>
      </w:r>
      <w:bookmarkEnd w:id="39"/>
      <w:r w:rsidRPr="005A72D4">
        <w:rPr>
          <w:b/>
          <w:bCs/>
          <w:sz w:val="24"/>
          <w:szCs w:val="24"/>
        </w:rPr>
        <w:t xml:space="preserve"> </w:t>
      </w:r>
      <w:r w:rsidRPr="005A72D4">
        <w:rPr>
          <w:sz w:val="24"/>
          <w:szCs w:val="24"/>
        </w:rPr>
        <w:t xml:space="preserve">Длительное течение болезни. </w:t>
      </w:r>
    </w:p>
    <w:p w:rsidR="005A72D4" w:rsidRPr="005A72D4" w:rsidRDefault="005A72D4" w:rsidP="005A72D4">
      <w:pPr>
        <w:widowControl/>
        <w:autoSpaceDE/>
        <w:autoSpaceDN/>
        <w:adjustRightInd/>
        <w:spacing w:before="30"/>
        <w:ind w:left="900" w:hanging="300"/>
        <w:jc w:val="both"/>
        <w:rPr>
          <w:sz w:val="24"/>
          <w:szCs w:val="24"/>
        </w:rPr>
      </w:pPr>
      <w:bookmarkStart w:id="40" w:name="VI.Д.4."/>
      <w:r w:rsidRPr="005A72D4">
        <w:rPr>
          <w:b/>
          <w:bCs/>
          <w:sz w:val="24"/>
          <w:szCs w:val="24"/>
        </w:rPr>
        <w:t>4.</w:t>
      </w:r>
      <w:bookmarkEnd w:id="40"/>
      <w:r w:rsidRPr="005A72D4">
        <w:rPr>
          <w:b/>
          <w:bCs/>
          <w:sz w:val="24"/>
          <w:szCs w:val="24"/>
        </w:rPr>
        <w:t xml:space="preserve"> </w:t>
      </w:r>
      <w:r w:rsidRPr="005A72D4">
        <w:rPr>
          <w:sz w:val="24"/>
          <w:szCs w:val="24"/>
        </w:rPr>
        <w:t xml:space="preserve">Начало болезни в позднем возрасте. </w:t>
      </w:r>
    </w:p>
    <w:p w:rsidR="005A72D4" w:rsidRPr="005A72D4" w:rsidRDefault="005A72D4" w:rsidP="005A72D4">
      <w:pPr>
        <w:widowControl/>
        <w:autoSpaceDE/>
        <w:autoSpaceDN/>
        <w:adjustRightInd/>
        <w:spacing w:before="30"/>
        <w:ind w:left="900" w:hanging="300"/>
        <w:jc w:val="both"/>
        <w:rPr>
          <w:sz w:val="24"/>
          <w:szCs w:val="24"/>
        </w:rPr>
      </w:pPr>
      <w:bookmarkStart w:id="41" w:name="VI.Д.5."/>
      <w:r w:rsidRPr="005A72D4">
        <w:rPr>
          <w:b/>
          <w:bCs/>
          <w:sz w:val="24"/>
          <w:szCs w:val="24"/>
        </w:rPr>
        <w:t>5.</w:t>
      </w:r>
      <w:bookmarkEnd w:id="41"/>
      <w:r w:rsidRPr="005A72D4">
        <w:rPr>
          <w:b/>
          <w:bCs/>
          <w:sz w:val="24"/>
          <w:szCs w:val="24"/>
        </w:rPr>
        <w:t xml:space="preserve"> </w:t>
      </w:r>
      <w:r w:rsidRPr="005A72D4">
        <w:rPr>
          <w:sz w:val="24"/>
          <w:szCs w:val="24"/>
        </w:rPr>
        <w:t xml:space="preserve">Напряженные отношения в семье. </w:t>
      </w:r>
    </w:p>
    <w:p w:rsidR="005A72D4" w:rsidRPr="005A72D4" w:rsidRDefault="005A72D4" w:rsidP="005A72D4">
      <w:pPr>
        <w:widowControl/>
        <w:autoSpaceDE/>
        <w:autoSpaceDN/>
        <w:adjustRightInd/>
        <w:spacing w:before="30"/>
        <w:ind w:left="300" w:hanging="300"/>
        <w:jc w:val="both"/>
        <w:rPr>
          <w:sz w:val="24"/>
          <w:szCs w:val="24"/>
        </w:rPr>
      </w:pPr>
      <w:r w:rsidRPr="005A72D4">
        <w:rPr>
          <w:b/>
          <w:bCs/>
          <w:sz w:val="24"/>
          <w:szCs w:val="24"/>
        </w:rPr>
        <w:t xml:space="preserve">VII. Лечение. </w:t>
      </w:r>
      <w:r w:rsidRPr="005A72D4">
        <w:rPr>
          <w:sz w:val="24"/>
          <w:szCs w:val="24"/>
        </w:rPr>
        <w:t xml:space="preserve">Цель лечения: восстановление нормального веса больного и психологическая коррекция его отношения к питанию. Поскольку больные, несмотря на предписания врача, уклоняются от потребления высококалорийной пищи, необходимо постоянно следить за </w:t>
      </w:r>
      <w:r w:rsidRPr="005A72D4">
        <w:rPr>
          <w:sz w:val="24"/>
          <w:szCs w:val="24"/>
        </w:rPr>
        <w:lastRenderedPageBreak/>
        <w:t xml:space="preserve">весом больного. Лечение нервной анорексии включает психологическую поддержку, поведенческую психотерапию и медикаментозное лечение. Тяжелые осложнения нервной анорексии требуют главным образом медикаментозного лечения.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А. Начальные лечебные мероприятия</w:t>
      </w:r>
      <w:r w:rsidRPr="005A72D4">
        <w:rPr>
          <w:sz w:val="24"/>
          <w:szCs w:val="24"/>
        </w:rPr>
        <w:t xml:space="preserve"> зависят от степени нарушения обмена веществ у больного. В большей части случаев больные попадают к врачу уже в состоянии сильного истощения. Поэтому часто больных приходится госпитализировать, сначала в терапевтическое отделение — для нормализации обмена веществ, а затем в психиатрическое отделение, но под пристальное наблюдение терапевта.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 xml:space="preserve">Б. </w:t>
      </w:r>
      <w:r w:rsidRPr="005A72D4">
        <w:rPr>
          <w:sz w:val="24"/>
          <w:szCs w:val="24"/>
        </w:rPr>
        <w:t xml:space="preserve">Может потребоваться </w:t>
      </w:r>
      <w:r w:rsidRPr="005A72D4">
        <w:rPr>
          <w:b/>
          <w:bCs/>
          <w:sz w:val="24"/>
          <w:szCs w:val="24"/>
        </w:rPr>
        <w:t>устранение авитаминоза.</w:t>
      </w:r>
      <w:r w:rsidRPr="005A72D4">
        <w:rPr>
          <w:sz w:val="24"/>
          <w:szCs w:val="24"/>
        </w:rPr>
        <w:t xml:space="preserve">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 xml:space="preserve">В. </w:t>
      </w:r>
      <w:r w:rsidRPr="005A72D4">
        <w:rPr>
          <w:sz w:val="24"/>
          <w:szCs w:val="24"/>
        </w:rPr>
        <w:t xml:space="preserve">Если больной отказывается от пищи, можно использовать </w:t>
      </w:r>
      <w:r w:rsidRPr="005A72D4">
        <w:rPr>
          <w:b/>
          <w:bCs/>
          <w:sz w:val="24"/>
          <w:szCs w:val="24"/>
        </w:rPr>
        <w:t>кормление через зонд</w:t>
      </w:r>
      <w:r w:rsidRPr="005A72D4">
        <w:rPr>
          <w:sz w:val="24"/>
          <w:szCs w:val="24"/>
        </w:rPr>
        <w:t xml:space="preserve"> или в/в введение необходимых питательных веществ.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Г. Вначале</w:t>
      </w:r>
      <w:r w:rsidRPr="005A72D4">
        <w:rPr>
          <w:sz w:val="24"/>
          <w:szCs w:val="24"/>
        </w:rPr>
        <w:t xml:space="preserve"> больных следует </w:t>
      </w:r>
      <w:r w:rsidRPr="005A72D4">
        <w:rPr>
          <w:b/>
          <w:bCs/>
          <w:sz w:val="24"/>
          <w:szCs w:val="24"/>
        </w:rPr>
        <w:t>кормить</w:t>
      </w:r>
      <w:r w:rsidRPr="005A72D4">
        <w:rPr>
          <w:sz w:val="24"/>
          <w:szCs w:val="24"/>
        </w:rPr>
        <w:t xml:space="preserve"> </w:t>
      </w:r>
      <w:r w:rsidRPr="005A72D4">
        <w:rPr>
          <w:b/>
          <w:bCs/>
          <w:sz w:val="24"/>
          <w:szCs w:val="24"/>
        </w:rPr>
        <w:t>часто и понемногу</w:t>
      </w:r>
      <w:r w:rsidRPr="005A72D4">
        <w:rPr>
          <w:sz w:val="24"/>
          <w:szCs w:val="24"/>
        </w:rPr>
        <w:t xml:space="preserve">, используя жидкие пищевые добавки. Общая калорийность пищи, потребляемой за сутки, должна примерно на 500 калорий превышать энергетические потребности, необходимые для поддержания имеющегося веса. Больного ежедневно взвешивают, регистрируют вес принятых питательных веществ и вес кала, измеряют потребление и выделение жидкости, исследуют водно-электролитный баланс.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Д. Психотерапевтические и психологические подходы</w:t>
      </w:r>
      <w:r w:rsidRPr="005A72D4">
        <w:rPr>
          <w:sz w:val="24"/>
          <w:szCs w:val="24"/>
        </w:rPr>
        <w:t xml:space="preserve">. Пример поведенческой психотерапии: если больной хорошо поел или прибавил в весе, он получает право на длительную прогулку либо другое поощрение.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 xml:space="preserve">Е. </w:t>
      </w:r>
      <w:r w:rsidRPr="005A72D4">
        <w:rPr>
          <w:sz w:val="24"/>
          <w:szCs w:val="24"/>
        </w:rPr>
        <w:t xml:space="preserve">Из-за скрытности больных бывает трудно собрать анамнез и назначить лечение. Поэтому очень важно </w:t>
      </w:r>
      <w:r w:rsidRPr="005A72D4">
        <w:rPr>
          <w:b/>
          <w:bCs/>
          <w:sz w:val="24"/>
          <w:szCs w:val="24"/>
        </w:rPr>
        <w:t>обсудить ситуацию с родственниками.</w:t>
      </w:r>
      <w:r w:rsidRPr="005A72D4">
        <w:rPr>
          <w:sz w:val="24"/>
          <w:szCs w:val="24"/>
        </w:rPr>
        <w:t xml:space="preserve"> Семейный анамнез помогает раскрыть важные детали, касающиеся отношения больного и его семьи к пище. Известно, например, что родители многих больных нервной анорексией занимаются торговлей пищевыми продуктами, работают в пищевой промышленности или на предприятиях общественного питания. </w:t>
      </w:r>
    </w:p>
    <w:p w:rsidR="005A72D4" w:rsidRPr="005A72D4" w:rsidRDefault="005A72D4" w:rsidP="005A72D4">
      <w:pPr>
        <w:widowControl/>
        <w:autoSpaceDE/>
        <w:autoSpaceDN/>
        <w:adjustRightInd/>
        <w:spacing w:before="30"/>
        <w:ind w:left="600" w:hanging="300"/>
        <w:jc w:val="both"/>
        <w:rPr>
          <w:sz w:val="24"/>
          <w:szCs w:val="24"/>
        </w:rPr>
      </w:pPr>
      <w:bookmarkStart w:id="42" w:name="VII.Ж."/>
      <w:r w:rsidRPr="005A72D4">
        <w:rPr>
          <w:b/>
          <w:bCs/>
          <w:sz w:val="24"/>
          <w:szCs w:val="24"/>
        </w:rPr>
        <w:t>Ж.</w:t>
      </w:r>
      <w:bookmarkEnd w:id="42"/>
      <w:r w:rsidRPr="005A72D4">
        <w:rPr>
          <w:b/>
          <w:bCs/>
          <w:sz w:val="24"/>
          <w:szCs w:val="24"/>
        </w:rPr>
        <w:t xml:space="preserve"> Индивидуальная психотерапия</w:t>
      </w:r>
      <w:r w:rsidRPr="005A72D4">
        <w:rPr>
          <w:sz w:val="24"/>
          <w:szCs w:val="24"/>
        </w:rPr>
        <w:t xml:space="preserve"> способствует выяснению внутренних психологических причин анорексии и установлению контакта с больным, скрывающим свое истинное отношение к пище. Однако при лечении нервной анорексии нельзя рассчитывать только на индивидуальную психотерапию. </w:t>
      </w:r>
    </w:p>
    <w:p w:rsidR="005A72D4" w:rsidRPr="005A72D4" w:rsidRDefault="005A72D4" w:rsidP="005A72D4">
      <w:pPr>
        <w:widowControl/>
        <w:autoSpaceDE/>
        <w:autoSpaceDN/>
        <w:adjustRightInd/>
        <w:spacing w:before="30"/>
        <w:ind w:left="600" w:hanging="300"/>
        <w:jc w:val="both"/>
        <w:rPr>
          <w:sz w:val="24"/>
          <w:szCs w:val="24"/>
        </w:rPr>
      </w:pPr>
      <w:bookmarkStart w:id="43" w:name="VII.З."/>
      <w:r w:rsidRPr="005A72D4">
        <w:rPr>
          <w:b/>
          <w:bCs/>
          <w:sz w:val="24"/>
          <w:szCs w:val="24"/>
        </w:rPr>
        <w:t>З.</w:t>
      </w:r>
      <w:bookmarkEnd w:id="43"/>
      <w:r w:rsidRPr="005A72D4">
        <w:rPr>
          <w:b/>
          <w:bCs/>
          <w:sz w:val="24"/>
          <w:szCs w:val="24"/>
        </w:rPr>
        <w:t xml:space="preserve"> Нейролептики и антидепрессанты.</w:t>
      </w:r>
      <w:r w:rsidRPr="005A72D4">
        <w:rPr>
          <w:sz w:val="24"/>
          <w:szCs w:val="24"/>
        </w:rPr>
        <w:t xml:space="preserve"> Прибавке в весе способствует назначение </w:t>
      </w:r>
      <w:r w:rsidRPr="005A72D4">
        <w:rPr>
          <w:b/>
          <w:bCs/>
          <w:sz w:val="24"/>
          <w:szCs w:val="24"/>
        </w:rPr>
        <w:t>хлорпромазина</w:t>
      </w:r>
      <w:r w:rsidRPr="005A72D4">
        <w:rPr>
          <w:sz w:val="24"/>
          <w:szCs w:val="24"/>
        </w:rPr>
        <w:t xml:space="preserve"> внутрь. Начинают с 25 мг/сут; дозу постепенно увеличивают до 150—300 мг/сут. При депрессии можно использовать антидепрессанты. Целесообразность применения антидепрессантов в отсутствие депрессии не доказана. Медикаментозное лечение следует рассматривать как дополнение к психологическим и психотерапевтическим мероприятиям. </w:t>
      </w:r>
    </w:p>
    <w:p w:rsidR="005A72D4" w:rsidRPr="005A72D4" w:rsidRDefault="005A72D4" w:rsidP="005A72D4">
      <w:pPr>
        <w:widowControl/>
        <w:autoSpaceDE/>
        <w:autoSpaceDN/>
        <w:adjustRightInd/>
        <w:spacing w:before="30"/>
        <w:ind w:left="600" w:hanging="300"/>
        <w:jc w:val="both"/>
        <w:rPr>
          <w:sz w:val="24"/>
          <w:szCs w:val="24"/>
        </w:rPr>
      </w:pPr>
      <w:bookmarkStart w:id="44" w:name="VII.И."/>
      <w:r w:rsidRPr="005A72D4">
        <w:rPr>
          <w:b/>
          <w:bCs/>
          <w:sz w:val="24"/>
          <w:szCs w:val="24"/>
        </w:rPr>
        <w:t>И.</w:t>
      </w:r>
      <w:bookmarkEnd w:id="44"/>
      <w:r w:rsidRPr="005A72D4">
        <w:rPr>
          <w:b/>
          <w:bCs/>
          <w:sz w:val="24"/>
          <w:szCs w:val="24"/>
        </w:rPr>
        <w:t xml:space="preserve"> </w:t>
      </w:r>
      <w:r w:rsidRPr="005A72D4">
        <w:rPr>
          <w:sz w:val="24"/>
          <w:szCs w:val="24"/>
        </w:rPr>
        <w:t>Важную роль играет</w:t>
      </w:r>
      <w:r w:rsidRPr="005A72D4">
        <w:rPr>
          <w:b/>
          <w:bCs/>
          <w:sz w:val="24"/>
          <w:szCs w:val="24"/>
        </w:rPr>
        <w:t xml:space="preserve"> длительное амбулаторное наблюдение.</w:t>
      </w:r>
      <w:r w:rsidRPr="005A72D4">
        <w:rPr>
          <w:sz w:val="24"/>
          <w:szCs w:val="24"/>
        </w:rPr>
        <w:t xml:space="preserve"> При этом необходимо сотрудничество терапевта и психотерапевта (психиатра). Больной нуждается в постоянной психологической поддержке и психотерапии; хлорпромазин (если он был ранее назначен) постепенно отменяют. </w:t>
      </w:r>
    </w:p>
    <w:p w:rsidR="005A72D4" w:rsidRPr="005A72D4" w:rsidRDefault="005A72D4" w:rsidP="005A72D4">
      <w:pPr>
        <w:widowControl/>
        <w:autoSpaceDE/>
        <w:autoSpaceDN/>
        <w:adjustRightInd/>
        <w:spacing w:before="100" w:beforeAutospacing="1" w:after="100" w:afterAutospacing="1"/>
        <w:outlineLvl w:val="1"/>
        <w:rPr>
          <w:bCs/>
          <w:sz w:val="36"/>
          <w:szCs w:val="36"/>
        </w:rPr>
      </w:pPr>
      <w:r w:rsidRPr="005A72D4">
        <w:rPr>
          <w:rFonts w:ascii="Arial" w:hAnsi="Arial" w:cs="Arial"/>
          <w:b/>
          <w:bCs/>
        </w:rPr>
        <w:br w:type="page"/>
      </w:r>
    </w:p>
    <w:p w:rsidR="005D1C1F" w:rsidRPr="002273DF" w:rsidRDefault="005D1C1F" w:rsidP="005D1C1F">
      <w:pPr>
        <w:widowControl/>
        <w:autoSpaceDE/>
        <w:autoSpaceDN/>
        <w:adjustRightInd/>
        <w:spacing w:before="100" w:beforeAutospacing="1" w:after="100" w:afterAutospacing="1"/>
        <w:rPr>
          <w:sz w:val="36"/>
          <w:szCs w:val="36"/>
        </w:rPr>
      </w:pPr>
      <w:r w:rsidRPr="002273DF">
        <w:rPr>
          <w:b/>
          <w:bCs/>
          <w:sz w:val="36"/>
          <w:szCs w:val="36"/>
        </w:rPr>
        <w:lastRenderedPageBreak/>
        <w:t xml:space="preserve">Литература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Allgrove J, et al. Familial glucocorticoid deficiency with achalasia of the cardia and deficient tear production. Lancet 8077:1284, 1978.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Arai K, Chrousos GP. Syndromes of glucocorticoid and mineralocorticoid resistance. Steroids 60:173, 1995.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Bichet DG. Nephrogenic diabetes insipidus. Am J Med 105:431, 1998.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Bolander FF. Molecular Endocrinology. San Diego: Academic Press, Inc., 1989. P. 78.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Clark AJ, et al. Familial glucocorticoid deficiency: one syndrome, but more than one gene. J Mol Med 75:394, 1997.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Dufau ML. The luteinizing hormone receptor. Annu Rev Physiol 60:461, 1998.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Feldman D, Malloy PJ. Hereditary 1,25-dihydroxyvitamin D-resistant rickets Molecular basis and implications for the role of 1,25(OH)</w:t>
      </w:r>
      <w:r w:rsidRPr="002273DF">
        <w:rPr>
          <w:sz w:val="24"/>
          <w:szCs w:val="24"/>
          <w:vertAlign w:val="subscript"/>
          <w:lang w:val="en-US"/>
        </w:rPr>
        <w:t>2</w:t>
      </w:r>
      <w:r w:rsidRPr="002273DF">
        <w:rPr>
          <w:sz w:val="24"/>
          <w:szCs w:val="24"/>
          <w:lang w:val="en-US"/>
        </w:rPr>
        <w:t>D</w:t>
      </w:r>
      <w:r w:rsidRPr="002273DF">
        <w:rPr>
          <w:sz w:val="24"/>
          <w:szCs w:val="24"/>
          <w:vertAlign w:val="subscript"/>
          <w:lang w:val="en-US"/>
        </w:rPr>
        <w:t>3</w:t>
      </w:r>
      <w:r w:rsidRPr="002273DF">
        <w:rPr>
          <w:sz w:val="24"/>
          <w:szCs w:val="24"/>
          <w:lang w:val="en-US"/>
        </w:rPr>
        <w:t xml:space="preserve"> in normal physiology. Mol Cell Endocrinol 72:C57—C62, 1990.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Geffner ME, Golde DW. Selective insulin action on skin, ovary, and heart in insulin-resistant states. Diabetes Care 11:500, 1988.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Gelbert L, et al. Chromosomal localization of the parathyroid hormone/parathyroid hormone-related protein receptor gene to human chromosome 3p21.1-p24.2. J Clin Endocrinol Metab 79:1046, 1994.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LeRoith D, et al. Insulinlike growth factors and their receptors as growth regulators in normal physiology and pathologic states. Trends Endocrinol Metab 2:134, 1991.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McKusick VA. Mapping the genes for hormones and growth factors and the mutations causing disorders of growth. Growth Genet Horm 5:1, 1989.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Michell RH. Post-receptor signalling pathways. Lancet 1:765, 1989.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Okusa MD, Bia MJ. Bartter's syndrome. In MP Cohen, PP Foa (eds), Hormone resistance and other endocrine paradoxes. New York: Springer, 1987. Pp. 231.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Stavrou SS, et al. A novel mutation of the human luteinizing hormone receptor in 46XY and 46XX sisters. J Clin Endocrinol Metab 83:2091, 1998.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Taylor SI. Molecular mechanisms of insulin resistance: Lesson from patients with mutations in the insulin receptor gene. Diabetes 41:1473, 1992.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Theriault A, et al. Regional chromosomal assignment of the human glucocorticoid receptor gene to 5q31. Hum Genet 83:289, 1989.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Tsai-Morris CH, et al. A novel human luteinizing hormone receptor gene. J Clin Endocrinol Metab 83:288, 1998.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Usala SJ, Weintraub BD. Thyroid hormone resistance syndromes. Trends Endocrinol Metab 2:140, 1991.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Usdin TB, et al. Assignment of the human PTH2 receptor gene (PTHR2) to chromosome 2q33 by fluorescence in situ hybridization. Genomics 37:140, 1996.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Van Dop C. Pseudohypoparathyroidism: Clinical and molecular aspects. Semin Nephrol 9:168, 1989.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Wu SM, et al. Genetic heterogeneity of adrenocorticotropin (ACTH) resistance syndromes: identification of a novel mutation of the ACTH receptor gene in hereditary glucocorticoid deficiency. Mol Genet Metab 64:256, 1998.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Berkowitz BA. Vascular relaxation and aging. In P Vanhoutte, I Leusen (eds), Mechanisms of Vasodilation. New York: Karger, 1978.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lastRenderedPageBreak/>
        <w:t xml:space="preserve">Brown AM. A cellular logic for G-protein coupled ion channel pathways. FASEB J 5:2175, 1991.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Brown J, et al. Evidence for cardiac beta</w:t>
      </w:r>
      <w:r w:rsidRPr="002273DF">
        <w:rPr>
          <w:sz w:val="24"/>
          <w:szCs w:val="24"/>
          <w:vertAlign w:val="subscript"/>
          <w:lang w:val="en-US"/>
        </w:rPr>
        <w:t>2</w:t>
      </w:r>
      <w:r w:rsidRPr="002273DF">
        <w:rPr>
          <w:sz w:val="24"/>
          <w:szCs w:val="24"/>
          <w:lang w:val="en-US"/>
        </w:rPr>
        <w:t xml:space="preserve">-adrenoceptors in man. Clin Pharmacol Ther 33:424, 1983.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Caron M, Lefkowitz R. beta-Adrenergic receptors: Basic studies and clinical implications. In M Stein (ed.), New Directions in Asthma. Park Ridge, IL: American College of Chest Physicians, 1975.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Elliott HL, Reid JL. Evidence for post-junctional vascular alpha</w:t>
      </w:r>
      <w:r w:rsidRPr="002273DF">
        <w:rPr>
          <w:sz w:val="24"/>
          <w:szCs w:val="24"/>
          <w:vertAlign w:val="subscript"/>
          <w:lang w:val="en-US"/>
        </w:rPr>
        <w:t>2</w:t>
      </w:r>
      <w:r w:rsidRPr="002273DF">
        <w:rPr>
          <w:sz w:val="24"/>
          <w:szCs w:val="24"/>
          <w:lang w:val="en-US"/>
        </w:rPr>
        <w:t xml:space="preserve">-adrenoceptors in peripheral vascular regulation in man. Clin Sci 65:237, 1983.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Ford GA, et al. Age-related changes in adenosine and beta adrenoceptor responsiveness of vascular smooth muscle in men. Br J Clin Pharmacol 33:83, 1992.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Gilman AG. G-Proteins and regulation of adenylyl cyclase. JAMA 262:1819, 1989.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Glaubiger G, Lefkowitz R. Elevated beta-adrenergic receptor number after chronic propranolol treatment. Biochem Biophys Res Commun 78:720, 1977.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Harrison JK, et al. Molecular characterization of alpha</w:t>
      </w:r>
      <w:r w:rsidRPr="002273DF">
        <w:rPr>
          <w:sz w:val="24"/>
          <w:szCs w:val="24"/>
          <w:vertAlign w:val="subscript"/>
          <w:lang w:val="en-US"/>
        </w:rPr>
        <w:t>1</w:t>
      </w:r>
      <w:r w:rsidRPr="002273DF">
        <w:rPr>
          <w:sz w:val="24"/>
          <w:szCs w:val="24"/>
          <w:lang w:val="en-US"/>
        </w:rPr>
        <w:t>- and alpha</w:t>
      </w:r>
      <w:r w:rsidRPr="002273DF">
        <w:rPr>
          <w:sz w:val="24"/>
          <w:szCs w:val="24"/>
          <w:vertAlign w:val="subscript"/>
          <w:lang w:val="en-US"/>
        </w:rPr>
        <w:t>2</w:t>
      </w:r>
      <w:r w:rsidRPr="002273DF">
        <w:rPr>
          <w:sz w:val="24"/>
          <w:szCs w:val="24"/>
          <w:lang w:val="en-US"/>
        </w:rPr>
        <w:t xml:space="preserve">- adrenoceptors. Trends Pharmacol Sci 12:62, 1991.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Hausdorff W, et al. Turning off the signal: Desensitization of beta-adrenergic function. FASEB J 4:2881, 1990.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Kenakin T. Drugs and receptors. Drugs 40:666, 1990.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Klein C, et al. The effect of age on the sensitivity of the alpha</w:t>
      </w:r>
      <w:r w:rsidRPr="002273DF">
        <w:rPr>
          <w:sz w:val="24"/>
          <w:szCs w:val="24"/>
          <w:vertAlign w:val="subscript"/>
          <w:lang w:val="en-US"/>
        </w:rPr>
        <w:t>1</w:t>
      </w:r>
      <w:r w:rsidRPr="002273DF">
        <w:rPr>
          <w:sz w:val="24"/>
          <w:szCs w:val="24"/>
          <w:lang w:val="en-US"/>
        </w:rPr>
        <w:t xml:space="preserve">-adrenoceptor to phenylephrine and prazosin. Clin Pharmacol Ther 47:535, 1990.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Langer SZ. Presynaptic receptors and their role in the regulation of transmitter release. Br J Pharmacol 60:481, 1977.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Lefkowitz R, et al. Hormones, receptors, and cyclic AMP: Their role in target cell refractoriness. Curr Top Cell Regul 17:205, 1980.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Levy JV. beta-adrenergic blocking drugs in spontaneous hypertension. Am J Med 61:779, 1976.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Plummer AL. Development of drug tolerance to beta</w:t>
      </w:r>
      <w:r w:rsidRPr="002273DF">
        <w:rPr>
          <w:sz w:val="24"/>
          <w:szCs w:val="24"/>
          <w:vertAlign w:val="subscript"/>
          <w:lang w:val="en-US"/>
        </w:rPr>
        <w:t>2</w:t>
      </w:r>
      <w:r w:rsidRPr="002273DF">
        <w:rPr>
          <w:sz w:val="24"/>
          <w:szCs w:val="24"/>
          <w:lang w:val="en-US"/>
        </w:rPr>
        <w:t xml:space="preserve">-adrenergic agents. Chest 73(Suppl):949, 1978.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Pool P, et al. Metabolic consequences of treating hypertension. Am J Hyperten 4:4945, 1991.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Prichard BN. alpha- and beta-blocking agents: Pharmacology and properties. Cleve Clin J Med 58:337, 1991.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Ruffulo RR, et al. Structure and function of alpha adrenoceptors. Pharmacol Rev 43:475, 1991. </w:t>
      </w:r>
    </w:p>
    <w:p w:rsidR="00800BDB" w:rsidRPr="002273DF" w:rsidRDefault="00800BDB" w:rsidP="00BF01F4">
      <w:pPr>
        <w:pStyle w:val="af8"/>
        <w:widowControl/>
        <w:numPr>
          <w:ilvl w:val="0"/>
          <w:numId w:val="14"/>
        </w:numPr>
        <w:autoSpaceDE/>
        <w:autoSpaceDN/>
        <w:adjustRightInd/>
        <w:spacing w:before="30"/>
        <w:jc w:val="both"/>
        <w:rPr>
          <w:sz w:val="24"/>
          <w:szCs w:val="24"/>
        </w:rPr>
      </w:pPr>
      <w:r w:rsidRPr="002273DF">
        <w:rPr>
          <w:sz w:val="24"/>
          <w:szCs w:val="24"/>
          <w:lang w:val="en-US"/>
        </w:rPr>
        <w:t xml:space="preserve">Tota MR, et al. Biophysical and genetic analysis of the ligand-binding site of the beta-adrenoceptor. </w:t>
      </w:r>
      <w:r w:rsidRPr="002273DF">
        <w:rPr>
          <w:sz w:val="24"/>
          <w:szCs w:val="24"/>
        </w:rPr>
        <w:t xml:space="preserve">Trends Pharmacol Sci 12:4, 1991. </w:t>
      </w:r>
    </w:p>
    <w:p w:rsidR="00800BDB" w:rsidRPr="002273DF" w:rsidRDefault="00800BDB" w:rsidP="00BF01F4">
      <w:pPr>
        <w:pStyle w:val="af8"/>
        <w:widowControl/>
        <w:numPr>
          <w:ilvl w:val="0"/>
          <w:numId w:val="14"/>
        </w:numPr>
        <w:autoSpaceDE/>
        <w:autoSpaceDN/>
        <w:adjustRightInd/>
        <w:spacing w:before="30"/>
        <w:rPr>
          <w:sz w:val="24"/>
          <w:szCs w:val="24"/>
          <w:lang w:val="en-US"/>
        </w:rPr>
      </w:pPr>
      <w:r w:rsidRPr="002273DF">
        <w:rPr>
          <w:sz w:val="24"/>
          <w:szCs w:val="24"/>
          <w:lang w:val="en-US"/>
        </w:rPr>
        <w:t xml:space="preserve">Buyse ML. Birth Defects Encyclopedia. Cambridge: Blackwell, 1990. </w:t>
      </w:r>
    </w:p>
    <w:p w:rsidR="00800BDB" w:rsidRPr="002273DF" w:rsidRDefault="00800BDB" w:rsidP="00BF01F4">
      <w:pPr>
        <w:pStyle w:val="af8"/>
        <w:widowControl/>
        <w:numPr>
          <w:ilvl w:val="0"/>
          <w:numId w:val="14"/>
        </w:numPr>
        <w:autoSpaceDE/>
        <w:autoSpaceDN/>
        <w:adjustRightInd/>
        <w:spacing w:before="30"/>
        <w:rPr>
          <w:sz w:val="24"/>
          <w:szCs w:val="24"/>
          <w:lang w:val="en-US"/>
        </w:rPr>
      </w:pPr>
      <w:r w:rsidRPr="002273DF">
        <w:rPr>
          <w:sz w:val="24"/>
          <w:szCs w:val="24"/>
          <w:lang w:val="en-US"/>
        </w:rPr>
        <w:t xml:space="preserve">Emery A, Rimoin D. Principles and Practice of Medical Genetics (2nd ed). New York: Churchill Livingstone, 1990. </w:t>
      </w:r>
    </w:p>
    <w:p w:rsidR="00800BDB" w:rsidRPr="002273DF" w:rsidRDefault="00800BDB" w:rsidP="00BF01F4">
      <w:pPr>
        <w:pStyle w:val="af8"/>
        <w:widowControl/>
        <w:numPr>
          <w:ilvl w:val="0"/>
          <w:numId w:val="14"/>
        </w:numPr>
        <w:autoSpaceDE/>
        <w:autoSpaceDN/>
        <w:adjustRightInd/>
        <w:spacing w:before="30"/>
        <w:rPr>
          <w:sz w:val="24"/>
          <w:szCs w:val="24"/>
          <w:lang w:val="en-US"/>
        </w:rPr>
      </w:pPr>
      <w:r w:rsidRPr="002273DF">
        <w:rPr>
          <w:sz w:val="24"/>
          <w:szCs w:val="24"/>
          <w:lang w:val="en-US"/>
        </w:rPr>
        <w:t xml:space="preserve">Gorlin RJ, et al. Syndromes of the Head and Neck (3rd ed). New York: Oxford University Press, 1990. </w:t>
      </w:r>
    </w:p>
    <w:p w:rsidR="00800BDB" w:rsidRPr="002273DF" w:rsidRDefault="00800BDB" w:rsidP="00BF01F4">
      <w:pPr>
        <w:pStyle w:val="af8"/>
        <w:widowControl/>
        <w:numPr>
          <w:ilvl w:val="0"/>
          <w:numId w:val="14"/>
        </w:numPr>
        <w:autoSpaceDE/>
        <w:autoSpaceDN/>
        <w:adjustRightInd/>
        <w:spacing w:before="30"/>
        <w:rPr>
          <w:sz w:val="24"/>
          <w:szCs w:val="24"/>
          <w:lang w:val="en-US"/>
        </w:rPr>
      </w:pPr>
      <w:r w:rsidRPr="002273DF">
        <w:rPr>
          <w:sz w:val="24"/>
          <w:szCs w:val="24"/>
          <w:lang w:val="en-US"/>
        </w:rPr>
        <w:t xml:space="preserve">Hall JG, et al. Handbook of Normal Physical Measurements. New York: Oxford University Press, 1989. </w:t>
      </w:r>
    </w:p>
    <w:p w:rsidR="00800BDB" w:rsidRPr="002273DF" w:rsidRDefault="00800BDB" w:rsidP="00BF01F4">
      <w:pPr>
        <w:pStyle w:val="af8"/>
        <w:widowControl/>
        <w:numPr>
          <w:ilvl w:val="0"/>
          <w:numId w:val="14"/>
        </w:numPr>
        <w:autoSpaceDE/>
        <w:autoSpaceDN/>
        <w:adjustRightInd/>
        <w:spacing w:before="30"/>
        <w:rPr>
          <w:sz w:val="24"/>
          <w:szCs w:val="24"/>
          <w:lang w:val="en-US"/>
        </w:rPr>
      </w:pPr>
      <w:r w:rsidRPr="002273DF">
        <w:rPr>
          <w:sz w:val="24"/>
          <w:szCs w:val="24"/>
          <w:lang w:val="en-US"/>
        </w:rPr>
        <w:t xml:space="preserve">Jones KL. Smith's Recognizable Patterns of Human Malformation (4th ed). In M Markowitz (ed.), Major Problems in Clinical Pediatrics (vol VII). Philadelphia: Saunders, 1988. </w:t>
      </w:r>
    </w:p>
    <w:p w:rsidR="00800BDB" w:rsidRPr="002273DF" w:rsidRDefault="00800BDB" w:rsidP="00BF01F4">
      <w:pPr>
        <w:pStyle w:val="af8"/>
        <w:widowControl/>
        <w:numPr>
          <w:ilvl w:val="0"/>
          <w:numId w:val="14"/>
        </w:numPr>
        <w:autoSpaceDE/>
        <w:autoSpaceDN/>
        <w:adjustRightInd/>
        <w:spacing w:before="30"/>
        <w:rPr>
          <w:sz w:val="24"/>
          <w:szCs w:val="24"/>
          <w:lang w:val="en-US"/>
        </w:rPr>
      </w:pPr>
      <w:r w:rsidRPr="002273DF">
        <w:rPr>
          <w:sz w:val="24"/>
          <w:szCs w:val="24"/>
          <w:lang w:val="en-US"/>
        </w:rPr>
        <w:t xml:space="preserve">McKusick V. Mendelian Inheritance in Man (10th ed.). Baltimore: Johns Hopkins University Press, 1992. </w:t>
      </w:r>
    </w:p>
    <w:p w:rsidR="00800BDB" w:rsidRPr="002273DF" w:rsidRDefault="00800BDB" w:rsidP="00BF01F4">
      <w:pPr>
        <w:pStyle w:val="af8"/>
        <w:widowControl/>
        <w:numPr>
          <w:ilvl w:val="0"/>
          <w:numId w:val="14"/>
        </w:numPr>
        <w:autoSpaceDE/>
        <w:autoSpaceDN/>
        <w:adjustRightInd/>
        <w:spacing w:before="30"/>
        <w:rPr>
          <w:sz w:val="24"/>
          <w:szCs w:val="24"/>
          <w:lang w:val="en-US"/>
        </w:rPr>
      </w:pPr>
      <w:r w:rsidRPr="002273DF">
        <w:rPr>
          <w:sz w:val="24"/>
          <w:szCs w:val="24"/>
          <w:lang w:val="en-US"/>
        </w:rPr>
        <w:lastRenderedPageBreak/>
        <w:t xml:space="preserve">Rimoin DL. Disorders of the Endocrine Glands. In AA Dietz (ed.), Genetic Disease: Diagnosis and Treatment. Proceedings of the Fifth Arnold O. Beckman Conference in Clinical Chemistry. Monterey, CA: The Association for Clinical Chemistry, 1983. </w:t>
      </w:r>
    </w:p>
    <w:p w:rsidR="00800BDB" w:rsidRPr="002273DF" w:rsidRDefault="00800BDB" w:rsidP="00BF01F4">
      <w:pPr>
        <w:pStyle w:val="af8"/>
        <w:widowControl/>
        <w:numPr>
          <w:ilvl w:val="0"/>
          <w:numId w:val="14"/>
        </w:numPr>
        <w:autoSpaceDE/>
        <w:autoSpaceDN/>
        <w:adjustRightInd/>
        <w:spacing w:before="30"/>
        <w:rPr>
          <w:sz w:val="24"/>
          <w:szCs w:val="24"/>
          <w:lang w:val="en-US"/>
        </w:rPr>
      </w:pPr>
      <w:r w:rsidRPr="002273DF">
        <w:rPr>
          <w:sz w:val="24"/>
          <w:szCs w:val="24"/>
          <w:lang w:val="en-US"/>
        </w:rPr>
        <w:t xml:space="preserve">Taybi H, Lachman RS. Radiology of Syndromes, Metabolic Disorders, and Skeletal Dysplasias (3rd ed). Chicago: Yearbook, 1990. </w:t>
      </w:r>
    </w:p>
    <w:p w:rsidR="00800BDB" w:rsidRPr="002273DF" w:rsidRDefault="00800BDB" w:rsidP="00BF01F4">
      <w:pPr>
        <w:pStyle w:val="af8"/>
        <w:widowControl/>
        <w:numPr>
          <w:ilvl w:val="0"/>
          <w:numId w:val="14"/>
        </w:numPr>
        <w:autoSpaceDE/>
        <w:autoSpaceDN/>
        <w:adjustRightInd/>
        <w:spacing w:before="30"/>
        <w:rPr>
          <w:sz w:val="24"/>
          <w:szCs w:val="24"/>
          <w:lang w:val="en-US"/>
        </w:rPr>
      </w:pPr>
      <w:r w:rsidRPr="002273DF">
        <w:rPr>
          <w:sz w:val="24"/>
          <w:szCs w:val="24"/>
          <w:lang w:val="en-US"/>
        </w:rPr>
        <w:t xml:space="preserve">Vogel F, Motulsky AG. Human Genetics: Problems and Approaches (2nd ed). New York: Springer, 1986. </w:t>
      </w:r>
    </w:p>
    <w:p w:rsidR="00800BDB" w:rsidRPr="002273DF" w:rsidRDefault="00800BDB" w:rsidP="00BF01F4">
      <w:pPr>
        <w:pStyle w:val="af8"/>
        <w:widowControl/>
        <w:numPr>
          <w:ilvl w:val="0"/>
          <w:numId w:val="14"/>
        </w:numPr>
        <w:autoSpaceDE/>
        <w:autoSpaceDN/>
        <w:adjustRightInd/>
        <w:spacing w:before="30"/>
        <w:rPr>
          <w:sz w:val="24"/>
          <w:szCs w:val="24"/>
          <w:lang w:val="en-US"/>
        </w:rPr>
      </w:pPr>
      <w:r w:rsidRPr="002273DF">
        <w:rPr>
          <w:sz w:val="24"/>
          <w:szCs w:val="24"/>
          <w:lang w:val="en-US"/>
        </w:rPr>
        <w:t xml:space="preserve">Wiedmann H-R, et al. Atlas of Clinical Syndromes—A Visual Aid to Diagnosis (2nd ed). St. Louis: Mosby, 1989. </w:t>
      </w:r>
    </w:p>
    <w:p w:rsidR="00800BDB" w:rsidRPr="002273DF" w:rsidRDefault="00800BDB" w:rsidP="00BF01F4">
      <w:pPr>
        <w:pStyle w:val="af8"/>
        <w:widowControl/>
        <w:numPr>
          <w:ilvl w:val="0"/>
          <w:numId w:val="14"/>
        </w:numPr>
        <w:autoSpaceDE/>
        <w:autoSpaceDN/>
        <w:adjustRightInd/>
        <w:spacing w:before="30"/>
        <w:rPr>
          <w:sz w:val="24"/>
          <w:szCs w:val="24"/>
          <w:lang w:val="en-US"/>
        </w:rPr>
      </w:pPr>
      <w:r w:rsidRPr="002273DF">
        <w:rPr>
          <w:sz w:val="24"/>
          <w:szCs w:val="24"/>
          <w:lang w:val="en-US"/>
        </w:rPr>
        <w:t xml:space="preserve">Wynne-Davis R, Hall CM, Apley AG. Atlas of Skeletal Dysplasias. Edinburgh: Churchill Livingstone, 1985.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Antonarakis SE. Diagnosis of genetic disorders at the DNA level. New Engl J Med 320:153, 1989.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Beato M. Gene regulation by steroid hormones. Cell 56:335, 1989.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Chin WW. Biosynthesis and secretion of peptide hormones. In KL Becker (ed.), Principles and Practice of Endocrinology and Metabolism. Philadelphia: Lippincott, 1990. P. 14.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Evans RM. The steroid and thyroid hormone receptor superfamily. Science 240:889, 1988.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Habener JF. Genetic control of hormone formation. In JD Wilson, DW Foster (eds), Williams Textbook of Endocrinology. Philadelphia: Saunders, 1992. P. 9.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Kahn CR, et al. Mechanism of action of hormones that act at the cell surface. In JD Wilson, DW Foster (eds), Williams Textbook of Endocrinology. Philadelphia: Saunders, 1992. Pp. 91.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Lazar MA, Chin WW. Nuclear thyroid hormone receptors. J Clin Invest 86:1777, 1990.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Lewin BM. Gene IV. New York: Wiley, 1990.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Maniatis T, et al. Regulation of inducible and tissue-specific gene expression. Science 236:1227, 1987. </w:t>
      </w:r>
    </w:p>
    <w:p w:rsidR="00800BDB"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Mitchell PJ, Tjian R. Transcriptional regulation in mammalian cells by sequence-specific DNA binding proteins. Science 245:371, 1989. </w:t>
      </w:r>
    </w:p>
    <w:p w:rsidR="001A76E2" w:rsidRPr="00FC0EDE" w:rsidRDefault="001A76E2" w:rsidP="001A76E2">
      <w:pPr>
        <w:pStyle w:val="literature"/>
        <w:numPr>
          <w:ilvl w:val="0"/>
          <w:numId w:val="14"/>
        </w:numPr>
        <w:jc w:val="both"/>
        <w:rPr>
          <w:lang w:val="en-US"/>
        </w:rPr>
      </w:pPr>
      <w:r w:rsidRPr="00FC0EDE">
        <w:rPr>
          <w:lang w:val="en-US"/>
        </w:rPr>
        <w:t xml:space="preserve">Fernandes J, Saudubray J-M, Tada K (eds), Inborn Metabolic Diseases: Diagnosis and Treatment. Heidelberg: Springer, 1990. </w:t>
      </w:r>
    </w:p>
    <w:p w:rsidR="001A76E2" w:rsidRPr="00FC0EDE" w:rsidRDefault="001A76E2" w:rsidP="001A76E2">
      <w:pPr>
        <w:pStyle w:val="literature"/>
        <w:numPr>
          <w:ilvl w:val="0"/>
          <w:numId w:val="14"/>
        </w:numPr>
        <w:jc w:val="both"/>
        <w:rPr>
          <w:lang w:val="en-US"/>
        </w:rPr>
      </w:pPr>
      <w:r w:rsidRPr="00FC0EDE">
        <w:rPr>
          <w:lang w:val="en-US"/>
        </w:rPr>
        <w:t xml:space="preserve">McKusick VA. Mendelian Inheritance in Man (10th ed). Baltimore: Johns Hopkins Press, 1992. </w:t>
      </w:r>
    </w:p>
    <w:p w:rsidR="006D0C8C" w:rsidRPr="00B9319F" w:rsidRDefault="001A76E2" w:rsidP="00D74BB9">
      <w:pPr>
        <w:pStyle w:val="literature"/>
        <w:numPr>
          <w:ilvl w:val="0"/>
          <w:numId w:val="14"/>
        </w:numPr>
        <w:spacing w:after="160" w:line="259" w:lineRule="auto"/>
        <w:jc w:val="both"/>
        <w:rPr>
          <w:lang w:val="en-US"/>
        </w:rPr>
      </w:pPr>
      <w:r w:rsidRPr="00B9319F">
        <w:rPr>
          <w:lang w:val="en-US"/>
        </w:rPr>
        <w:t xml:space="preserve">Scriver CR, et al (eds). The Metabolic Basis of Inherited Disease (6th ed). New York: McGraw-Hill, 1989. </w:t>
      </w:r>
    </w:p>
    <w:sectPr w:rsidR="006D0C8C" w:rsidRPr="00B9319F" w:rsidSect="006D0C8C">
      <w:headerReference w:type="default" r:id="rId12"/>
      <w:headerReference w:type="first" r:id="rId13"/>
      <w:pgSz w:w="11906" w:h="16838" w:code="9"/>
      <w:pgMar w:top="2591" w:right="851" w:bottom="1559" w:left="1134" w:header="142" w:footer="115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46E6" w:rsidRDefault="000E46E6" w:rsidP="001E7D29">
      <w:r>
        <w:separator/>
      </w:r>
    </w:p>
  </w:endnote>
  <w:endnote w:type="continuationSeparator" w:id="0">
    <w:p w:rsidR="000E46E6" w:rsidRDefault="000E46E6" w:rsidP="001E7D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SimHei">
    <w:altName w:val="黑体"/>
    <w:panose1 w:val="02010600030101010101"/>
    <w:charset w:val="86"/>
    <w:family w:val="modern"/>
    <w:notTrueType/>
    <w:pitch w:val="fixed"/>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00002FF" w:usb1="0000F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46E6" w:rsidRDefault="000E46E6" w:rsidP="001E7D29">
      <w:r>
        <w:separator/>
      </w:r>
    </w:p>
  </w:footnote>
  <w:footnote w:type="continuationSeparator" w:id="0">
    <w:p w:rsidR="000E46E6" w:rsidRDefault="000E46E6" w:rsidP="001E7D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4F42" w:rsidRDefault="00FE777E" w:rsidP="005F25B0">
    <w:pPr>
      <w:pStyle w:val="afff1"/>
    </w:pPr>
    <w:r w:rsidRPr="00FE777E">
      <w:rPr>
        <w:noProof/>
      </w:rPr>
      <mc:AlternateContent>
        <mc:Choice Requires="wps">
          <w:drawing>
            <wp:anchor distT="0" distB="0" distL="114300" distR="114300" simplePos="0" relativeHeight="251665408" behindDoc="1" locked="0" layoutInCell="1" allowOverlap="1" wp14:anchorId="74BFE3E3" wp14:editId="0096759A">
              <wp:simplePos x="0" y="0"/>
              <wp:positionH relativeFrom="column">
                <wp:posOffset>-554355</wp:posOffset>
              </wp:positionH>
              <wp:positionV relativeFrom="paragraph">
                <wp:posOffset>563880</wp:posOffset>
              </wp:positionV>
              <wp:extent cx="2833370" cy="722630"/>
              <wp:effectExtent l="19050" t="19050" r="24130" b="20320"/>
              <wp:wrapTight wrapText="bothSides">
                <wp:wrapPolygon edited="0">
                  <wp:start x="-145" y="-569"/>
                  <wp:lineTo x="-145" y="21638"/>
                  <wp:lineTo x="21639" y="21638"/>
                  <wp:lineTo x="21639" y="-569"/>
                  <wp:lineTo x="-145" y="-569"/>
                </wp:wrapPolygon>
              </wp:wrapTight>
              <wp:docPr id="2" name="Фигура 61">
                <a:extLst xmlns:a="http://schemas.openxmlformats.org/drawingml/2006/main">
                  <a:ext uri="{C183D7F6-B498-43B3-948B-1728B52AA6E4}">
                    <adec:decorative xmlns:cx="http://schemas.microsoft.com/office/drawing/2014/chartex" xmlns:w16se="http://schemas.microsoft.com/office/word/2015/wordml/symex"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833370" cy="722630"/>
                      </a:xfrm>
                      <a:prstGeom prst="rect">
                        <a:avLst/>
                      </a:prstGeom>
                      <a:ln w="38100">
                        <a:solidFill>
                          <a:schemeClr val="bg1"/>
                        </a:solidFill>
                        <a:miter lim="400000"/>
                      </a:ln>
                      <a:extLst>
                        <a:ext uri="{C572A759-6A51-4108-AA02-DFA0A04FC94B}">
                          <ma14:wrappingTextBoxFlag xmlns:cx="http://schemas.microsoft.com/office/drawing/2014/chartex"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p="http://schemas.openxmlformats.org/presentationml/2006/main" xmlns:lc="http://schemas.openxmlformats.org/drawingml/2006/lockedCanvas" xmlns:ma14="http://schemas.microsoft.com/office/mac/drawingml/2011/main" xmlns:w10="urn:schemas-microsoft-com:office:word" xmlns:v="urn:schemas-microsoft-com:vml" xmlns:o="urn:schemas-microsoft-com:office:office" xmlns:w="http://schemas.openxmlformats.org/wordprocessingml/2006/main" xmlns="" val="1"/>
                        </a:ext>
                      </a:extLst>
                    </wps:spPr>
                    <wps:txbx>
                      <w:txbxContent>
                        <w:p w:rsidR="00FE777E" w:rsidRPr="00FA3FA4" w:rsidRDefault="006F36A7" w:rsidP="00FA3FA4">
                          <w:pPr>
                            <w:pStyle w:val="afffff4"/>
                            <w:shd w:val="clear" w:color="auto" w:fill="44546A"/>
                            <w:jc w:val="center"/>
                            <w:rPr>
                              <w:color w:val="FFFFFF"/>
                              <w:sz w:val="21"/>
                              <w:lang w:val="en-US"/>
                            </w:rPr>
                          </w:pPr>
                          <w:r w:rsidRPr="00FA3FA4">
                            <w:rPr>
                              <w:b/>
                              <w:color w:val="FFFFFF"/>
                              <w:sz w:val="26"/>
                              <w:szCs w:val="26"/>
                            </w:rPr>
                            <w:t>АНДИЖАНСКИЙ ГОСУДАРСТВЕННЫЙ МЕДИЦИНСКИЙ ИНСТИТУТ</w:t>
                          </w:r>
                        </w:p>
                      </w:txbxContent>
                    </wps:txbx>
                    <wps:bodyPr wrap="square" lIns="19050" tIns="19050" rIns="19050" bIns="19050" anchor="ctr">
                      <a:noAutofit/>
                    </wps:bodyPr>
                  </wps:wsp>
                </a:graphicData>
              </a:graphic>
              <wp14:sizeRelH relativeFrom="page">
                <wp14:pctWidth>0</wp14:pctWidth>
              </wp14:sizeRelH>
              <wp14:sizeRelV relativeFrom="page">
                <wp14:pctHeight>0</wp14:pctHeight>
              </wp14:sizeRelV>
            </wp:anchor>
          </w:drawing>
        </mc:Choice>
        <mc:Fallback>
          <w:pict>
            <v:rect w14:anchorId="74BFE3E3" id="Фигура 61" o:spid="_x0000_s1026" style="position:absolute;margin-left:-43.65pt;margin-top:44.4pt;width:223.1pt;height:56.9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" filled="f" strokecolor="white [3212]" strokeweight="3pt">
              <v:stroke miterlimit="4"/>
              <v:textbox inset="1.5pt,1.5pt,1.5pt,1.5pt">
                <w:txbxContent>
                  <w:p w:rsidR="00FE777E" w:rsidRPr="00FA3FA4" w:rsidRDefault="006F36A7" w:rsidP="00FA3FA4">
                    <w:pPr>
                      <w:pStyle w:val="afffff4"/>
                      <w:shd w:val="clear" w:color="auto" w:fill="44546A"/>
                      <w:jc w:val="center"/>
                      <w:rPr>
                        <w:color w:val="FFFFFF"/>
                        <w:sz w:val="21"/>
                        <w:lang w:val="en-US"/>
                      </w:rPr>
                    </w:pPr>
                    <w:r w:rsidRPr="00FA3FA4">
                      <w:rPr>
                        <w:b/>
                        <w:color w:val="FFFFFF"/>
                        <w:sz w:val="26"/>
                        <w:szCs w:val="26"/>
                      </w:rPr>
                      <w:t>АНДИЖАНСКИЙ ГОСУДАРСТВЕННЫЙ МЕДИЦИНСКИЙ ИНСТИТУТ</w:t>
                    </w:r>
                  </w:p>
                </w:txbxContent>
              </v:textbox>
              <w10:wrap type="tight"/>
            </v:rect>
          </w:pict>
        </mc:Fallback>
      </mc:AlternateContent>
    </w:r>
    <w:r w:rsidRPr="00FE777E">
      <w:rPr>
        <w:noProof/>
      </w:rPr>
      <w:drawing>
        <wp:anchor distT="0" distB="0" distL="114300" distR="114300" simplePos="0" relativeHeight="251666432" behindDoc="1" locked="0" layoutInCell="1" allowOverlap="1" wp14:anchorId="272A4B6C" wp14:editId="1C9C23BD">
          <wp:simplePos x="0" y="0"/>
          <wp:positionH relativeFrom="margin">
            <wp:posOffset>4912721</wp:posOffset>
          </wp:positionH>
          <wp:positionV relativeFrom="paragraph">
            <wp:posOffset>82018</wp:posOffset>
          </wp:positionV>
          <wp:extent cx="1266825" cy="1243330"/>
          <wp:effectExtent l="0" t="0" r="9525" b="0"/>
          <wp:wrapTight wrapText="bothSides">
            <wp:wrapPolygon edited="0">
              <wp:start x="8445" y="0"/>
              <wp:lineTo x="6821" y="331"/>
              <wp:lineTo x="1624" y="4302"/>
              <wp:lineTo x="0" y="9598"/>
              <wp:lineTo x="1624" y="15886"/>
              <wp:lineTo x="1624" y="17540"/>
              <wp:lineTo x="5847" y="21181"/>
              <wp:lineTo x="7795" y="21181"/>
              <wp:lineTo x="14292" y="21181"/>
              <wp:lineTo x="16241" y="21181"/>
              <wp:lineTo x="20788" y="17540"/>
              <wp:lineTo x="21438" y="9928"/>
              <wp:lineTo x="20463" y="4633"/>
              <wp:lineTo x="15591" y="662"/>
              <wp:lineTo x="13642" y="0"/>
              <wp:lineTo x="8445" y="0"/>
            </wp:wrapPolygon>
          </wp:wrapTight>
          <wp:docPr id="36" name="Рисунок 36" descr="C:\Users\User\Desktop\Без-имени-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Без-имени-1-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1243330"/>
                  </a:xfrm>
                  <a:prstGeom prst="rect">
                    <a:avLst/>
                  </a:prstGeom>
                  <a:noFill/>
                  <a:ln>
                    <a:noFill/>
                  </a:ln>
                </pic:spPr>
              </pic:pic>
            </a:graphicData>
          </a:graphic>
          <wp14:sizeRelH relativeFrom="page">
            <wp14:pctWidth>0</wp14:pctWidth>
          </wp14:sizeRelH>
          <wp14:sizeRelV relativeFrom="page">
            <wp14:pctHeight>0</wp14:pctHeight>
          </wp14:sizeRelV>
        </wp:anchor>
      </w:drawing>
    </w:r>
    <w:r w:rsidR="002E4F42" w:rsidRPr="00084752">
      <w:rPr>
        <w:noProof/>
      </w:rPr>
      <mc:AlternateContent>
        <mc:Choice Requires="wpg">
          <w:drawing>
            <wp:anchor distT="0" distB="0" distL="114300" distR="114300" simplePos="0" relativeHeight="251659264" behindDoc="1" locked="0" layoutInCell="1" allowOverlap="1" wp14:anchorId="3E98740C" wp14:editId="79A8CA45">
              <wp:simplePos x="0" y="0"/>
              <wp:positionH relativeFrom="page">
                <wp:align>center</wp:align>
              </wp:positionH>
              <wp:positionV relativeFrom="page">
                <wp:align>center</wp:align>
              </wp:positionV>
              <wp:extent cx="7556500" cy="10865485"/>
              <wp:effectExtent l="0" t="0" r="2540" b="14605"/>
              <wp:wrapNone/>
              <wp:docPr id="29" name="Группа 29">
                <a:extLst xmlns:a="http://schemas.openxmlformats.org/drawingml/2006/main">
                  <a:ext uri="{C183D7F6-B498-43B3-948B-1728B52AA6E4}">
                    <adec:decorative xmlns:cx="http://schemas.microsoft.com/office/drawing/2014/chartex" xmlns:w16se="http://schemas.microsoft.com/office/word/2015/wordml/symex"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556500" cy="10865485"/>
                        <a:chOff x="0" y="0"/>
                        <a:chExt cx="7556858" cy="10865783"/>
                      </a:xfrm>
                    </wpg:grpSpPr>
                    <wps:wsp>
                      <wps:cNvPr id="8" name="Полилиния: Фигура 8"/>
                      <wps:cNvSpPr/>
                      <wps:spPr>
                        <a:xfrm>
                          <a:off x="4120179" y="0"/>
                          <a:ext cx="3436679" cy="896497"/>
                        </a:xfrm>
                        <a:custGeom>
                          <a:avLst/>
                          <a:gdLst>
                            <a:gd name="connsiteX0" fmla="*/ 3429208 w 3436678"/>
                            <a:gd name="connsiteY0" fmla="*/ 12451 h 896496"/>
                            <a:gd name="connsiteX1" fmla="*/ 3429208 w 3436678"/>
                            <a:gd name="connsiteY1" fmla="*/ 889026 h 896496"/>
                            <a:gd name="connsiteX2" fmla="*/ 497239 w 3436678"/>
                            <a:gd name="connsiteY2" fmla="*/ 889026 h 896496"/>
                            <a:gd name="connsiteX3" fmla="*/ 12452 w 3436678"/>
                            <a:gd name="connsiteY3" fmla="*/ 12451 h 896496"/>
                          </a:gdLst>
                          <a:ahLst/>
                          <a:cxnLst>
                            <a:cxn ang="0">
                              <a:pos x="connsiteX0" y="connsiteY0"/>
                            </a:cxn>
                            <a:cxn ang="0">
                              <a:pos x="connsiteX1" y="connsiteY1"/>
                            </a:cxn>
                            <a:cxn ang="0">
                              <a:pos x="connsiteX2" y="connsiteY2"/>
                            </a:cxn>
                            <a:cxn ang="0">
                              <a:pos x="connsiteX3" y="connsiteY3"/>
                            </a:cxn>
                          </a:cxnLst>
                          <a:rect l="l" t="t" r="r" b="b"/>
                          <a:pathLst>
                            <a:path w="3436678" h="896496">
                              <a:moveTo>
                                <a:pt x="3429208" y="12451"/>
                              </a:moveTo>
                              <a:lnTo>
                                <a:pt x="3429208" y="889026"/>
                              </a:lnTo>
                              <a:lnTo>
                                <a:pt x="497239" y="889026"/>
                              </a:lnTo>
                              <a:lnTo>
                                <a:pt x="12452" y="12451"/>
                              </a:lnTo>
                              <a:close/>
                            </a:path>
                          </a:pathLst>
                        </a:custGeom>
                        <a:solidFill>
                          <a:schemeClr val="tx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Полилиния: Фигура 9"/>
                      <wps:cNvSpPr/>
                      <wps:spPr>
                        <a:xfrm>
                          <a:off x="0" y="656216"/>
                          <a:ext cx="3519690" cy="896497"/>
                        </a:xfrm>
                        <a:custGeom>
                          <a:avLst/>
                          <a:gdLst>
                            <a:gd name="connsiteX0" fmla="*/ 12452 w 3519690"/>
                            <a:gd name="connsiteY0" fmla="*/ 890686 h 896496"/>
                            <a:gd name="connsiteX1" fmla="*/ 12452 w 3519690"/>
                            <a:gd name="connsiteY1" fmla="*/ 12451 h 896496"/>
                            <a:gd name="connsiteX2" fmla="*/ 3030752 w 3519690"/>
                            <a:gd name="connsiteY2" fmla="*/ 12451 h 896496"/>
                            <a:gd name="connsiteX3" fmla="*/ 3515540 w 3519690"/>
                            <a:gd name="connsiteY3" fmla="*/ 890686 h 896496"/>
                          </a:gdLst>
                          <a:ahLst/>
                          <a:cxnLst>
                            <a:cxn ang="0">
                              <a:pos x="connsiteX0" y="connsiteY0"/>
                            </a:cxn>
                            <a:cxn ang="0">
                              <a:pos x="connsiteX1" y="connsiteY1"/>
                            </a:cxn>
                            <a:cxn ang="0">
                              <a:pos x="connsiteX2" y="connsiteY2"/>
                            </a:cxn>
                            <a:cxn ang="0">
                              <a:pos x="connsiteX3" y="connsiteY3"/>
                            </a:cxn>
                          </a:cxnLst>
                          <a:rect l="l" t="t" r="r" b="b"/>
                          <a:pathLst>
                            <a:path w="3519690" h="896496">
                              <a:moveTo>
                                <a:pt x="12452" y="890686"/>
                              </a:moveTo>
                              <a:lnTo>
                                <a:pt x="12452" y="12451"/>
                              </a:lnTo>
                              <a:lnTo>
                                <a:pt x="3030752" y="12451"/>
                              </a:lnTo>
                              <a:lnTo>
                                <a:pt x="3515540" y="890686"/>
                              </a:lnTo>
                              <a:close/>
                            </a:path>
                          </a:pathLst>
                        </a:custGeom>
                        <a:solidFill>
                          <a:schemeClr val="tx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Полилиния: Фигура 12"/>
                      <wps:cNvSpPr/>
                      <wps:spPr>
                        <a:xfrm>
                          <a:off x="3399416" y="9886277"/>
                          <a:ext cx="912495" cy="979170"/>
                        </a:xfrm>
                        <a:custGeom>
                          <a:avLst/>
                          <a:gdLst>
                            <a:gd name="connsiteX0" fmla="*/ 12452 w 913127"/>
                            <a:gd name="connsiteY0" fmla="*/ 981997 h 979505"/>
                            <a:gd name="connsiteX1" fmla="*/ 575270 w 913127"/>
                            <a:gd name="connsiteY1" fmla="*/ 12451 h 979505"/>
                            <a:gd name="connsiteX2" fmla="*/ 905656 w 913127"/>
                            <a:gd name="connsiteY2" fmla="*/ 12451 h 979505"/>
                            <a:gd name="connsiteX3" fmla="*/ 342838 w 913127"/>
                            <a:gd name="connsiteY3" fmla="*/ 981997 h 979505"/>
                          </a:gdLst>
                          <a:ahLst/>
                          <a:cxnLst>
                            <a:cxn ang="0">
                              <a:pos x="connsiteX0" y="connsiteY0"/>
                            </a:cxn>
                            <a:cxn ang="0">
                              <a:pos x="connsiteX1" y="connsiteY1"/>
                            </a:cxn>
                            <a:cxn ang="0">
                              <a:pos x="connsiteX2" y="connsiteY2"/>
                            </a:cxn>
                            <a:cxn ang="0">
                              <a:pos x="connsiteX3" y="connsiteY3"/>
                            </a:cxn>
                          </a:cxnLst>
                          <a:rect l="l" t="t" r="r" b="b"/>
                          <a:pathLst>
                            <a:path w="913127" h="979505">
                              <a:moveTo>
                                <a:pt x="12452" y="981997"/>
                              </a:moveTo>
                              <a:lnTo>
                                <a:pt x="575270" y="12451"/>
                              </a:lnTo>
                              <a:lnTo>
                                <a:pt x="905656" y="12451"/>
                              </a:lnTo>
                              <a:lnTo>
                                <a:pt x="342838" y="981997"/>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Полилиния: Фигура 13"/>
                      <wps:cNvSpPr/>
                      <wps:spPr>
                        <a:xfrm>
                          <a:off x="2829261" y="9886277"/>
                          <a:ext cx="913127" cy="979506"/>
                        </a:xfrm>
                        <a:custGeom>
                          <a:avLst/>
                          <a:gdLst>
                            <a:gd name="connsiteX0" fmla="*/ 12452 w 913127"/>
                            <a:gd name="connsiteY0" fmla="*/ 981997 h 979505"/>
                            <a:gd name="connsiteX1" fmla="*/ 570289 w 913127"/>
                            <a:gd name="connsiteY1" fmla="*/ 12451 h 979505"/>
                            <a:gd name="connsiteX2" fmla="*/ 900675 w 913127"/>
                            <a:gd name="connsiteY2" fmla="*/ 12451 h 979505"/>
                            <a:gd name="connsiteX3" fmla="*/ 342838 w 913127"/>
                            <a:gd name="connsiteY3" fmla="*/ 981997 h 979505"/>
                          </a:gdLst>
                          <a:ahLst/>
                          <a:cxnLst>
                            <a:cxn ang="0">
                              <a:pos x="connsiteX0" y="connsiteY0"/>
                            </a:cxn>
                            <a:cxn ang="0">
                              <a:pos x="connsiteX1" y="connsiteY1"/>
                            </a:cxn>
                            <a:cxn ang="0">
                              <a:pos x="connsiteX2" y="connsiteY2"/>
                            </a:cxn>
                            <a:cxn ang="0">
                              <a:pos x="connsiteX3" y="connsiteY3"/>
                            </a:cxn>
                          </a:cxnLst>
                          <a:rect l="l" t="t" r="r" b="b"/>
                          <a:pathLst>
                            <a:path w="913127" h="979505">
                              <a:moveTo>
                                <a:pt x="12452" y="981997"/>
                              </a:moveTo>
                              <a:lnTo>
                                <a:pt x="570289" y="12451"/>
                              </a:lnTo>
                              <a:lnTo>
                                <a:pt x="900675" y="12451"/>
                              </a:lnTo>
                              <a:lnTo>
                                <a:pt x="342838" y="981997"/>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Полилиния: фигура 14"/>
                      <wps:cNvSpPr/>
                      <wps:spPr>
                        <a:xfrm>
                          <a:off x="4034118" y="9886277"/>
                          <a:ext cx="3519690" cy="896497"/>
                        </a:xfrm>
                        <a:custGeom>
                          <a:avLst/>
                          <a:gdLst>
                            <a:gd name="connsiteX0" fmla="*/ 3515540 w 3519690"/>
                            <a:gd name="connsiteY0" fmla="*/ 889026 h 896496"/>
                            <a:gd name="connsiteX1" fmla="*/ 3515540 w 3519690"/>
                            <a:gd name="connsiteY1" fmla="*/ 12451 h 896496"/>
                            <a:gd name="connsiteX2" fmla="*/ 497239 w 3519690"/>
                            <a:gd name="connsiteY2" fmla="*/ 12451 h 896496"/>
                            <a:gd name="connsiteX3" fmla="*/ 12452 w 3519690"/>
                            <a:gd name="connsiteY3" fmla="*/ 889026 h 896496"/>
                          </a:gdLst>
                          <a:ahLst/>
                          <a:cxnLst>
                            <a:cxn ang="0">
                              <a:pos x="connsiteX0" y="connsiteY0"/>
                            </a:cxn>
                            <a:cxn ang="0">
                              <a:pos x="connsiteX1" y="connsiteY1"/>
                            </a:cxn>
                            <a:cxn ang="0">
                              <a:pos x="connsiteX2" y="connsiteY2"/>
                            </a:cxn>
                            <a:cxn ang="0">
                              <a:pos x="connsiteX3" y="connsiteY3"/>
                            </a:cxn>
                          </a:cxnLst>
                          <a:rect l="l" t="t" r="r" b="b"/>
                          <a:pathLst>
                            <a:path w="3519690" h="896496">
                              <a:moveTo>
                                <a:pt x="3515540" y="889026"/>
                              </a:moveTo>
                              <a:lnTo>
                                <a:pt x="3515540" y="12451"/>
                              </a:lnTo>
                              <a:lnTo>
                                <a:pt x="497239" y="12451"/>
                              </a:lnTo>
                              <a:lnTo>
                                <a:pt x="12452" y="889026"/>
                              </a:lnTo>
                              <a:close/>
                            </a:path>
                          </a:pathLst>
                        </a:custGeom>
                        <a:solidFill>
                          <a:schemeClr val="tx2"/>
                        </a:solidFill>
                        <a:ln w="9525" cap="flat">
                          <a:noFill/>
                          <a:prstDash val="solid"/>
                          <a:miter/>
                        </a:ln>
                      </wps:spPr>
                      <wps:txbx>
                        <w:txbxContent>
                          <w:p w:rsidR="002273DF" w:rsidRDefault="002273DF" w:rsidP="002273DF">
                            <w:pPr>
                              <w:jc w:val="center"/>
                            </w:pPr>
                            <w:r w:rsidRPr="002273DF">
                              <w:t>Лектор: Айсачева Мафтунабону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Полилиния: Фигура 8"/>
                      <wps:cNvSpPr/>
                      <wps:spPr>
                        <a:xfrm>
                          <a:off x="2872292" y="0"/>
                          <a:ext cx="1217295" cy="1542415"/>
                        </a:xfrm>
                        <a:custGeom>
                          <a:avLst/>
                          <a:gdLst>
                            <a:gd name="connsiteX0" fmla="*/ 0 w 1217675"/>
                            <a:gd name="connsiteY0" fmla="*/ 0 h 1542668"/>
                            <a:gd name="connsiteX1" fmla="*/ 330287 w 1217675"/>
                            <a:gd name="connsiteY1" fmla="*/ 0 h 1542668"/>
                            <a:gd name="connsiteX2" fmla="*/ 1217675 w 1217675"/>
                            <a:gd name="connsiteY2" fmla="*/ 1542668 h 1542668"/>
                            <a:gd name="connsiteX3" fmla="*/ 888533 w 1217675"/>
                            <a:gd name="connsiteY3" fmla="*/ 1542668 h 1542668"/>
                            <a:gd name="connsiteX4" fmla="*/ 0 w 1217675"/>
                            <a:gd name="connsiteY4" fmla="*/ 0 h 154266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17675" h="1542668">
                              <a:moveTo>
                                <a:pt x="0" y="0"/>
                              </a:moveTo>
                              <a:lnTo>
                                <a:pt x="330287" y="0"/>
                              </a:lnTo>
                              <a:lnTo>
                                <a:pt x="1217675" y="1542668"/>
                              </a:lnTo>
                              <a:lnTo>
                                <a:pt x="888533" y="1542668"/>
                              </a:lnTo>
                              <a:lnTo>
                                <a:pt x="0" y="0"/>
                              </a:lnTo>
                              <a:close/>
                            </a:path>
                          </a:pathLst>
                        </a:custGeom>
                        <a:solidFill>
                          <a:schemeClr val="accent2"/>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8" name="Полилиния: Фигура 7"/>
                      <wps:cNvSpPr/>
                      <wps:spPr>
                        <a:xfrm>
                          <a:off x="3474720" y="0"/>
                          <a:ext cx="1225138" cy="1542664"/>
                        </a:xfrm>
                        <a:custGeom>
                          <a:avLst/>
                          <a:gdLst>
                            <a:gd name="connsiteX0" fmla="*/ 0 w 1225138"/>
                            <a:gd name="connsiteY0" fmla="*/ 0 h 1542664"/>
                            <a:gd name="connsiteX1" fmla="*/ 330265 w 1225138"/>
                            <a:gd name="connsiteY1" fmla="*/ 0 h 1542664"/>
                            <a:gd name="connsiteX2" fmla="*/ 1225138 w 1225138"/>
                            <a:gd name="connsiteY2" fmla="*/ 1542664 h 1542664"/>
                            <a:gd name="connsiteX3" fmla="*/ 895208 w 1225138"/>
                            <a:gd name="connsiteY3" fmla="*/ 1542664 h 1542664"/>
                            <a:gd name="connsiteX4" fmla="*/ 0 w 1225138"/>
                            <a:gd name="connsiteY4" fmla="*/ 0 h 154266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25138" h="1542664">
                              <a:moveTo>
                                <a:pt x="0" y="0"/>
                              </a:moveTo>
                              <a:lnTo>
                                <a:pt x="330265" y="0"/>
                              </a:lnTo>
                              <a:lnTo>
                                <a:pt x="1225138" y="1542664"/>
                              </a:lnTo>
                              <a:lnTo>
                                <a:pt x="895208" y="1542664"/>
                              </a:lnTo>
                              <a:lnTo>
                                <a:pt x="0" y="0"/>
                              </a:lnTo>
                              <a:close/>
                            </a:path>
                          </a:pathLst>
                        </a:custGeom>
                        <a:solidFill>
                          <a:schemeClr val="accent2"/>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100000</wp14:pctWidth>
              </wp14:sizeRelH>
              <wp14:sizeRelV relativeFrom="page">
                <wp14:pctHeight>101600</wp14:pctHeight>
              </wp14:sizeRelV>
            </wp:anchor>
          </w:drawing>
        </mc:Choice>
        <mc:Fallback>
          <w:pict>
            <v:group w14:anchorId="3E98740C" id="Группа 29" o:spid="_x0000_s1027" style="position:absolute;margin-left:0;margin-top:0;width:595pt;height:855.55pt;z-index:-251657216;mso-width-percent:1000;mso-height-percent:1016;mso-position-horizontal:center;mso-position-horizontal-relative:page;mso-position-vertical:center;mso-position-vertical-relative:page;mso-width-percent:1000;mso-height-percent:1016" coordsize="75568,108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">
              <v:shape id="Полилиния: Фигура 8" o:spid="_x0000_s1028" style="position:absolute;left:41201;width:34367;height:8964;visibility:visible;mso-wrap-style:square;v-text-anchor:middle" coordsize="3436678,89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3+SL0A&#10;AADaAAAADwAAAGRycy9kb3ducmV2LnhtbERPy4rCMBTdD/gP4QpuBk0VRrQaRQSl2/EBLi/J7QOb&#10;m9JEW//eLASXh/Neb3tbiye1vnKsYDpJQBBrZyouFFzOh/EChA/IBmvHpOBFHrabwc8aU+M6/qfn&#10;KRQihrBPUUEZQpNK6XVJFv3ENcSRy11rMUTYFtK02MVwW8tZksylxYpjQ4kN7UvS99PDKjh2v/k9&#10;84frX3btMr3Uy9sxN0qNhv1uBSJQH77ijzszCuLWeCXeALl5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Oe3+SL0AAADaAAAADwAAAAAAAAAAAAAAAACYAgAAZHJzL2Rvd25yZXYu&#10;eG1sUEsFBgAAAAAEAAQA9QAAAIIDAAAAAA==&#10;" path="m3429208,12451r,876575l497239,889026,12452,12451r3416756,xe" fillcolor="#373545 [3215]" stroked="f">
                <v:stroke joinstyle="miter"/>
                <v:path arrowok="t" o:connecttype="custom" o:connectlocs="3429209,12451;3429209,889027;497239,889027;12452,12451" o:connectangles="0,0,0,0"/>
              </v:shape>
              <v:shape id="Полилиния: Фигура 9" o:spid="_x0000_s1029" style="position:absolute;top:6562;width:35196;height:8965;visibility:visible;mso-wrap-style:square;v-text-anchor:middle" coordsize="3519690,89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3+78MA&#10;AADaAAAADwAAAGRycy9kb3ducmV2LnhtbESPQYvCMBSE74L/ITzBi2i6gotWo4gg6MHDqojHR/Ns&#10;q81LabJt9debhQWPw8x8wyxWrSlETZXLLSv4GkUgiBOrc04VnE/b4RSE88gaC8uk4EkOVstuZ4Gx&#10;tg3/UH30qQgQdjEqyLwvYyldkpFBN7IlcfButjLog6xSqStsAtwUchxF39JgzmEhw5I2GSWP468J&#10;lKbdpoP6Wu4v4/OuOT3vk8fhpVS/167nIDy1/hP+b++0ghn8XQk3QC7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R3+78MAAADaAAAADwAAAAAAAAAAAAAAAACYAgAAZHJzL2Rv&#10;d25yZXYueG1sUEsFBgAAAAAEAAQA9QAAAIgDAAAAAA==&#10;" path="m12452,890686r,-878235l3030752,12451r484788,878235l12452,890686xe" fillcolor="#373545 [3215]" stroked="f">
                <v:stroke joinstyle="miter"/>
                <v:path arrowok="t" o:connecttype="custom" o:connectlocs="12452,890687;12452,12451;3030752,12451;3515540,890687" o:connectangles="0,0,0,0"/>
              </v:shape>
              <v:shape id="Полилиния: Фигура 12" o:spid="_x0000_s1030" style="position:absolute;left:33994;top:98862;width:9125;height:9792;visibility:visible;mso-wrap-style:square;v-text-anchor:middle" coordsize="913127,979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vnF8IA&#10;AADbAAAADwAAAGRycy9kb3ducmV2LnhtbESPQYvCMBCF74L/IYzgRTTVw7JUo4iieBFWLXgdk7Et&#10;NpPSpFr//WZB2NsM771v3ixWna3EkxpfOlYwnSQgiLUzJecKsstu/A3CB2SDlWNS8CYPq2W/t8DU&#10;uBef6HkOuYgQ9ikqKEKoUym9Lsiin7iaOGp311gMcW1yaRp8Rbit5CxJvqTFkuOFAmvaFKQf59Yq&#10;GN0e7+tetrrd+GNEbLPtj86UGg669RxEoC78mz/pg4n1Z/D3SxxAL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cXwgAAANsAAAAPAAAAAAAAAAAAAAAAAJgCAABkcnMvZG93&#10;bnJldi54bWxQSwUGAAAAAAQABAD1AAAAhwMAAAAA&#10;" path="m12452,981997l575270,12451r330386,l342838,981997r-330386,xe" fillcolor="#58b6c0 [3205]" stroked="f">
                <v:stroke joinstyle="miter"/>
                <v:path arrowok="t" o:connecttype="custom" o:connectlocs="12443,981661;574872,12447;905029,12447;342601,981661" o:connectangles="0,0,0,0"/>
              </v:shape>
              <v:shape id="Полилиния: Фигура 13" o:spid="_x0000_s1031" style="position:absolute;left:28292;top:98862;width:9131;height:9795;visibility:visible;mso-wrap-style:square;v-text-anchor:middle" coordsize="913127,979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dCjMQA&#10;AADbAAAADwAAAGRycy9kb3ducmV2LnhtbESPzWrDMBCE74W8g9hALyWR00IJTpQQbFp6KbSJIdeN&#10;tLFNrJWx5J+8fVUo9LbLzHw7u91PthEDdb52rGC1TEAQa2dqLhUUp7fFGoQPyAYbx6TgTh72u9nD&#10;FlPjRv6m4RhKESHsU1RQhdCmUnpdkUW/dC1x1K6usxji2pXSdDhGuG3kc5K8Sos1xwsVtpRVpG/H&#10;3ip4utzu53fZ6z7znxGRF/mXLpR6nE+HDYhAU/g3/6U/TKz/Ar+/xAHk7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HQozEAAAA2wAAAA8AAAAAAAAAAAAAAAAAmAIAAGRycy9k&#10;b3ducmV2LnhtbFBLBQYAAAAABAAEAPUAAACJAwAAAAA=&#10;" path="m12452,981997l570289,12451r330386,l342838,981997r-330386,xe" fillcolor="#58b6c0 [3205]" stroked="f">
                <v:stroke joinstyle="miter"/>
                <v:path arrowok="t" o:connecttype="custom" o:connectlocs="12452,981998;570289,12451;900675,12451;342838,981998" o:connectangles="0,0,0,0"/>
              </v:shape>
              <v:shape id="Полилиния: фигура 14" o:spid="_x0000_s1032" style="position:absolute;left:40341;top:98862;width:35197;height:8965;visibility:visible;mso-wrap-style:square;v-text-anchor:middle" coordsize="3519690,89649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H8DcEA&#10;AADbAAAADwAAAGRycy9kb3ducmV2LnhtbERPTWvCQBC9F/wPywje6kYtpURXUUugUHpo0oPHYXfM&#10;BrOzIbtN4r/vFgq9zeN9zu4wuVYM1IfGs4LVMgNBrL1puFbwVRWPLyBCRDbYeiYFdwpw2M8edpgb&#10;P/InDWWsRQrhkKMCG2OXSxm0JYdh6TvixF197zAm2NfS9DimcNfKdZY9S4cNpwaLHZ0t6Vv57RQc&#10;3zN9GSq+nezmdfqwfrMuNCu1mE/HLYhIU/wX/7nfTJr/BL+/pAPk/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Ax/A3BAAAA2wAAAA8AAAAAAAAAAAAAAAAAmAIAAGRycy9kb3du&#10;cmV2LnhtbFBLBQYAAAAABAAEAPUAAACGAwAAAAA=&#10;" adj="-11796480,,5400" path="m3515540,889026r,-876575l497239,12451,12452,889026r3503088,xe" fillcolor="#373545 [3215]" stroked="f">
                <v:stroke joinstyle="miter"/>
                <v:formulas/>
                <v:path arrowok="t" o:connecttype="custom" o:connectlocs="3515540,889027;3515540,12451;497239,12451;12452,889027" o:connectangles="0,0,0,0" textboxrect="0,0,3519690,896496"/>
                <v:textbox>
                  <w:txbxContent>
                    <w:p w:rsidR="002273DF" w:rsidRDefault="002273DF" w:rsidP="002273DF">
                      <w:pPr>
                        <w:jc w:val="center"/>
                      </w:pPr>
                      <w:r w:rsidRPr="002273DF">
                        <w:t>Лектор: Айсачева Мафтунабону</w:t>
                      </w:r>
                    </w:p>
                  </w:txbxContent>
                </v:textbox>
              </v:shape>
              <v:shape id="Полилиния: Фигура 8" o:spid="_x0000_s1033" style="position:absolute;left:28722;width:12173;height:15424;visibility:visible;mso-wrap-style:square;v-text-anchor:middle" coordsize="1217675,1542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ZTw8UA&#10;AADbAAAADwAAAGRycy9kb3ducmV2LnhtbESPQWvCQBSE7wX/w/IKvRTdNIcq0VWKILQKgtGDx0f2&#10;maTNexuyq8b+erdQ8DjMzDfMbNFzoy7U+dqJgbdRAoqkcLaW0sBhvxpOQPmAYrFxQgZu5GExHzzN&#10;MLPuKju65KFUESI+QwNVCG2mtS8qYvQj15JE7+Q6xhBlV2rb4TXCudFpkrxrxlriQoUtLSsqfvIz&#10;Gyh4sz1vXpf8e+M1TvJj+r3+So15ee4/pqAC9eER/m9/WgPpGP6+xB+g5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NlPDxQAAANsAAAAPAAAAAAAAAAAAAAAAAJgCAABkcnMv&#10;ZG93bnJldi54bWxQSwUGAAAAAAQABAD1AAAAigMAAAAA&#10;" path="m,l330287,r887388,1542668l888533,1542668,,xe" fillcolor="#58b6c0 [3205]" stroked="f">
                <v:stroke joinstyle="miter"/>
                <v:path arrowok="t" o:connecttype="custom" o:connectlocs="0,0;330184,0;1217295,1542415;888256,1542415;0,0" o:connectangles="0,0,0,0,0"/>
              </v:shape>
              <v:shape id="Полилиния: Фигура 7" o:spid="_x0000_s1034" style="position:absolute;left:34747;width:12251;height:15426;visibility:visible;mso-wrap-style:square;v-text-anchor:middle" coordsize="1225138,1542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tq9MIA&#10;AADbAAAADwAAAGRycy9kb3ducmV2LnhtbERPy2qDQBTdF/IPww10E+IYFyVYJ6EUBLElpbab7i7O&#10;9UGcO+JM1P59ZlHo8nDe2Xk1g5hpcr1lBYcoBkFcW91zq+D7K98fQTiPrHGwTAp+ycH5tHnIMNV2&#10;4U+aK9+KEMIuRQWd92Mqpas7MugiOxIHrrGTQR/g1Eo94RLCzSCTOH6SBnsODR2O9NpRfa1uRsHH&#10;T182c1m+vddjPq9U7EyyXJR63K4vzyA8rf5f/OcutIIkjA1fwg+Qp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C2r0wgAAANsAAAAPAAAAAAAAAAAAAAAAAJgCAABkcnMvZG93&#10;bnJldi54bWxQSwUGAAAAAAQABAD1AAAAhwMAAAAA&#10;" path="m,l330265,r894873,1542664l895208,1542664,,xe" fillcolor="#58b6c0 [3205]" stroked="f">
                <v:stroke joinstyle="miter"/>
                <v:path arrowok="t" o:connecttype="custom" o:connectlocs="0,0;330265,0;1225138,1542664;895208,1542664;0,0" o:connectangles="0,0,0,0,0"/>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25B0" w:rsidRDefault="00FE777E">
    <w:pPr>
      <w:pStyle w:val="afff1"/>
    </w:pPr>
    <w:r w:rsidRPr="00FE777E">
      <w:rPr>
        <w:b/>
        <w:noProof/>
        <w:sz w:val="28"/>
        <w:szCs w:val="28"/>
      </w:rPr>
      <w:drawing>
        <wp:anchor distT="0" distB="0" distL="114300" distR="114300" simplePos="0" relativeHeight="251663360" behindDoc="1" locked="0" layoutInCell="1" allowOverlap="1" wp14:anchorId="43E87FA0" wp14:editId="4974EDF9">
          <wp:simplePos x="0" y="0"/>
          <wp:positionH relativeFrom="margin">
            <wp:align>right</wp:align>
          </wp:positionH>
          <wp:positionV relativeFrom="paragraph">
            <wp:posOffset>89192</wp:posOffset>
          </wp:positionV>
          <wp:extent cx="1266825" cy="1243330"/>
          <wp:effectExtent l="0" t="0" r="9525" b="0"/>
          <wp:wrapTight wrapText="bothSides">
            <wp:wrapPolygon edited="0">
              <wp:start x="8445" y="0"/>
              <wp:lineTo x="6821" y="331"/>
              <wp:lineTo x="1624" y="4302"/>
              <wp:lineTo x="0" y="9598"/>
              <wp:lineTo x="1624" y="15886"/>
              <wp:lineTo x="1624" y="17540"/>
              <wp:lineTo x="5847" y="21181"/>
              <wp:lineTo x="7795" y="21181"/>
              <wp:lineTo x="14292" y="21181"/>
              <wp:lineTo x="16241" y="21181"/>
              <wp:lineTo x="20788" y="17540"/>
              <wp:lineTo x="21438" y="9928"/>
              <wp:lineTo x="20463" y="4633"/>
              <wp:lineTo x="15591" y="662"/>
              <wp:lineTo x="13642" y="0"/>
              <wp:lineTo x="8445" y="0"/>
            </wp:wrapPolygon>
          </wp:wrapTight>
          <wp:docPr id="37" name="Рисунок 37" descr="C:\Users\User\Desktop\Без-имени-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Без-имени-1-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1243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76DA">
      <w:rPr>
        <w:noProof/>
      </w:rPr>
      <mc:AlternateContent>
        <mc:Choice Requires="wps">
          <w:drawing>
            <wp:anchor distT="0" distB="0" distL="114300" distR="114300" simplePos="0" relativeHeight="251662336" behindDoc="1" locked="0" layoutInCell="1" allowOverlap="1" wp14:anchorId="25DA42EC" wp14:editId="41462CEE">
              <wp:simplePos x="0" y="0"/>
              <wp:positionH relativeFrom="column">
                <wp:posOffset>-554973</wp:posOffset>
              </wp:positionH>
              <wp:positionV relativeFrom="paragraph">
                <wp:posOffset>571500</wp:posOffset>
              </wp:positionV>
              <wp:extent cx="2833370" cy="722630"/>
              <wp:effectExtent l="19050" t="19050" r="24130" b="20320"/>
              <wp:wrapTight wrapText="bothSides">
                <wp:wrapPolygon edited="0">
                  <wp:start x="-145" y="-569"/>
                  <wp:lineTo x="-145" y="21638"/>
                  <wp:lineTo x="21639" y="21638"/>
                  <wp:lineTo x="21639" y="-569"/>
                  <wp:lineTo x="-145" y="-569"/>
                </wp:wrapPolygon>
              </wp:wrapTight>
              <wp:docPr id="21" name="Фигура 61">
                <a:extLst xmlns:a="http://schemas.openxmlformats.org/drawingml/2006/main">
                  <a:ext uri="{C183D7F6-B498-43B3-948B-1728B52AA6E4}">
                    <adec:decorative xmlns:cx="http://schemas.microsoft.com/office/drawing/2014/chartex" xmlns:w16se="http://schemas.microsoft.com/office/word/2015/wordml/symex"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833370" cy="722630"/>
                      </a:xfrm>
                      <a:prstGeom prst="rect">
                        <a:avLst/>
                      </a:prstGeom>
                      <a:ln w="38100">
                        <a:solidFill>
                          <a:schemeClr val="bg1"/>
                        </a:solidFill>
                        <a:miter lim="400000"/>
                      </a:ln>
                      <a:extLst>
                        <a:ext uri="{C572A759-6A51-4108-AA02-DFA0A04FC94B}">
                          <ma14:wrappingTextBoxFlag xmlns:cx="http://schemas.microsoft.com/office/drawing/2014/chartex"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p="http://schemas.openxmlformats.org/presentationml/2006/main" xmlns:lc="http://schemas.openxmlformats.org/drawingml/2006/lockedCanvas" xmlns:ma14="http://schemas.microsoft.com/office/mac/drawingml/2011/main" xmlns:w10="urn:schemas-microsoft-com:office:word" xmlns:v="urn:schemas-microsoft-com:vml" xmlns:o="urn:schemas-microsoft-com:office:office" xmlns:w="http://schemas.openxmlformats.org/wordprocessingml/2006/main" xmlns="" val="1"/>
                        </a:ext>
                      </a:extLst>
                    </wps:spPr>
                    <wps:txbx>
                      <w:txbxContent>
                        <w:p w:rsidR="00FE777E" w:rsidRPr="00FA3FA4" w:rsidRDefault="006F36A7" w:rsidP="00FA3FA4">
                          <w:pPr>
                            <w:pStyle w:val="afffff4"/>
                            <w:shd w:val="clear" w:color="auto" w:fill="44546A"/>
                            <w:jc w:val="center"/>
                            <w:rPr>
                              <w:color w:val="FFFFFF"/>
                              <w:sz w:val="21"/>
                              <w:lang w:val="en-US"/>
                            </w:rPr>
                          </w:pPr>
                          <w:r w:rsidRPr="00FA3FA4">
                            <w:rPr>
                              <w:b/>
                              <w:color w:val="FFFFFF"/>
                              <w:sz w:val="26"/>
                              <w:szCs w:val="26"/>
                            </w:rPr>
                            <w:t>АНДИЖАНСКИЙ ГОСУДАРСТВЕННЫЙ МЕДИЦИНСКИЙ ИНСТИТУТ</w:t>
                          </w:r>
                        </w:p>
                      </w:txbxContent>
                    </wps:txbx>
                    <wps:bodyPr wrap="square" lIns="19050" tIns="19050" rIns="19050" bIns="19050" anchor="ctr">
                      <a:noAutofit/>
                    </wps:bodyPr>
                  </wps:wsp>
                </a:graphicData>
              </a:graphic>
              <wp14:sizeRelH relativeFrom="page">
                <wp14:pctWidth>0</wp14:pctWidth>
              </wp14:sizeRelH>
              <wp14:sizeRelV relativeFrom="page">
                <wp14:pctHeight>0</wp14:pctHeight>
              </wp14:sizeRelV>
            </wp:anchor>
          </w:drawing>
        </mc:Choice>
        <mc:Fallback>
          <w:pict>
            <v:rect w14:anchorId="25DA42EC" id="_x0000_s1035" style="position:absolute;margin-left:-43.7pt;margin-top:45pt;width:223.1pt;height:56.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" filled="f" strokecolor="white [3212]" strokeweight="3pt">
              <v:stroke miterlimit="4"/>
              <v:textbox inset="1.5pt,1.5pt,1.5pt,1.5pt">
                <w:txbxContent>
                  <w:p w:rsidR="00FE777E" w:rsidRPr="00FA3FA4" w:rsidRDefault="006F36A7" w:rsidP="00FA3FA4">
                    <w:pPr>
                      <w:pStyle w:val="afffff4"/>
                      <w:shd w:val="clear" w:color="auto" w:fill="44546A"/>
                      <w:jc w:val="center"/>
                      <w:rPr>
                        <w:color w:val="FFFFFF"/>
                        <w:sz w:val="21"/>
                        <w:lang w:val="en-US"/>
                      </w:rPr>
                    </w:pPr>
                    <w:r w:rsidRPr="00FA3FA4">
                      <w:rPr>
                        <w:b/>
                        <w:color w:val="FFFFFF"/>
                        <w:sz w:val="26"/>
                        <w:szCs w:val="26"/>
                      </w:rPr>
                      <w:t>АНДИЖАНСКИЙ ГОСУДАРСТВЕННЫЙ МЕДИЦИНСКИЙ ИНСТИТУТ</w:t>
                    </w:r>
                  </w:p>
                </w:txbxContent>
              </v:textbox>
              <w10:wrap type="tight"/>
            </v:rect>
          </w:pict>
        </mc:Fallback>
      </mc:AlternateContent>
    </w:r>
    <w:r w:rsidR="005F25B0" w:rsidRPr="00084752">
      <w:rPr>
        <w:noProof/>
      </w:rPr>
      <mc:AlternateContent>
        <mc:Choice Requires="wpg">
          <w:drawing>
            <wp:anchor distT="0" distB="0" distL="114300" distR="114300" simplePos="0" relativeHeight="251661312" behindDoc="1" locked="0" layoutInCell="1" allowOverlap="1" wp14:anchorId="53E599E5" wp14:editId="2A4DC607">
              <wp:simplePos x="0" y="0"/>
              <wp:positionH relativeFrom="page">
                <wp:align>center</wp:align>
              </wp:positionH>
              <wp:positionV relativeFrom="page">
                <wp:align>center</wp:align>
              </wp:positionV>
              <wp:extent cx="7556500" cy="10865485"/>
              <wp:effectExtent l="0" t="0" r="2540" b="14605"/>
              <wp:wrapNone/>
              <wp:docPr id="22" name="Группа 22">
                <a:extLst xmlns:a="http://schemas.openxmlformats.org/drawingml/2006/main">
                  <a:ext uri="{C183D7F6-B498-43B3-948B-1728B52AA6E4}">
                    <adec:decorative xmlns:cx="http://schemas.microsoft.com/office/drawing/2014/chartex" xmlns:w16se="http://schemas.microsoft.com/office/word/2015/wordml/symex"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556500" cy="10865485"/>
                        <a:chOff x="0" y="0"/>
                        <a:chExt cx="7556858" cy="10865783"/>
                      </a:xfrm>
                    </wpg:grpSpPr>
                    <wps:wsp>
                      <wps:cNvPr id="23" name="Полилиния: Фигура 23"/>
                      <wps:cNvSpPr/>
                      <wps:spPr>
                        <a:xfrm>
                          <a:off x="4120179" y="0"/>
                          <a:ext cx="3436679" cy="896497"/>
                        </a:xfrm>
                        <a:custGeom>
                          <a:avLst/>
                          <a:gdLst>
                            <a:gd name="connsiteX0" fmla="*/ 3429208 w 3436678"/>
                            <a:gd name="connsiteY0" fmla="*/ 12451 h 896496"/>
                            <a:gd name="connsiteX1" fmla="*/ 3429208 w 3436678"/>
                            <a:gd name="connsiteY1" fmla="*/ 889026 h 896496"/>
                            <a:gd name="connsiteX2" fmla="*/ 497239 w 3436678"/>
                            <a:gd name="connsiteY2" fmla="*/ 889026 h 896496"/>
                            <a:gd name="connsiteX3" fmla="*/ 12452 w 3436678"/>
                            <a:gd name="connsiteY3" fmla="*/ 12451 h 896496"/>
                          </a:gdLst>
                          <a:ahLst/>
                          <a:cxnLst>
                            <a:cxn ang="0">
                              <a:pos x="connsiteX0" y="connsiteY0"/>
                            </a:cxn>
                            <a:cxn ang="0">
                              <a:pos x="connsiteX1" y="connsiteY1"/>
                            </a:cxn>
                            <a:cxn ang="0">
                              <a:pos x="connsiteX2" y="connsiteY2"/>
                            </a:cxn>
                            <a:cxn ang="0">
                              <a:pos x="connsiteX3" y="connsiteY3"/>
                            </a:cxn>
                          </a:cxnLst>
                          <a:rect l="l" t="t" r="r" b="b"/>
                          <a:pathLst>
                            <a:path w="3436678" h="896496">
                              <a:moveTo>
                                <a:pt x="3429208" y="12451"/>
                              </a:moveTo>
                              <a:lnTo>
                                <a:pt x="3429208" y="889026"/>
                              </a:lnTo>
                              <a:lnTo>
                                <a:pt x="497239" y="889026"/>
                              </a:lnTo>
                              <a:lnTo>
                                <a:pt x="12452" y="12451"/>
                              </a:lnTo>
                              <a:close/>
                            </a:path>
                          </a:pathLst>
                        </a:custGeom>
                        <a:solidFill>
                          <a:schemeClr val="tx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Полилиния: Форма 24"/>
                      <wps:cNvSpPr/>
                      <wps:spPr>
                        <a:xfrm>
                          <a:off x="0" y="656216"/>
                          <a:ext cx="3519690" cy="896497"/>
                        </a:xfrm>
                        <a:custGeom>
                          <a:avLst/>
                          <a:gdLst>
                            <a:gd name="connsiteX0" fmla="*/ 12452 w 3519690"/>
                            <a:gd name="connsiteY0" fmla="*/ 890686 h 896496"/>
                            <a:gd name="connsiteX1" fmla="*/ 12452 w 3519690"/>
                            <a:gd name="connsiteY1" fmla="*/ 12451 h 896496"/>
                            <a:gd name="connsiteX2" fmla="*/ 3030752 w 3519690"/>
                            <a:gd name="connsiteY2" fmla="*/ 12451 h 896496"/>
                            <a:gd name="connsiteX3" fmla="*/ 3515540 w 3519690"/>
                            <a:gd name="connsiteY3" fmla="*/ 890686 h 896496"/>
                          </a:gdLst>
                          <a:ahLst/>
                          <a:cxnLst>
                            <a:cxn ang="0">
                              <a:pos x="connsiteX0" y="connsiteY0"/>
                            </a:cxn>
                            <a:cxn ang="0">
                              <a:pos x="connsiteX1" y="connsiteY1"/>
                            </a:cxn>
                            <a:cxn ang="0">
                              <a:pos x="connsiteX2" y="connsiteY2"/>
                            </a:cxn>
                            <a:cxn ang="0">
                              <a:pos x="connsiteX3" y="connsiteY3"/>
                            </a:cxn>
                          </a:cxnLst>
                          <a:rect l="l" t="t" r="r" b="b"/>
                          <a:pathLst>
                            <a:path w="3519690" h="896496">
                              <a:moveTo>
                                <a:pt x="12452" y="890686"/>
                              </a:moveTo>
                              <a:lnTo>
                                <a:pt x="12452" y="12451"/>
                              </a:lnTo>
                              <a:lnTo>
                                <a:pt x="3030752" y="12451"/>
                              </a:lnTo>
                              <a:lnTo>
                                <a:pt x="3515540" y="890686"/>
                              </a:lnTo>
                              <a:close/>
                            </a:path>
                          </a:pathLst>
                        </a:custGeom>
                        <a:solidFill>
                          <a:schemeClr val="tx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Полилиния: Форма 25"/>
                      <wps:cNvSpPr/>
                      <wps:spPr>
                        <a:xfrm>
                          <a:off x="3399416" y="9886277"/>
                          <a:ext cx="912495" cy="979170"/>
                        </a:xfrm>
                        <a:custGeom>
                          <a:avLst/>
                          <a:gdLst>
                            <a:gd name="connsiteX0" fmla="*/ 12452 w 913127"/>
                            <a:gd name="connsiteY0" fmla="*/ 981997 h 979505"/>
                            <a:gd name="connsiteX1" fmla="*/ 575270 w 913127"/>
                            <a:gd name="connsiteY1" fmla="*/ 12451 h 979505"/>
                            <a:gd name="connsiteX2" fmla="*/ 905656 w 913127"/>
                            <a:gd name="connsiteY2" fmla="*/ 12451 h 979505"/>
                            <a:gd name="connsiteX3" fmla="*/ 342838 w 913127"/>
                            <a:gd name="connsiteY3" fmla="*/ 981997 h 979505"/>
                          </a:gdLst>
                          <a:ahLst/>
                          <a:cxnLst>
                            <a:cxn ang="0">
                              <a:pos x="connsiteX0" y="connsiteY0"/>
                            </a:cxn>
                            <a:cxn ang="0">
                              <a:pos x="connsiteX1" y="connsiteY1"/>
                            </a:cxn>
                            <a:cxn ang="0">
                              <a:pos x="connsiteX2" y="connsiteY2"/>
                            </a:cxn>
                            <a:cxn ang="0">
                              <a:pos x="connsiteX3" y="connsiteY3"/>
                            </a:cxn>
                          </a:cxnLst>
                          <a:rect l="l" t="t" r="r" b="b"/>
                          <a:pathLst>
                            <a:path w="913127" h="979505">
                              <a:moveTo>
                                <a:pt x="12452" y="981997"/>
                              </a:moveTo>
                              <a:lnTo>
                                <a:pt x="575270" y="12451"/>
                              </a:lnTo>
                              <a:lnTo>
                                <a:pt x="905656" y="12451"/>
                              </a:lnTo>
                              <a:lnTo>
                                <a:pt x="342838" y="981997"/>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Полилиния: Форма 26"/>
                      <wps:cNvSpPr/>
                      <wps:spPr>
                        <a:xfrm>
                          <a:off x="2829261" y="9886277"/>
                          <a:ext cx="913127" cy="979506"/>
                        </a:xfrm>
                        <a:custGeom>
                          <a:avLst/>
                          <a:gdLst>
                            <a:gd name="connsiteX0" fmla="*/ 12452 w 913127"/>
                            <a:gd name="connsiteY0" fmla="*/ 981997 h 979505"/>
                            <a:gd name="connsiteX1" fmla="*/ 570289 w 913127"/>
                            <a:gd name="connsiteY1" fmla="*/ 12451 h 979505"/>
                            <a:gd name="connsiteX2" fmla="*/ 900675 w 913127"/>
                            <a:gd name="connsiteY2" fmla="*/ 12451 h 979505"/>
                            <a:gd name="connsiteX3" fmla="*/ 342838 w 913127"/>
                            <a:gd name="connsiteY3" fmla="*/ 981997 h 979505"/>
                          </a:gdLst>
                          <a:ahLst/>
                          <a:cxnLst>
                            <a:cxn ang="0">
                              <a:pos x="connsiteX0" y="connsiteY0"/>
                            </a:cxn>
                            <a:cxn ang="0">
                              <a:pos x="connsiteX1" y="connsiteY1"/>
                            </a:cxn>
                            <a:cxn ang="0">
                              <a:pos x="connsiteX2" y="connsiteY2"/>
                            </a:cxn>
                            <a:cxn ang="0">
                              <a:pos x="connsiteX3" y="connsiteY3"/>
                            </a:cxn>
                          </a:cxnLst>
                          <a:rect l="l" t="t" r="r" b="b"/>
                          <a:pathLst>
                            <a:path w="913127" h="979505">
                              <a:moveTo>
                                <a:pt x="12452" y="981997"/>
                              </a:moveTo>
                              <a:lnTo>
                                <a:pt x="570289" y="12451"/>
                              </a:lnTo>
                              <a:lnTo>
                                <a:pt x="900675" y="12451"/>
                              </a:lnTo>
                              <a:lnTo>
                                <a:pt x="342838" y="981997"/>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Полилиния: Форма 30"/>
                      <wps:cNvSpPr/>
                      <wps:spPr>
                        <a:xfrm>
                          <a:off x="4034118" y="9886277"/>
                          <a:ext cx="3519690" cy="896497"/>
                        </a:xfrm>
                        <a:custGeom>
                          <a:avLst/>
                          <a:gdLst>
                            <a:gd name="connsiteX0" fmla="*/ 3515540 w 3519690"/>
                            <a:gd name="connsiteY0" fmla="*/ 889026 h 896496"/>
                            <a:gd name="connsiteX1" fmla="*/ 3515540 w 3519690"/>
                            <a:gd name="connsiteY1" fmla="*/ 12451 h 896496"/>
                            <a:gd name="connsiteX2" fmla="*/ 497239 w 3519690"/>
                            <a:gd name="connsiteY2" fmla="*/ 12451 h 896496"/>
                            <a:gd name="connsiteX3" fmla="*/ 12452 w 3519690"/>
                            <a:gd name="connsiteY3" fmla="*/ 889026 h 896496"/>
                          </a:gdLst>
                          <a:ahLst/>
                          <a:cxnLst>
                            <a:cxn ang="0">
                              <a:pos x="connsiteX0" y="connsiteY0"/>
                            </a:cxn>
                            <a:cxn ang="0">
                              <a:pos x="connsiteX1" y="connsiteY1"/>
                            </a:cxn>
                            <a:cxn ang="0">
                              <a:pos x="connsiteX2" y="connsiteY2"/>
                            </a:cxn>
                            <a:cxn ang="0">
                              <a:pos x="connsiteX3" y="connsiteY3"/>
                            </a:cxn>
                          </a:cxnLst>
                          <a:rect l="l" t="t" r="r" b="b"/>
                          <a:pathLst>
                            <a:path w="3519690" h="896496">
                              <a:moveTo>
                                <a:pt x="3515540" y="889026"/>
                              </a:moveTo>
                              <a:lnTo>
                                <a:pt x="3515540" y="12451"/>
                              </a:lnTo>
                              <a:lnTo>
                                <a:pt x="497239" y="12451"/>
                              </a:lnTo>
                              <a:lnTo>
                                <a:pt x="12452" y="889026"/>
                              </a:lnTo>
                              <a:close/>
                            </a:path>
                          </a:pathLst>
                        </a:custGeom>
                        <a:solidFill>
                          <a:schemeClr val="tx2"/>
                        </a:solidFill>
                        <a:ln w="9525" cap="flat">
                          <a:noFill/>
                          <a:prstDash val="solid"/>
                          <a:miter/>
                        </a:ln>
                      </wps:spPr>
                      <wps:txbx>
                        <w:txbxContent>
                          <w:p w:rsidR="002273DF" w:rsidRDefault="002273DF" w:rsidP="002273DF">
                            <w:pPr>
                              <w:jc w:val="center"/>
                            </w:pPr>
                            <w:r w:rsidRPr="002273DF">
                              <w:t>Лектор: Айсачева Мафтунабону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Полилиния: Фигура 8"/>
                      <wps:cNvSpPr/>
                      <wps:spPr>
                        <a:xfrm>
                          <a:off x="2872292" y="0"/>
                          <a:ext cx="1217295" cy="1542415"/>
                        </a:xfrm>
                        <a:custGeom>
                          <a:avLst/>
                          <a:gdLst>
                            <a:gd name="connsiteX0" fmla="*/ 0 w 1217675"/>
                            <a:gd name="connsiteY0" fmla="*/ 0 h 1542668"/>
                            <a:gd name="connsiteX1" fmla="*/ 330287 w 1217675"/>
                            <a:gd name="connsiteY1" fmla="*/ 0 h 1542668"/>
                            <a:gd name="connsiteX2" fmla="*/ 1217675 w 1217675"/>
                            <a:gd name="connsiteY2" fmla="*/ 1542668 h 1542668"/>
                            <a:gd name="connsiteX3" fmla="*/ 888533 w 1217675"/>
                            <a:gd name="connsiteY3" fmla="*/ 1542668 h 1542668"/>
                            <a:gd name="connsiteX4" fmla="*/ 0 w 1217675"/>
                            <a:gd name="connsiteY4" fmla="*/ 0 h 154266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17675" h="1542668">
                              <a:moveTo>
                                <a:pt x="0" y="0"/>
                              </a:moveTo>
                              <a:lnTo>
                                <a:pt x="330287" y="0"/>
                              </a:lnTo>
                              <a:lnTo>
                                <a:pt x="1217675" y="1542668"/>
                              </a:lnTo>
                              <a:lnTo>
                                <a:pt x="888533" y="1542668"/>
                              </a:lnTo>
                              <a:lnTo>
                                <a:pt x="0" y="0"/>
                              </a:lnTo>
                              <a:close/>
                            </a:path>
                          </a:pathLst>
                        </a:custGeom>
                        <a:solidFill>
                          <a:schemeClr val="accent2"/>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2" name="Полилиния: фигура 7"/>
                      <wps:cNvSpPr/>
                      <wps:spPr>
                        <a:xfrm>
                          <a:off x="3474720" y="0"/>
                          <a:ext cx="1225138" cy="1542664"/>
                        </a:xfrm>
                        <a:custGeom>
                          <a:avLst/>
                          <a:gdLst>
                            <a:gd name="connsiteX0" fmla="*/ 0 w 1225138"/>
                            <a:gd name="connsiteY0" fmla="*/ 0 h 1542664"/>
                            <a:gd name="connsiteX1" fmla="*/ 330265 w 1225138"/>
                            <a:gd name="connsiteY1" fmla="*/ 0 h 1542664"/>
                            <a:gd name="connsiteX2" fmla="*/ 1225138 w 1225138"/>
                            <a:gd name="connsiteY2" fmla="*/ 1542664 h 1542664"/>
                            <a:gd name="connsiteX3" fmla="*/ 895208 w 1225138"/>
                            <a:gd name="connsiteY3" fmla="*/ 1542664 h 1542664"/>
                            <a:gd name="connsiteX4" fmla="*/ 0 w 1225138"/>
                            <a:gd name="connsiteY4" fmla="*/ 0 h 154266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25138" h="1542664">
                              <a:moveTo>
                                <a:pt x="0" y="0"/>
                              </a:moveTo>
                              <a:lnTo>
                                <a:pt x="330265" y="0"/>
                              </a:lnTo>
                              <a:lnTo>
                                <a:pt x="1225138" y="1542664"/>
                              </a:lnTo>
                              <a:lnTo>
                                <a:pt x="895208" y="1542664"/>
                              </a:lnTo>
                              <a:lnTo>
                                <a:pt x="0" y="0"/>
                              </a:lnTo>
                              <a:close/>
                            </a:path>
                          </a:pathLst>
                        </a:custGeom>
                        <a:solidFill>
                          <a:schemeClr val="accent2"/>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100000</wp14:pctWidth>
              </wp14:sizeRelH>
              <wp14:sizeRelV relativeFrom="page">
                <wp14:pctHeight>101600</wp14:pctHeight>
              </wp14:sizeRelV>
            </wp:anchor>
          </w:drawing>
        </mc:Choice>
        <mc:Fallback>
          <w:pict>
            <v:group w14:anchorId="53E599E5" id="Группа 22" o:spid="_x0000_s1036" style="position:absolute;margin-left:0;margin-top:0;width:595pt;height:855.55pt;z-index:-251655168;mso-width-percent:1000;mso-height-percent:1016;mso-position-horizontal:center;mso-position-horizontal-relative:page;mso-position-vertical:center;mso-position-vertical-relative:page;mso-width-percent:1000;mso-height-percent:1016" coordsize="75568,108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">
              <v:shape id="Полилиния: Фигура 23" o:spid="_x0000_s1037" style="position:absolute;left:41201;width:34367;height:8964;visibility:visible;mso-wrap-style:square;v-text-anchor:middle" coordsize="3436678,89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q3kMIA&#10;AADbAAAADwAAAGRycy9kb3ducmV2LnhtbESPS4sCMRCE7wv+h9ALXpY1o7KyzhpFBGWuvsBjk/Q8&#10;cNIZJtEZ/70RhD0WVfUVtVj1thZ3an3lWMF4lIAg1s5UXCg4HbffvyB8QDZYOyYFD/KwWg4+Fpga&#10;1/Ge7odQiAhhn6KCMoQmldLrkiz6kWuIo5e71mKIsi2kabGLcFvLSZLMpMWK40KJDW1K0tfDzSrY&#10;dV/5NfPb80927jI91/PLLjdKDT/79R+IQH34D7/bmVEwmcLrS/wBcvk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WreQwgAAANsAAAAPAAAAAAAAAAAAAAAAAJgCAABkcnMvZG93&#10;bnJldi54bWxQSwUGAAAAAAQABAD1AAAAhwMAAAAA&#10;" path="m3429208,12451r,876575l497239,889026,12452,12451r3416756,xe" fillcolor="#373545 [3215]" stroked="f">
                <v:stroke joinstyle="miter"/>
                <v:path arrowok="t" o:connecttype="custom" o:connectlocs="3429209,12451;3429209,889027;497239,889027;12452,12451" o:connectangles="0,0,0,0"/>
              </v:shape>
              <v:shape id="Полилиния: Форма 24" o:spid="_x0000_s1038" style="position:absolute;top:6562;width:35196;height:8965;visibility:visible;mso-wrap-style:square;v-text-anchor:middle" coordsize="3519690,89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oeOcQA&#10;AADbAAAADwAAAGRycy9kb3ducmV2LnhtbESPQYvCMBSE7wv+h/AEL4umW1yRahQRBD14WBXx+Gie&#10;bbV5KU22rf56s7DgcZiZb5j5sjOlaKh2hWUFX6MIBHFqdcGZgtNxM5yCcB5ZY2mZFDzIwXLR+5hj&#10;om3LP9QcfCYChF2CCnLvq0RKl+Zk0I1sRRy8q60N+iDrTOoa2wA3pYyjaCINFhwWcqxonVN6P/ya&#10;QGm7TfbZXKrdOT5t2+Pj9n3fP5Ua9LvVDISnzr/D/+2tVhCP4e9L+AFy8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qHjnEAAAA2wAAAA8AAAAAAAAAAAAAAAAAmAIAAGRycy9k&#10;b3ducmV2LnhtbFBLBQYAAAAABAAEAPUAAACJAwAAAAA=&#10;" path="m12452,890686r,-878235l3030752,12451r484788,878235l12452,890686xe" fillcolor="#373545 [3215]" stroked="f">
                <v:stroke joinstyle="miter"/>
                <v:path arrowok="t" o:connecttype="custom" o:connectlocs="12452,890687;12452,12451;3030752,12451;3515540,890687" o:connectangles="0,0,0,0"/>
              </v:shape>
              <v:shape id="Полилиния: Форма 25" o:spid="_x0000_s1039" style="position:absolute;left:33994;top:98862;width:9125;height:9792;visibility:visible;mso-wrap-style:square;v-text-anchor:middle" coordsize="913127,979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613sMA&#10;AADbAAAADwAAAGRycy9kb3ducmV2LnhtbESPT4vCMBTE78J+h/AW9iKarqBINYoou+xF8E/B6zN5&#10;tsXmpTSp1m+/EQSPw8z8hpkvO1uJGzW+dKzge5iAINbOlJwryI4/gykIH5ANVo5JwYM8LBcfvTmm&#10;xt15T7dDyEWEsE9RQRFCnUrpdUEW/dDVxNG7uMZiiLLJpWnwHuG2kqMkmUiLJceFAmtaF6Svh9Yq&#10;6J+vj9OvbHW79tuI2GSbnc6U+vrsVjMQgbrwDr/af0bBaAzPL/EHyM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613sMAAADbAAAADwAAAAAAAAAAAAAAAACYAgAAZHJzL2Rv&#10;d25yZXYueG1sUEsFBgAAAAAEAAQA9QAAAIgDAAAAAA==&#10;" path="m12452,981997l575270,12451r330386,l342838,981997r-330386,xe" fillcolor="#58b6c0 [3205]" stroked="f">
                <v:stroke joinstyle="miter"/>
                <v:path arrowok="t" o:connecttype="custom" o:connectlocs="12443,981661;574872,12447;905029,12447;342601,981661" o:connectangles="0,0,0,0"/>
              </v:shape>
              <v:shape id="Полилиния: Форма 26" o:spid="_x0000_s1040" style="position:absolute;left:28292;top:98862;width:9131;height:9795;visibility:visible;mso-wrap-style:square;v-text-anchor:middle" coordsize="913127,979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wrqcEA&#10;AADbAAAADwAAAGRycy9kb3ducmV2LnhtbESPQYvCMBSE7wv+h/AEL4umepClGkUUxYuwasHrM3m2&#10;xealNKnWf28WhD0OM/MNM192thIPanzpWMF4lIAg1s6UnCvIztvhDwgfkA1WjknBizwsF72vOabG&#10;PflIj1PIRYSwT1FBEUKdSul1QRb9yNXE0bu5xmKIssmlafAZ4baSkySZSoslx4UCa1oXpO+n1ir4&#10;vt5fl51sdbv2h4jYZJtfnSk16HerGYhAXfgPf9p7o2Ayhb8v8QfIx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9cK6nBAAAA2wAAAA8AAAAAAAAAAAAAAAAAmAIAAGRycy9kb3du&#10;cmV2LnhtbFBLBQYAAAAABAAEAPUAAACGAwAAAAA=&#10;" path="m12452,981997l570289,12451r330386,l342838,981997r-330386,xe" fillcolor="#58b6c0 [3205]" stroked="f">
                <v:stroke joinstyle="miter"/>
                <v:path arrowok="t" o:connecttype="custom" o:connectlocs="12452,981998;570289,12451;900675,12451;342838,981998" o:connectangles="0,0,0,0"/>
              </v:shape>
              <v:shape id="Полилиния: Форма 30" o:spid="_x0000_s1041" style="position:absolute;left:40341;top:98862;width:35197;height:8965;visibility:visible;mso-wrap-style:square;v-text-anchor:middle" coordsize="3519690,89649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mbr8A&#10;AADbAAAADwAAAGRycy9kb3ducmV2LnhtbERPy4rCMBTdD/gP4QruxlQLw1CN4gNBkFn4WLi8JNem&#10;2NyUJtb692Yx4PJw3vNl72rRURsqzwom4wwEsfam4lLB5bz7/gURIrLB2jMpeFGA5WLwNcfC+Ccf&#10;qTvFUqQQDgUqsDE2hZRBW3IYxr4hTtzNtw5jgm0pTYvPFO5qOc2yH+mw4tRgsaGNJX0/PZyC1SHT&#10;1+7M97XNt/2f9fl0p1mp0bBfzUBE6uNH/O/eGwV5Wp++pB8gF2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0v6ZuvwAAANsAAAAPAAAAAAAAAAAAAAAAAJgCAABkcnMvZG93bnJl&#10;di54bWxQSwUGAAAAAAQABAD1AAAAhAMAAAAA&#10;" adj="-11796480,,5400" path="m3515540,889026r,-876575l497239,12451,12452,889026r3503088,xe" fillcolor="#373545 [3215]" stroked="f">
                <v:stroke joinstyle="miter"/>
                <v:formulas/>
                <v:path arrowok="t" o:connecttype="custom" o:connectlocs="3515540,889027;3515540,12451;497239,12451;12452,889027" o:connectangles="0,0,0,0" textboxrect="0,0,3519690,896496"/>
                <v:textbox>
                  <w:txbxContent>
                    <w:p w:rsidR="002273DF" w:rsidRDefault="002273DF" w:rsidP="002273DF">
                      <w:pPr>
                        <w:jc w:val="center"/>
                      </w:pPr>
                      <w:r w:rsidRPr="002273DF">
                        <w:t>Лектор: Айсачева Мафтунабону</w:t>
                      </w:r>
                    </w:p>
                  </w:txbxContent>
                </v:textbox>
              </v:shape>
              <v:shape id="Полилиния: Фигура 8" o:spid="_x0000_s1042" style="position:absolute;left:28722;width:12173;height:15424;visibility:visible;mso-wrap-style:square;v-text-anchor:middle" coordsize="1217675,1542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r48cUA&#10;AADbAAAADwAAAGRycy9kb3ducmV2LnhtbESPQWvCQBSE7wX/w/KEXopujCASXaUIglUQTHvo8ZF9&#10;TdLmvQ3ZVaO/3i0Uehxm5htmue65URfqfO3EwGScgCIpnK2lNPDxvh3NQfmAYrFxQgZu5GG9Gjwt&#10;MbPuKie65KFUESI+QwNVCG2mtS8qYvRj15JE78t1jCHKrtS2w2uEc6PTJJlpxlriQoUtbSoqfvIz&#10;Gyj4cDwfXjZ8v/Ee5/ln+r1/S415HvavC1CB+vAf/mvvrIHpBH6/xB+gV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SvjxxQAAANsAAAAPAAAAAAAAAAAAAAAAAJgCAABkcnMv&#10;ZG93bnJldi54bWxQSwUGAAAAAAQABAD1AAAAigMAAAAA&#10;" path="m,l330287,r887388,1542668l888533,1542668,,xe" fillcolor="#58b6c0 [3205]" stroked="f">
                <v:stroke joinstyle="miter"/>
                <v:path arrowok="t" o:connecttype="custom" o:connectlocs="0,0;330184,0;1217295,1542415;888256,1542415;0,0" o:connectangles="0,0,0,0,0"/>
              </v:shape>
              <v:shape id="Полилиния: фигура 7" o:spid="_x0000_s1043" style="position:absolute;left:34747;width:12251;height:15426;visibility:visible;mso-wrap-style:square;v-text-anchor:middle" coordsize="1225138,1542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rLw8QA&#10;AADbAAAADwAAAGRycy9kb3ducmV2LnhtbESPT4vCMBTE74LfITzBi6ypXRDpGkUEQeqy4p/L3h7N&#10;sy3bvJQmtvXbmwXB4zAzv2GW695UoqXGlZYVzKYRCOLM6pJzBdfL7mMBwnlkjZVlUvAgB+vVcLDE&#10;RNuOT9SefS4ChF2CCgrv60RKlxVk0E1tTRy8m20M+iCbXOoGuwA3lYyjaC4NlhwWCqxpW1D2d74b&#10;BcffMr21aXr4zupd29N+YuLuR6nxqN98gfDU+3f41d5rBZ8x/H8JP0C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6y8PEAAAA2wAAAA8AAAAAAAAAAAAAAAAAmAIAAGRycy9k&#10;b3ducmV2LnhtbFBLBQYAAAAABAAEAPUAAACJAwAAAAA=&#10;" path="m,l330265,r894873,1542664l895208,1542664,,xe" fillcolor="#58b6c0 [3205]" stroked="f">
                <v:stroke joinstyle="miter"/>
                <v:path arrowok="t" o:connecttype="custom" o:connectlocs="0,0;330265,0;1225138,1542664;895208,1542664;0,0" o:connectangles="0,0,0,0,0"/>
              </v:shape>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E48C5E2A"/>
    <w:lvl w:ilvl="0">
      <w:start w:val="1"/>
      <w:numFmt w:val="decimal"/>
      <w:pStyle w:val="5"/>
      <w:lvlText w:val="%1."/>
      <w:lvlJc w:val="left"/>
      <w:pPr>
        <w:tabs>
          <w:tab w:val="num" w:pos="1800"/>
        </w:tabs>
        <w:ind w:left="1800" w:hanging="360"/>
      </w:pPr>
    </w:lvl>
  </w:abstractNum>
  <w:abstractNum w:abstractNumId="1" w15:restartNumberingAfterBreak="0">
    <w:nsid w:val="FFFFFF7D"/>
    <w:multiLevelType w:val="singleLevel"/>
    <w:tmpl w:val="933AA1FC"/>
    <w:lvl w:ilvl="0">
      <w:start w:val="1"/>
      <w:numFmt w:val="decimal"/>
      <w:pStyle w:val="4"/>
      <w:lvlText w:val="%1."/>
      <w:lvlJc w:val="left"/>
      <w:pPr>
        <w:tabs>
          <w:tab w:val="num" w:pos="1440"/>
        </w:tabs>
        <w:ind w:left="1440" w:hanging="360"/>
      </w:pPr>
    </w:lvl>
  </w:abstractNum>
  <w:abstractNum w:abstractNumId="2" w15:restartNumberingAfterBreak="0">
    <w:nsid w:val="FFFFFF7E"/>
    <w:multiLevelType w:val="singleLevel"/>
    <w:tmpl w:val="5C26B77C"/>
    <w:lvl w:ilvl="0">
      <w:start w:val="1"/>
      <w:numFmt w:val="lowerLetter"/>
      <w:pStyle w:val="3"/>
      <w:lvlText w:val="%1)"/>
      <w:lvlJc w:val="left"/>
      <w:pPr>
        <w:tabs>
          <w:tab w:val="num" w:pos="1080"/>
        </w:tabs>
        <w:ind w:left="1080" w:hanging="360"/>
      </w:pPr>
      <w:rPr>
        <w:rFonts w:hint="default"/>
      </w:rPr>
    </w:lvl>
  </w:abstractNum>
  <w:abstractNum w:abstractNumId="3" w15:restartNumberingAfterBreak="0">
    <w:nsid w:val="FFFFFF80"/>
    <w:multiLevelType w:val="singleLevel"/>
    <w:tmpl w:val="6314739A"/>
    <w:lvl w:ilvl="0">
      <w:start w:val="1"/>
      <w:numFmt w:val="bullet"/>
      <w:pStyle w:val="50"/>
      <w:lvlText w:val=""/>
      <w:lvlJc w:val="left"/>
      <w:pPr>
        <w:tabs>
          <w:tab w:val="num" w:pos="1800"/>
        </w:tabs>
        <w:ind w:left="1800" w:hanging="360"/>
      </w:pPr>
      <w:rPr>
        <w:rFonts w:ascii="Symbol" w:hAnsi="Symbol" w:hint="default"/>
      </w:rPr>
    </w:lvl>
  </w:abstractNum>
  <w:abstractNum w:abstractNumId="4" w15:restartNumberingAfterBreak="0">
    <w:nsid w:val="FFFFFF81"/>
    <w:multiLevelType w:val="singleLevel"/>
    <w:tmpl w:val="55DEA4B6"/>
    <w:lvl w:ilvl="0">
      <w:start w:val="1"/>
      <w:numFmt w:val="bullet"/>
      <w:pStyle w:val="40"/>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760AC8EA"/>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8A38F804"/>
    <w:lvl w:ilvl="0">
      <w:start w:val="1"/>
      <w:numFmt w:val="bullet"/>
      <w:pStyle w:val="2"/>
      <w:lvlText w:val=""/>
      <w:lvlJc w:val="left"/>
      <w:pPr>
        <w:tabs>
          <w:tab w:val="num" w:pos="720"/>
        </w:tabs>
        <w:ind w:left="720" w:hanging="360"/>
      </w:pPr>
      <w:rPr>
        <w:rFonts w:ascii="Symbol" w:hAnsi="Symbol" w:hint="default"/>
      </w:rPr>
    </w:lvl>
  </w:abstractNum>
  <w:abstractNum w:abstractNumId="7" w15:restartNumberingAfterBreak="0">
    <w:nsid w:val="FFFFFF89"/>
    <w:multiLevelType w:val="singleLevel"/>
    <w:tmpl w:val="0C6E2CDC"/>
    <w:lvl w:ilvl="0">
      <w:start w:val="1"/>
      <w:numFmt w:val="bullet"/>
      <w:pStyle w:val="a"/>
      <w:lvlText w:val=""/>
      <w:lvlJc w:val="left"/>
      <w:pPr>
        <w:tabs>
          <w:tab w:val="num" w:pos="360"/>
        </w:tabs>
        <w:ind w:left="360" w:hanging="360"/>
      </w:pPr>
      <w:rPr>
        <w:rFonts w:ascii="Symbol" w:hAnsi="Symbol" w:hint="default"/>
      </w:rPr>
    </w:lvl>
  </w:abstractNum>
  <w:abstractNum w:abstractNumId="8" w15:restartNumberingAfterBreak="0">
    <w:nsid w:val="1F5F32D2"/>
    <w:multiLevelType w:val="hybridMultilevel"/>
    <w:tmpl w:val="DFBCE4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8675C5"/>
    <w:multiLevelType w:val="multilevel"/>
    <w:tmpl w:val="0409001F"/>
    <w:styleLink w:val="111111"/>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3202067"/>
    <w:multiLevelType w:val="hybridMultilevel"/>
    <w:tmpl w:val="70D051C4"/>
    <w:lvl w:ilvl="0" w:tplc="2E00FC76">
      <w:start w:val="1"/>
      <w:numFmt w:val="bullet"/>
      <w:lvlText w:val=""/>
      <w:lvlJc w:val="left"/>
      <w:pPr>
        <w:tabs>
          <w:tab w:val="num" w:pos="720"/>
        </w:tabs>
        <w:ind w:left="720" w:hanging="360"/>
      </w:pPr>
      <w:rPr>
        <w:rFonts w:ascii="Wingdings" w:hAnsi="Wingdings" w:hint="default"/>
      </w:rPr>
    </w:lvl>
    <w:lvl w:ilvl="1" w:tplc="D116D5FE" w:tentative="1">
      <w:start w:val="1"/>
      <w:numFmt w:val="bullet"/>
      <w:lvlText w:val=""/>
      <w:lvlJc w:val="left"/>
      <w:pPr>
        <w:tabs>
          <w:tab w:val="num" w:pos="1440"/>
        </w:tabs>
        <w:ind w:left="1440" w:hanging="360"/>
      </w:pPr>
      <w:rPr>
        <w:rFonts w:ascii="Wingdings" w:hAnsi="Wingdings" w:hint="default"/>
      </w:rPr>
    </w:lvl>
    <w:lvl w:ilvl="2" w:tplc="24449EC8" w:tentative="1">
      <w:start w:val="1"/>
      <w:numFmt w:val="bullet"/>
      <w:lvlText w:val=""/>
      <w:lvlJc w:val="left"/>
      <w:pPr>
        <w:tabs>
          <w:tab w:val="num" w:pos="2160"/>
        </w:tabs>
        <w:ind w:left="2160" w:hanging="360"/>
      </w:pPr>
      <w:rPr>
        <w:rFonts w:ascii="Wingdings" w:hAnsi="Wingdings" w:hint="default"/>
      </w:rPr>
    </w:lvl>
    <w:lvl w:ilvl="3" w:tplc="017E9808" w:tentative="1">
      <w:start w:val="1"/>
      <w:numFmt w:val="bullet"/>
      <w:lvlText w:val=""/>
      <w:lvlJc w:val="left"/>
      <w:pPr>
        <w:tabs>
          <w:tab w:val="num" w:pos="2880"/>
        </w:tabs>
        <w:ind w:left="2880" w:hanging="360"/>
      </w:pPr>
      <w:rPr>
        <w:rFonts w:ascii="Wingdings" w:hAnsi="Wingdings" w:hint="default"/>
      </w:rPr>
    </w:lvl>
    <w:lvl w:ilvl="4" w:tplc="17789D80" w:tentative="1">
      <w:start w:val="1"/>
      <w:numFmt w:val="bullet"/>
      <w:lvlText w:val=""/>
      <w:lvlJc w:val="left"/>
      <w:pPr>
        <w:tabs>
          <w:tab w:val="num" w:pos="3600"/>
        </w:tabs>
        <w:ind w:left="3600" w:hanging="360"/>
      </w:pPr>
      <w:rPr>
        <w:rFonts w:ascii="Wingdings" w:hAnsi="Wingdings" w:hint="default"/>
      </w:rPr>
    </w:lvl>
    <w:lvl w:ilvl="5" w:tplc="B1B049DA" w:tentative="1">
      <w:start w:val="1"/>
      <w:numFmt w:val="bullet"/>
      <w:lvlText w:val=""/>
      <w:lvlJc w:val="left"/>
      <w:pPr>
        <w:tabs>
          <w:tab w:val="num" w:pos="4320"/>
        </w:tabs>
        <w:ind w:left="4320" w:hanging="360"/>
      </w:pPr>
      <w:rPr>
        <w:rFonts w:ascii="Wingdings" w:hAnsi="Wingdings" w:hint="default"/>
      </w:rPr>
    </w:lvl>
    <w:lvl w:ilvl="6" w:tplc="C640069A" w:tentative="1">
      <w:start w:val="1"/>
      <w:numFmt w:val="bullet"/>
      <w:lvlText w:val=""/>
      <w:lvlJc w:val="left"/>
      <w:pPr>
        <w:tabs>
          <w:tab w:val="num" w:pos="5040"/>
        </w:tabs>
        <w:ind w:left="5040" w:hanging="360"/>
      </w:pPr>
      <w:rPr>
        <w:rFonts w:ascii="Wingdings" w:hAnsi="Wingdings" w:hint="default"/>
      </w:rPr>
    </w:lvl>
    <w:lvl w:ilvl="7" w:tplc="C46ABE60" w:tentative="1">
      <w:start w:val="1"/>
      <w:numFmt w:val="bullet"/>
      <w:lvlText w:val=""/>
      <w:lvlJc w:val="left"/>
      <w:pPr>
        <w:tabs>
          <w:tab w:val="num" w:pos="5760"/>
        </w:tabs>
        <w:ind w:left="5760" w:hanging="360"/>
      </w:pPr>
      <w:rPr>
        <w:rFonts w:ascii="Wingdings" w:hAnsi="Wingdings" w:hint="default"/>
      </w:rPr>
    </w:lvl>
    <w:lvl w:ilvl="8" w:tplc="E7CE5F7E"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0856772"/>
    <w:multiLevelType w:val="multilevel"/>
    <w:tmpl w:val="4E88364C"/>
    <w:lvl w:ilvl="0">
      <w:start w:val="1"/>
      <w:numFmt w:val="upperRoman"/>
      <w:pStyle w:val="a0"/>
      <w:lvlText w:val="%1."/>
      <w:lvlJc w:val="right"/>
      <w:pPr>
        <w:ind w:left="173" w:hanging="173"/>
      </w:pPr>
      <w:rPr>
        <w:rFonts w:asciiTheme="minorHAnsi" w:hAnsiTheme="minorHAnsi" w:hint="default"/>
        <w:b/>
        <w:i w:val="0"/>
        <w:sz w:val="24"/>
      </w:rPr>
    </w:lvl>
    <w:lvl w:ilvl="1">
      <w:start w:val="1"/>
      <w:numFmt w:val="lowerLetter"/>
      <w:pStyle w:val="20"/>
      <w:lvlText w:val="%2)"/>
      <w:lvlJc w:val="left"/>
      <w:pPr>
        <w:ind w:left="720" w:hanging="588"/>
      </w:pPr>
      <w:rPr>
        <w:rFonts w:asciiTheme="minorHAnsi" w:hAnsiTheme="minorHAnsi" w:hint="default"/>
        <w:b w:val="0"/>
        <w:i w:val="0"/>
        <w:sz w:val="24"/>
      </w:rPr>
    </w:lvl>
    <w:lvl w:ilvl="2">
      <w:start w:val="1"/>
      <w:numFmt w:val="lowerRoman"/>
      <w:lvlText w:val="%3)"/>
      <w:lvlJc w:val="left"/>
      <w:pPr>
        <w:ind w:left="1080" w:hanging="588"/>
      </w:pPr>
      <w:rPr>
        <w:rFonts w:hint="default"/>
      </w:rPr>
    </w:lvl>
    <w:lvl w:ilvl="3">
      <w:start w:val="1"/>
      <w:numFmt w:val="decimal"/>
      <w:lvlText w:val="(%4)"/>
      <w:lvlJc w:val="left"/>
      <w:pPr>
        <w:ind w:left="1440" w:hanging="588"/>
      </w:pPr>
      <w:rPr>
        <w:rFonts w:hint="default"/>
      </w:rPr>
    </w:lvl>
    <w:lvl w:ilvl="4">
      <w:start w:val="1"/>
      <w:numFmt w:val="lowerLetter"/>
      <w:lvlText w:val="(%5)"/>
      <w:lvlJc w:val="left"/>
      <w:pPr>
        <w:ind w:left="1800" w:hanging="588"/>
      </w:pPr>
      <w:rPr>
        <w:rFonts w:hint="default"/>
      </w:rPr>
    </w:lvl>
    <w:lvl w:ilvl="5">
      <w:start w:val="1"/>
      <w:numFmt w:val="lowerRoman"/>
      <w:lvlText w:val="(%6)"/>
      <w:lvlJc w:val="left"/>
      <w:pPr>
        <w:ind w:left="2160" w:hanging="588"/>
      </w:pPr>
      <w:rPr>
        <w:rFonts w:hint="default"/>
      </w:rPr>
    </w:lvl>
    <w:lvl w:ilvl="6">
      <w:start w:val="1"/>
      <w:numFmt w:val="decimal"/>
      <w:lvlText w:val="%7."/>
      <w:lvlJc w:val="left"/>
      <w:pPr>
        <w:ind w:left="2520" w:hanging="588"/>
      </w:pPr>
      <w:rPr>
        <w:rFonts w:hint="default"/>
      </w:rPr>
    </w:lvl>
    <w:lvl w:ilvl="7">
      <w:start w:val="1"/>
      <w:numFmt w:val="lowerLetter"/>
      <w:lvlText w:val="%8."/>
      <w:lvlJc w:val="left"/>
      <w:pPr>
        <w:ind w:left="2880" w:hanging="588"/>
      </w:pPr>
      <w:rPr>
        <w:rFonts w:hint="default"/>
      </w:rPr>
    </w:lvl>
    <w:lvl w:ilvl="8">
      <w:start w:val="1"/>
      <w:numFmt w:val="lowerRoman"/>
      <w:lvlText w:val="%9."/>
      <w:lvlJc w:val="left"/>
      <w:pPr>
        <w:ind w:left="3240" w:hanging="588"/>
      </w:pPr>
      <w:rPr>
        <w:rFonts w:hint="default"/>
      </w:rPr>
    </w:lvl>
  </w:abstractNum>
  <w:abstractNum w:abstractNumId="12" w15:restartNumberingAfterBreak="0">
    <w:nsid w:val="45F20E54"/>
    <w:multiLevelType w:val="multilevel"/>
    <w:tmpl w:val="0409001D"/>
    <w:styleLink w:val="1ai"/>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8C10718"/>
    <w:multiLevelType w:val="multilevel"/>
    <w:tmpl w:val="04090023"/>
    <w:styleLink w:val="a1"/>
    <w:lvl w:ilvl="0">
      <w:start w:val="1"/>
      <w:numFmt w:val="upperRoman"/>
      <w:lvlText w:val="Статья %1."/>
      <w:lvlJc w:val="left"/>
      <w:pPr>
        <w:ind w:left="0" w:firstLine="0"/>
      </w:pPr>
      <w:rPr>
        <w:rFonts w:ascii="Times New Roman" w:hAnsi="Times New Roman" w:cs="Times New Roman"/>
      </w:rPr>
    </w:lvl>
    <w:lvl w:ilvl="1">
      <w:start w:val="1"/>
      <w:numFmt w:val="decimalZero"/>
      <w:isLgl/>
      <w:lvlText w:val="Раздел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6DCD25EA"/>
    <w:multiLevelType w:val="hybridMultilevel"/>
    <w:tmpl w:val="5FEA0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6"/>
  </w:num>
  <w:num w:numId="3">
    <w:abstractNumId w:val="5"/>
  </w:num>
  <w:num w:numId="4">
    <w:abstractNumId w:val="4"/>
  </w:num>
  <w:num w:numId="5">
    <w:abstractNumId w:val="3"/>
  </w:num>
  <w:num w:numId="6">
    <w:abstractNumId w:val="2"/>
  </w:num>
  <w:num w:numId="7">
    <w:abstractNumId w:val="1"/>
  </w:num>
  <w:num w:numId="8">
    <w:abstractNumId w:val="0"/>
  </w:num>
  <w:num w:numId="9">
    <w:abstractNumId w:val="11"/>
  </w:num>
  <w:num w:numId="10">
    <w:abstractNumId w:val="9"/>
  </w:num>
  <w:num w:numId="11">
    <w:abstractNumId w:val="12"/>
  </w:num>
  <w:num w:numId="12">
    <w:abstractNumId w:val="13"/>
  </w:num>
  <w:num w:numId="13">
    <w:abstractNumId w:val="14"/>
  </w:num>
  <w:num w:numId="14">
    <w:abstractNumId w:val="8"/>
  </w:num>
  <w:num w:numId="15">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9"/>
  <w:removePersonalInformation/>
  <w:removeDateAndTime/>
  <w:attachedTemplate r:id="rId1"/>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stylePaneSortMethod w:val="0000"/>
  <w:defaultTabStop w:val="720"/>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77E"/>
    <w:rsid w:val="0000418E"/>
    <w:rsid w:val="00016839"/>
    <w:rsid w:val="00042528"/>
    <w:rsid w:val="00042FB3"/>
    <w:rsid w:val="00057671"/>
    <w:rsid w:val="00084752"/>
    <w:rsid w:val="00086540"/>
    <w:rsid w:val="000D445D"/>
    <w:rsid w:val="000E0B00"/>
    <w:rsid w:val="000E46E6"/>
    <w:rsid w:val="000F4987"/>
    <w:rsid w:val="000F65EC"/>
    <w:rsid w:val="00103670"/>
    <w:rsid w:val="0010487E"/>
    <w:rsid w:val="00110BBD"/>
    <w:rsid w:val="0011573E"/>
    <w:rsid w:val="00125E33"/>
    <w:rsid w:val="0012634B"/>
    <w:rsid w:val="001269DE"/>
    <w:rsid w:val="001351F7"/>
    <w:rsid w:val="00140DAE"/>
    <w:rsid w:val="0015180F"/>
    <w:rsid w:val="001574C3"/>
    <w:rsid w:val="001746FC"/>
    <w:rsid w:val="00193653"/>
    <w:rsid w:val="001A6AC0"/>
    <w:rsid w:val="001A76E2"/>
    <w:rsid w:val="001B0576"/>
    <w:rsid w:val="001C329C"/>
    <w:rsid w:val="001E7D29"/>
    <w:rsid w:val="002142C8"/>
    <w:rsid w:val="00215269"/>
    <w:rsid w:val="00222713"/>
    <w:rsid w:val="0022366B"/>
    <w:rsid w:val="002273DF"/>
    <w:rsid w:val="002404F5"/>
    <w:rsid w:val="0025449B"/>
    <w:rsid w:val="00275260"/>
    <w:rsid w:val="00276FA1"/>
    <w:rsid w:val="00280C04"/>
    <w:rsid w:val="00285B87"/>
    <w:rsid w:val="00291B4A"/>
    <w:rsid w:val="002C3D7E"/>
    <w:rsid w:val="002D0AAD"/>
    <w:rsid w:val="002E4F42"/>
    <w:rsid w:val="002F234B"/>
    <w:rsid w:val="002F76DA"/>
    <w:rsid w:val="00303179"/>
    <w:rsid w:val="0032131A"/>
    <w:rsid w:val="003310BF"/>
    <w:rsid w:val="00333DF8"/>
    <w:rsid w:val="003377F9"/>
    <w:rsid w:val="00352B99"/>
    <w:rsid w:val="00357641"/>
    <w:rsid w:val="003603AA"/>
    <w:rsid w:val="00360B6E"/>
    <w:rsid w:val="00361DEE"/>
    <w:rsid w:val="00394EF4"/>
    <w:rsid w:val="003A1CB3"/>
    <w:rsid w:val="003B7F92"/>
    <w:rsid w:val="003D1740"/>
    <w:rsid w:val="003E5EB5"/>
    <w:rsid w:val="00410612"/>
    <w:rsid w:val="00411F8B"/>
    <w:rsid w:val="004203B0"/>
    <w:rsid w:val="004230D9"/>
    <w:rsid w:val="00450670"/>
    <w:rsid w:val="004527B8"/>
    <w:rsid w:val="004701E1"/>
    <w:rsid w:val="004724BD"/>
    <w:rsid w:val="00477352"/>
    <w:rsid w:val="00491C23"/>
    <w:rsid w:val="004B5C09"/>
    <w:rsid w:val="004C733F"/>
    <w:rsid w:val="004D454D"/>
    <w:rsid w:val="004E227E"/>
    <w:rsid w:val="004F7FED"/>
    <w:rsid w:val="00500DD1"/>
    <w:rsid w:val="00521AE3"/>
    <w:rsid w:val="00535B54"/>
    <w:rsid w:val="00554276"/>
    <w:rsid w:val="0056094A"/>
    <w:rsid w:val="00564D17"/>
    <w:rsid w:val="00570173"/>
    <w:rsid w:val="005762AB"/>
    <w:rsid w:val="00587101"/>
    <w:rsid w:val="005A72D4"/>
    <w:rsid w:val="005B3A9C"/>
    <w:rsid w:val="005D1C1F"/>
    <w:rsid w:val="005D3902"/>
    <w:rsid w:val="005E0ED9"/>
    <w:rsid w:val="005E2C92"/>
    <w:rsid w:val="005F25B0"/>
    <w:rsid w:val="00616B41"/>
    <w:rsid w:val="00620AE8"/>
    <w:rsid w:val="00622B83"/>
    <w:rsid w:val="0062682A"/>
    <w:rsid w:val="0064628C"/>
    <w:rsid w:val="0065214E"/>
    <w:rsid w:val="00655EE2"/>
    <w:rsid w:val="00680296"/>
    <w:rsid w:val="00683EA4"/>
    <w:rsid w:val="006853BC"/>
    <w:rsid w:val="00687389"/>
    <w:rsid w:val="006928C1"/>
    <w:rsid w:val="006D0C8C"/>
    <w:rsid w:val="006D5463"/>
    <w:rsid w:val="006E015E"/>
    <w:rsid w:val="006F03D4"/>
    <w:rsid w:val="006F36A7"/>
    <w:rsid w:val="00700B1F"/>
    <w:rsid w:val="0072228D"/>
    <w:rsid w:val="007257E9"/>
    <w:rsid w:val="00740105"/>
    <w:rsid w:val="00744B1E"/>
    <w:rsid w:val="00756AD4"/>
    <w:rsid w:val="00756D9C"/>
    <w:rsid w:val="007619BD"/>
    <w:rsid w:val="00771C24"/>
    <w:rsid w:val="00781863"/>
    <w:rsid w:val="00792701"/>
    <w:rsid w:val="007D0BC1"/>
    <w:rsid w:val="007D5836"/>
    <w:rsid w:val="007F34A4"/>
    <w:rsid w:val="00800BDB"/>
    <w:rsid w:val="00815563"/>
    <w:rsid w:val="008240DA"/>
    <w:rsid w:val="008429E5"/>
    <w:rsid w:val="00867EA4"/>
    <w:rsid w:val="0088077C"/>
    <w:rsid w:val="00880C14"/>
    <w:rsid w:val="00890EFA"/>
    <w:rsid w:val="00897D88"/>
    <w:rsid w:val="008A0319"/>
    <w:rsid w:val="008A059E"/>
    <w:rsid w:val="008D0732"/>
    <w:rsid w:val="008D43E9"/>
    <w:rsid w:val="008E3C0E"/>
    <w:rsid w:val="008E421A"/>
    <w:rsid w:val="008E476B"/>
    <w:rsid w:val="008F0672"/>
    <w:rsid w:val="008F0F63"/>
    <w:rsid w:val="00927C63"/>
    <w:rsid w:val="00932F50"/>
    <w:rsid w:val="0093563E"/>
    <w:rsid w:val="0094637B"/>
    <w:rsid w:val="00955A78"/>
    <w:rsid w:val="00956233"/>
    <w:rsid w:val="009602EE"/>
    <w:rsid w:val="009921B8"/>
    <w:rsid w:val="0099313D"/>
    <w:rsid w:val="009D4984"/>
    <w:rsid w:val="009D6901"/>
    <w:rsid w:val="009F4E19"/>
    <w:rsid w:val="009F7D3C"/>
    <w:rsid w:val="00A02E28"/>
    <w:rsid w:val="00A07662"/>
    <w:rsid w:val="00A1006B"/>
    <w:rsid w:val="00A207BA"/>
    <w:rsid w:val="00A21B71"/>
    <w:rsid w:val="00A25111"/>
    <w:rsid w:val="00A3439E"/>
    <w:rsid w:val="00A37F9E"/>
    <w:rsid w:val="00A40085"/>
    <w:rsid w:val="00A426DC"/>
    <w:rsid w:val="00A47DF6"/>
    <w:rsid w:val="00A60E11"/>
    <w:rsid w:val="00A63D35"/>
    <w:rsid w:val="00A9231C"/>
    <w:rsid w:val="00AA2532"/>
    <w:rsid w:val="00AA4144"/>
    <w:rsid w:val="00AB33D5"/>
    <w:rsid w:val="00AC72FB"/>
    <w:rsid w:val="00AD589B"/>
    <w:rsid w:val="00AE1F88"/>
    <w:rsid w:val="00AE361F"/>
    <w:rsid w:val="00AE5370"/>
    <w:rsid w:val="00B247A9"/>
    <w:rsid w:val="00B435B5"/>
    <w:rsid w:val="00B50C2F"/>
    <w:rsid w:val="00B54E12"/>
    <w:rsid w:val="00B565D8"/>
    <w:rsid w:val="00B5779A"/>
    <w:rsid w:val="00B60818"/>
    <w:rsid w:val="00B64D24"/>
    <w:rsid w:val="00B7147D"/>
    <w:rsid w:val="00B75CFC"/>
    <w:rsid w:val="00B853F9"/>
    <w:rsid w:val="00B92231"/>
    <w:rsid w:val="00B9319F"/>
    <w:rsid w:val="00BA2CE6"/>
    <w:rsid w:val="00BB018B"/>
    <w:rsid w:val="00BD1747"/>
    <w:rsid w:val="00BD2B06"/>
    <w:rsid w:val="00BE367F"/>
    <w:rsid w:val="00BF01F4"/>
    <w:rsid w:val="00BF363B"/>
    <w:rsid w:val="00BF49DD"/>
    <w:rsid w:val="00C05872"/>
    <w:rsid w:val="00C078AF"/>
    <w:rsid w:val="00C14973"/>
    <w:rsid w:val="00C1643D"/>
    <w:rsid w:val="00C16505"/>
    <w:rsid w:val="00C261A9"/>
    <w:rsid w:val="00C37607"/>
    <w:rsid w:val="00C42793"/>
    <w:rsid w:val="00C47362"/>
    <w:rsid w:val="00C601ED"/>
    <w:rsid w:val="00C63F12"/>
    <w:rsid w:val="00C916B2"/>
    <w:rsid w:val="00CA3D88"/>
    <w:rsid w:val="00CA4B57"/>
    <w:rsid w:val="00CD246E"/>
    <w:rsid w:val="00CE4271"/>
    <w:rsid w:val="00CE5A5C"/>
    <w:rsid w:val="00CF0EC4"/>
    <w:rsid w:val="00CF2DF9"/>
    <w:rsid w:val="00D14CC6"/>
    <w:rsid w:val="00D21E3F"/>
    <w:rsid w:val="00D31AB7"/>
    <w:rsid w:val="00D50D23"/>
    <w:rsid w:val="00D512BB"/>
    <w:rsid w:val="00D53571"/>
    <w:rsid w:val="00DA3B1A"/>
    <w:rsid w:val="00DC6078"/>
    <w:rsid w:val="00DC79AD"/>
    <w:rsid w:val="00DD2075"/>
    <w:rsid w:val="00DD6D8B"/>
    <w:rsid w:val="00DE700F"/>
    <w:rsid w:val="00DF2868"/>
    <w:rsid w:val="00E3437B"/>
    <w:rsid w:val="00E553ED"/>
    <w:rsid w:val="00E557A0"/>
    <w:rsid w:val="00E907BC"/>
    <w:rsid w:val="00EA3AA9"/>
    <w:rsid w:val="00EE4283"/>
    <w:rsid w:val="00EF6435"/>
    <w:rsid w:val="00F062BA"/>
    <w:rsid w:val="00F10F6B"/>
    <w:rsid w:val="00F12121"/>
    <w:rsid w:val="00F23697"/>
    <w:rsid w:val="00F34140"/>
    <w:rsid w:val="00F36BB7"/>
    <w:rsid w:val="00F41B1F"/>
    <w:rsid w:val="00F50B79"/>
    <w:rsid w:val="00F86699"/>
    <w:rsid w:val="00F87EAA"/>
    <w:rsid w:val="00F92B25"/>
    <w:rsid w:val="00F93D79"/>
    <w:rsid w:val="00FA3FA4"/>
    <w:rsid w:val="00FB3809"/>
    <w:rsid w:val="00FD6CAB"/>
    <w:rsid w:val="00FE6B6C"/>
    <w:rsid w:val="00FE77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imes New Roman"/>
        <w:sz w:val="24"/>
        <w:szCs w:val="24"/>
        <w:lang w:val="ru-RU" w:eastAsia="en-US" w:bidi="ar-SA"/>
      </w:rPr>
    </w:rPrDefault>
    <w:pPrDefault>
      <w:pPr>
        <w:spacing w:after="200" w:line="276" w:lineRule="auto"/>
        <w:ind w:left="173"/>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3" w:qFormat="1"/>
    <w:lsdException w:name="List Number" w:uiPriority="1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12" w:unhideWhenUsed="1"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iPriority="1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FE777E"/>
    <w:pPr>
      <w:widowControl w:val="0"/>
      <w:autoSpaceDE w:val="0"/>
      <w:autoSpaceDN w:val="0"/>
      <w:adjustRightInd w:val="0"/>
      <w:spacing w:after="0" w:line="240" w:lineRule="auto"/>
      <w:ind w:left="0"/>
    </w:pPr>
    <w:rPr>
      <w:rFonts w:ascii="Times New Roman" w:hAnsi="Times New Roman"/>
      <w:sz w:val="20"/>
      <w:szCs w:val="20"/>
      <w:lang w:eastAsia="ru-RU"/>
    </w:rPr>
  </w:style>
  <w:style w:type="paragraph" w:styleId="1">
    <w:name w:val="heading 1"/>
    <w:basedOn w:val="a2"/>
    <w:link w:val="10"/>
    <w:uiPriority w:val="9"/>
    <w:qFormat/>
    <w:rsid w:val="005F25B0"/>
    <w:pPr>
      <w:keepNext/>
      <w:spacing w:before="480" w:after="60"/>
      <w:contextualSpacing/>
      <w:jc w:val="center"/>
      <w:outlineLvl w:val="0"/>
    </w:pPr>
    <w:rPr>
      <w:rFonts w:asciiTheme="majorHAnsi" w:hAnsiTheme="majorHAnsi" w:cs="Arial"/>
      <w:b/>
      <w:bCs/>
      <w:kern w:val="32"/>
      <w:sz w:val="32"/>
      <w:szCs w:val="32"/>
    </w:rPr>
  </w:style>
  <w:style w:type="paragraph" w:styleId="21">
    <w:name w:val="heading 2"/>
    <w:basedOn w:val="a2"/>
    <w:link w:val="22"/>
    <w:uiPriority w:val="9"/>
    <w:unhideWhenUsed/>
    <w:qFormat/>
    <w:rsid w:val="004230D9"/>
    <w:pPr>
      <w:keepNext/>
      <w:spacing w:before="240" w:after="60"/>
      <w:contextualSpacing/>
      <w:outlineLvl w:val="1"/>
    </w:pPr>
    <w:rPr>
      <w:rFonts w:ascii="Arial" w:hAnsi="Arial" w:cs="Arial"/>
      <w:b/>
      <w:bCs/>
      <w:iCs/>
      <w:szCs w:val="28"/>
    </w:rPr>
  </w:style>
  <w:style w:type="paragraph" w:styleId="31">
    <w:name w:val="heading 3"/>
    <w:basedOn w:val="a2"/>
    <w:uiPriority w:val="9"/>
    <w:semiHidden/>
    <w:unhideWhenUsed/>
    <w:qFormat/>
    <w:rsid w:val="004230D9"/>
    <w:pPr>
      <w:keepNext/>
      <w:spacing w:before="240" w:after="60"/>
      <w:contextualSpacing/>
      <w:outlineLvl w:val="2"/>
    </w:pPr>
    <w:rPr>
      <w:rFonts w:ascii="Arial" w:hAnsi="Arial" w:cs="Arial"/>
      <w:b/>
      <w:bCs/>
      <w:szCs w:val="26"/>
    </w:rPr>
  </w:style>
  <w:style w:type="paragraph" w:styleId="41">
    <w:name w:val="heading 4"/>
    <w:basedOn w:val="a2"/>
    <w:link w:val="42"/>
    <w:uiPriority w:val="9"/>
    <w:semiHidden/>
    <w:unhideWhenUsed/>
    <w:qFormat/>
    <w:rsid w:val="004230D9"/>
    <w:pPr>
      <w:keepNext/>
      <w:keepLines/>
      <w:spacing w:before="40"/>
      <w:contextualSpacing/>
      <w:outlineLvl w:val="3"/>
    </w:pPr>
    <w:rPr>
      <w:rFonts w:ascii="Arial" w:eastAsiaTheme="majorEastAsia" w:hAnsi="Arial" w:cs="Arial"/>
      <w:i/>
      <w:iCs/>
      <w:color w:val="276E8B" w:themeColor="accent1" w:themeShade="BF"/>
    </w:rPr>
  </w:style>
  <w:style w:type="paragraph" w:styleId="51">
    <w:name w:val="heading 5"/>
    <w:basedOn w:val="a2"/>
    <w:link w:val="52"/>
    <w:uiPriority w:val="9"/>
    <w:semiHidden/>
    <w:unhideWhenUsed/>
    <w:qFormat/>
    <w:rsid w:val="004230D9"/>
    <w:pPr>
      <w:keepNext/>
      <w:keepLines/>
      <w:spacing w:before="40"/>
      <w:contextualSpacing/>
      <w:outlineLvl w:val="4"/>
    </w:pPr>
    <w:rPr>
      <w:rFonts w:ascii="Arial" w:eastAsiaTheme="majorEastAsia" w:hAnsi="Arial" w:cs="Arial"/>
      <w:color w:val="276E8B" w:themeColor="accent1" w:themeShade="BF"/>
    </w:rPr>
  </w:style>
  <w:style w:type="paragraph" w:styleId="6">
    <w:name w:val="heading 6"/>
    <w:basedOn w:val="a2"/>
    <w:link w:val="60"/>
    <w:uiPriority w:val="9"/>
    <w:semiHidden/>
    <w:unhideWhenUsed/>
    <w:qFormat/>
    <w:rsid w:val="004230D9"/>
    <w:pPr>
      <w:keepNext/>
      <w:keepLines/>
      <w:spacing w:before="40"/>
      <w:contextualSpacing/>
      <w:outlineLvl w:val="5"/>
    </w:pPr>
    <w:rPr>
      <w:rFonts w:ascii="Arial" w:eastAsiaTheme="majorEastAsia" w:hAnsi="Arial" w:cs="Arial"/>
      <w:color w:val="1A495C" w:themeColor="accent1" w:themeShade="7F"/>
    </w:rPr>
  </w:style>
  <w:style w:type="paragraph" w:styleId="7">
    <w:name w:val="heading 7"/>
    <w:basedOn w:val="a2"/>
    <w:link w:val="70"/>
    <w:uiPriority w:val="9"/>
    <w:semiHidden/>
    <w:unhideWhenUsed/>
    <w:qFormat/>
    <w:rsid w:val="004230D9"/>
    <w:pPr>
      <w:keepNext/>
      <w:keepLines/>
      <w:spacing w:before="40"/>
      <w:contextualSpacing/>
      <w:outlineLvl w:val="6"/>
    </w:pPr>
    <w:rPr>
      <w:rFonts w:ascii="Arial" w:eastAsiaTheme="majorEastAsia" w:hAnsi="Arial" w:cs="Arial"/>
      <w:i/>
      <w:iCs/>
      <w:color w:val="1A495C" w:themeColor="accent1" w:themeShade="7F"/>
    </w:rPr>
  </w:style>
  <w:style w:type="paragraph" w:styleId="8">
    <w:name w:val="heading 8"/>
    <w:basedOn w:val="a2"/>
    <w:link w:val="80"/>
    <w:uiPriority w:val="9"/>
    <w:semiHidden/>
    <w:unhideWhenUsed/>
    <w:qFormat/>
    <w:rsid w:val="004230D9"/>
    <w:pPr>
      <w:keepNext/>
      <w:keepLines/>
      <w:spacing w:before="40"/>
      <w:contextualSpacing/>
      <w:outlineLvl w:val="7"/>
    </w:pPr>
    <w:rPr>
      <w:rFonts w:ascii="Arial" w:eastAsiaTheme="majorEastAsia" w:hAnsi="Arial" w:cs="Arial"/>
      <w:color w:val="272727" w:themeColor="text1" w:themeTint="D8"/>
      <w:sz w:val="22"/>
      <w:szCs w:val="21"/>
    </w:rPr>
  </w:style>
  <w:style w:type="paragraph" w:styleId="9">
    <w:name w:val="heading 9"/>
    <w:basedOn w:val="a2"/>
    <w:link w:val="90"/>
    <w:uiPriority w:val="9"/>
    <w:semiHidden/>
    <w:unhideWhenUsed/>
    <w:qFormat/>
    <w:rsid w:val="004230D9"/>
    <w:pPr>
      <w:keepNext/>
      <w:keepLines/>
      <w:spacing w:before="40"/>
      <w:contextualSpacing/>
      <w:outlineLvl w:val="8"/>
    </w:pPr>
    <w:rPr>
      <w:rFonts w:ascii="Arial" w:eastAsiaTheme="majorEastAsia" w:hAnsi="Arial" w:cs="Arial"/>
      <w:i/>
      <w:iCs/>
      <w:color w:val="272727" w:themeColor="text1" w:themeTint="D8"/>
      <w:sz w:val="22"/>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0">
    <w:name w:val="List Number"/>
    <w:basedOn w:val="a2"/>
    <w:uiPriority w:val="12"/>
    <w:qFormat/>
    <w:rsid w:val="002F76DA"/>
    <w:pPr>
      <w:numPr>
        <w:numId w:val="9"/>
      </w:numPr>
    </w:pPr>
    <w:rPr>
      <w:b/>
    </w:rPr>
  </w:style>
  <w:style w:type="character" w:styleId="a6">
    <w:name w:val="Placeholder Text"/>
    <w:basedOn w:val="a3"/>
    <w:uiPriority w:val="99"/>
    <w:semiHidden/>
    <w:rsid w:val="004230D9"/>
    <w:rPr>
      <w:rFonts w:ascii="Times New Roman" w:hAnsi="Times New Roman" w:cs="Times New Roman"/>
      <w:color w:val="595959" w:themeColor="text1" w:themeTint="A6"/>
    </w:rPr>
  </w:style>
  <w:style w:type="paragraph" w:styleId="a7">
    <w:name w:val="Date"/>
    <w:basedOn w:val="a2"/>
    <w:next w:val="a2"/>
    <w:link w:val="a8"/>
    <w:uiPriority w:val="10"/>
    <w:qFormat/>
    <w:rsid w:val="004230D9"/>
    <w:pPr>
      <w:spacing w:after="480"/>
      <w:jc w:val="center"/>
    </w:pPr>
  </w:style>
  <w:style w:type="paragraph" w:styleId="a9">
    <w:name w:val="Balloon Text"/>
    <w:basedOn w:val="a2"/>
    <w:link w:val="aa"/>
    <w:uiPriority w:val="99"/>
    <w:semiHidden/>
    <w:unhideWhenUsed/>
    <w:rsid w:val="004230D9"/>
    <w:rPr>
      <w:rFonts w:ascii="Tahoma" w:hAnsi="Tahoma" w:cs="Tahoma"/>
      <w:sz w:val="22"/>
      <w:szCs w:val="16"/>
    </w:rPr>
  </w:style>
  <w:style w:type="character" w:customStyle="1" w:styleId="aa">
    <w:name w:val="Текст выноски Знак"/>
    <w:basedOn w:val="a3"/>
    <w:link w:val="a9"/>
    <w:uiPriority w:val="99"/>
    <w:semiHidden/>
    <w:rsid w:val="004230D9"/>
    <w:rPr>
      <w:rFonts w:ascii="Tahoma" w:hAnsi="Tahoma" w:cs="Tahoma"/>
      <w:sz w:val="22"/>
      <w:szCs w:val="16"/>
    </w:rPr>
  </w:style>
  <w:style w:type="paragraph" w:styleId="a">
    <w:name w:val="List Bullet"/>
    <w:basedOn w:val="a2"/>
    <w:uiPriority w:val="13"/>
    <w:qFormat/>
    <w:rsid w:val="004230D9"/>
    <w:pPr>
      <w:numPr>
        <w:numId w:val="1"/>
      </w:numPr>
      <w:contextualSpacing/>
    </w:pPr>
    <w:rPr>
      <w:b/>
    </w:rPr>
  </w:style>
  <w:style w:type="character" w:customStyle="1" w:styleId="42">
    <w:name w:val="Заголовок 4 Знак"/>
    <w:basedOn w:val="a3"/>
    <w:link w:val="41"/>
    <w:uiPriority w:val="9"/>
    <w:semiHidden/>
    <w:rsid w:val="004230D9"/>
    <w:rPr>
      <w:rFonts w:ascii="Arial" w:eastAsiaTheme="majorEastAsia" w:hAnsi="Arial" w:cs="Arial"/>
      <w:i/>
      <w:iCs/>
      <w:color w:val="276E8B" w:themeColor="accent1" w:themeShade="BF"/>
    </w:rPr>
  </w:style>
  <w:style w:type="character" w:styleId="ab">
    <w:name w:val="Emphasis"/>
    <w:basedOn w:val="a3"/>
    <w:uiPriority w:val="20"/>
    <w:qFormat/>
    <w:rsid w:val="005F25B0"/>
    <w:rPr>
      <w:rFonts w:asciiTheme="minorHAnsi" w:hAnsiTheme="minorHAnsi" w:cs="Times New Roman"/>
      <w:b/>
      <w:i w:val="0"/>
      <w:iCs/>
      <w:color w:val="FFFFFF" w:themeColor="background1"/>
    </w:rPr>
  </w:style>
  <w:style w:type="character" w:customStyle="1" w:styleId="52">
    <w:name w:val="Заголовок 5 Знак"/>
    <w:basedOn w:val="a3"/>
    <w:link w:val="51"/>
    <w:uiPriority w:val="9"/>
    <w:semiHidden/>
    <w:rsid w:val="004230D9"/>
    <w:rPr>
      <w:rFonts w:ascii="Arial" w:eastAsiaTheme="majorEastAsia" w:hAnsi="Arial" w:cs="Arial"/>
      <w:color w:val="276E8B" w:themeColor="accent1" w:themeShade="BF"/>
    </w:rPr>
  </w:style>
  <w:style w:type="character" w:customStyle="1" w:styleId="60">
    <w:name w:val="Заголовок 6 Знак"/>
    <w:basedOn w:val="a3"/>
    <w:link w:val="6"/>
    <w:uiPriority w:val="9"/>
    <w:semiHidden/>
    <w:rsid w:val="004230D9"/>
    <w:rPr>
      <w:rFonts w:ascii="Arial" w:eastAsiaTheme="majorEastAsia" w:hAnsi="Arial" w:cs="Arial"/>
      <w:color w:val="1A495C" w:themeColor="accent1" w:themeShade="7F"/>
    </w:rPr>
  </w:style>
  <w:style w:type="character" w:customStyle="1" w:styleId="70">
    <w:name w:val="Заголовок 7 Знак"/>
    <w:basedOn w:val="a3"/>
    <w:link w:val="7"/>
    <w:uiPriority w:val="9"/>
    <w:semiHidden/>
    <w:rsid w:val="004230D9"/>
    <w:rPr>
      <w:rFonts w:ascii="Arial" w:eastAsiaTheme="majorEastAsia" w:hAnsi="Arial" w:cs="Arial"/>
      <w:i/>
      <w:iCs/>
      <w:color w:val="1A495C" w:themeColor="accent1" w:themeShade="7F"/>
    </w:rPr>
  </w:style>
  <w:style w:type="character" w:customStyle="1" w:styleId="80">
    <w:name w:val="Заголовок 8 Знак"/>
    <w:basedOn w:val="a3"/>
    <w:link w:val="8"/>
    <w:uiPriority w:val="9"/>
    <w:semiHidden/>
    <w:rsid w:val="004230D9"/>
    <w:rPr>
      <w:rFonts w:ascii="Arial" w:eastAsiaTheme="majorEastAsia" w:hAnsi="Arial" w:cs="Arial"/>
      <w:color w:val="272727" w:themeColor="text1" w:themeTint="D8"/>
      <w:sz w:val="22"/>
      <w:szCs w:val="21"/>
    </w:rPr>
  </w:style>
  <w:style w:type="character" w:customStyle="1" w:styleId="90">
    <w:name w:val="Заголовок 9 Знак"/>
    <w:basedOn w:val="a3"/>
    <w:link w:val="9"/>
    <w:uiPriority w:val="9"/>
    <w:semiHidden/>
    <w:rsid w:val="004230D9"/>
    <w:rPr>
      <w:rFonts w:ascii="Arial" w:eastAsiaTheme="majorEastAsia" w:hAnsi="Arial" w:cs="Arial"/>
      <w:i/>
      <w:iCs/>
      <w:color w:val="272727" w:themeColor="text1" w:themeTint="D8"/>
      <w:sz w:val="22"/>
      <w:szCs w:val="21"/>
    </w:rPr>
  </w:style>
  <w:style w:type="paragraph" w:styleId="ac">
    <w:name w:val="Title"/>
    <w:basedOn w:val="a2"/>
    <w:link w:val="ad"/>
    <w:uiPriority w:val="10"/>
    <w:semiHidden/>
    <w:unhideWhenUsed/>
    <w:qFormat/>
    <w:rsid w:val="004230D9"/>
    <w:pPr>
      <w:contextualSpacing/>
    </w:pPr>
    <w:rPr>
      <w:rFonts w:ascii="Arial" w:eastAsiaTheme="majorEastAsia" w:hAnsi="Arial" w:cs="Arial"/>
      <w:spacing w:val="-10"/>
      <w:kern w:val="28"/>
      <w:sz w:val="56"/>
      <w:szCs w:val="56"/>
    </w:rPr>
  </w:style>
  <w:style w:type="character" w:customStyle="1" w:styleId="ad">
    <w:name w:val="Название Знак"/>
    <w:basedOn w:val="a3"/>
    <w:link w:val="ac"/>
    <w:uiPriority w:val="10"/>
    <w:semiHidden/>
    <w:rsid w:val="004230D9"/>
    <w:rPr>
      <w:rFonts w:ascii="Arial" w:eastAsiaTheme="majorEastAsia" w:hAnsi="Arial" w:cs="Arial"/>
      <w:spacing w:val="-10"/>
      <w:kern w:val="28"/>
      <w:sz w:val="56"/>
      <w:szCs w:val="56"/>
    </w:rPr>
  </w:style>
  <w:style w:type="paragraph" w:styleId="ae">
    <w:name w:val="Subtitle"/>
    <w:basedOn w:val="a2"/>
    <w:link w:val="af"/>
    <w:uiPriority w:val="11"/>
    <w:semiHidden/>
    <w:unhideWhenUsed/>
    <w:qFormat/>
    <w:rsid w:val="004230D9"/>
    <w:pPr>
      <w:numPr>
        <w:ilvl w:val="1"/>
      </w:numPr>
      <w:spacing w:after="160"/>
      <w:ind w:left="187"/>
      <w:contextualSpacing/>
    </w:pPr>
    <w:rPr>
      <w:rFonts w:eastAsiaTheme="minorEastAsia"/>
      <w:color w:val="5A5A5A" w:themeColor="text1" w:themeTint="A5"/>
      <w:spacing w:val="15"/>
      <w:sz w:val="22"/>
      <w:szCs w:val="22"/>
    </w:rPr>
  </w:style>
  <w:style w:type="character" w:customStyle="1" w:styleId="af">
    <w:name w:val="Подзаголовок Знак"/>
    <w:basedOn w:val="a3"/>
    <w:link w:val="ae"/>
    <w:uiPriority w:val="11"/>
    <w:semiHidden/>
    <w:rsid w:val="004230D9"/>
    <w:rPr>
      <w:rFonts w:ascii="Times New Roman" w:eastAsiaTheme="minorEastAsia" w:hAnsi="Times New Roman" w:cs="Times New Roman"/>
      <w:color w:val="5A5A5A" w:themeColor="text1" w:themeTint="A5"/>
      <w:spacing w:val="15"/>
      <w:sz w:val="22"/>
      <w:szCs w:val="22"/>
    </w:rPr>
  </w:style>
  <w:style w:type="character" w:styleId="af0">
    <w:name w:val="Subtle Emphasis"/>
    <w:basedOn w:val="a3"/>
    <w:uiPriority w:val="19"/>
    <w:semiHidden/>
    <w:unhideWhenUsed/>
    <w:qFormat/>
    <w:rsid w:val="004230D9"/>
    <w:rPr>
      <w:rFonts w:ascii="Times New Roman" w:hAnsi="Times New Roman" w:cs="Times New Roman"/>
      <w:i/>
      <w:iCs/>
      <w:color w:val="404040" w:themeColor="text1" w:themeTint="BF"/>
    </w:rPr>
  </w:style>
  <w:style w:type="character" w:styleId="af1">
    <w:name w:val="Intense Emphasis"/>
    <w:basedOn w:val="a3"/>
    <w:uiPriority w:val="21"/>
    <w:semiHidden/>
    <w:unhideWhenUsed/>
    <w:qFormat/>
    <w:rsid w:val="004230D9"/>
    <w:rPr>
      <w:rFonts w:ascii="Times New Roman" w:hAnsi="Times New Roman" w:cs="Times New Roman"/>
      <w:i/>
      <w:iCs/>
      <w:color w:val="276E8B" w:themeColor="accent1" w:themeShade="BF"/>
    </w:rPr>
  </w:style>
  <w:style w:type="character" w:styleId="af2">
    <w:name w:val="Strong"/>
    <w:basedOn w:val="a3"/>
    <w:uiPriority w:val="22"/>
    <w:semiHidden/>
    <w:unhideWhenUsed/>
    <w:qFormat/>
    <w:rsid w:val="004230D9"/>
    <w:rPr>
      <w:rFonts w:ascii="Times New Roman" w:hAnsi="Times New Roman" w:cs="Times New Roman"/>
      <w:b/>
      <w:bCs/>
    </w:rPr>
  </w:style>
  <w:style w:type="paragraph" w:styleId="23">
    <w:name w:val="Quote"/>
    <w:basedOn w:val="a2"/>
    <w:link w:val="24"/>
    <w:uiPriority w:val="29"/>
    <w:semiHidden/>
    <w:unhideWhenUsed/>
    <w:qFormat/>
    <w:rsid w:val="004230D9"/>
    <w:pPr>
      <w:spacing w:before="200" w:after="160"/>
      <w:jc w:val="center"/>
    </w:pPr>
    <w:rPr>
      <w:i/>
      <w:iCs/>
      <w:color w:val="404040" w:themeColor="text1" w:themeTint="BF"/>
    </w:rPr>
  </w:style>
  <w:style w:type="character" w:customStyle="1" w:styleId="24">
    <w:name w:val="Цитата 2 Знак"/>
    <w:basedOn w:val="a3"/>
    <w:link w:val="23"/>
    <w:uiPriority w:val="29"/>
    <w:semiHidden/>
    <w:rsid w:val="004230D9"/>
    <w:rPr>
      <w:rFonts w:ascii="Times New Roman" w:hAnsi="Times New Roman" w:cs="Times New Roman"/>
      <w:i/>
      <w:iCs/>
      <w:color w:val="404040" w:themeColor="text1" w:themeTint="BF"/>
    </w:rPr>
  </w:style>
  <w:style w:type="paragraph" w:styleId="af3">
    <w:name w:val="Intense Quote"/>
    <w:basedOn w:val="a2"/>
    <w:next w:val="a2"/>
    <w:link w:val="af4"/>
    <w:uiPriority w:val="30"/>
    <w:semiHidden/>
    <w:unhideWhenUsed/>
    <w:qFormat/>
    <w:rsid w:val="004230D9"/>
    <w:pPr>
      <w:pBdr>
        <w:top w:val="single" w:sz="4" w:space="10" w:color="3494BA" w:themeColor="accent1"/>
        <w:bottom w:val="single" w:sz="4" w:space="10" w:color="3494BA" w:themeColor="accent1"/>
      </w:pBdr>
      <w:spacing w:before="360" w:after="360"/>
      <w:jc w:val="center"/>
    </w:pPr>
    <w:rPr>
      <w:i/>
      <w:iCs/>
      <w:color w:val="276E8B" w:themeColor="accent1" w:themeShade="BF"/>
    </w:rPr>
  </w:style>
  <w:style w:type="character" w:customStyle="1" w:styleId="af4">
    <w:name w:val="Выделенная цитата Знак"/>
    <w:basedOn w:val="a3"/>
    <w:link w:val="af3"/>
    <w:uiPriority w:val="30"/>
    <w:semiHidden/>
    <w:rsid w:val="004230D9"/>
    <w:rPr>
      <w:rFonts w:ascii="Times New Roman" w:hAnsi="Times New Roman" w:cs="Times New Roman"/>
      <w:i/>
      <w:iCs/>
      <w:color w:val="276E8B" w:themeColor="accent1" w:themeShade="BF"/>
    </w:rPr>
  </w:style>
  <w:style w:type="character" w:styleId="af5">
    <w:name w:val="Subtle Reference"/>
    <w:basedOn w:val="a3"/>
    <w:uiPriority w:val="31"/>
    <w:semiHidden/>
    <w:unhideWhenUsed/>
    <w:qFormat/>
    <w:rsid w:val="004230D9"/>
    <w:rPr>
      <w:rFonts w:ascii="Times New Roman" w:hAnsi="Times New Roman" w:cs="Times New Roman"/>
      <w:caps w:val="0"/>
      <w:smallCaps/>
      <w:color w:val="5A5A5A" w:themeColor="text1" w:themeTint="A5"/>
    </w:rPr>
  </w:style>
  <w:style w:type="character" w:styleId="af6">
    <w:name w:val="Intense Reference"/>
    <w:basedOn w:val="a3"/>
    <w:uiPriority w:val="32"/>
    <w:semiHidden/>
    <w:unhideWhenUsed/>
    <w:qFormat/>
    <w:rsid w:val="004230D9"/>
    <w:rPr>
      <w:rFonts w:ascii="Times New Roman" w:hAnsi="Times New Roman" w:cs="Times New Roman"/>
      <w:b/>
      <w:bCs/>
      <w:caps w:val="0"/>
      <w:smallCaps/>
      <w:color w:val="276E8B" w:themeColor="accent1" w:themeShade="BF"/>
      <w:spacing w:val="0"/>
    </w:rPr>
  </w:style>
  <w:style w:type="character" w:styleId="af7">
    <w:name w:val="Book Title"/>
    <w:basedOn w:val="a3"/>
    <w:uiPriority w:val="33"/>
    <w:semiHidden/>
    <w:unhideWhenUsed/>
    <w:qFormat/>
    <w:rsid w:val="004230D9"/>
    <w:rPr>
      <w:rFonts w:ascii="Times New Roman" w:hAnsi="Times New Roman" w:cs="Times New Roman"/>
      <w:b/>
      <w:bCs/>
      <w:i/>
      <w:iCs/>
      <w:spacing w:val="0"/>
    </w:rPr>
  </w:style>
  <w:style w:type="paragraph" w:styleId="af8">
    <w:name w:val="List Paragraph"/>
    <w:basedOn w:val="a2"/>
    <w:uiPriority w:val="34"/>
    <w:unhideWhenUsed/>
    <w:qFormat/>
    <w:rsid w:val="004230D9"/>
    <w:pPr>
      <w:ind w:left="720"/>
      <w:contextualSpacing/>
    </w:pPr>
  </w:style>
  <w:style w:type="paragraph" w:styleId="af9">
    <w:name w:val="caption"/>
    <w:basedOn w:val="a2"/>
    <w:next w:val="a2"/>
    <w:uiPriority w:val="35"/>
    <w:semiHidden/>
    <w:unhideWhenUsed/>
    <w:qFormat/>
    <w:rsid w:val="004230D9"/>
    <w:rPr>
      <w:i/>
      <w:iCs/>
      <w:color w:val="373545" w:themeColor="text2"/>
      <w:sz w:val="22"/>
      <w:szCs w:val="18"/>
    </w:rPr>
  </w:style>
  <w:style w:type="paragraph" w:styleId="afa">
    <w:name w:val="Bibliography"/>
    <w:basedOn w:val="a2"/>
    <w:next w:val="a2"/>
    <w:uiPriority w:val="37"/>
    <w:semiHidden/>
    <w:unhideWhenUsed/>
    <w:rsid w:val="004230D9"/>
  </w:style>
  <w:style w:type="paragraph" w:styleId="11">
    <w:name w:val="toc 1"/>
    <w:basedOn w:val="a2"/>
    <w:next w:val="a2"/>
    <w:autoRedefine/>
    <w:uiPriority w:val="39"/>
    <w:unhideWhenUsed/>
    <w:rsid w:val="004230D9"/>
    <w:pPr>
      <w:spacing w:after="100"/>
    </w:pPr>
  </w:style>
  <w:style w:type="paragraph" w:styleId="91">
    <w:name w:val="toc 9"/>
    <w:basedOn w:val="a2"/>
    <w:next w:val="a2"/>
    <w:autoRedefine/>
    <w:uiPriority w:val="39"/>
    <w:unhideWhenUsed/>
    <w:rsid w:val="004230D9"/>
    <w:pPr>
      <w:spacing w:after="100"/>
      <w:ind w:left="1920"/>
    </w:pPr>
  </w:style>
  <w:style w:type="paragraph" w:styleId="afb">
    <w:name w:val="TOC Heading"/>
    <w:basedOn w:val="1"/>
    <w:next w:val="1"/>
    <w:link w:val="afc"/>
    <w:uiPriority w:val="39"/>
    <w:unhideWhenUsed/>
    <w:qFormat/>
    <w:rsid w:val="004230D9"/>
    <w:pPr>
      <w:framePr w:wrap="around" w:vAnchor="text" w:hAnchor="text" w:y="1"/>
    </w:pPr>
    <w:rPr>
      <w:rFonts w:eastAsiaTheme="majorEastAsia"/>
      <w:bCs w:val="0"/>
    </w:rPr>
  </w:style>
  <w:style w:type="paragraph" w:styleId="afd">
    <w:name w:val="Block Text"/>
    <w:basedOn w:val="a2"/>
    <w:uiPriority w:val="99"/>
    <w:semiHidden/>
    <w:unhideWhenUsed/>
    <w:rsid w:val="004230D9"/>
    <w:pPr>
      <w:pBdr>
        <w:top w:val="single" w:sz="2" w:space="10" w:color="276E8B" w:themeColor="accent1" w:themeShade="BF"/>
        <w:left w:val="single" w:sz="2" w:space="10" w:color="276E8B" w:themeColor="accent1" w:themeShade="BF"/>
        <w:bottom w:val="single" w:sz="2" w:space="10" w:color="276E8B" w:themeColor="accent1" w:themeShade="BF"/>
        <w:right w:val="single" w:sz="2" w:space="10" w:color="276E8B" w:themeColor="accent1" w:themeShade="BF"/>
      </w:pBdr>
      <w:ind w:left="1152" w:right="1152"/>
    </w:pPr>
    <w:rPr>
      <w:rFonts w:eastAsiaTheme="minorEastAsia"/>
      <w:i/>
      <w:iCs/>
      <w:color w:val="276E8B" w:themeColor="accent1" w:themeShade="BF"/>
    </w:rPr>
  </w:style>
  <w:style w:type="paragraph" w:styleId="afe">
    <w:name w:val="Body Text"/>
    <w:basedOn w:val="a2"/>
    <w:link w:val="aff"/>
    <w:uiPriority w:val="99"/>
    <w:semiHidden/>
    <w:unhideWhenUsed/>
    <w:rsid w:val="004230D9"/>
    <w:pPr>
      <w:spacing w:after="120"/>
    </w:pPr>
  </w:style>
  <w:style w:type="character" w:customStyle="1" w:styleId="aff">
    <w:name w:val="Основной текст Знак"/>
    <w:basedOn w:val="a3"/>
    <w:link w:val="afe"/>
    <w:uiPriority w:val="99"/>
    <w:semiHidden/>
    <w:rsid w:val="004230D9"/>
    <w:rPr>
      <w:rFonts w:ascii="Times New Roman" w:hAnsi="Times New Roman" w:cs="Times New Roman"/>
    </w:rPr>
  </w:style>
  <w:style w:type="paragraph" w:styleId="25">
    <w:name w:val="Body Text 2"/>
    <w:basedOn w:val="a2"/>
    <w:link w:val="26"/>
    <w:uiPriority w:val="99"/>
    <w:semiHidden/>
    <w:unhideWhenUsed/>
    <w:rsid w:val="004230D9"/>
    <w:pPr>
      <w:spacing w:after="120" w:line="480" w:lineRule="auto"/>
    </w:pPr>
  </w:style>
  <w:style w:type="character" w:customStyle="1" w:styleId="26">
    <w:name w:val="Основной текст 2 Знак"/>
    <w:basedOn w:val="a3"/>
    <w:link w:val="25"/>
    <w:uiPriority w:val="99"/>
    <w:semiHidden/>
    <w:rsid w:val="004230D9"/>
    <w:rPr>
      <w:rFonts w:ascii="Times New Roman" w:hAnsi="Times New Roman" w:cs="Times New Roman"/>
    </w:rPr>
  </w:style>
  <w:style w:type="paragraph" w:styleId="32">
    <w:name w:val="Body Text 3"/>
    <w:basedOn w:val="a2"/>
    <w:link w:val="33"/>
    <w:uiPriority w:val="99"/>
    <w:semiHidden/>
    <w:unhideWhenUsed/>
    <w:rsid w:val="004230D9"/>
    <w:pPr>
      <w:spacing w:after="120"/>
    </w:pPr>
    <w:rPr>
      <w:sz w:val="22"/>
      <w:szCs w:val="16"/>
    </w:rPr>
  </w:style>
  <w:style w:type="character" w:customStyle="1" w:styleId="33">
    <w:name w:val="Основной текст 3 Знак"/>
    <w:basedOn w:val="a3"/>
    <w:link w:val="32"/>
    <w:uiPriority w:val="99"/>
    <w:semiHidden/>
    <w:rsid w:val="004230D9"/>
    <w:rPr>
      <w:rFonts w:ascii="Times New Roman" w:hAnsi="Times New Roman" w:cs="Times New Roman"/>
      <w:sz w:val="22"/>
      <w:szCs w:val="16"/>
    </w:rPr>
  </w:style>
  <w:style w:type="paragraph" w:styleId="34">
    <w:name w:val="Body Text Indent 3"/>
    <w:basedOn w:val="a2"/>
    <w:link w:val="35"/>
    <w:uiPriority w:val="99"/>
    <w:semiHidden/>
    <w:unhideWhenUsed/>
    <w:rsid w:val="004230D9"/>
    <w:pPr>
      <w:spacing w:after="120"/>
      <w:ind w:left="283"/>
    </w:pPr>
    <w:rPr>
      <w:sz w:val="22"/>
      <w:szCs w:val="16"/>
    </w:rPr>
  </w:style>
  <w:style w:type="character" w:customStyle="1" w:styleId="35">
    <w:name w:val="Основной текст с отступом 3 Знак"/>
    <w:basedOn w:val="a3"/>
    <w:link w:val="34"/>
    <w:uiPriority w:val="99"/>
    <w:semiHidden/>
    <w:rsid w:val="004230D9"/>
    <w:rPr>
      <w:rFonts w:ascii="Times New Roman" w:hAnsi="Times New Roman" w:cs="Times New Roman"/>
      <w:sz w:val="22"/>
      <w:szCs w:val="16"/>
    </w:rPr>
  </w:style>
  <w:style w:type="character" w:styleId="aff0">
    <w:name w:val="annotation reference"/>
    <w:basedOn w:val="a3"/>
    <w:uiPriority w:val="99"/>
    <w:semiHidden/>
    <w:unhideWhenUsed/>
    <w:rsid w:val="004230D9"/>
    <w:rPr>
      <w:rFonts w:ascii="Times New Roman" w:hAnsi="Times New Roman" w:cs="Times New Roman"/>
      <w:szCs w:val="16"/>
    </w:rPr>
  </w:style>
  <w:style w:type="paragraph" w:styleId="aff1">
    <w:name w:val="annotation text"/>
    <w:basedOn w:val="a2"/>
    <w:link w:val="aff2"/>
    <w:uiPriority w:val="99"/>
    <w:semiHidden/>
    <w:unhideWhenUsed/>
    <w:rsid w:val="004230D9"/>
    <w:rPr>
      <w:sz w:val="22"/>
    </w:rPr>
  </w:style>
  <w:style w:type="character" w:customStyle="1" w:styleId="aff2">
    <w:name w:val="Текст примечания Знак"/>
    <w:basedOn w:val="a3"/>
    <w:link w:val="aff1"/>
    <w:uiPriority w:val="99"/>
    <w:semiHidden/>
    <w:rsid w:val="004230D9"/>
    <w:rPr>
      <w:rFonts w:ascii="Times New Roman" w:hAnsi="Times New Roman" w:cs="Times New Roman"/>
      <w:sz w:val="22"/>
      <w:szCs w:val="20"/>
    </w:rPr>
  </w:style>
  <w:style w:type="paragraph" w:styleId="aff3">
    <w:name w:val="annotation subject"/>
    <w:basedOn w:val="aff1"/>
    <w:next w:val="aff1"/>
    <w:link w:val="aff4"/>
    <w:uiPriority w:val="99"/>
    <w:semiHidden/>
    <w:unhideWhenUsed/>
    <w:rsid w:val="004230D9"/>
    <w:rPr>
      <w:b/>
      <w:bCs/>
    </w:rPr>
  </w:style>
  <w:style w:type="character" w:customStyle="1" w:styleId="aff4">
    <w:name w:val="Тема примечания Знак"/>
    <w:basedOn w:val="aff2"/>
    <w:link w:val="aff3"/>
    <w:uiPriority w:val="99"/>
    <w:semiHidden/>
    <w:rsid w:val="004230D9"/>
    <w:rPr>
      <w:rFonts w:ascii="Times New Roman" w:hAnsi="Times New Roman" w:cs="Times New Roman"/>
      <w:b/>
      <w:bCs/>
      <w:sz w:val="22"/>
      <w:szCs w:val="20"/>
    </w:rPr>
  </w:style>
  <w:style w:type="paragraph" w:styleId="aff5">
    <w:name w:val="Document Map"/>
    <w:basedOn w:val="a2"/>
    <w:link w:val="aff6"/>
    <w:uiPriority w:val="99"/>
    <w:semiHidden/>
    <w:unhideWhenUsed/>
    <w:rsid w:val="004230D9"/>
    <w:rPr>
      <w:rFonts w:ascii="Segoe UI" w:hAnsi="Segoe UI" w:cs="Segoe UI"/>
      <w:sz w:val="22"/>
      <w:szCs w:val="16"/>
    </w:rPr>
  </w:style>
  <w:style w:type="character" w:customStyle="1" w:styleId="aff6">
    <w:name w:val="Схема документа Знак"/>
    <w:basedOn w:val="a3"/>
    <w:link w:val="aff5"/>
    <w:uiPriority w:val="99"/>
    <w:semiHidden/>
    <w:rsid w:val="004230D9"/>
    <w:rPr>
      <w:rFonts w:ascii="Segoe UI" w:hAnsi="Segoe UI" w:cs="Segoe UI"/>
      <w:sz w:val="22"/>
      <w:szCs w:val="16"/>
    </w:rPr>
  </w:style>
  <w:style w:type="character" w:styleId="aff7">
    <w:name w:val="endnote reference"/>
    <w:basedOn w:val="a3"/>
    <w:uiPriority w:val="99"/>
    <w:semiHidden/>
    <w:unhideWhenUsed/>
    <w:rsid w:val="004230D9"/>
    <w:rPr>
      <w:rFonts w:ascii="Times New Roman" w:hAnsi="Times New Roman" w:cs="Times New Roman"/>
      <w:vertAlign w:val="superscript"/>
    </w:rPr>
  </w:style>
  <w:style w:type="paragraph" w:styleId="aff8">
    <w:name w:val="endnote text"/>
    <w:basedOn w:val="a2"/>
    <w:link w:val="aff9"/>
    <w:uiPriority w:val="99"/>
    <w:semiHidden/>
    <w:unhideWhenUsed/>
    <w:rsid w:val="004230D9"/>
    <w:rPr>
      <w:sz w:val="22"/>
    </w:rPr>
  </w:style>
  <w:style w:type="character" w:customStyle="1" w:styleId="aff9">
    <w:name w:val="Текст концевой сноски Знак"/>
    <w:basedOn w:val="a3"/>
    <w:link w:val="aff8"/>
    <w:uiPriority w:val="99"/>
    <w:semiHidden/>
    <w:rsid w:val="004230D9"/>
    <w:rPr>
      <w:rFonts w:ascii="Times New Roman" w:hAnsi="Times New Roman" w:cs="Times New Roman"/>
      <w:sz w:val="22"/>
      <w:szCs w:val="20"/>
    </w:rPr>
  </w:style>
  <w:style w:type="paragraph" w:styleId="27">
    <w:name w:val="envelope return"/>
    <w:basedOn w:val="a2"/>
    <w:uiPriority w:val="99"/>
    <w:semiHidden/>
    <w:unhideWhenUsed/>
    <w:rsid w:val="004230D9"/>
    <w:rPr>
      <w:rFonts w:ascii="Arial" w:eastAsiaTheme="majorEastAsia" w:hAnsi="Arial" w:cs="Arial"/>
      <w:sz w:val="22"/>
    </w:rPr>
  </w:style>
  <w:style w:type="paragraph" w:styleId="affa">
    <w:name w:val="envelope address"/>
    <w:basedOn w:val="a2"/>
    <w:uiPriority w:val="99"/>
    <w:semiHidden/>
    <w:unhideWhenUsed/>
    <w:rsid w:val="004230D9"/>
    <w:pPr>
      <w:framePr w:w="7920" w:h="1980" w:hRule="exact" w:hSpace="180" w:wrap="auto" w:hAnchor="page" w:xAlign="center" w:yAlign="bottom"/>
      <w:ind w:left="2880"/>
    </w:pPr>
    <w:rPr>
      <w:rFonts w:ascii="Arial" w:eastAsiaTheme="majorEastAsia" w:hAnsi="Arial" w:cs="Arial"/>
    </w:rPr>
  </w:style>
  <w:style w:type="character" w:styleId="affb">
    <w:name w:val="FollowedHyperlink"/>
    <w:basedOn w:val="a3"/>
    <w:uiPriority w:val="99"/>
    <w:semiHidden/>
    <w:unhideWhenUsed/>
    <w:rsid w:val="004230D9"/>
    <w:rPr>
      <w:rFonts w:ascii="Times New Roman" w:hAnsi="Times New Roman" w:cs="Times New Roman"/>
      <w:color w:val="9F6715" w:themeColor="followedHyperlink"/>
      <w:u w:val="single"/>
    </w:rPr>
  </w:style>
  <w:style w:type="paragraph" w:styleId="affc">
    <w:name w:val="footer"/>
    <w:basedOn w:val="a2"/>
    <w:link w:val="affd"/>
    <w:uiPriority w:val="99"/>
    <w:rsid w:val="004230D9"/>
  </w:style>
  <w:style w:type="character" w:customStyle="1" w:styleId="affd">
    <w:name w:val="Нижний колонтитул Знак"/>
    <w:basedOn w:val="a3"/>
    <w:link w:val="affc"/>
    <w:uiPriority w:val="99"/>
    <w:rsid w:val="004701E1"/>
  </w:style>
  <w:style w:type="character" w:styleId="affe">
    <w:name w:val="footnote reference"/>
    <w:basedOn w:val="a3"/>
    <w:uiPriority w:val="99"/>
    <w:semiHidden/>
    <w:unhideWhenUsed/>
    <w:rsid w:val="004230D9"/>
    <w:rPr>
      <w:rFonts w:ascii="Times New Roman" w:hAnsi="Times New Roman" w:cs="Times New Roman"/>
      <w:vertAlign w:val="superscript"/>
    </w:rPr>
  </w:style>
  <w:style w:type="paragraph" w:styleId="afff">
    <w:name w:val="footnote text"/>
    <w:basedOn w:val="a2"/>
    <w:link w:val="afff0"/>
    <w:uiPriority w:val="99"/>
    <w:semiHidden/>
    <w:unhideWhenUsed/>
    <w:rsid w:val="004230D9"/>
    <w:rPr>
      <w:sz w:val="22"/>
    </w:rPr>
  </w:style>
  <w:style w:type="character" w:customStyle="1" w:styleId="afff0">
    <w:name w:val="Текст сноски Знак"/>
    <w:basedOn w:val="a3"/>
    <w:link w:val="afff"/>
    <w:uiPriority w:val="99"/>
    <w:semiHidden/>
    <w:rsid w:val="004230D9"/>
    <w:rPr>
      <w:rFonts w:ascii="Times New Roman" w:hAnsi="Times New Roman" w:cs="Times New Roman"/>
      <w:sz w:val="22"/>
      <w:szCs w:val="20"/>
    </w:rPr>
  </w:style>
  <w:style w:type="character" w:customStyle="1" w:styleId="Hashtag">
    <w:name w:val="Hashtag"/>
    <w:basedOn w:val="a3"/>
    <w:uiPriority w:val="99"/>
    <w:semiHidden/>
    <w:unhideWhenUsed/>
    <w:rsid w:val="004230D9"/>
    <w:rPr>
      <w:rFonts w:ascii="Times New Roman" w:hAnsi="Times New Roman" w:cs="Times New Roman"/>
      <w:color w:val="2B579A"/>
      <w:shd w:val="clear" w:color="auto" w:fill="E6E6E6"/>
    </w:rPr>
  </w:style>
  <w:style w:type="paragraph" w:styleId="afff1">
    <w:name w:val="header"/>
    <w:basedOn w:val="a2"/>
    <w:link w:val="afff2"/>
    <w:uiPriority w:val="99"/>
    <w:unhideWhenUsed/>
    <w:rsid w:val="00222713"/>
    <w:rPr>
      <w:sz w:val="16"/>
    </w:rPr>
  </w:style>
  <w:style w:type="character" w:customStyle="1" w:styleId="afff2">
    <w:name w:val="Верхний колонтитул Знак"/>
    <w:basedOn w:val="a3"/>
    <w:link w:val="afff1"/>
    <w:uiPriority w:val="99"/>
    <w:rsid w:val="00222713"/>
    <w:rPr>
      <w:sz w:val="16"/>
    </w:rPr>
  </w:style>
  <w:style w:type="character" w:styleId="HTML">
    <w:name w:val="HTML Acronym"/>
    <w:basedOn w:val="a3"/>
    <w:uiPriority w:val="99"/>
    <w:semiHidden/>
    <w:unhideWhenUsed/>
    <w:rsid w:val="004230D9"/>
    <w:rPr>
      <w:rFonts w:ascii="Times New Roman" w:hAnsi="Times New Roman" w:cs="Times New Roman"/>
    </w:rPr>
  </w:style>
  <w:style w:type="paragraph" w:styleId="HTML0">
    <w:name w:val="HTML Address"/>
    <w:basedOn w:val="a2"/>
    <w:link w:val="HTML1"/>
    <w:uiPriority w:val="99"/>
    <w:semiHidden/>
    <w:unhideWhenUsed/>
    <w:rsid w:val="004230D9"/>
    <w:rPr>
      <w:i/>
      <w:iCs/>
    </w:rPr>
  </w:style>
  <w:style w:type="character" w:customStyle="1" w:styleId="HTML1">
    <w:name w:val="Адрес HTML Знак"/>
    <w:basedOn w:val="a3"/>
    <w:link w:val="HTML0"/>
    <w:uiPriority w:val="99"/>
    <w:semiHidden/>
    <w:rsid w:val="004230D9"/>
    <w:rPr>
      <w:rFonts w:ascii="Times New Roman" w:hAnsi="Times New Roman" w:cs="Times New Roman"/>
      <w:i/>
      <w:iCs/>
    </w:rPr>
  </w:style>
  <w:style w:type="character" w:styleId="HTML2">
    <w:name w:val="HTML Cite"/>
    <w:basedOn w:val="a3"/>
    <w:uiPriority w:val="99"/>
    <w:semiHidden/>
    <w:unhideWhenUsed/>
    <w:rsid w:val="004230D9"/>
    <w:rPr>
      <w:rFonts w:ascii="Times New Roman" w:hAnsi="Times New Roman" w:cs="Times New Roman"/>
      <w:i/>
      <w:iCs/>
    </w:rPr>
  </w:style>
  <w:style w:type="character" w:styleId="HTML3">
    <w:name w:val="HTML Code"/>
    <w:basedOn w:val="a3"/>
    <w:uiPriority w:val="99"/>
    <w:semiHidden/>
    <w:unhideWhenUsed/>
    <w:rsid w:val="004230D9"/>
    <w:rPr>
      <w:rFonts w:ascii="Consolas" w:hAnsi="Consolas" w:cs="Times New Roman"/>
      <w:szCs w:val="20"/>
    </w:rPr>
  </w:style>
  <w:style w:type="character" w:styleId="HTML4">
    <w:name w:val="HTML Definition"/>
    <w:basedOn w:val="a3"/>
    <w:uiPriority w:val="99"/>
    <w:semiHidden/>
    <w:unhideWhenUsed/>
    <w:rsid w:val="004230D9"/>
    <w:rPr>
      <w:rFonts w:ascii="Times New Roman" w:hAnsi="Times New Roman" w:cs="Times New Roman"/>
      <w:i/>
      <w:iCs/>
    </w:rPr>
  </w:style>
  <w:style w:type="character" w:styleId="HTML5">
    <w:name w:val="HTML Keyboard"/>
    <w:basedOn w:val="a3"/>
    <w:uiPriority w:val="99"/>
    <w:semiHidden/>
    <w:unhideWhenUsed/>
    <w:rsid w:val="004230D9"/>
    <w:rPr>
      <w:rFonts w:ascii="Consolas" w:hAnsi="Consolas" w:cs="Times New Roman"/>
      <w:szCs w:val="20"/>
    </w:rPr>
  </w:style>
  <w:style w:type="paragraph" w:styleId="HTML6">
    <w:name w:val="HTML Preformatted"/>
    <w:basedOn w:val="a2"/>
    <w:link w:val="HTML7"/>
    <w:uiPriority w:val="99"/>
    <w:semiHidden/>
    <w:unhideWhenUsed/>
    <w:rsid w:val="004230D9"/>
    <w:rPr>
      <w:rFonts w:ascii="Consolas" w:hAnsi="Consolas"/>
      <w:sz w:val="22"/>
    </w:rPr>
  </w:style>
  <w:style w:type="character" w:customStyle="1" w:styleId="HTML7">
    <w:name w:val="Стандартный HTML Знак"/>
    <w:basedOn w:val="a3"/>
    <w:link w:val="HTML6"/>
    <w:uiPriority w:val="99"/>
    <w:semiHidden/>
    <w:rsid w:val="004230D9"/>
    <w:rPr>
      <w:rFonts w:ascii="Consolas" w:hAnsi="Consolas" w:cs="Times New Roman"/>
      <w:sz w:val="22"/>
      <w:szCs w:val="20"/>
    </w:rPr>
  </w:style>
  <w:style w:type="character" w:styleId="HTML8">
    <w:name w:val="HTML Typewriter"/>
    <w:basedOn w:val="a3"/>
    <w:uiPriority w:val="99"/>
    <w:semiHidden/>
    <w:unhideWhenUsed/>
    <w:rsid w:val="004230D9"/>
    <w:rPr>
      <w:rFonts w:ascii="Consolas" w:hAnsi="Consolas" w:cs="Times New Roman"/>
      <w:szCs w:val="20"/>
    </w:rPr>
  </w:style>
  <w:style w:type="character" w:styleId="HTML9">
    <w:name w:val="HTML Variable"/>
    <w:basedOn w:val="a3"/>
    <w:uiPriority w:val="99"/>
    <w:semiHidden/>
    <w:unhideWhenUsed/>
    <w:rsid w:val="004230D9"/>
    <w:rPr>
      <w:rFonts w:ascii="Times New Roman" w:hAnsi="Times New Roman" w:cs="Times New Roman"/>
      <w:i/>
      <w:iCs/>
    </w:rPr>
  </w:style>
  <w:style w:type="character" w:styleId="afff3">
    <w:name w:val="Hyperlink"/>
    <w:basedOn w:val="a3"/>
    <w:uiPriority w:val="99"/>
    <w:unhideWhenUsed/>
    <w:rsid w:val="004230D9"/>
    <w:rPr>
      <w:rFonts w:ascii="Times New Roman" w:hAnsi="Times New Roman" w:cs="Times New Roman"/>
      <w:color w:val="6B9F25" w:themeColor="hyperlink"/>
      <w:u w:val="single"/>
    </w:rPr>
  </w:style>
  <w:style w:type="paragraph" w:styleId="12">
    <w:name w:val="index 1"/>
    <w:basedOn w:val="a2"/>
    <w:next w:val="a2"/>
    <w:autoRedefine/>
    <w:uiPriority w:val="99"/>
    <w:semiHidden/>
    <w:unhideWhenUsed/>
    <w:rsid w:val="004230D9"/>
    <w:pPr>
      <w:ind w:left="240" w:hanging="240"/>
    </w:pPr>
  </w:style>
  <w:style w:type="paragraph" w:styleId="afff4">
    <w:name w:val="index heading"/>
    <w:basedOn w:val="a2"/>
    <w:next w:val="12"/>
    <w:uiPriority w:val="99"/>
    <w:semiHidden/>
    <w:unhideWhenUsed/>
    <w:rsid w:val="004230D9"/>
    <w:rPr>
      <w:rFonts w:ascii="Arial" w:eastAsiaTheme="majorEastAsia" w:hAnsi="Arial" w:cs="Arial"/>
      <w:b/>
      <w:bCs/>
    </w:rPr>
  </w:style>
  <w:style w:type="character" w:styleId="afff5">
    <w:name w:val="line number"/>
    <w:basedOn w:val="a3"/>
    <w:uiPriority w:val="99"/>
    <w:semiHidden/>
    <w:unhideWhenUsed/>
    <w:rsid w:val="004230D9"/>
    <w:rPr>
      <w:rFonts w:ascii="Times New Roman" w:hAnsi="Times New Roman" w:cs="Times New Roman"/>
    </w:rPr>
  </w:style>
  <w:style w:type="paragraph" w:styleId="afff6">
    <w:name w:val="macro"/>
    <w:link w:val="afff7"/>
    <w:uiPriority w:val="99"/>
    <w:semiHidden/>
    <w:unhideWhenUsed/>
    <w:rsid w:val="004230D9"/>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customStyle="1" w:styleId="afff7">
    <w:name w:val="Текст макроса Знак"/>
    <w:basedOn w:val="a3"/>
    <w:link w:val="afff6"/>
    <w:uiPriority w:val="99"/>
    <w:semiHidden/>
    <w:rsid w:val="004230D9"/>
    <w:rPr>
      <w:rFonts w:ascii="Consolas" w:hAnsi="Consolas" w:cs="Times New Roman"/>
      <w:sz w:val="22"/>
      <w:szCs w:val="20"/>
    </w:rPr>
  </w:style>
  <w:style w:type="character" w:customStyle="1" w:styleId="Mention">
    <w:name w:val="Mention"/>
    <w:basedOn w:val="a3"/>
    <w:uiPriority w:val="99"/>
    <w:semiHidden/>
    <w:unhideWhenUsed/>
    <w:rsid w:val="004230D9"/>
    <w:rPr>
      <w:rFonts w:ascii="Times New Roman" w:hAnsi="Times New Roman" w:cs="Times New Roman"/>
      <w:color w:val="2B579A"/>
      <w:shd w:val="clear" w:color="auto" w:fill="E6E6E6"/>
    </w:rPr>
  </w:style>
  <w:style w:type="paragraph" w:styleId="afff8">
    <w:name w:val="Message Header"/>
    <w:basedOn w:val="a2"/>
    <w:link w:val="afff9"/>
    <w:uiPriority w:val="99"/>
    <w:semiHidden/>
    <w:unhideWhenUsed/>
    <w:rsid w:val="004230D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Theme="majorEastAsia" w:hAnsi="Arial" w:cs="Arial"/>
    </w:rPr>
  </w:style>
  <w:style w:type="character" w:customStyle="1" w:styleId="afff9">
    <w:name w:val="Шапка Знак"/>
    <w:basedOn w:val="a3"/>
    <w:link w:val="afff8"/>
    <w:uiPriority w:val="99"/>
    <w:semiHidden/>
    <w:rsid w:val="004230D9"/>
    <w:rPr>
      <w:rFonts w:ascii="Arial" w:eastAsiaTheme="majorEastAsia" w:hAnsi="Arial" w:cs="Arial"/>
      <w:shd w:val="pct20" w:color="auto" w:fill="auto"/>
    </w:rPr>
  </w:style>
  <w:style w:type="paragraph" w:styleId="afffa">
    <w:name w:val="Note Heading"/>
    <w:basedOn w:val="a2"/>
    <w:next w:val="a2"/>
    <w:link w:val="afffb"/>
    <w:uiPriority w:val="99"/>
    <w:semiHidden/>
    <w:unhideWhenUsed/>
    <w:rsid w:val="004230D9"/>
  </w:style>
  <w:style w:type="character" w:customStyle="1" w:styleId="afffb">
    <w:name w:val="Заголовок записки Знак"/>
    <w:basedOn w:val="a3"/>
    <w:link w:val="afffa"/>
    <w:uiPriority w:val="99"/>
    <w:semiHidden/>
    <w:rsid w:val="004230D9"/>
    <w:rPr>
      <w:rFonts w:ascii="Times New Roman" w:hAnsi="Times New Roman" w:cs="Times New Roman"/>
    </w:rPr>
  </w:style>
  <w:style w:type="paragraph" w:styleId="afffc">
    <w:name w:val="Plain Text"/>
    <w:basedOn w:val="a2"/>
    <w:link w:val="afffd"/>
    <w:uiPriority w:val="99"/>
    <w:semiHidden/>
    <w:unhideWhenUsed/>
    <w:rsid w:val="004230D9"/>
    <w:rPr>
      <w:rFonts w:ascii="Consolas" w:hAnsi="Consolas"/>
      <w:sz w:val="22"/>
      <w:szCs w:val="21"/>
    </w:rPr>
  </w:style>
  <w:style w:type="character" w:customStyle="1" w:styleId="afffd">
    <w:name w:val="Текст Знак"/>
    <w:basedOn w:val="a3"/>
    <w:link w:val="afffc"/>
    <w:uiPriority w:val="99"/>
    <w:semiHidden/>
    <w:rsid w:val="004230D9"/>
    <w:rPr>
      <w:rFonts w:ascii="Consolas" w:hAnsi="Consolas" w:cs="Times New Roman"/>
      <w:sz w:val="22"/>
      <w:szCs w:val="21"/>
    </w:rPr>
  </w:style>
  <w:style w:type="paragraph" w:styleId="afffe">
    <w:name w:val="Salutation"/>
    <w:basedOn w:val="a2"/>
    <w:next w:val="a2"/>
    <w:link w:val="affff"/>
    <w:uiPriority w:val="99"/>
    <w:semiHidden/>
    <w:unhideWhenUsed/>
    <w:rsid w:val="004230D9"/>
  </w:style>
  <w:style w:type="character" w:customStyle="1" w:styleId="affff">
    <w:name w:val="Приветствие Знак"/>
    <w:basedOn w:val="a3"/>
    <w:link w:val="afffe"/>
    <w:uiPriority w:val="99"/>
    <w:semiHidden/>
    <w:rsid w:val="004230D9"/>
    <w:rPr>
      <w:rFonts w:ascii="Times New Roman" w:hAnsi="Times New Roman" w:cs="Times New Roman"/>
    </w:rPr>
  </w:style>
  <w:style w:type="paragraph" w:styleId="affff0">
    <w:name w:val="Signature"/>
    <w:basedOn w:val="a2"/>
    <w:link w:val="affff1"/>
    <w:uiPriority w:val="99"/>
    <w:semiHidden/>
    <w:unhideWhenUsed/>
    <w:rsid w:val="004230D9"/>
    <w:pPr>
      <w:ind w:left="4252"/>
    </w:pPr>
  </w:style>
  <w:style w:type="character" w:customStyle="1" w:styleId="affff1">
    <w:name w:val="Подпись Знак"/>
    <w:basedOn w:val="a3"/>
    <w:link w:val="affff0"/>
    <w:uiPriority w:val="99"/>
    <w:semiHidden/>
    <w:rsid w:val="004230D9"/>
    <w:rPr>
      <w:rFonts w:ascii="Times New Roman" w:hAnsi="Times New Roman" w:cs="Times New Roman"/>
    </w:rPr>
  </w:style>
  <w:style w:type="character" w:customStyle="1" w:styleId="SmartHyperlink">
    <w:name w:val="Smart Hyperlink"/>
    <w:basedOn w:val="a3"/>
    <w:uiPriority w:val="99"/>
    <w:semiHidden/>
    <w:unhideWhenUsed/>
    <w:rsid w:val="004230D9"/>
    <w:rPr>
      <w:rFonts w:ascii="Times New Roman" w:hAnsi="Times New Roman" w:cs="Times New Roman"/>
      <w:u w:val="dotted"/>
    </w:rPr>
  </w:style>
  <w:style w:type="character" w:customStyle="1" w:styleId="UnresolvedMention">
    <w:name w:val="Unresolved Mention"/>
    <w:basedOn w:val="a3"/>
    <w:uiPriority w:val="99"/>
    <w:semiHidden/>
    <w:unhideWhenUsed/>
    <w:rsid w:val="004230D9"/>
    <w:rPr>
      <w:rFonts w:ascii="Times New Roman" w:hAnsi="Times New Roman" w:cs="Times New Roman"/>
      <w:color w:val="595959" w:themeColor="text1" w:themeTint="A6"/>
      <w:shd w:val="clear" w:color="auto" w:fill="E6E6E6"/>
    </w:rPr>
  </w:style>
  <w:style w:type="paragraph" w:styleId="20">
    <w:name w:val="List Number 2"/>
    <w:basedOn w:val="a2"/>
    <w:uiPriority w:val="12"/>
    <w:unhideWhenUsed/>
    <w:qFormat/>
    <w:rsid w:val="002E4F42"/>
    <w:pPr>
      <w:numPr>
        <w:ilvl w:val="1"/>
        <w:numId w:val="9"/>
      </w:numPr>
    </w:pPr>
  </w:style>
  <w:style w:type="numbering" w:styleId="111111">
    <w:name w:val="Outline List 2"/>
    <w:basedOn w:val="a5"/>
    <w:uiPriority w:val="99"/>
    <w:semiHidden/>
    <w:unhideWhenUsed/>
    <w:rsid w:val="004230D9"/>
    <w:pPr>
      <w:numPr>
        <w:numId w:val="10"/>
      </w:numPr>
    </w:pPr>
  </w:style>
  <w:style w:type="numbering" w:styleId="1ai">
    <w:name w:val="Outline List 1"/>
    <w:basedOn w:val="a5"/>
    <w:uiPriority w:val="99"/>
    <w:semiHidden/>
    <w:unhideWhenUsed/>
    <w:rsid w:val="004230D9"/>
    <w:pPr>
      <w:numPr>
        <w:numId w:val="11"/>
      </w:numPr>
    </w:pPr>
  </w:style>
  <w:style w:type="numbering" w:styleId="a1">
    <w:name w:val="Outline List 3"/>
    <w:basedOn w:val="a5"/>
    <w:uiPriority w:val="99"/>
    <w:semiHidden/>
    <w:unhideWhenUsed/>
    <w:rsid w:val="004230D9"/>
    <w:pPr>
      <w:numPr>
        <w:numId w:val="12"/>
      </w:numPr>
    </w:pPr>
  </w:style>
  <w:style w:type="paragraph" w:styleId="affff2">
    <w:name w:val="Body Text First Indent"/>
    <w:basedOn w:val="afe"/>
    <w:link w:val="affff3"/>
    <w:uiPriority w:val="99"/>
    <w:semiHidden/>
    <w:unhideWhenUsed/>
    <w:rsid w:val="004230D9"/>
    <w:pPr>
      <w:spacing w:after="200"/>
      <w:ind w:firstLine="360"/>
    </w:pPr>
  </w:style>
  <w:style w:type="character" w:customStyle="1" w:styleId="affff3">
    <w:name w:val="Красная строка Знак"/>
    <w:basedOn w:val="aff"/>
    <w:link w:val="affff2"/>
    <w:uiPriority w:val="99"/>
    <w:semiHidden/>
    <w:rsid w:val="004230D9"/>
    <w:rPr>
      <w:rFonts w:ascii="Times New Roman" w:hAnsi="Times New Roman" w:cs="Times New Roman"/>
    </w:rPr>
  </w:style>
  <w:style w:type="paragraph" w:styleId="affff4">
    <w:name w:val="Body Text Indent"/>
    <w:basedOn w:val="a2"/>
    <w:link w:val="affff5"/>
    <w:uiPriority w:val="99"/>
    <w:semiHidden/>
    <w:unhideWhenUsed/>
    <w:rsid w:val="004230D9"/>
    <w:pPr>
      <w:spacing w:after="120"/>
      <w:ind w:left="360"/>
    </w:pPr>
  </w:style>
  <w:style w:type="character" w:customStyle="1" w:styleId="affff5">
    <w:name w:val="Основной текст с отступом Знак"/>
    <w:basedOn w:val="a3"/>
    <w:link w:val="affff4"/>
    <w:uiPriority w:val="99"/>
    <w:semiHidden/>
    <w:rsid w:val="004230D9"/>
    <w:rPr>
      <w:rFonts w:ascii="Times New Roman" w:hAnsi="Times New Roman" w:cs="Times New Roman"/>
    </w:rPr>
  </w:style>
  <w:style w:type="paragraph" w:styleId="28">
    <w:name w:val="Body Text First Indent 2"/>
    <w:basedOn w:val="affff4"/>
    <w:link w:val="29"/>
    <w:uiPriority w:val="99"/>
    <w:semiHidden/>
    <w:unhideWhenUsed/>
    <w:rsid w:val="004230D9"/>
    <w:pPr>
      <w:spacing w:after="200"/>
      <w:ind w:firstLine="360"/>
    </w:pPr>
  </w:style>
  <w:style w:type="character" w:customStyle="1" w:styleId="29">
    <w:name w:val="Красная строка 2 Знак"/>
    <w:basedOn w:val="affff5"/>
    <w:link w:val="28"/>
    <w:uiPriority w:val="99"/>
    <w:semiHidden/>
    <w:rsid w:val="004230D9"/>
    <w:rPr>
      <w:rFonts w:ascii="Times New Roman" w:hAnsi="Times New Roman" w:cs="Times New Roman"/>
    </w:rPr>
  </w:style>
  <w:style w:type="paragraph" w:styleId="2a">
    <w:name w:val="Body Text Indent 2"/>
    <w:basedOn w:val="a2"/>
    <w:link w:val="2b"/>
    <w:uiPriority w:val="99"/>
    <w:semiHidden/>
    <w:unhideWhenUsed/>
    <w:rsid w:val="004230D9"/>
    <w:pPr>
      <w:spacing w:after="120" w:line="480" w:lineRule="auto"/>
      <w:ind w:left="360"/>
    </w:pPr>
  </w:style>
  <w:style w:type="character" w:customStyle="1" w:styleId="2b">
    <w:name w:val="Основной текст с отступом 2 Знак"/>
    <w:basedOn w:val="a3"/>
    <w:link w:val="2a"/>
    <w:uiPriority w:val="99"/>
    <w:semiHidden/>
    <w:rsid w:val="004230D9"/>
    <w:rPr>
      <w:rFonts w:ascii="Times New Roman" w:hAnsi="Times New Roman" w:cs="Times New Roman"/>
    </w:rPr>
  </w:style>
  <w:style w:type="paragraph" w:styleId="affff6">
    <w:name w:val="Closing"/>
    <w:basedOn w:val="a2"/>
    <w:link w:val="affff7"/>
    <w:uiPriority w:val="99"/>
    <w:semiHidden/>
    <w:unhideWhenUsed/>
    <w:rsid w:val="004230D9"/>
    <w:pPr>
      <w:ind w:left="4320"/>
    </w:pPr>
  </w:style>
  <w:style w:type="character" w:customStyle="1" w:styleId="affff7">
    <w:name w:val="Прощание Знак"/>
    <w:basedOn w:val="a3"/>
    <w:link w:val="affff6"/>
    <w:uiPriority w:val="99"/>
    <w:semiHidden/>
    <w:rsid w:val="004230D9"/>
    <w:rPr>
      <w:rFonts w:ascii="Times New Roman" w:hAnsi="Times New Roman" w:cs="Times New Roman"/>
    </w:rPr>
  </w:style>
  <w:style w:type="table" w:styleId="affff8">
    <w:name w:val="Colorful Grid"/>
    <w:basedOn w:val="a4"/>
    <w:uiPriority w:val="73"/>
    <w:semiHidden/>
    <w:unhideWhenUsed/>
    <w:rsid w:val="004230D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
    <w:name w:val="Colorful Grid Accent 1"/>
    <w:basedOn w:val="a4"/>
    <w:uiPriority w:val="73"/>
    <w:semiHidden/>
    <w:unhideWhenUsed/>
    <w:rsid w:val="004230D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4EAF3" w:themeFill="accent1" w:themeFillTint="33"/>
    </w:tcPr>
    <w:tblStylePr w:type="firstRow">
      <w:rPr>
        <w:b/>
        <w:bCs/>
      </w:rPr>
      <w:tblPr/>
      <w:tcPr>
        <w:shd w:val="clear" w:color="auto" w:fill="A9D5E7" w:themeFill="accent1" w:themeFillTint="66"/>
      </w:tcPr>
    </w:tblStylePr>
    <w:tblStylePr w:type="lastRow">
      <w:rPr>
        <w:b/>
        <w:bCs/>
        <w:color w:val="000000" w:themeColor="text1"/>
      </w:rPr>
      <w:tblPr/>
      <w:tcPr>
        <w:shd w:val="clear" w:color="auto" w:fill="A9D5E7" w:themeFill="accent1" w:themeFillTint="66"/>
      </w:tcPr>
    </w:tblStylePr>
    <w:tblStylePr w:type="firstCol">
      <w:rPr>
        <w:color w:val="FFFFFF" w:themeColor="background1"/>
      </w:rPr>
      <w:tblPr/>
      <w:tcPr>
        <w:shd w:val="clear" w:color="auto" w:fill="276E8B" w:themeFill="accent1" w:themeFillShade="BF"/>
      </w:tcPr>
    </w:tblStylePr>
    <w:tblStylePr w:type="lastCol">
      <w:rPr>
        <w:color w:val="FFFFFF" w:themeColor="background1"/>
      </w:rPr>
      <w:tblPr/>
      <w:tcPr>
        <w:shd w:val="clear" w:color="auto" w:fill="276E8B" w:themeFill="accent1" w:themeFillShade="BF"/>
      </w:tcPr>
    </w:tblStylePr>
    <w:tblStylePr w:type="band1Vert">
      <w:tblPr/>
      <w:tcPr>
        <w:shd w:val="clear" w:color="auto" w:fill="94CBE1" w:themeFill="accent1" w:themeFillTint="7F"/>
      </w:tcPr>
    </w:tblStylePr>
    <w:tblStylePr w:type="band1Horz">
      <w:tblPr/>
      <w:tcPr>
        <w:shd w:val="clear" w:color="auto" w:fill="94CBE1" w:themeFill="accent1" w:themeFillTint="7F"/>
      </w:tcPr>
    </w:tblStylePr>
  </w:style>
  <w:style w:type="table" w:styleId="-2">
    <w:name w:val="Colorful Grid Accent 2"/>
    <w:basedOn w:val="a4"/>
    <w:uiPriority w:val="73"/>
    <w:semiHidden/>
    <w:unhideWhenUsed/>
    <w:rsid w:val="004230D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DF0F2" w:themeFill="accent2" w:themeFillTint="33"/>
    </w:tcPr>
    <w:tblStylePr w:type="firstRow">
      <w:rPr>
        <w:b/>
        <w:bCs/>
      </w:rPr>
      <w:tblPr/>
      <w:tcPr>
        <w:shd w:val="clear" w:color="auto" w:fill="BCE1E5" w:themeFill="accent2" w:themeFillTint="66"/>
      </w:tcPr>
    </w:tblStylePr>
    <w:tblStylePr w:type="lastRow">
      <w:rPr>
        <w:b/>
        <w:bCs/>
        <w:color w:val="000000" w:themeColor="text1"/>
      </w:rPr>
      <w:tblPr/>
      <w:tcPr>
        <w:shd w:val="clear" w:color="auto" w:fill="BCE1E5" w:themeFill="accent2" w:themeFillTint="66"/>
      </w:tcPr>
    </w:tblStylePr>
    <w:tblStylePr w:type="firstCol">
      <w:rPr>
        <w:color w:val="FFFFFF" w:themeColor="background1"/>
      </w:rPr>
      <w:tblPr/>
      <w:tcPr>
        <w:shd w:val="clear" w:color="auto" w:fill="398E98" w:themeFill="accent2" w:themeFillShade="BF"/>
      </w:tcPr>
    </w:tblStylePr>
    <w:tblStylePr w:type="lastCol">
      <w:rPr>
        <w:color w:val="FFFFFF" w:themeColor="background1"/>
      </w:rPr>
      <w:tblPr/>
      <w:tcPr>
        <w:shd w:val="clear" w:color="auto" w:fill="398E98" w:themeFill="accent2" w:themeFillShade="BF"/>
      </w:tcPr>
    </w:tblStylePr>
    <w:tblStylePr w:type="band1Vert">
      <w:tblPr/>
      <w:tcPr>
        <w:shd w:val="clear" w:color="auto" w:fill="ABDADF" w:themeFill="accent2" w:themeFillTint="7F"/>
      </w:tcPr>
    </w:tblStylePr>
    <w:tblStylePr w:type="band1Horz">
      <w:tblPr/>
      <w:tcPr>
        <w:shd w:val="clear" w:color="auto" w:fill="ABDADF" w:themeFill="accent2" w:themeFillTint="7F"/>
      </w:tcPr>
    </w:tblStylePr>
  </w:style>
  <w:style w:type="table" w:styleId="-3">
    <w:name w:val="Colorful Grid Accent 3"/>
    <w:basedOn w:val="a4"/>
    <w:uiPriority w:val="73"/>
    <w:semiHidden/>
    <w:unhideWhenUsed/>
    <w:rsid w:val="004230D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3F1ED" w:themeFill="accent3" w:themeFillTint="33"/>
    </w:tcPr>
    <w:tblStylePr w:type="firstRow">
      <w:rPr>
        <w:b/>
        <w:bCs/>
      </w:rPr>
      <w:tblPr/>
      <w:tcPr>
        <w:shd w:val="clear" w:color="auto" w:fill="C7E4DB" w:themeFill="accent3" w:themeFillTint="66"/>
      </w:tcPr>
    </w:tblStylePr>
    <w:tblStylePr w:type="lastRow">
      <w:rPr>
        <w:b/>
        <w:bCs/>
        <w:color w:val="000000" w:themeColor="text1"/>
      </w:rPr>
      <w:tblPr/>
      <w:tcPr>
        <w:shd w:val="clear" w:color="auto" w:fill="C7E4DB" w:themeFill="accent3" w:themeFillTint="66"/>
      </w:tcPr>
    </w:tblStylePr>
    <w:tblStylePr w:type="firstCol">
      <w:rPr>
        <w:color w:val="FFFFFF" w:themeColor="background1"/>
      </w:rPr>
      <w:tblPr/>
      <w:tcPr>
        <w:shd w:val="clear" w:color="auto" w:fill="4A9A82" w:themeFill="accent3" w:themeFillShade="BF"/>
      </w:tcPr>
    </w:tblStylePr>
    <w:tblStylePr w:type="lastCol">
      <w:rPr>
        <w:color w:val="FFFFFF" w:themeColor="background1"/>
      </w:rPr>
      <w:tblPr/>
      <w:tcPr>
        <w:shd w:val="clear" w:color="auto" w:fill="4A9A82" w:themeFill="accent3" w:themeFillShade="BF"/>
      </w:tcPr>
    </w:tblStylePr>
    <w:tblStylePr w:type="band1Vert">
      <w:tblPr/>
      <w:tcPr>
        <w:shd w:val="clear" w:color="auto" w:fill="BADED3" w:themeFill="accent3" w:themeFillTint="7F"/>
      </w:tcPr>
    </w:tblStylePr>
    <w:tblStylePr w:type="band1Horz">
      <w:tblPr/>
      <w:tcPr>
        <w:shd w:val="clear" w:color="auto" w:fill="BADED3" w:themeFill="accent3" w:themeFillTint="7F"/>
      </w:tcPr>
    </w:tblStylePr>
  </w:style>
  <w:style w:type="table" w:styleId="-4">
    <w:name w:val="Colorful Grid Accent 4"/>
    <w:basedOn w:val="a4"/>
    <w:uiPriority w:val="73"/>
    <w:semiHidden/>
    <w:unhideWhenUsed/>
    <w:rsid w:val="004230D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4E7E8" w:themeFill="accent4" w:themeFillTint="33"/>
    </w:tcPr>
    <w:tblStylePr w:type="firstRow">
      <w:rPr>
        <w:b/>
        <w:bCs/>
      </w:rPr>
      <w:tblPr/>
      <w:tcPr>
        <w:shd w:val="clear" w:color="auto" w:fill="C9D0D1" w:themeFill="accent4" w:themeFillTint="66"/>
      </w:tcPr>
    </w:tblStylePr>
    <w:tblStylePr w:type="lastRow">
      <w:rPr>
        <w:b/>
        <w:bCs/>
        <w:color w:val="000000" w:themeColor="text1"/>
      </w:rPr>
      <w:tblPr/>
      <w:tcPr>
        <w:shd w:val="clear" w:color="auto" w:fill="C9D0D1" w:themeFill="accent4" w:themeFillTint="66"/>
      </w:tcPr>
    </w:tblStylePr>
    <w:tblStylePr w:type="firstCol">
      <w:rPr>
        <w:color w:val="FFFFFF" w:themeColor="background1"/>
      </w:rPr>
      <w:tblPr/>
      <w:tcPr>
        <w:shd w:val="clear" w:color="auto" w:fill="5A696A" w:themeFill="accent4" w:themeFillShade="BF"/>
      </w:tcPr>
    </w:tblStylePr>
    <w:tblStylePr w:type="lastCol">
      <w:rPr>
        <w:color w:val="FFFFFF" w:themeColor="background1"/>
      </w:rPr>
      <w:tblPr/>
      <w:tcPr>
        <w:shd w:val="clear" w:color="auto" w:fill="5A696A" w:themeFill="accent4" w:themeFillShade="BF"/>
      </w:tcPr>
    </w:tblStylePr>
    <w:tblStylePr w:type="band1Vert">
      <w:tblPr/>
      <w:tcPr>
        <w:shd w:val="clear" w:color="auto" w:fill="BCC5C6" w:themeFill="accent4" w:themeFillTint="7F"/>
      </w:tcPr>
    </w:tblStylePr>
    <w:tblStylePr w:type="band1Horz">
      <w:tblPr/>
      <w:tcPr>
        <w:shd w:val="clear" w:color="auto" w:fill="BCC5C6" w:themeFill="accent4" w:themeFillTint="7F"/>
      </w:tcPr>
    </w:tblStylePr>
  </w:style>
  <w:style w:type="table" w:styleId="-5">
    <w:name w:val="Colorful Grid Accent 5"/>
    <w:basedOn w:val="a4"/>
    <w:uiPriority w:val="73"/>
    <w:semiHidden/>
    <w:unhideWhenUsed/>
    <w:rsid w:val="004230D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6EEF0" w:themeFill="accent5" w:themeFillTint="33"/>
    </w:tcPr>
    <w:tblStylePr w:type="firstRow">
      <w:rPr>
        <w:b/>
        <w:bCs/>
      </w:rPr>
      <w:tblPr/>
      <w:tcPr>
        <w:shd w:val="clear" w:color="auto" w:fill="CDDDE1" w:themeFill="accent5" w:themeFillTint="66"/>
      </w:tcPr>
    </w:tblStylePr>
    <w:tblStylePr w:type="lastRow">
      <w:rPr>
        <w:b/>
        <w:bCs/>
        <w:color w:val="000000" w:themeColor="text1"/>
      </w:rPr>
      <w:tblPr/>
      <w:tcPr>
        <w:shd w:val="clear" w:color="auto" w:fill="CDDDE1" w:themeFill="accent5" w:themeFillTint="66"/>
      </w:tcPr>
    </w:tblStylePr>
    <w:tblStylePr w:type="firstCol">
      <w:rPr>
        <w:color w:val="FFFFFF" w:themeColor="background1"/>
      </w:rPr>
      <w:tblPr/>
      <w:tcPr>
        <w:shd w:val="clear" w:color="auto" w:fill="578793" w:themeFill="accent5" w:themeFillShade="BF"/>
      </w:tcPr>
    </w:tblStylePr>
    <w:tblStylePr w:type="lastCol">
      <w:rPr>
        <w:color w:val="FFFFFF" w:themeColor="background1"/>
      </w:rPr>
      <w:tblPr/>
      <w:tcPr>
        <w:shd w:val="clear" w:color="auto" w:fill="578793" w:themeFill="accent5" w:themeFillShade="BF"/>
      </w:tcPr>
    </w:tblStylePr>
    <w:tblStylePr w:type="band1Vert">
      <w:tblPr/>
      <w:tcPr>
        <w:shd w:val="clear" w:color="auto" w:fill="C1D5DA" w:themeFill="accent5" w:themeFillTint="7F"/>
      </w:tcPr>
    </w:tblStylePr>
    <w:tblStylePr w:type="band1Horz">
      <w:tblPr/>
      <w:tcPr>
        <w:shd w:val="clear" w:color="auto" w:fill="C1D5DA" w:themeFill="accent5" w:themeFillTint="7F"/>
      </w:tcPr>
    </w:tblStylePr>
  </w:style>
  <w:style w:type="table" w:styleId="-6">
    <w:name w:val="Colorful Grid Accent 6"/>
    <w:basedOn w:val="a4"/>
    <w:uiPriority w:val="73"/>
    <w:semiHidden/>
    <w:unhideWhenUsed/>
    <w:rsid w:val="004230D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0E6F6" w:themeFill="accent6" w:themeFillTint="33"/>
    </w:tcPr>
    <w:tblStylePr w:type="firstRow">
      <w:rPr>
        <w:b/>
        <w:bCs/>
      </w:rPr>
      <w:tblPr/>
      <w:tcPr>
        <w:shd w:val="clear" w:color="auto" w:fill="A3CEED" w:themeFill="accent6" w:themeFillTint="66"/>
      </w:tcPr>
    </w:tblStylePr>
    <w:tblStylePr w:type="lastRow">
      <w:rPr>
        <w:b/>
        <w:bCs/>
        <w:color w:val="000000" w:themeColor="text1"/>
      </w:rPr>
      <w:tblPr/>
      <w:tcPr>
        <w:shd w:val="clear" w:color="auto" w:fill="A3CEED" w:themeFill="accent6" w:themeFillTint="66"/>
      </w:tcPr>
    </w:tblStylePr>
    <w:tblStylePr w:type="firstCol">
      <w:rPr>
        <w:color w:val="FFFFFF" w:themeColor="background1"/>
      </w:rPr>
      <w:tblPr/>
      <w:tcPr>
        <w:shd w:val="clear" w:color="auto" w:fill="1C6194" w:themeFill="accent6" w:themeFillShade="BF"/>
      </w:tcPr>
    </w:tblStylePr>
    <w:tblStylePr w:type="lastCol">
      <w:rPr>
        <w:color w:val="FFFFFF" w:themeColor="background1"/>
      </w:rPr>
      <w:tblPr/>
      <w:tcPr>
        <w:shd w:val="clear" w:color="auto" w:fill="1C6194" w:themeFill="accent6" w:themeFillShade="BF"/>
      </w:tcPr>
    </w:tblStylePr>
    <w:tblStylePr w:type="band1Vert">
      <w:tblPr/>
      <w:tcPr>
        <w:shd w:val="clear" w:color="auto" w:fill="8CC2E9" w:themeFill="accent6" w:themeFillTint="7F"/>
      </w:tcPr>
    </w:tblStylePr>
    <w:tblStylePr w:type="band1Horz">
      <w:tblPr/>
      <w:tcPr>
        <w:shd w:val="clear" w:color="auto" w:fill="8CC2E9" w:themeFill="accent6" w:themeFillTint="7F"/>
      </w:tcPr>
    </w:tblStylePr>
  </w:style>
  <w:style w:type="table" w:styleId="affff9">
    <w:name w:val="Colorful List"/>
    <w:basedOn w:val="a4"/>
    <w:uiPriority w:val="72"/>
    <w:semiHidden/>
    <w:unhideWhenUsed/>
    <w:rsid w:val="004230D9"/>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3D98A2" w:themeFill="accent2" w:themeFillShade="CC"/>
      </w:tcPr>
    </w:tblStylePr>
    <w:tblStylePr w:type="lastRow">
      <w:rPr>
        <w:b/>
        <w:bCs/>
        <w:color w:val="3D98A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0">
    <w:name w:val="Colorful List Accent 1"/>
    <w:basedOn w:val="a4"/>
    <w:uiPriority w:val="72"/>
    <w:semiHidden/>
    <w:unhideWhenUsed/>
    <w:rsid w:val="004230D9"/>
    <w:pPr>
      <w:spacing w:after="0" w:line="240" w:lineRule="auto"/>
    </w:pPr>
    <w:rPr>
      <w:color w:val="000000" w:themeColor="text1"/>
    </w:rPr>
    <w:tblPr>
      <w:tblStyleRowBandSize w:val="1"/>
      <w:tblStyleColBandSize w:val="1"/>
    </w:tblPr>
    <w:tcPr>
      <w:shd w:val="clear" w:color="auto" w:fill="EAF4F9" w:themeFill="accent1" w:themeFillTint="19"/>
    </w:tcPr>
    <w:tblStylePr w:type="firstRow">
      <w:rPr>
        <w:b/>
        <w:bCs/>
        <w:color w:val="FFFFFF" w:themeColor="background1"/>
      </w:rPr>
      <w:tblPr/>
      <w:tcPr>
        <w:tcBorders>
          <w:bottom w:val="single" w:sz="12" w:space="0" w:color="FFFFFF" w:themeColor="background1"/>
        </w:tcBorders>
        <w:shd w:val="clear" w:color="auto" w:fill="3D98A2" w:themeFill="accent2" w:themeFillShade="CC"/>
      </w:tcPr>
    </w:tblStylePr>
    <w:tblStylePr w:type="lastRow">
      <w:rPr>
        <w:b/>
        <w:bCs/>
        <w:color w:val="3D98A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AE5F0" w:themeFill="accent1" w:themeFillTint="3F"/>
      </w:tcPr>
    </w:tblStylePr>
    <w:tblStylePr w:type="band1Horz">
      <w:tblPr/>
      <w:tcPr>
        <w:shd w:val="clear" w:color="auto" w:fill="D4EAF3" w:themeFill="accent1" w:themeFillTint="33"/>
      </w:tcPr>
    </w:tblStylePr>
  </w:style>
  <w:style w:type="table" w:styleId="-20">
    <w:name w:val="Colorful List Accent 2"/>
    <w:basedOn w:val="a4"/>
    <w:uiPriority w:val="72"/>
    <w:semiHidden/>
    <w:unhideWhenUsed/>
    <w:rsid w:val="004230D9"/>
    <w:pPr>
      <w:spacing w:after="0" w:line="240" w:lineRule="auto"/>
    </w:pPr>
    <w:rPr>
      <w:color w:val="000000" w:themeColor="text1"/>
    </w:rPr>
    <w:tblPr>
      <w:tblStyleRowBandSize w:val="1"/>
      <w:tblStyleColBandSize w:val="1"/>
    </w:tblPr>
    <w:tcPr>
      <w:shd w:val="clear" w:color="auto" w:fill="EEF7F8" w:themeFill="accent2" w:themeFillTint="19"/>
    </w:tcPr>
    <w:tblStylePr w:type="firstRow">
      <w:rPr>
        <w:b/>
        <w:bCs/>
        <w:color w:val="FFFFFF" w:themeColor="background1"/>
      </w:rPr>
      <w:tblPr/>
      <w:tcPr>
        <w:tcBorders>
          <w:bottom w:val="single" w:sz="12" w:space="0" w:color="FFFFFF" w:themeColor="background1"/>
        </w:tcBorders>
        <w:shd w:val="clear" w:color="auto" w:fill="3D98A2" w:themeFill="accent2" w:themeFillShade="CC"/>
      </w:tcPr>
    </w:tblStylePr>
    <w:tblStylePr w:type="lastRow">
      <w:rPr>
        <w:b/>
        <w:bCs/>
        <w:color w:val="3D98A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ECEF" w:themeFill="accent2" w:themeFillTint="3F"/>
      </w:tcPr>
    </w:tblStylePr>
    <w:tblStylePr w:type="band1Horz">
      <w:tblPr/>
      <w:tcPr>
        <w:shd w:val="clear" w:color="auto" w:fill="DDF0F2" w:themeFill="accent2" w:themeFillTint="33"/>
      </w:tcPr>
    </w:tblStylePr>
  </w:style>
  <w:style w:type="table" w:styleId="-30">
    <w:name w:val="Colorful List Accent 3"/>
    <w:basedOn w:val="a4"/>
    <w:uiPriority w:val="72"/>
    <w:semiHidden/>
    <w:unhideWhenUsed/>
    <w:rsid w:val="004230D9"/>
    <w:pPr>
      <w:spacing w:after="0" w:line="240" w:lineRule="auto"/>
    </w:pPr>
    <w:rPr>
      <w:color w:val="000000" w:themeColor="text1"/>
    </w:rPr>
    <w:tblPr>
      <w:tblStyleRowBandSize w:val="1"/>
      <w:tblStyleColBandSize w:val="1"/>
    </w:tblPr>
    <w:tcPr>
      <w:shd w:val="clear" w:color="auto" w:fill="F1F8F6" w:themeFill="accent3" w:themeFillTint="19"/>
    </w:tcPr>
    <w:tblStylePr w:type="firstRow">
      <w:rPr>
        <w:b/>
        <w:bCs/>
        <w:color w:val="FFFFFF" w:themeColor="background1"/>
      </w:rPr>
      <w:tblPr/>
      <w:tcPr>
        <w:tcBorders>
          <w:bottom w:val="single" w:sz="12" w:space="0" w:color="FFFFFF" w:themeColor="background1"/>
        </w:tcBorders>
        <w:shd w:val="clear" w:color="auto" w:fill="617072" w:themeFill="accent4" w:themeFillShade="CC"/>
      </w:tcPr>
    </w:tblStylePr>
    <w:tblStylePr w:type="lastRow">
      <w:rPr>
        <w:b/>
        <w:bCs/>
        <w:color w:val="61707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CEEE9" w:themeFill="accent3" w:themeFillTint="3F"/>
      </w:tcPr>
    </w:tblStylePr>
    <w:tblStylePr w:type="band1Horz">
      <w:tblPr/>
      <w:tcPr>
        <w:shd w:val="clear" w:color="auto" w:fill="E3F1ED" w:themeFill="accent3" w:themeFillTint="33"/>
      </w:tcPr>
    </w:tblStylePr>
  </w:style>
  <w:style w:type="table" w:styleId="-40">
    <w:name w:val="Colorful List Accent 4"/>
    <w:basedOn w:val="a4"/>
    <w:uiPriority w:val="72"/>
    <w:semiHidden/>
    <w:unhideWhenUsed/>
    <w:rsid w:val="004230D9"/>
    <w:pPr>
      <w:spacing w:after="0" w:line="240" w:lineRule="auto"/>
    </w:pPr>
    <w:rPr>
      <w:color w:val="000000" w:themeColor="text1"/>
    </w:rPr>
    <w:tblPr>
      <w:tblStyleRowBandSize w:val="1"/>
      <w:tblStyleColBandSize w:val="1"/>
    </w:tblPr>
    <w:tcPr>
      <w:shd w:val="clear" w:color="auto" w:fill="F1F3F3" w:themeFill="accent4" w:themeFillTint="19"/>
    </w:tcPr>
    <w:tblStylePr w:type="firstRow">
      <w:rPr>
        <w:b/>
        <w:bCs/>
        <w:color w:val="FFFFFF" w:themeColor="background1"/>
      </w:rPr>
      <w:tblPr/>
      <w:tcPr>
        <w:tcBorders>
          <w:bottom w:val="single" w:sz="12" w:space="0" w:color="FFFFFF" w:themeColor="background1"/>
        </w:tcBorders>
        <w:shd w:val="clear" w:color="auto" w:fill="4FA58B" w:themeFill="accent3" w:themeFillShade="CC"/>
      </w:tcPr>
    </w:tblStylePr>
    <w:tblStylePr w:type="lastRow">
      <w:rPr>
        <w:b/>
        <w:bCs/>
        <w:color w:val="4FA58B"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EE2E3" w:themeFill="accent4" w:themeFillTint="3F"/>
      </w:tcPr>
    </w:tblStylePr>
    <w:tblStylePr w:type="band1Horz">
      <w:tblPr/>
      <w:tcPr>
        <w:shd w:val="clear" w:color="auto" w:fill="E4E7E8" w:themeFill="accent4" w:themeFillTint="33"/>
      </w:tcPr>
    </w:tblStylePr>
  </w:style>
  <w:style w:type="table" w:styleId="-50">
    <w:name w:val="Colorful List Accent 5"/>
    <w:basedOn w:val="a4"/>
    <w:uiPriority w:val="72"/>
    <w:semiHidden/>
    <w:unhideWhenUsed/>
    <w:rsid w:val="004230D9"/>
    <w:pPr>
      <w:spacing w:after="0" w:line="240" w:lineRule="auto"/>
    </w:pPr>
    <w:rPr>
      <w:color w:val="000000" w:themeColor="text1"/>
    </w:rPr>
    <w:tblPr>
      <w:tblStyleRowBandSize w:val="1"/>
      <w:tblStyleColBandSize w:val="1"/>
    </w:tblPr>
    <w:tcPr>
      <w:shd w:val="clear" w:color="auto" w:fill="F2F6F7" w:themeFill="accent5" w:themeFillTint="19"/>
    </w:tcPr>
    <w:tblStylePr w:type="firstRow">
      <w:rPr>
        <w:b/>
        <w:bCs/>
        <w:color w:val="FFFFFF" w:themeColor="background1"/>
      </w:rPr>
      <w:tblPr/>
      <w:tcPr>
        <w:tcBorders>
          <w:bottom w:val="single" w:sz="12" w:space="0" w:color="FFFFFF" w:themeColor="background1"/>
        </w:tcBorders>
        <w:shd w:val="clear" w:color="auto" w:fill="1E689E" w:themeFill="accent6" w:themeFillShade="CC"/>
      </w:tcPr>
    </w:tblStylePr>
    <w:tblStylePr w:type="lastRow">
      <w:rPr>
        <w:b/>
        <w:bCs/>
        <w:color w:val="1E689E"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0EAED" w:themeFill="accent5" w:themeFillTint="3F"/>
      </w:tcPr>
    </w:tblStylePr>
    <w:tblStylePr w:type="band1Horz">
      <w:tblPr/>
      <w:tcPr>
        <w:shd w:val="clear" w:color="auto" w:fill="E6EEF0" w:themeFill="accent5" w:themeFillTint="33"/>
      </w:tcPr>
    </w:tblStylePr>
  </w:style>
  <w:style w:type="table" w:styleId="-60">
    <w:name w:val="Colorful List Accent 6"/>
    <w:basedOn w:val="a4"/>
    <w:uiPriority w:val="72"/>
    <w:semiHidden/>
    <w:unhideWhenUsed/>
    <w:rsid w:val="004230D9"/>
    <w:pPr>
      <w:spacing w:after="0" w:line="240" w:lineRule="auto"/>
    </w:pPr>
    <w:rPr>
      <w:color w:val="000000" w:themeColor="text1"/>
    </w:rPr>
    <w:tblPr>
      <w:tblStyleRowBandSize w:val="1"/>
      <w:tblStyleColBandSize w:val="1"/>
    </w:tblPr>
    <w:tcPr>
      <w:shd w:val="clear" w:color="auto" w:fill="E8F2FA" w:themeFill="accent6" w:themeFillTint="19"/>
    </w:tcPr>
    <w:tblStylePr w:type="firstRow">
      <w:rPr>
        <w:b/>
        <w:bCs/>
        <w:color w:val="FFFFFF" w:themeColor="background1"/>
      </w:rPr>
      <w:tblPr/>
      <w:tcPr>
        <w:tcBorders>
          <w:bottom w:val="single" w:sz="12" w:space="0" w:color="FFFFFF" w:themeColor="background1"/>
        </w:tcBorders>
        <w:shd w:val="clear" w:color="auto" w:fill="5D909D" w:themeFill="accent5" w:themeFillShade="CC"/>
      </w:tcPr>
    </w:tblStylePr>
    <w:tblStylePr w:type="lastRow">
      <w:rPr>
        <w:b/>
        <w:bCs/>
        <w:color w:val="5D909D"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5E0F4" w:themeFill="accent6" w:themeFillTint="3F"/>
      </w:tcPr>
    </w:tblStylePr>
    <w:tblStylePr w:type="band1Horz">
      <w:tblPr/>
      <w:tcPr>
        <w:shd w:val="clear" w:color="auto" w:fill="D0E6F6" w:themeFill="accent6" w:themeFillTint="33"/>
      </w:tcPr>
    </w:tblStylePr>
  </w:style>
  <w:style w:type="table" w:styleId="affffa">
    <w:name w:val="Colorful Shading"/>
    <w:basedOn w:val="a4"/>
    <w:uiPriority w:val="71"/>
    <w:semiHidden/>
    <w:unhideWhenUsed/>
    <w:rsid w:val="004230D9"/>
    <w:pPr>
      <w:spacing w:after="0" w:line="240" w:lineRule="auto"/>
    </w:pPr>
    <w:rPr>
      <w:color w:val="000000" w:themeColor="text1"/>
    </w:rPr>
    <w:tblPr>
      <w:tblStyleRowBandSize w:val="1"/>
      <w:tblStyleColBandSize w:val="1"/>
      <w:tblBorders>
        <w:top w:val="single" w:sz="24" w:space="0" w:color="58B6C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1">
    <w:name w:val="Colorful Shading Accent 1"/>
    <w:basedOn w:val="a4"/>
    <w:uiPriority w:val="71"/>
    <w:semiHidden/>
    <w:unhideWhenUsed/>
    <w:rsid w:val="004230D9"/>
    <w:pPr>
      <w:spacing w:after="0" w:line="240" w:lineRule="auto"/>
    </w:pPr>
    <w:rPr>
      <w:color w:val="000000" w:themeColor="text1"/>
    </w:rPr>
    <w:tblPr>
      <w:tblStyleRowBandSize w:val="1"/>
      <w:tblStyleColBandSize w:val="1"/>
      <w:tblBorders>
        <w:top w:val="single" w:sz="24" w:space="0" w:color="58B6C0" w:themeColor="accent2"/>
        <w:left w:val="single" w:sz="4" w:space="0" w:color="3494BA" w:themeColor="accent1"/>
        <w:bottom w:val="single" w:sz="4" w:space="0" w:color="3494BA" w:themeColor="accent1"/>
        <w:right w:val="single" w:sz="4" w:space="0" w:color="3494BA" w:themeColor="accent1"/>
        <w:insideH w:val="single" w:sz="4" w:space="0" w:color="FFFFFF" w:themeColor="background1"/>
        <w:insideV w:val="single" w:sz="4" w:space="0" w:color="FFFFFF" w:themeColor="background1"/>
      </w:tblBorders>
    </w:tblPr>
    <w:tcPr>
      <w:shd w:val="clear" w:color="auto" w:fill="EAF4F9" w:themeFill="accent1" w:themeFillTint="19"/>
    </w:tcPr>
    <w:tblStylePr w:type="firstRow">
      <w:rPr>
        <w:b/>
        <w:bCs/>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F586F" w:themeFill="accent1" w:themeFillShade="99"/>
      </w:tcPr>
    </w:tblStylePr>
    <w:tblStylePr w:type="firstCol">
      <w:rPr>
        <w:color w:val="FFFFFF" w:themeColor="background1"/>
      </w:rPr>
      <w:tblPr/>
      <w:tcPr>
        <w:tcBorders>
          <w:top w:val="nil"/>
          <w:left w:val="nil"/>
          <w:bottom w:val="nil"/>
          <w:right w:val="nil"/>
          <w:insideH w:val="single" w:sz="4" w:space="0" w:color="1F586F" w:themeColor="accent1" w:themeShade="99"/>
          <w:insideV w:val="nil"/>
        </w:tcBorders>
        <w:shd w:val="clear" w:color="auto" w:fill="1F586F"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F586F" w:themeFill="accent1" w:themeFillShade="99"/>
      </w:tcPr>
    </w:tblStylePr>
    <w:tblStylePr w:type="band1Vert">
      <w:tblPr/>
      <w:tcPr>
        <w:shd w:val="clear" w:color="auto" w:fill="A9D5E7" w:themeFill="accent1" w:themeFillTint="66"/>
      </w:tcPr>
    </w:tblStylePr>
    <w:tblStylePr w:type="band1Horz">
      <w:tblPr/>
      <w:tcPr>
        <w:shd w:val="clear" w:color="auto" w:fill="94CBE1" w:themeFill="accent1" w:themeFillTint="7F"/>
      </w:tcPr>
    </w:tblStylePr>
    <w:tblStylePr w:type="neCell">
      <w:rPr>
        <w:color w:val="000000" w:themeColor="text1"/>
      </w:rPr>
    </w:tblStylePr>
    <w:tblStylePr w:type="nwCell">
      <w:rPr>
        <w:color w:val="000000" w:themeColor="text1"/>
      </w:rPr>
    </w:tblStylePr>
  </w:style>
  <w:style w:type="table" w:styleId="-21">
    <w:name w:val="Colorful Shading Accent 2"/>
    <w:basedOn w:val="a4"/>
    <w:uiPriority w:val="71"/>
    <w:semiHidden/>
    <w:unhideWhenUsed/>
    <w:rsid w:val="004230D9"/>
    <w:pPr>
      <w:spacing w:after="0" w:line="240" w:lineRule="auto"/>
    </w:pPr>
    <w:rPr>
      <w:color w:val="000000" w:themeColor="text1"/>
    </w:rPr>
    <w:tblPr>
      <w:tblStyleRowBandSize w:val="1"/>
      <w:tblStyleColBandSize w:val="1"/>
      <w:tblBorders>
        <w:top w:val="single" w:sz="24" w:space="0" w:color="58B6C0" w:themeColor="accent2"/>
        <w:left w:val="single" w:sz="4" w:space="0" w:color="58B6C0" w:themeColor="accent2"/>
        <w:bottom w:val="single" w:sz="4" w:space="0" w:color="58B6C0" w:themeColor="accent2"/>
        <w:right w:val="single" w:sz="4" w:space="0" w:color="58B6C0" w:themeColor="accent2"/>
        <w:insideH w:val="single" w:sz="4" w:space="0" w:color="FFFFFF" w:themeColor="background1"/>
        <w:insideV w:val="single" w:sz="4" w:space="0" w:color="FFFFFF" w:themeColor="background1"/>
      </w:tblBorders>
    </w:tblPr>
    <w:tcPr>
      <w:shd w:val="clear" w:color="auto" w:fill="EEF7F8" w:themeFill="accent2" w:themeFillTint="19"/>
    </w:tcPr>
    <w:tblStylePr w:type="firstRow">
      <w:rPr>
        <w:b/>
        <w:bCs/>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7279" w:themeFill="accent2" w:themeFillShade="99"/>
      </w:tcPr>
    </w:tblStylePr>
    <w:tblStylePr w:type="firstCol">
      <w:rPr>
        <w:color w:val="FFFFFF" w:themeColor="background1"/>
      </w:rPr>
      <w:tblPr/>
      <w:tcPr>
        <w:tcBorders>
          <w:top w:val="nil"/>
          <w:left w:val="nil"/>
          <w:bottom w:val="nil"/>
          <w:right w:val="nil"/>
          <w:insideH w:val="single" w:sz="4" w:space="0" w:color="2E7279" w:themeColor="accent2" w:themeShade="99"/>
          <w:insideV w:val="nil"/>
        </w:tcBorders>
        <w:shd w:val="clear" w:color="auto" w:fill="2E7279"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2E7279" w:themeFill="accent2" w:themeFillShade="99"/>
      </w:tcPr>
    </w:tblStylePr>
    <w:tblStylePr w:type="band1Vert">
      <w:tblPr/>
      <w:tcPr>
        <w:shd w:val="clear" w:color="auto" w:fill="BCE1E5" w:themeFill="accent2" w:themeFillTint="66"/>
      </w:tcPr>
    </w:tblStylePr>
    <w:tblStylePr w:type="band1Horz">
      <w:tblPr/>
      <w:tcPr>
        <w:shd w:val="clear" w:color="auto" w:fill="ABDADF" w:themeFill="accent2" w:themeFillTint="7F"/>
      </w:tcPr>
    </w:tblStylePr>
    <w:tblStylePr w:type="neCell">
      <w:rPr>
        <w:color w:val="000000" w:themeColor="text1"/>
      </w:rPr>
    </w:tblStylePr>
    <w:tblStylePr w:type="nwCell">
      <w:rPr>
        <w:color w:val="000000" w:themeColor="text1"/>
      </w:rPr>
    </w:tblStylePr>
  </w:style>
  <w:style w:type="table" w:styleId="-31">
    <w:name w:val="Colorful Shading Accent 3"/>
    <w:basedOn w:val="a4"/>
    <w:uiPriority w:val="71"/>
    <w:semiHidden/>
    <w:unhideWhenUsed/>
    <w:rsid w:val="004230D9"/>
    <w:pPr>
      <w:spacing w:after="0" w:line="240" w:lineRule="auto"/>
    </w:pPr>
    <w:rPr>
      <w:color w:val="000000" w:themeColor="text1"/>
    </w:rPr>
    <w:tblPr>
      <w:tblStyleRowBandSize w:val="1"/>
      <w:tblStyleColBandSize w:val="1"/>
      <w:tblBorders>
        <w:top w:val="single" w:sz="24" w:space="0" w:color="7A8C8E" w:themeColor="accent4"/>
        <w:left w:val="single" w:sz="4" w:space="0" w:color="75BDA7" w:themeColor="accent3"/>
        <w:bottom w:val="single" w:sz="4" w:space="0" w:color="75BDA7" w:themeColor="accent3"/>
        <w:right w:val="single" w:sz="4" w:space="0" w:color="75BDA7" w:themeColor="accent3"/>
        <w:insideH w:val="single" w:sz="4" w:space="0" w:color="FFFFFF" w:themeColor="background1"/>
        <w:insideV w:val="single" w:sz="4" w:space="0" w:color="FFFFFF" w:themeColor="background1"/>
      </w:tblBorders>
    </w:tblPr>
    <w:tcPr>
      <w:shd w:val="clear" w:color="auto" w:fill="F1F8F6" w:themeFill="accent3" w:themeFillTint="19"/>
    </w:tcPr>
    <w:tblStylePr w:type="firstRow">
      <w:rPr>
        <w:b/>
        <w:bCs/>
      </w:rPr>
      <w:tblPr/>
      <w:tcPr>
        <w:tcBorders>
          <w:top w:val="nil"/>
          <w:left w:val="nil"/>
          <w:bottom w:val="single" w:sz="24" w:space="0" w:color="7A8C8E"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B7C68" w:themeFill="accent3" w:themeFillShade="99"/>
      </w:tcPr>
    </w:tblStylePr>
    <w:tblStylePr w:type="firstCol">
      <w:rPr>
        <w:color w:val="FFFFFF" w:themeColor="background1"/>
      </w:rPr>
      <w:tblPr/>
      <w:tcPr>
        <w:tcBorders>
          <w:top w:val="nil"/>
          <w:left w:val="nil"/>
          <w:bottom w:val="nil"/>
          <w:right w:val="nil"/>
          <w:insideH w:val="single" w:sz="4" w:space="0" w:color="3B7C68" w:themeColor="accent3" w:themeShade="99"/>
          <w:insideV w:val="nil"/>
        </w:tcBorders>
        <w:shd w:val="clear" w:color="auto" w:fill="3B7C68"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B7C68" w:themeFill="accent3" w:themeFillShade="99"/>
      </w:tcPr>
    </w:tblStylePr>
    <w:tblStylePr w:type="band1Vert">
      <w:tblPr/>
      <w:tcPr>
        <w:shd w:val="clear" w:color="auto" w:fill="C7E4DB" w:themeFill="accent3" w:themeFillTint="66"/>
      </w:tcPr>
    </w:tblStylePr>
    <w:tblStylePr w:type="band1Horz">
      <w:tblPr/>
      <w:tcPr>
        <w:shd w:val="clear" w:color="auto" w:fill="BADED3" w:themeFill="accent3" w:themeFillTint="7F"/>
      </w:tcPr>
    </w:tblStylePr>
  </w:style>
  <w:style w:type="table" w:styleId="-41">
    <w:name w:val="Colorful Shading Accent 4"/>
    <w:basedOn w:val="a4"/>
    <w:uiPriority w:val="71"/>
    <w:semiHidden/>
    <w:unhideWhenUsed/>
    <w:rsid w:val="004230D9"/>
    <w:pPr>
      <w:spacing w:after="0" w:line="240" w:lineRule="auto"/>
    </w:pPr>
    <w:rPr>
      <w:color w:val="000000" w:themeColor="text1"/>
    </w:rPr>
    <w:tblPr>
      <w:tblStyleRowBandSize w:val="1"/>
      <w:tblStyleColBandSize w:val="1"/>
      <w:tblBorders>
        <w:top w:val="single" w:sz="24" w:space="0" w:color="75BDA7" w:themeColor="accent3"/>
        <w:left w:val="single" w:sz="4" w:space="0" w:color="7A8C8E" w:themeColor="accent4"/>
        <w:bottom w:val="single" w:sz="4" w:space="0" w:color="7A8C8E" w:themeColor="accent4"/>
        <w:right w:val="single" w:sz="4" w:space="0" w:color="7A8C8E" w:themeColor="accent4"/>
        <w:insideH w:val="single" w:sz="4" w:space="0" w:color="FFFFFF" w:themeColor="background1"/>
        <w:insideV w:val="single" w:sz="4" w:space="0" w:color="FFFFFF" w:themeColor="background1"/>
      </w:tblBorders>
    </w:tblPr>
    <w:tcPr>
      <w:shd w:val="clear" w:color="auto" w:fill="F1F3F3" w:themeFill="accent4" w:themeFillTint="19"/>
    </w:tcPr>
    <w:tblStylePr w:type="firstRow">
      <w:rPr>
        <w:b/>
        <w:bCs/>
      </w:rPr>
      <w:tblPr/>
      <w:tcPr>
        <w:tcBorders>
          <w:top w:val="nil"/>
          <w:left w:val="nil"/>
          <w:bottom w:val="single" w:sz="24" w:space="0" w:color="75BDA7"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85455" w:themeFill="accent4" w:themeFillShade="99"/>
      </w:tcPr>
    </w:tblStylePr>
    <w:tblStylePr w:type="firstCol">
      <w:rPr>
        <w:color w:val="FFFFFF" w:themeColor="background1"/>
      </w:rPr>
      <w:tblPr/>
      <w:tcPr>
        <w:tcBorders>
          <w:top w:val="nil"/>
          <w:left w:val="nil"/>
          <w:bottom w:val="nil"/>
          <w:right w:val="nil"/>
          <w:insideH w:val="single" w:sz="4" w:space="0" w:color="485455" w:themeColor="accent4" w:themeShade="99"/>
          <w:insideV w:val="nil"/>
        </w:tcBorders>
        <w:shd w:val="clear" w:color="auto" w:fill="48545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85455" w:themeFill="accent4" w:themeFillShade="99"/>
      </w:tcPr>
    </w:tblStylePr>
    <w:tblStylePr w:type="band1Vert">
      <w:tblPr/>
      <w:tcPr>
        <w:shd w:val="clear" w:color="auto" w:fill="C9D0D1" w:themeFill="accent4" w:themeFillTint="66"/>
      </w:tcPr>
    </w:tblStylePr>
    <w:tblStylePr w:type="band1Horz">
      <w:tblPr/>
      <w:tcPr>
        <w:shd w:val="clear" w:color="auto" w:fill="BCC5C6" w:themeFill="accent4" w:themeFillTint="7F"/>
      </w:tcPr>
    </w:tblStylePr>
    <w:tblStylePr w:type="neCell">
      <w:rPr>
        <w:color w:val="000000" w:themeColor="text1"/>
      </w:rPr>
    </w:tblStylePr>
    <w:tblStylePr w:type="nwCell">
      <w:rPr>
        <w:color w:val="000000" w:themeColor="text1"/>
      </w:rPr>
    </w:tblStylePr>
  </w:style>
  <w:style w:type="table" w:styleId="-51">
    <w:name w:val="Colorful Shading Accent 5"/>
    <w:basedOn w:val="a4"/>
    <w:uiPriority w:val="71"/>
    <w:semiHidden/>
    <w:unhideWhenUsed/>
    <w:rsid w:val="004230D9"/>
    <w:pPr>
      <w:spacing w:after="0" w:line="240" w:lineRule="auto"/>
    </w:pPr>
    <w:rPr>
      <w:color w:val="000000" w:themeColor="text1"/>
    </w:rPr>
    <w:tblPr>
      <w:tblStyleRowBandSize w:val="1"/>
      <w:tblStyleColBandSize w:val="1"/>
      <w:tblBorders>
        <w:top w:val="single" w:sz="24" w:space="0" w:color="2683C6" w:themeColor="accent6"/>
        <w:left w:val="single" w:sz="4" w:space="0" w:color="84ACB6" w:themeColor="accent5"/>
        <w:bottom w:val="single" w:sz="4" w:space="0" w:color="84ACB6" w:themeColor="accent5"/>
        <w:right w:val="single" w:sz="4" w:space="0" w:color="84ACB6" w:themeColor="accent5"/>
        <w:insideH w:val="single" w:sz="4" w:space="0" w:color="FFFFFF" w:themeColor="background1"/>
        <w:insideV w:val="single" w:sz="4" w:space="0" w:color="FFFFFF" w:themeColor="background1"/>
      </w:tblBorders>
    </w:tblPr>
    <w:tcPr>
      <w:shd w:val="clear" w:color="auto" w:fill="F2F6F7" w:themeFill="accent5" w:themeFillTint="19"/>
    </w:tcPr>
    <w:tblStylePr w:type="firstRow">
      <w:rPr>
        <w:b/>
        <w:bCs/>
      </w:rPr>
      <w:tblPr/>
      <w:tcPr>
        <w:tcBorders>
          <w:top w:val="nil"/>
          <w:left w:val="nil"/>
          <w:bottom w:val="single" w:sz="24" w:space="0" w:color="2683C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66C76" w:themeFill="accent5" w:themeFillShade="99"/>
      </w:tcPr>
    </w:tblStylePr>
    <w:tblStylePr w:type="firstCol">
      <w:rPr>
        <w:color w:val="FFFFFF" w:themeColor="background1"/>
      </w:rPr>
      <w:tblPr/>
      <w:tcPr>
        <w:tcBorders>
          <w:top w:val="nil"/>
          <w:left w:val="nil"/>
          <w:bottom w:val="nil"/>
          <w:right w:val="nil"/>
          <w:insideH w:val="single" w:sz="4" w:space="0" w:color="466C76" w:themeColor="accent5" w:themeShade="99"/>
          <w:insideV w:val="nil"/>
        </w:tcBorders>
        <w:shd w:val="clear" w:color="auto" w:fill="466C76"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66C76" w:themeFill="accent5" w:themeFillShade="99"/>
      </w:tcPr>
    </w:tblStylePr>
    <w:tblStylePr w:type="band1Vert">
      <w:tblPr/>
      <w:tcPr>
        <w:shd w:val="clear" w:color="auto" w:fill="CDDDE1" w:themeFill="accent5" w:themeFillTint="66"/>
      </w:tcPr>
    </w:tblStylePr>
    <w:tblStylePr w:type="band1Horz">
      <w:tblPr/>
      <w:tcPr>
        <w:shd w:val="clear" w:color="auto" w:fill="C1D5DA" w:themeFill="accent5" w:themeFillTint="7F"/>
      </w:tcPr>
    </w:tblStylePr>
    <w:tblStylePr w:type="neCell">
      <w:rPr>
        <w:color w:val="000000" w:themeColor="text1"/>
      </w:rPr>
    </w:tblStylePr>
    <w:tblStylePr w:type="nwCell">
      <w:rPr>
        <w:color w:val="000000" w:themeColor="text1"/>
      </w:rPr>
    </w:tblStylePr>
  </w:style>
  <w:style w:type="table" w:styleId="-61">
    <w:name w:val="Colorful Shading Accent 6"/>
    <w:basedOn w:val="a4"/>
    <w:uiPriority w:val="71"/>
    <w:semiHidden/>
    <w:unhideWhenUsed/>
    <w:rsid w:val="004230D9"/>
    <w:pPr>
      <w:spacing w:after="0" w:line="240" w:lineRule="auto"/>
    </w:pPr>
    <w:rPr>
      <w:color w:val="000000" w:themeColor="text1"/>
    </w:rPr>
    <w:tblPr>
      <w:tblStyleRowBandSize w:val="1"/>
      <w:tblStyleColBandSize w:val="1"/>
      <w:tblBorders>
        <w:top w:val="single" w:sz="24" w:space="0" w:color="84ACB6" w:themeColor="accent5"/>
        <w:left w:val="single" w:sz="4" w:space="0" w:color="2683C6" w:themeColor="accent6"/>
        <w:bottom w:val="single" w:sz="4" w:space="0" w:color="2683C6" w:themeColor="accent6"/>
        <w:right w:val="single" w:sz="4" w:space="0" w:color="2683C6" w:themeColor="accent6"/>
        <w:insideH w:val="single" w:sz="4" w:space="0" w:color="FFFFFF" w:themeColor="background1"/>
        <w:insideV w:val="single" w:sz="4" w:space="0" w:color="FFFFFF" w:themeColor="background1"/>
      </w:tblBorders>
    </w:tblPr>
    <w:tcPr>
      <w:shd w:val="clear" w:color="auto" w:fill="E8F2FA" w:themeFill="accent6" w:themeFillTint="19"/>
    </w:tcPr>
    <w:tblStylePr w:type="firstRow">
      <w:rPr>
        <w:b/>
        <w:bCs/>
      </w:rPr>
      <w:tblPr/>
      <w:tcPr>
        <w:tcBorders>
          <w:top w:val="nil"/>
          <w:left w:val="nil"/>
          <w:bottom w:val="single" w:sz="24" w:space="0" w:color="84ACB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64E76" w:themeFill="accent6" w:themeFillShade="99"/>
      </w:tcPr>
    </w:tblStylePr>
    <w:tblStylePr w:type="firstCol">
      <w:rPr>
        <w:color w:val="FFFFFF" w:themeColor="background1"/>
      </w:rPr>
      <w:tblPr/>
      <w:tcPr>
        <w:tcBorders>
          <w:top w:val="nil"/>
          <w:left w:val="nil"/>
          <w:bottom w:val="nil"/>
          <w:right w:val="nil"/>
          <w:insideH w:val="single" w:sz="4" w:space="0" w:color="164E76" w:themeColor="accent6" w:themeShade="99"/>
          <w:insideV w:val="nil"/>
        </w:tcBorders>
        <w:shd w:val="clear" w:color="auto" w:fill="164E76"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164E76" w:themeFill="accent6" w:themeFillShade="99"/>
      </w:tcPr>
    </w:tblStylePr>
    <w:tblStylePr w:type="band1Vert">
      <w:tblPr/>
      <w:tcPr>
        <w:shd w:val="clear" w:color="auto" w:fill="A3CEED" w:themeFill="accent6" w:themeFillTint="66"/>
      </w:tcPr>
    </w:tblStylePr>
    <w:tblStylePr w:type="band1Horz">
      <w:tblPr/>
      <w:tcPr>
        <w:shd w:val="clear" w:color="auto" w:fill="8CC2E9" w:themeFill="accent6" w:themeFillTint="7F"/>
      </w:tcPr>
    </w:tblStylePr>
    <w:tblStylePr w:type="neCell">
      <w:rPr>
        <w:color w:val="000000" w:themeColor="text1"/>
      </w:rPr>
    </w:tblStylePr>
    <w:tblStylePr w:type="nwCell">
      <w:rPr>
        <w:color w:val="000000" w:themeColor="text1"/>
      </w:rPr>
    </w:tblStylePr>
  </w:style>
  <w:style w:type="table" w:styleId="affffb">
    <w:name w:val="Dark List"/>
    <w:basedOn w:val="a4"/>
    <w:uiPriority w:val="70"/>
    <w:semiHidden/>
    <w:unhideWhenUsed/>
    <w:rsid w:val="004230D9"/>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4"/>
    <w:uiPriority w:val="70"/>
    <w:semiHidden/>
    <w:unhideWhenUsed/>
    <w:rsid w:val="004230D9"/>
    <w:pPr>
      <w:spacing w:after="0" w:line="240" w:lineRule="auto"/>
    </w:pPr>
    <w:rPr>
      <w:color w:val="FFFFFF" w:themeColor="background1"/>
    </w:rPr>
    <w:tblPr>
      <w:tblStyleRowBandSize w:val="1"/>
      <w:tblStyleColBandSize w:val="1"/>
    </w:tblPr>
    <w:tcPr>
      <w:shd w:val="clear" w:color="auto" w:fill="3494BA"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A495C"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76E8B"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76E8B" w:themeFill="accent1" w:themeFillShade="BF"/>
      </w:tcPr>
    </w:tblStylePr>
    <w:tblStylePr w:type="band1Vert">
      <w:tblPr/>
      <w:tcPr>
        <w:tcBorders>
          <w:top w:val="nil"/>
          <w:left w:val="nil"/>
          <w:bottom w:val="nil"/>
          <w:right w:val="nil"/>
          <w:insideH w:val="nil"/>
          <w:insideV w:val="nil"/>
        </w:tcBorders>
        <w:shd w:val="clear" w:color="auto" w:fill="276E8B" w:themeFill="accent1" w:themeFillShade="BF"/>
      </w:tcPr>
    </w:tblStylePr>
    <w:tblStylePr w:type="band1Horz">
      <w:tblPr/>
      <w:tcPr>
        <w:tcBorders>
          <w:top w:val="nil"/>
          <w:left w:val="nil"/>
          <w:bottom w:val="nil"/>
          <w:right w:val="nil"/>
          <w:insideH w:val="nil"/>
          <w:insideV w:val="nil"/>
        </w:tcBorders>
        <w:shd w:val="clear" w:color="auto" w:fill="276E8B" w:themeFill="accent1" w:themeFillShade="BF"/>
      </w:tcPr>
    </w:tblStylePr>
  </w:style>
  <w:style w:type="table" w:styleId="-22">
    <w:name w:val="Dark List Accent 2"/>
    <w:basedOn w:val="a4"/>
    <w:uiPriority w:val="70"/>
    <w:semiHidden/>
    <w:unhideWhenUsed/>
    <w:rsid w:val="004230D9"/>
    <w:pPr>
      <w:spacing w:after="0" w:line="240" w:lineRule="auto"/>
    </w:pPr>
    <w:rPr>
      <w:color w:val="FFFFFF" w:themeColor="background1"/>
    </w:rPr>
    <w:tblPr>
      <w:tblStyleRowBandSize w:val="1"/>
      <w:tblStyleColBandSize w:val="1"/>
    </w:tblPr>
    <w:tcPr>
      <w:shd w:val="clear" w:color="auto" w:fill="58B6C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E65"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398E98"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398E98" w:themeFill="accent2" w:themeFillShade="BF"/>
      </w:tcPr>
    </w:tblStylePr>
    <w:tblStylePr w:type="band1Vert">
      <w:tblPr/>
      <w:tcPr>
        <w:tcBorders>
          <w:top w:val="nil"/>
          <w:left w:val="nil"/>
          <w:bottom w:val="nil"/>
          <w:right w:val="nil"/>
          <w:insideH w:val="nil"/>
          <w:insideV w:val="nil"/>
        </w:tcBorders>
        <w:shd w:val="clear" w:color="auto" w:fill="398E98" w:themeFill="accent2" w:themeFillShade="BF"/>
      </w:tcPr>
    </w:tblStylePr>
    <w:tblStylePr w:type="band1Horz">
      <w:tblPr/>
      <w:tcPr>
        <w:tcBorders>
          <w:top w:val="nil"/>
          <w:left w:val="nil"/>
          <w:bottom w:val="nil"/>
          <w:right w:val="nil"/>
          <w:insideH w:val="nil"/>
          <w:insideV w:val="nil"/>
        </w:tcBorders>
        <w:shd w:val="clear" w:color="auto" w:fill="398E98" w:themeFill="accent2" w:themeFillShade="BF"/>
      </w:tcPr>
    </w:tblStylePr>
  </w:style>
  <w:style w:type="table" w:styleId="-32">
    <w:name w:val="Dark List Accent 3"/>
    <w:basedOn w:val="a4"/>
    <w:uiPriority w:val="70"/>
    <w:semiHidden/>
    <w:unhideWhenUsed/>
    <w:rsid w:val="004230D9"/>
    <w:pPr>
      <w:spacing w:after="0" w:line="240" w:lineRule="auto"/>
    </w:pPr>
    <w:rPr>
      <w:color w:val="FFFFFF" w:themeColor="background1"/>
    </w:rPr>
    <w:tblPr>
      <w:tblStyleRowBandSize w:val="1"/>
      <w:tblStyleColBandSize w:val="1"/>
    </w:tblPr>
    <w:tcPr>
      <w:shd w:val="clear" w:color="auto" w:fill="75BDA7"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16756"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A9A8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A9A82" w:themeFill="accent3" w:themeFillShade="BF"/>
      </w:tcPr>
    </w:tblStylePr>
    <w:tblStylePr w:type="band1Vert">
      <w:tblPr/>
      <w:tcPr>
        <w:tcBorders>
          <w:top w:val="nil"/>
          <w:left w:val="nil"/>
          <w:bottom w:val="nil"/>
          <w:right w:val="nil"/>
          <w:insideH w:val="nil"/>
          <w:insideV w:val="nil"/>
        </w:tcBorders>
        <w:shd w:val="clear" w:color="auto" w:fill="4A9A82" w:themeFill="accent3" w:themeFillShade="BF"/>
      </w:tcPr>
    </w:tblStylePr>
    <w:tblStylePr w:type="band1Horz">
      <w:tblPr/>
      <w:tcPr>
        <w:tcBorders>
          <w:top w:val="nil"/>
          <w:left w:val="nil"/>
          <w:bottom w:val="nil"/>
          <w:right w:val="nil"/>
          <w:insideH w:val="nil"/>
          <w:insideV w:val="nil"/>
        </w:tcBorders>
        <w:shd w:val="clear" w:color="auto" w:fill="4A9A82" w:themeFill="accent3" w:themeFillShade="BF"/>
      </w:tcPr>
    </w:tblStylePr>
  </w:style>
  <w:style w:type="table" w:styleId="-42">
    <w:name w:val="Dark List Accent 4"/>
    <w:basedOn w:val="a4"/>
    <w:uiPriority w:val="70"/>
    <w:semiHidden/>
    <w:unhideWhenUsed/>
    <w:rsid w:val="004230D9"/>
    <w:pPr>
      <w:spacing w:after="0" w:line="240" w:lineRule="auto"/>
    </w:pPr>
    <w:rPr>
      <w:color w:val="FFFFFF" w:themeColor="background1"/>
    </w:rPr>
    <w:tblPr>
      <w:tblStyleRowBandSize w:val="1"/>
      <w:tblStyleColBandSize w:val="1"/>
    </w:tblPr>
    <w:tcPr>
      <w:shd w:val="clear" w:color="auto" w:fill="7A8C8E"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C4546"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A696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A696A" w:themeFill="accent4" w:themeFillShade="BF"/>
      </w:tcPr>
    </w:tblStylePr>
    <w:tblStylePr w:type="band1Vert">
      <w:tblPr/>
      <w:tcPr>
        <w:tcBorders>
          <w:top w:val="nil"/>
          <w:left w:val="nil"/>
          <w:bottom w:val="nil"/>
          <w:right w:val="nil"/>
          <w:insideH w:val="nil"/>
          <w:insideV w:val="nil"/>
        </w:tcBorders>
        <w:shd w:val="clear" w:color="auto" w:fill="5A696A" w:themeFill="accent4" w:themeFillShade="BF"/>
      </w:tcPr>
    </w:tblStylePr>
    <w:tblStylePr w:type="band1Horz">
      <w:tblPr/>
      <w:tcPr>
        <w:tcBorders>
          <w:top w:val="nil"/>
          <w:left w:val="nil"/>
          <w:bottom w:val="nil"/>
          <w:right w:val="nil"/>
          <w:insideH w:val="nil"/>
          <w:insideV w:val="nil"/>
        </w:tcBorders>
        <w:shd w:val="clear" w:color="auto" w:fill="5A696A" w:themeFill="accent4" w:themeFillShade="BF"/>
      </w:tcPr>
    </w:tblStylePr>
  </w:style>
  <w:style w:type="table" w:styleId="-52">
    <w:name w:val="Dark List Accent 5"/>
    <w:basedOn w:val="a4"/>
    <w:uiPriority w:val="70"/>
    <w:semiHidden/>
    <w:unhideWhenUsed/>
    <w:rsid w:val="004230D9"/>
    <w:pPr>
      <w:spacing w:after="0" w:line="240" w:lineRule="auto"/>
    </w:pPr>
    <w:rPr>
      <w:color w:val="FFFFFF" w:themeColor="background1"/>
    </w:rPr>
    <w:tblPr>
      <w:tblStyleRowBandSize w:val="1"/>
      <w:tblStyleColBandSize w:val="1"/>
    </w:tblPr>
    <w:tcPr>
      <w:shd w:val="clear" w:color="auto" w:fill="84ACB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A5A62"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78793"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78793" w:themeFill="accent5" w:themeFillShade="BF"/>
      </w:tcPr>
    </w:tblStylePr>
    <w:tblStylePr w:type="band1Vert">
      <w:tblPr/>
      <w:tcPr>
        <w:tcBorders>
          <w:top w:val="nil"/>
          <w:left w:val="nil"/>
          <w:bottom w:val="nil"/>
          <w:right w:val="nil"/>
          <w:insideH w:val="nil"/>
          <w:insideV w:val="nil"/>
        </w:tcBorders>
        <w:shd w:val="clear" w:color="auto" w:fill="578793" w:themeFill="accent5" w:themeFillShade="BF"/>
      </w:tcPr>
    </w:tblStylePr>
    <w:tblStylePr w:type="band1Horz">
      <w:tblPr/>
      <w:tcPr>
        <w:tcBorders>
          <w:top w:val="nil"/>
          <w:left w:val="nil"/>
          <w:bottom w:val="nil"/>
          <w:right w:val="nil"/>
          <w:insideH w:val="nil"/>
          <w:insideV w:val="nil"/>
        </w:tcBorders>
        <w:shd w:val="clear" w:color="auto" w:fill="578793" w:themeFill="accent5" w:themeFillShade="BF"/>
      </w:tcPr>
    </w:tblStylePr>
  </w:style>
  <w:style w:type="table" w:styleId="-62">
    <w:name w:val="Dark List Accent 6"/>
    <w:basedOn w:val="a4"/>
    <w:uiPriority w:val="70"/>
    <w:semiHidden/>
    <w:unhideWhenUsed/>
    <w:rsid w:val="004230D9"/>
    <w:pPr>
      <w:spacing w:after="0" w:line="240" w:lineRule="auto"/>
    </w:pPr>
    <w:rPr>
      <w:color w:val="FFFFFF" w:themeColor="background1"/>
    </w:rPr>
    <w:tblPr>
      <w:tblStyleRowBandSize w:val="1"/>
      <w:tblStyleColBandSize w:val="1"/>
    </w:tblPr>
    <w:tcPr>
      <w:shd w:val="clear" w:color="auto" w:fill="2683C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34162"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1C6194"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1C6194" w:themeFill="accent6" w:themeFillShade="BF"/>
      </w:tcPr>
    </w:tblStylePr>
    <w:tblStylePr w:type="band1Vert">
      <w:tblPr/>
      <w:tcPr>
        <w:tcBorders>
          <w:top w:val="nil"/>
          <w:left w:val="nil"/>
          <w:bottom w:val="nil"/>
          <w:right w:val="nil"/>
          <w:insideH w:val="nil"/>
          <w:insideV w:val="nil"/>
        </w:tcBorders>
        <w:shd w:val="clear" w:color="auto" w:fill="1C6194" w:themeFill="accent6" w:themeFillShade="BF"/>
      </w:tcPr>
    </w:tblStylePr>
    <w:tblStylePr w:type="band1Horz">
      <w:tblPr/>
      <w:tcPr>
        <w:tcBorders>
          <w:top w:val="nil"/>
          <w:left w:val="nil"/>
          <w:bottom w:val="nil"/>
          <w:right w:val="nil"/>
          <w:insideH w:val="nil"/>
          <w:insideV w:val="nil"/>
        </w:tcBorders>
        <w:shd w:val="clear" w:color="auto" w:fill="1C6194" w:themeFill="accent6" w:themeFillShade="BF"/>
      </w:tcPr>
    </w:tblStylePr>
  </w:style>
  <w:style w:type="paragraph" w:styleId="affffc">
    <w:name w:val="E-mail Signature"/>
    <w:basedOn w:val="a2"/>
    <w:link w:val="affffd"/>
    <w:uiPriority w:val="99"/>
    <w:semiHidden/>
    <w:unhideWhenUsed/>
    <w:rsid w:val="004230D9"/>
  </w:style>
  <w:style w:type="character" w:customStyle="1" w:styleId="affffd">
    <w:name w:val="Электронная подпись Знак"/>
    <w:basedOn w:val="a3"/>
    <w:link w:val="affffc"/>
    <w:uiPriority w:val="99"/>
    <w:semiHidden/>
    <w:rsid w:val="004230D9"/>
    <w:rPr>
      <w:rFonts w:ascii="Times New Roman" w:hAnsi="Times New Roman" w:cs="Times New Roman"/>
    </w:rPr>
  </w:style>
  <w:style w:type="table" w:customStyle="1" w:styleId="-110">
    <w:name w:val="Таблица-сетка 1 светлая1"/>
    <w:basedOn w:val="a4"/>
    <w:uiPriority w:val="46"/>
    <w:rsid w:val="004230D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111">
    <w:name w:val="Таблица-сетка 1 светлая — акцент 11"/>
    <w:basedOn w:val="a4"/>
    <w:uiPriority w:val="46"/>
    <w:rsid w:val="004230D9"/>
    <w:pPr>
      <w:spacing w:after="0" w:line="240" w:lineRule="auto"/>
    </w:pPr>
    <w:tblPr>
      <w:tblStyleRowBandSize w:val="1"/>
      <w:tblStyleColBandSize w:val="1"/>
      <w:tblBorders>
        <w:top w:val="single" w:sz="4" w:space="0" w:color="A9D5E7" w:themeColor="accent1" w:themeTint="66"/>
        <w:left w:val="single" w:sz="4" w:space="0" w:color="A9D5E7" w:themeColor="accent1" w:themeTint="66"/>
        <w:bottom w:val="single" w:sz="4" w:space="0" w:color="A9D5E7" w:themeColor="accent1" w:themeTint="66"/>
        <w:right w:val="single" w:sz="4" w:space="0" w:color="A9D5E7" w:themeColor="accent1" w:themeTint="66"/>
        <w:insideH w:val="single" w:sz="4" w:space="0" w:color="A9D5E7" w:themeColor="accent1" w:themeTint="66"/>
        <w:insideV w:val="single" w:sz="4" w:space="0" w:color="A9D5E7" w:themeColor="accent1" w:themeTint="66"/>
      </w:tblBorders>
    </w:tblPr>
    <w:tblStylePr w:type="firstRow">
      <w:rPr>
        <w:b/>
        <w:bCs/>
      </w:rPr>
      <w:tblPr/>
      <w:tcPr>
        <w:tcBorders>
          <w:bottom w:val="single" w:sz="12" w:space="0" w:color="7FC0DB" w:themeColor="accent1" w:themeTint="99"/>
        </w:tcBorders>
      </w:tcPr>
    </w:tblStylePr>
    <w:tblStylePr w:type="lastRow">
      <w:rPr>
        <w:b/>
        <w:bCs/>
      </w:rPr>
      <w:tblPr/>
      <w:tcPr>
        <w:tcBorders>
          <w:top w:val="double" w:sz="2" w:space="0" w:color="7FC0DB" w:themeColor="accent1" w:themeTint="99"/>
        </w:tcBorders>
      </w:tcPr>
    </w:tblStylePr>
    <w:tblStylePr w:type="firstCol">
      <w:rPr>
        <w:b/>
        <w:bCs/>
      </w:rPr>
    </w:tblStylePr>
    <w:tblStylePr w:type="lastCol">
      <w:rPr>
        <w:b/>
        <w:bCs/>
      </w:rPr>
    </w:tblStylePr>
  </w:style>
  <w:style w:type="table" w:customStyle="1" w:styleId="-121">
    <w:name w:val="Таблица-сетка 1 светлая — акцент 21"/>
    <w:basedOn w:val="a4"/>
    <w:uiPriority w:val="46"/>
    <w:rsid w:val="004230D9"/>
    <w:pPr>
      <w:spacing w:after="0" w:line="240" w:lineRule="auto"/>
    </w:pPr>
    <w:tblPr>
      <w:tblStyleRowBandSize w:val="1"/>
      <w:tblStyleColBandSize w:val="1"/>
      <w:tblBorders>
        <w:top w:val="single" w:sz="4" w:space="0" w:color="BCE1E5" w:themeColor="accent2" w:themeTint="66"/>
        <w:left w:val="single" w:sz="4" w:space="0" w:color="BCE1E5" w:themeColor="accent2" w:themeTint="66"/>
        <w:bottom w:val="single" w:sz="4" w:space="0" w:color="BCE1E5" w:themeColor="accent2" w:themeTint="66"/>
        <w:right w:val="single" w:sz="4" w:space="0" w:color="BCE1E5" w:themeColor="accent2" w:themeTint="66"/>
        <w:insideH w:val="single" w:sz="4" w:space="0" w:color="BCE1E5" w:themeColor="accent2" w:themeTint="66"/>
        <w:insideV w:val="single" w:sz="4" w:space="0" w:color="BCE1E5" w:themeColor="accent2" w:themeTint="66"/>
      </w:tblBorders>
    </w:tblPr>
    <w:tblStylePr w:type="firstRow">
      <w:rPr>
        <w:b/>
        <w:bCs/>
      </w:rPr>
      <w:tblPr/>
      <w:tcPr>
        <w:tcBorders>
          <w:bottom w:val="single" w:sz="12" w:space="0" w:color="9AD3D9" w:themeColor="accent2" w:themeTint="99"/>
        </w:tcBorders>
      </w:tcPr>
    </w:tblStylePr>
    <w:tblStylePr w:type="lastRow">
      <w:rPr>
        <w:b/>
        <w:bCs/>
      </w:rPr>
      <w:tblPr/>
      <w:tcPr>
        <w:tcBorders>
          <w:top w:val="double" w:sz="2" w:space="0" w:color="9AD3D9" w:themeColor="accent2" w:themeTint="99"/>
        </w:tcBorders>
      </w:tcPr>
    </w:tblStylePr>
    <w:tblStylePr w:type="firstCol">
      <w:rPr>
        <w:b/>
        <w:bCs/>
      </w:rPr>
    </w:tblStylePr>
    <w:tblStylePr w:type="lastCol">
      <w:rPr>
        <w:b/>
        <w:bCs/>
      </w:rPr>
    </w:tblStylePr>
  </w:style>
  <w:style w:type="table" w:customStyle="1" w:styleId="-131">
    <w:name w:val="Таблица-сетка 1 светлая — акцент 31"/>
    <w:basedOn w:val="a4"/>
    <w:uiPriority w:val="46"/>
    <w:rsid w:val="004230D9"/>
    <w:pPr>
      <w:spacing w:after="0" w:line="240" w:lineRule="auto"/>
    </w:pPr>
    <w:tblPr>
      <w:tblStyleRowBandSize w:val="1"/>
      <w:tblStyleColBandSize w:val="1"/>
      <w:tblBorders>
        <w:top w:val="single" w:sz="4" w:space="0" w:color="C7E4DB" w:themeColor="accent3" w:themeTint="66"/>
        <w:left w:val="single" w:sz="4" w:space="0" w:color="C7E4DB" w:themeColor="accent3" w:themeTint="66"/>
        <w:bottom w:val="single" w:sz="4" w:space="0" w:color="C7E4DB" w:themeColor="accent3" w:themeTint="66"/>
        <w:right w:val="single" w:sz="4" w:space="0" w:color="C7E4DB" w:themeColor="accent3" w:themeTint="66"/>
        <w:insideH w:val="single" w:sz="4" w:space="0" w:color="C7E4DB" w:themeColor="accent3" w:themeTint="66"/>
        <w:insideV w:val="single" w:sz="4" w:space="0" w:color="C7E4DB" w:themeColor="accent3" w:themeTint="66"/>
      </w:tblBorders>
    </w:tblPr>
    <w:tblStylePr w:type="firstRow">
      <w:rPr>
        <w:b/>
        <w:bCs/>
      </w:rPr>
      <w:tblPr/>
      <w:tcPr>
        <w:tcBorders>
          <w:bottom w:val="single" w:sz="12" w:space="0" w:color="ACD7CA" w:themeColor="accent3" w:themeTint="99"/>
        </w:tcBorders>
      </w:tcPr>
    </w:tblStylePr>
    <w:tblStylePr w:type="lastRow">
      <w:rPr>
        <w:b/>
        <w:bCs/>
      </w:rPr>
      <w:tblPr/>
      <w:tcPr>
        <w:tcBorders>
          <w:top w:val="double" w:sz="2" w:space="0" w:color="ACD7CA" w:themeColor="accent3" w:themeTint="99"/>
        </w:tcBorders>
      </w:tcPr>
    </w:tblStylePr>
    <w:tblStylePr w:type="firstCol">
      <w:rPr>
        <w:b/>
        <w:bCs/>
      </w:rPr>
    </w:tblStylePr>
    <w:tblStylePr w:type="lastCol">
      <w:rPr>
        <w:b/>
        <w:bCs/>
      </w:rPr>
    </w:tblStylePr>
  </w:style>
  <w:style w:type="table" w:customStyle="1" w:styleId="-141">
    <w:name w:val="Таблица-сетка 1 светлая — акцент 41"/>
    <w:basedOn w:val="a4"/>
    <w:uiPriority w:val="46"/>
    <w:rsid w:val="004230D9"/>
    <w:pPr>
      <w:spacing w:after="0" w:line="240" w:lineRule="auto"/>
    </w:pPr>
    <w:tblPr>
      <w:tblStyleRowBandSize w:val="1"/>
      <w:tblStyleColBandSize w:val="1"/>
      <w:tblBorders>
        <w:top w:val="single" w:sz="4" w:space="0" w:color="C9D0D1" w:themeColor="accent4" w:themeTint="66"/>
        <w:left w:val="single" w:sz="4" w:space="0" w:color="C9D0D1" w:themeColor="accent4" w:themeTint="66"/>
        <w:bottom w:val="single" w:sz="4" w:space="0" w:color="C9D0D1" w:themeColor="accent4" w:themeTint="66"/>
        <w:right w:val="single" w:sz="4" w:space="0" w:color="C9D0D1" w:themeColor="accent4" w:themeTint="66"/>
        <w:insideH w:val="single" w:sz="4" w:space="0" w:color="C9D0D1" w:themeColor="accent4" w:themeTint="66"/>
        <w:insideV w:val="single" w:sz="4" w:space="0" w:color="C9D0D1" w:themeColor="accent4" w:themeTint="66"/>
      </w:tblBorders>
    </w:tblPr>
    <w:tblStylePr w:type="firstRow">
      <w:rPr>
        <w:b/>
        <w:bCs/>
      </w:rPr>
      <w:tblPr/>
      <w:tcPr>
        <w:tcBorders>
          <w:bottom w:val="single" w:sz="12" w:space="0" w:color="AFB9BB" w:themeColor="accent4" w:themeTint="99"/>
        </w:tcBorders>
      </w:tcPr>
    </w:tblStylePr>
    <w:tblStylePr w:type="lastRow">
      <w:rPr>
        <w:b/>
        <w:bCs/>
      </w:rPr>
      <w:tblPr/>
      <w:tcPr>
        <w:tcBorders>
          <w:top w:val="double" w:sz="2" w:space="0" w:color="AFB9BB" w:themeColor="accent4" w:themeTint="99"/>
        </w:tcBorders>
      </w:tcPr>
    </w:tblStylePr>
    <w:tblStylePr w:type="firstCol">
      <w:rPr>
        <w:b/>
        <w:bCs/>
      </w:rPr>
    </w:tblStylePr>
    <w:tblStylePr w:type="lastCol">
      <w:rPr>
        <w:b/>
        <w:bCs/>
      </w:rPr>
    </w:tblStylePr>
  </w:style>
  <w:style w:type="table" w:customStyle="1" w:styleId="-151">
    <w:name w:val="Таблица-сетка 1 светлая — акцент 51"/>
    <w:basedOn w:val="a4"/>
    <w:uiPriority w:val="46"/>
    <w:rsid w:val="004230D9"/>
    <w:pPr>
      <w:spacing w:after="0" w:line="240" w:lineRule="auto"/>
    </w:pPr>
    <w:tblPr>
      <w:tblStyleRowBandSize w:val="1"/>
      <w:tblStyleColBandSize w:val="1"/>
      <w:tblBorders>
        <w:top w:val="single" w:sz="4" w:space="0" w:color="CDDDE1" w:themeColor="accent5" w:themeTint="66"/>
        <w:left w:val="single" w:sz="4" w:space="0" w:color="CDDDE1" w:themeColor="accent5" w:themeTint="66"/>
        <w:bottom w:val="single" w:sz="4" w:space="0" w:color="CDDDE1" w:themeColor="accent5" w:themeTint="66"/>
        <w:right w:val="single" w:sz="4" w:space="0" w:color="CDDDE1" w:themeColor="accent5" w:themeTint="66"/>
        <w:insideH w:val="single" w:sz="4" w:space="0" w:color="CDDDE1" w:themeColor="accent5" w:themeTint="66"/>
        <w:insideV w:val="single" w:sz="4" w:space="0" w:color="CDDDE1" w:themeColor="accent5" w:themeTint="66"/>
      </w:tblBorders>
    </w:tblPr>
    <w:tblStylePr w:type="firstRow">
      <w:rPr>
        <w:b/>
        <w:bCs/>
      </w:rPr>
      <w:tblPr/>
      <w:tcPr>
        <w:tcBorders>
          <w:bottom w:val="single" w:sz="12" w:space="0" w:color="B5CDD3" w:themeColor="accent5" w:themeTint="99"/>
        </w:tcBorders>
      </w:tcPr>
    </w:tblStylePr>
    <w:tblStylePr w:type="lastRow">
      <w:rPr>
        <w:b/>
        <w:bCs/>
      </w:rPr>
      <w:tblPr/>
      <w:tcPr>
        <w:tcBorders>
          <w:top w:val="double" w:sz="2" w:space="0" w:color="B5CDD3" w:themeColor="accent5" w:themeTint="99"/>
        </w:tcBorders>
      </w:tcPr>
    </w:tblStylePr>
    <w:tblStylePr w:type="firstCol">
      <w:rPr>
        <w:b/>
        <w:bCs/>
      </w:rPr>
    </w:tblStylePr>
    <w:tblStylePr w:type="lastCol">
      <w:rPr>
        <w:b/>
        <w:bCs/>
      </w:rPr>
    </w:tblStylePr>
  </w:style>
  <w:style w:type="table" w:customStyle="1" w:styleId="-161">
    <w:name w:val="Таблица-сетка 1 светлая — акцент 61"/>
    <w:basedOn w:val="a4"/>
    <w:uiPriority w:val="46"/>
    <w:rsid w:val="004230D9"/>
    <w:pPr>
      <w:spacing w:after="0" w:line="240" w:lineRule="auto"/>
    </w:pPr>
    <w:tblPr>
      <w:tblStyleRowBandSize w:val="1"/>
      <w:tblStyleColBandSize w:val="1"/>
      <w:tblBorders>
        <w:top w:val="single" w:sz="4" w:space="0" w:color="A3CEED" w:themeColor="accent6" w:themeTint="66"/>
        <w:left w:val="single" w:sz="4" w:space="0" w:color="A3CEED" w:themeColor="accent6" w:themeTint="66"/>
        <w:bottom w:val="single" w:sz="4" w:space="0" w:color="A3CEED" w:themeColor="accent6" w:themeTint="66"/>
        <w:right w:val="single" w:sz="4" w:space="0" w:color="A3CEED" w:themeColor="accent6" w:themeTint="66"/>
        <w:insideH w:val="single" w:sz="4" w:space="0" w:color="A3CEED" w:themeColor="accent6" w:themeTint="66"/>
        <w:insideV w:val="single" w:sz="4" w:space="0" w:color="A3CEED" w:themeColor="accent6" w:themeTint="66"/>
      </w:tblBorders>
    </w:tblPr>
    <w:tblStylePr w:type="firstRow">
      <w:rPr>
        <w:b/>
        <w:bCs/>
      </w:rPr>
      <w:tblPr/>
      <w:tcPr>
        <w:tcBorders>
          <w:bottom w:val="single" w:sz="12" w:space="0" w:color="74B5E4" w:themeColor="accent6" w:themeTint="99"/>
        </w:tcBorders>
      </w:tcPr>
    </w:tblStylePr>
    <w:tblStylePr w:type="lastRow">
      <w:rPr>
        <w:b/>
        <w:bCs/>
      </w:rPr>
      <w:tblPr/>
      <w:tcPr>
        <w:tcBorders>
          <w:top w:val="double" w:sz="2" w:space="0" w:color="74B5E4" w:themeColor="accent6" w:themeTint="99"/>
        </w:tcBorders>
      </w:tcPr>
    </w:tblStylePr>
    <w:tblStylePr w:type="firstCol">
      <w:rPr>
        <w:b/>
        <w:bCs/>
      </w:rPr>
    </w:tblStylePr>
    <w:tblStylePr w:type="lastCol">
      <w:rPr>
        <w:b/>
        <w:bCs/>
      </w:rPr>
    </w:tblStylePr>
  </w:style>
  <w:style w:type="table" w:customStyle="1" w:styleId="-210">
    <w:name w:val="Таблица-сетка 21"/>
    <w:basedOn w:val="a4"/>
    <w:uiPriority w:val="47"/>
    <w:rsid w:val="004230D9"/>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211">
    <w:name w:val="Таблица-сетка 2 — акцент 11"/>
    <w:basedOn w:val="a4"/>
    <w:uiPriority w:val="47"/>
    <w:rsid w:val="004230D9"/>
    <w:pPr>
      <w:spacing w:after="0" w:line="240" w:lineRule="auto"/>
    </w:pPr>
    <w:tblPr>
      <w:tblStyleRowBandSize w:val="1"/>
      <w:tblStyleColBandSize w:val="1"/>
      <w:tblBorders>
        <w:top w:val="single" w:sz="2" w:space="0" w:color="7FC0DB" w:themeColor="accent1" w:themeTint="99"/>
        <w:bottom w:val="single" w:sz="2" w:space="0" w:color="7FC0DB" w:themeColor="accent1" w:themeTint="99"/>
        <w:insideH w:val="single" w:sz="2" w:space="0" w:color="7FC0DB" w:themeColor="accent1" w:themeTint="99"/>
        <w:insideV w:val="single" w:sz="2" w:space="0" w:color="7FC0DB" w:themeColor="accent1" w:themeTint="99"/>
      </w:tblBorders>
    </w:tblPr>
    <w:tblStylePr w:type="firstRow">
      <w:rPr>
        <w:b/>
        <w:bCs/>
      </w:rPr>
      <w:tblPr/>
      <w:tcPr>
        <w:tcBorders>
          <w:top w:val="nil"/>
          <w:bottom w:val="single" w:sz="12" w:space="0" w:color="7FC0DB" w:themeColor="accent1" w:themeTint="99"/>
          <w:insideH w:val="nil"/>
          <w:insideV w:val="nil"/>
        </w:tcBorders>
        <w:shd w:val="clear" w:color="auto" w:fill="FFFFFF" w:themeFill="background1"/>
      </w:tcPr>
    </w:tblStylePr>
    <w:tblStylePr w:type="lastRow">
      <w:rPr>
        <w:b/>
        <w:bCs/>
      </w:rPr>
      <w:tblPr/>
      <w:tcPr>
        <w:tcBorders>
          <w:top w:val="double" w:sz="2" w:space="0" w:color="7FC0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customStyle="1" w:styleId="-221">
    <w:name w:val="Таблица-сетка 2 — акцент 21"/>
    <w:basedOn w:val="a4"/>
    <w:uiPriority w:val="47"/>
    <w:rsid w:val="004230D9"/>
    <w:pPr>
      <w:spacing w:after="0" w:line="240" w:lineRule="auto"/>
    </w:pPr>
    <w:tblPr>
      <w:tblStyleRowBandSize w:val="1"/>
      <w:tblStyleColBandSize w:val="1"/>
      <w:tblBorders>
        <w:top w:val="single" w:sz="2" w:space="0" w:color="9AD3D9" w:themeColor="accent2" w:themeTint="99"/>
        <w:bottom w:val="single" w:sz="2" w:space="0" w:color="9AD3D9" w:themeColor="accent2" w:themeTint="99"/>
        <w:insideH w:val="single" w:sz="2" w:space="0" w:color="9AD3D9" w:themeColor="accent2" w:themeTint="99"/>
        <w:insideV w:val="single" w:sz="2" w:space="0" w:color="9AD3D9" w:themeColor="accent2" w:themeTint="99"/>
      </w:tblBorders>
    </w:tblPr>
    <w:tblStylePr w:type="firstRow">
      <w:rPr>
        <w:b/>
        <w:bCs/>
      </w:rPr>
      <w:tblPr/>
      <w:tcPr>
        <w:tcBorders>
          <w:top w:val="nil"/>
          <w:bottom w:val="single" w:sz="12" w:space="0" w:color="9AD3D9" w:themeColor="accent2" w:themeTint="99"/>
          <w:insideH w:val="nil"/>
          <w:insideV w:val="nil"/>
        </w:tcBorders>
        <w:shd w:val="clear" w:color="auto" w:fill="FFFFFF" w:themeFill="background1"/>
      </w:tcPr>
    </w:tblStylePr>
    <w:tblStylePr w:type="lastRow">
      <w:rPr>
        <w:b/>
        <w:bCs/>
      </w:rPr>
      <w:tblPr/>
      <w:tcPr>
        <w:tcBorders>
          <w:top w:val="double" w:sz="2" w:space="0" w:color="9AD3D9"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customStyle="1" w:styleId="-231">
    <w:name w:val="Таблица-сетка 2 — акцент 31"/>
    <w:basedOn w:val="a4"/>
    <w:uiPriority w:val="47"/>
    <w:rsid w:val="004230D9"/>
    <w:pPr>
      <w:spacing w:after="0" w:line="240" w:lineRule="auto"/>
    </w:pPr>
    <w:tblPr>
      <w:tblStyleRowBandSize w:val="1"/>
      <w:tblStyleColBandSize w:val="1"/>
      <w:tblBorders>
        <w:top w:val="single" w:sz="2" w:space="0" w:color="ACD7CA" w:themeColor="accent3" w:themeTint="99"/>
        <w:bottom w:val="single" w:sz="2" w:space="0" w:color="ACD7CA" w:themeColor="accent3" w:themeTint="99"/>
        <w:insideH w:val="single" w:sz="2" w:space="0" w:color="ACD7CA" w:themeColor="accent3" w:themeTint="99"/>
        <w:insideV w:val="single" w:sz="2" w:space="0" w:color="ACD7CA" w:themeColor="accent3" w:themeTint="99"/>
      </w:tblBorders>
    </w:tblPr>
    <w:tblStylePr w:type="firstRow">
      <w:rPr>
        <w:b/>
        <w:bCs/>
      </w:rPr>
      <w:tblPr/>
      <w:tcPr>
        <w:tcBorders>
          <w:top w:val="nil"/>
          <w:bottom w:val="single" w:sz="12" w:space="0" w:color="ACD7CA" w:themeColor="accent3" w:themeTint="99"/>
          <w:insideH w:val="nil"/>
          <w:insideV w:val="nil"/>
        </w:tcBorders>
        <w:shd w:val="clear" w:color="auto" w:fill="FFFFFF" w:themeFill="background1"/>
      </w:tcPr>
    </w:tblStylePr>
    <w:tblStylePr w:type="lastRow">
      <w:rPr>
        <w:b/>
        <w:bCs/>
      </w:rPr>
      <w:tblPr/>
      <w:tcPr>
        <w:tcBorders>
          <w:top w:val="double" w:sz="2" w:space="0" w:color="ACD7CA"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customStyle="1" w:styleId="-241">
    <w:name w:val="Таблица-сетка 2 — акцент 41"/>
    <w:basedOn w:val="a4"/>
    <w:uiPriority w:val="47"/>
    <w:rsid w:val="004230D9"/>
    <w:pPr>
      <w:spacing w:after="0" w:line="240" w:lineRule="auto"/>
    </w:pPr>
    <w:tblPr>
      <w:tblStyleRowBandSize w:val="1"/>
      <w:tblStyleColBandSize w:val="1"/>
      <w:tblBorders>
        <w:top w:val="single" w:sz="2" w:space="0" w:color="AFB9BB" w:themeColor="accent4" w:themeTint="99"/>
        <w:bottom w:val="single" w:sz="2" w:space="0" w:color="AFB9BB" w:themeColor="accent4" w:themeTint="99"/>
        <w:insideH w:val="single" w:sz="2" w:space="0" w:color="AFB9BB" w:themeColor="accent4" w:themeTint="99"/>
        <w:insideV w:val="single" w:sz="2" w:space="0" w:color="AFB9BB" w:themeColor="accent4" w:themeTint="99"/>
      </w:tblBorders>
    </w:tblPr>
    <w:tblStylePr w:type="firstRow">
      <w:rPr>
        <w:b/>
        <w:bCs/>
      </w:rPr>
      <w:tblPr/>
      <w:tcPr>
        <w:tcBorders>
          <w:top w:val="nil"/>
          <w:bottom w:val="single" w:sz="12" w:space="0" w:color="AFB9BB" w:themeColor="accent4" w:themeTint="99"/>
          <w:insideH w:val="nil"/>
          <w:insideV w:val="nil"/>
        </w:tcBorders>
        <w:shd w:val="clear" w:color="auto" w:fill="FFFFFF" w:themeFill="background1"/>
      </w:tcPr>
    </w:tblStylePr>
    <w:tblStylePr w:type="lastRow">
      <w:rPr>
        <w:b/>
        <w:bCs/>
      </w:rPr>
      <w:tblPr/>
      <w:tcPr>
        <w:tcBorders>
          <w:top w:val="double" w:sz="2" w:space="0" w:color="AFB9BB"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customStyle="1" w:styleId="-251">
    <w:name w:val="Таблица-сетка 2 — акцент 51"/>
    <w:basedOn w:val="a4"/>
    <w:uiPriority w:val="47"/>
    <w:rsid w:val="004230D9"/>
    <w:pPr>
      <w:spacing w:after="0" w:line="240" w:lineRule="auto"/>
    </w:pPr>
    <w:tblPr>
      <w:tblStyleRowBandSize w:val="1"/>
      <w:tblStyleColBandSize w:val="1"/>
      <w:tblBorders>
        <w:top w:val="single" w:sz="2" w:space="0" w:color="B5CDD3" w:themeColor="accent5" w:themeTint="99"/>
        <w:bottom w:val="single" w:sz="2" w:space="0" w:color="B5CDD3" w:themeColor="accent5" w:themeTint="99"/>
        <w:insideH w:val="single" w:sz="2" w:space="0" w:color="B5CDD3" w:themeColor="accent5" w:themeTint="99"/>
        <w:insideV w:val="single" w:sz="2" w:space="0" w:color="B5CDD3" w:themeColor="accent5" w:themeTint="99"/>
      </w:tblBorders>
    </w:tblPr>
    <w:tblStylePr w:type="firstRow">
      <w:rPr>
        <w:b/>
        <w:bCs/>
      </w:rPr>
      <w:tblPr/>
      <w:tcPr>
        <w:tcBorders>
          <w:top w:val="nil"/>
          <w:bottom w:val="single" w:sz="12" w:space="0" w:color="B5CDD3" w:themeColor="accent5" w:themeTint="99"/>
          <w:insideH w:val="nil"/>
          <w:insideV w:val="nil"/>
        </w:tcBorders>
        <w:shd w:val="clear" w:color="auto" w:fill="FFFFFF" w:themeFill="background1"/>
      </w:tcPr>
    </w:tblStylePr>
    <w:tblStylePr w:type="lastRow">
      <w:rPr>
        <w:b/>
        <w:bCs/>
      </w:rPr>
      <w:tblPr/>
      <w:tcPr>
        <w:tcBorders>
          <w:top w:val="double" w:sz="2" w:space="0" w:color="B5CDD3"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261">
    <w:name w:val="Таблица-сетка 2 — акцент 61"/>
    <w:basedOn w:val="a4"/>
    <w:uiPriority w:val="47"/>
    <w:rsid w:val="004230D9"/>
    <w:pPr>
      <w:spacing w:after="0" w:line="240" w:lineRule="auto"/>
    </w:pPr>
    <w:tblPr>
      <w:tblStyleRowBandSize w:val="1"/>
      <w:tblStyleColBandSize w:val="1"/>
      <w:tblBorders>
        <w:top w:val="single" w:sz="2" w:space="0" w:color="74B5E4" w:themeColor="accent6" w:themeTint="99"/>
        <w:bottom w:val="single" w:sz="2" w:space="0" w:color="74B5E4" w:themeColor="accent6" w:themeTint="99"/>
        <w:insideH w:val="single" w:sz="2" w:space="0" w:color="74B5E4" w:themeColor="accent6" w:themeTint="99"/>
        <w:insideV w:val="single" w:sz="2" w:space="0" w:color="74B5E4" w:themeColor="accent6" w:themeTint="99"/>
      </w:tblBorders>
    </w:tblPr>
    <w:tblStylePr w:type="firstRow">
      <w:rPr>
        <w:b/>
        <w:bCs/>
      </w:rPr>
      <w:tblPr/>
      <w:tcPr>
        <w:tcBorders>
          <w:top w:val="nil"/>
          <w:bottom w:val="single" w:sz="12" w:space="0" w:color="74B5E4" w:themeColor="accent6" w:themeTint="99"/>
          <w:insideH w:val="nil"/>
          <w:insideV w:val="nil"/>
        </w:tcBorders>
        <w:shd w:val="clear" w:color="auto" w:fill="FFFFFF" w:themeFill="background1"/>
      </w:tcPr>
    </w:tblStylePr>
    <w:tblStylePr w:type="lastRow">
      <w:rPr>
        <w:b/>
        <w:bCs/>
      </w:rPr>
      <w:tblPr/>
      <w:tcPr>
        <w:tcBorders>
          <w:top w:val="double" w:sz="2" w:space="0" w:color="74B5E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310">
    <w:name w:val="Таблица-сетка 31"/>
    <w:basedOn w:val="a4"/>
    <w:uiPriority w:val="48"/>
    <w:rsid w:val="004230D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311">
    <w:name w:val="Таблица-сетка 3 — акцент 11"/>
    <w:basedOn w:val="a4"/>
    <w:uiPriority w:val="48"/>
    <w:rsid w:val="004230D9"/>
    <w:pPr>
      <w:spacing w:after="0" w:line="240" w:lineRule="auto"/>
    </w:p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4EAF3" w:themeFill="accent1" w:themeFillTint="33"/>
      </w:tcPr>
    </w:tblStylePr>
    <w:tblStylePr w:type="band1Horz">
      <w:tblPr/>
      <w:tcPr>
        <w:shd w:val="clear" w:color="auto" w:fill="D4EAF3" w:themeFill="accent1" w:themeFillTint="33"/>
      </w:tcPr>
    </w:tblStylePr>
    <w:tblStylePr w:type="neCell">
      <w:tblPr/>
      <w:tcPr>
        <w:tcBorders>
          <w:bottom w:val="single" w:sz="4" w:space="0" w:color="7FC0DB" w:themeColor="accent1" w:themeTint="99"/>
        </w:tcBorders>
      </w:tcPr>
    </w:tblStylePr>
    <w:tblStylePr w:type="nwCell">
      <w:tblPr/>
      <w:tcPr>
        <w:tcBorders>
          <w:bottom w:val="single" w:sz="4" w:space="0" w:color="7FC0DB" w:themeColor="accent1" w:themeTint="99"/>
        </w:tcBorders>
      </w:tcPr>
    </w:tblStylePr>
    <w:tblStylePr w:type="seCell">
      <w:tblPr/>
      <w:tcPr>
        <w:tcBorders>
          <w:top w:val="single" w:sz="4" w:space="0" w:color="7FC0DB" w:themeColor="accent1" w:themeTint="99"/>
        </w:tcBorders>
      </w:tcPr>
    </w:tblStylePr>
    <w:tblStylePr w:type="swCell">
      <w:tblPr/>
      <w:tcPr>
        <w:tcBorders>
          <w:top w:val="single" w:sz="4" w:space="0" w:color="7FC0DB" w:themeColor="accent1" w:themeTint="99"/>
        </w:tcBorders>
      </w:tcPr>
    </w:tblStylePr>
  </w:style>
  <w:style w:type="table" w:customStyle="1" w:styleId="-321">
    <w:name w:val="Таблица-сетка 3 — акцент 21"/>
    <w:basedOn w:val="a4"/>
    <w:uiPriority w:val="48"/>
    <w:rsid w:val="004230D9"/>
    <w:pPr>
      <w:spacing w:after="0" w:line="240" w:lineRule="auto"/>
    </w:pPr>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insideV w:val="single" w:sz="4" w:space="0" w:color="9AD3D9"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F0F2" w:themeFill="accent2" w:themeFillTint="33"/>
      </w:tcPr>
    </w:tblStylePr>
    <w:tblStylePr w:type="band1Horz">
      <w:tblPr/>
      <w:tcPr>
        <w:shd w:val="clear" w:color="auto" w:fill="DDF0F2" w:themeFill="accent2" w:themeFillTint="33"/>
      </w:tcPr>
    </w:tblStylePr>
    <w:tblStylePr w:type="neCell">
      <w:tblPr/>
      <w:tcPr>
        <w:tcBorders>
          <w:bottom w:val="single" w:sz="4" w:space="0" w:color="9AD3D9" w:themeColor="accent2" w:themeTint="99"/>
        </w:tcBorders>
      </w:tcPr>
    </w:tblStylePr>
    <w:tblStylePr w:type="nwCell">
      <w:tblPr/>
      <w:tcPr>
        <w:tcBorders>
          <w:bottom w:val="single" w:sz="4" w:space="0" w:color="9AD3D9" w:themeColor="accent2" w:themeTint="99"/>
        </w:tcBorders>
      </w:tcPr>
    </w:tblStylePr>
    <w:tblStylePr w:type="seCell">
      <w:tblPr/>
      <w:tcPr>
        <w:tcBorders>
          <w:top w:val="single" w:sz="4" w:space="0" w:color="9AD3D9" w:themeColor="accent2" w:themeTint="99"/>
        </w:tcBorders>
      </w:tcPr>
    </w:tblStylePr>
    <w:tblStylePr w:type="swCell">
      <w:tblPr/>
      <w:tcPr>
        <w:tcBorders>
          <w:top w:val="single" w:sz="4" w:space="0" w:color="9AD3D9" w:themeColor="accent2" w:themeTint="99"/>
        </w:tcBorders>
      </w:tcPr>
    </w:tblStylePr>
  </w:style>
  <w:style w:type="table" w:customStyle="1" w:styleId="-331">
    <w:name w:val="Таблица-сетка 3 — акцент 31"/>
    <w:basedOn w:val="a4"/>
    <w:uiPriority w:val="48"/>
    <w:rsid w:val="004230D9"/>
    <w:pPr>
      <w:spacing w:after="0" w:line="240" w:lineRule="auto"/>
    </w:pPr>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insideV w:val="single" w:sz="4" w:space="0" w:color="ACD7CA"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F1ED" w:themeFill="accent3" w:themeFillTint="33"/>
      </w:tcPr>
    </w:tblStylePr>
    <w:tblStylePr w:type="band1Horz">
      <w:tblPr/>
      <w:tcPr>
        <w:shd w:val="clear" w:color="auto" w:fill="E3F1ED" w:themeFill="accent3" w:themeFillTint="33"/>
      </w:tcPr>
    </w:tblStylePr>
    <w:tblStylePr w:type="neCell">
      <w:tblPr/>
      <w:tcPr>
        <w:tcBorders>
          <w:bottom w:val="single" w:sz="4" w:space="0" w:color="ACD7CA" w:themeColor="accent3" w:themeTint="99"/>
        </w:tcBorders>
      </w:tcPr>
    </w:tblStylePr>
    <w:tblStylePr w:type="nwCell">
      <w:tblPr/>
      <w:tcPr>
        <w:tcBorders>
          <w:bottom w:val="single" w:sz="4" w:space="0" w:color="ACD7CA" w:themeColor="accent3" w:themeTint="99"/>
        </w:tcBorders>
      </w:tcPr>
    </w:tblStylePr>
    <w:tblStylePr w:type="seCell">
      <w:tblPr/>
      <w:tcPr>
        <w:tcBorders>
          <w:top w:val="single" w:sz="4" w:space="0" w:color="ACD7CA" w:themeColor="accent3" w:themeTint="99"/>
        </w:tcBorders>
      </w:tcPr>
    </w:tblStylePr>
    <w:tblStylePr w:type="swCell">
      <w:tblPr/>
      <w:tcPr>
        <w:tcBorders>
          <w:top w:val="single" w:sz="4" w:space="0" w:color="ACD7CA" w:themeColor="accent3" w:themeTint="99"/>
        </w:tcBorders>
      </w:tcPr>
    </w:tblStylePr>
  </w:style>
  <w:style w:type="table" w:customStyle="1" w:styleId="-341">
    <w:name w:val="Таблица-сетка 3 — акцент 41"/>
    <w:basedOn w:val="a4"/>
    <w:uiPriority w:val="48"/>
    <w:rsid w:val="004230D9"/>
    <w:pPr>
      <w:spacing w:after="0" w:line="240" w:lineRule="auto"/>
    </w:pPr>
    <w:tblPr>
      <w:tblStyleRowBandSize w:val="1"/>
      <w:tblStyleColBandSize w:val="1"/>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insideV w:val="single" w:sz="4" w:space="0" w:color="AFB9BB"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4E7E8" w:themeFill="accent4" w:themeFillTint="33"/>
      </w:tcPr>
    </w:tblStylePr>
    <w:tblStylePr w:type="band1Horz">
      <w:tblPr/>
      <w:tcPr>
        <w:shd w:val="clear" w:color="auto" w:fill="E4E7E8" w:themeFill="accent4" w:themeFillTint="33"/>
      </w:tcPr>
    </w:tblStylePr>
    <w:tblStylePr w:type="neCell">
      <w:tblPr/>
      <w:tcPr>
        <w:tcBorders>
          <w:bottom w:val="single" w:sz="4" w:space="0" w:color="AFB9BB" w:themeColor="accent4" w:themeTint="99"/>
        </w:tcBorders>
      </w:tcPr>
    </w:tblStylePr>
    <w:tblStylePr w:type="nwCell">
      <w:tblPr/>
      <w:tcPr>
        <w:tcBorders>
          <w:bottom w:val="single" w:sz="4" w:space="0" w:color="AFB9BB" w:themeColor="accent4" w:themeTint="99"/>
        </w:tcBorders>
      </w:tcPr>
    </w:tblStylePr>
    <w:tblStylePr w:type="seCell">
      <w:tblPr/>
      <w:tcPr>
        <w:tcBorders>
          <w:top w:val="single" w:sz="4" w:space="0" w:color="AFB9BB" w:themeColor="accent4" w:themeTint="99"/>
        </w:tcBorders>
      </w:tcPr>
    </w:tblStylePr>
    <w:tblStylePr w:type="swCell">
      <w:tblPr/>
      <w:tcPr>
        <w:tcBorders>
          <w:top w:val="single" w:sz="4" w:space="0" w:color="AFB9BB" w:themeColor="accent4" w:themeTint="99"/>
        </w:tcBorders>
      </w:tcPr>
    </w:tblStylePr>
  </w:style>
  <w:style w:type="table" w:customStyle="1" w:styleId="-351">
    <w:name w:val="Таблица-сетка 3 — акцент 51"/>
    <w:basedOn w:val="a4"/>
    <w:uiPriority w:val="48"/>
    <w:rsid w:val="004230D9"/>
    <w:pPr>
      <w:spacing w:after="0" w:line="240" w:lineRule="auto"/>
    </w:pPr>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EF0" w:themeFill="accent5" w:themeFillTint="33"/>
      </w:tcPr>
    </w:tblStylePr>
    <w:tblStylePr w:type="band1Horz">
      <w:tblPr/>
      <w:tcPr>
        <w:shd w:val="clear" w:color="auto" w:fill="E6EEF0" w:themeFill="accent5" w:themeFillTint="33"/>
      </w:tcPr>
    </w:tblStylePr>
    <w:tblStylePr w:type="neCell">
      <w:tblPr/>
      <w:tcPr>
        <w:tcBorders>
          <w:bottom w:val="single" w:sz="4" w:space="0" w:color="B5CDD3" w:themeColor="accent5" w:themeTint="99"/>
        </w:tcBorders>
      </w:tcPr>
    </w:tblStylePr>
    <w:tblStylePr w:type="nwCell">
      <w:tblPr/>
      <w:tcPr>
        <w:tcBorders>
          <w:bottom w:val="single" w:sz="4" w:space="0" w:color="B5CDD3" w:themeColor="accent5" w:themeTint="99"/>
        </w:tcBorders>
      </w:tcPr>
    </w:tblStylePr>
    <w:tblStylePr w:type="seCell">
      <w:tblPr/>
      <w:tcPr>
        <w:tcBorders>
          <w:top w:val="single" w:sz="4" w:space="0" w:color="B5CDD3" w:themeColor="accent5" w:themeTint="99"/>
        </w:tcBorders>
      </w:tcPr>
    </w:tblStylePr>
    <w:tblStylePr w:type="swCell">
      <w:tblPr/>
      <w:tcPr>
        <w:tcBorders>
          <w:top w:val="single" w:sz="4" w:space="0" w:color="B5CDD3" w:themeColor="accent5" w:themeTint="99"/>
        </w:tcBorders>
      </w:tcPr>
    </w:tblStylePr>
  </w:style>
  <w:style w:type="table" w:customStyle="1" w:styleId="-361">
    <w:name w:val="Таблица-сетка 3 — акцент 61"/>
    <w:basedOn w:val="a4"/>
    <w:uiPriority w:val="48"/>
    <w:rsid w:val="004230D9"/>
    <w:pPr>
      <w:spacing w:after="0" w:line="240" w:lineRule="auto"/>
    </w:p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insideV w:val="single" w:sz="4" w:space="0" w:color="74B5E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0E6F6" w:themeFill="accent6" w:themeFillTint="33"/>
      </w:tcPr>
    </w:tblStylePr>
    <w:tblStylePr w:type="band1Horz">
      <w:tblPr/>
      <w:tcPr>
        <w:shd w:val="clear" w:color="auto" w:fill="D0E6F6" w:themeFill="accent6" w:themeFillTint="33"/>
      </w:tcPr>
    </w:tblStylePr>
    <w:tblStylePr w:type="neCell">
      <w:tblPr/>
      <w:tcPr>
        <w:tcBorders>
          <w:bottom w:val="single" w:sz="4" w:space="0" w:color="74B5E4" w:themeColor="accent6" w:themeTint="99"/>
        </w:tcBorders>
      </w:tcPr>
    </w:tblStylePr>
    <w:tblStylePr w:type="nwCell">
      <w:tblPr/>
      <w:tcPr>
        <w:tcBorders>
          <w:bottom w:val="single" w:sz="4" w:space="0" w:color="74B5E4" w:themeColor="accent6" w:themeTint="99"/>
        </w:tcBorders>
      </w:tcPr>
    </w:tblStylePr>
    <w:tblStylePr w:type="seCell">
      <w:tblPr/>
      <w:tcPr>
        <w:tcBorders>
          <w:top w:val="single" w:sz="4" w:space="0" w:color="74B5E4" w:themeColor="accent6" w:themeTint="99"/>
        </w:tcBorders>
      </w:tcPr>
    </w:tblStylePr>
    <w:tblStylePr w:type="swCell">
      <w:tblPr/>
      <w:tcPr>
        <w:tcBorders>
          <w:top w:val="single" w:sz="4" w:space="0" w:color="74B5E4" w:themeColor="accent6" w:themeTint="99"/>
        </w:tcBorders>
      </w:tcPr>
    </w:tblStylePr>
  </w:style>
  <w:style w:type="table" w:customStyle="1" w:styleId="-410">
    <w:name w:val="Таблица-сетка 41"/>
    <w:basedOn w:val="a4"/>
    <w:uiPriority w:val="49"/>
    <w:rsid w:val="004230D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411">
    <w:name w:val="Таблица-сетка 4 — акцент 11"/>
    <w:basedOn w:val="a4"/>
    <w:uiPriority w:val="49"/>
    <w:rsid w:val="004230D9"/>
    <w:pPr>
      <w:spacing w:after="0" w:line="240" w:lineRule="auto"/>
    </w:p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color w:val="FFFFFF" w:themeColor="background1"/>
      </w:rPr>
      <w:tblPr/>
      <w:tcPr>
        <w:tcBorders>
          <w:top w:val="single" w:sz="4" w:space="0" w:color="3494BA" w:themeColor="accent1"/>
          <w:left w:val="single" w:sz="4" w:space="0" w:color="3494BA" w:themeColor="accent1"/>
          <w:bottom w:val="single" w:sz="4" w:space="0" w:color="3494BA" w:themeColor="accent1"/>
          <w:right w:val="single" w:sz="4" w:space="0" w:color="3494BA" w:themeColor="accent1"/>
          <w:insideH w:val="nil"/>
          <w:insideV w:val="nil"/>
        </w:tcBorders>
        <w:shd w:val="clear" w:color="auto" w:fill="3494BA" w:themeFill="accent1"/>
      </w:tcPr>
    </w:tblStylePr>
    <w:tblStylePr w:type="lastRow">
      <w:rPr>
        <w:b/>
        <w:bCs/>
      </w:rPr>
      <w:tblPr/>
      <w:tcPr>
        <w:tcBorders>
          <w:top w:val="double" w:sz="4" w:space="0" w:color="3494BA" w:themeColor="accent1"/>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customStyle="1" w:styleId="-421">
    <w:name w:val="Таблица-сетка 4 — акцент 21"/>
    <w:basedOn w:val="a4"/>
    <w:uiPriority w:val="49"/>
    <w:rsid w:val="004230D9"/>
    <w:pPr>
      <w:spacing w:after="0" w:line="240" w:lineRule="auto"/>
    </w:pPr>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insideV w:val="single" w:sz="4" w:space="0" w:color="9AD3D9" w:themeColor="accent2" w:themeTint="99"/>
      </w:tblBorders>
    </w:tblPr>
    <w:tblStylePr w:type="firstRow">
      <w:rPr>
        <w:b/>
        <w:bCs/>
        <w:color w:val="FFFFFF" w:themeColor="background1"/>
      </w:rPr>
      <w:tblPr/>
      <w:tcPr>
        <w:tcBorders>
          <w:top w:val="single" w:sz="4" w:space="0" w:color="58B6C0" w:themeColor="accent2"/>
          <w:left w:val="single" w:sz="4" w:space="0" w:color="58B6C0" w:themeColor="accent2"/>
          <w:bottom w:val="single" w:sz="4" w:space="0" w:color="58B6C0" w:themeColor="accent2"/>
          <w:right w:val="single" w:sz="4" w:space="0" w:color="58B6C0" w:themeColor="accent2"/>
          <w:insideH w:val="nil"/>
          <w:insideV w:val="nil"/>
        </w:tcBorders>
        <w:shd w:val="clear" w:color="auto" w:fill="58B6C0" w:themeFill="accent2"/>
      </w:tcPr>
    </w:tblStylePr>
    <w:tblStylePr w:type="lastRow">
      <w:rPr>
        <w:b/>
        <w:bCs/>
      </w:rPr>
      <w:tblPr/>
      <w:tcPr>
        <w:tcBorders>
          <w:top w:val="double" w:sz="4" w:space="0" w:color="58B6C0" w:themeColor="accent2"/>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customStyle="1" w:styleId="-431">
    <w:name w:val="Таблица-сетка 4 — акцент 31"/>
    <w:basedOn w:val="a4"/>
    <w:uiPriority w:val="49"/>
    <w:rsid w:val="004230D9"/>
    <w:pPr>
      <w:spacing w:after="0" w:line="240" w:lineRule="auto"/>
    </w:pPr>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insideV w:val="single" w:sz="4" w:space="0" w:color="ACD7CA" w:themeColor="accent3" w:themeTint="99"/>
      </w:tblBorders>
    </w:tblPr>
    <w:tblStylePr w:type="firstRow">
      <w:rPr>
        <w:b/>
        <w:bCs/>
        <w:color w:val="FFFFFF" w:themeColor="background1"/>
      </w:rPr>
      <w:tblPr/>
      <w:tcPr>
        <w:tcBorders>
          <w:top w:val="single" w:sz="4" w:space="0" w:color="75BDA7" w:themeColor="accent3"/>
          <w:left w:val="single" w:sz="4" w:space="0" w:color="75BDA7" w:themeColor="accent3"/>
          <w:bottom w:val="single" w:sz="4" w:space="0" w:color="75BDA7" w:themeColor="accent3"/>
          <w:right w:val="single" w:sz="4" w:space="0" w:color="75BDA7" w:themeColor="accent3"/>
          <w:insideH w:val="nil"/>
          <w:insideV w:val="nil"/>
        </w:tcBorders>
        <w:shd w:val="clear" w:color="auto" w:fill="75BDA7" w:themeFill="accent3"/>
      </w:tcPr>
    </w:tblStylePr>
    <w:tblStylePr w:type="lastRow">
      <w:rPr>
        <w:b/>
        <w:bCs/>
      </w:rPr>
      <w:tblPr/>
      <w:tcPr>
        <w:tcBorders>
          <w:top w:val="double" w:sz="4" w:space="0" w:color="75BDA7" w:themeColor="accent3"/>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customStyle="1" w:styleId="-441">
    <w:name w:val="Таблица-сетка 4 — акцент 41"/>
    <w:basedOn w:val="a4"/>
    <w:uiPriority w:val="49"/>
    <w:rsid w:val="004230D9"/>
    <w:pPr>
      <w:spacing w:after="0" w:line="240" w:lineRule="auto"/>
    </w:pPr>
    <w:tblPr>
      <w:tblStyleRowBandSize w:val="1"/>
      <w:tblStyleColBandSize w:val="1"/>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insideV w:val="single" w:sz="4" w:space="0" w:color="AFB9BB" w:themeColor="accent4" w:themeTint="99"/>
      </w:tblBorders>
    </w:tblPr>
    <w:tblStylePr w:type="firstRow">
      <w:rPr>
        <w:b/>
        <w:bCs/>
        <w:color w:val="FFFFFF" w:themeColor="background1"/>
      </w:rPr>
      <w:tblPr/>
      <w:tcPr>
        <w:tcBorders>
          <w:top w:val="single" w:sz="4" w:space="0" w:color="7A8C8E" w:themeColor="accent4"/>
          <w:left w:val="single" w:sz="4" w:space="0" w:color="7A8C8E" w:themeColor="accent4"/>
          <w:bottom w:val="single" w:sz="4" w:space="0" w:color="7A8C8E" w:themeColor="accent4"/>
          <w:right w:val="single" w:sz="4" w:space="0" w:color="7A8C8E" w:themeColor="accent4"/>
          <w:insideH w:val="nil"/>
          <w:insideV w:val="nil"/>
        </w:tcBorders>
        <w:shd w:val="clear" w:color="auto" w:fill="7A8C8E" w:themeFill="accent4"/>
      </w:tcPr>
    </w:tblStylePr>
    <w:tblStylePr w:type="lastRow">
      <w:rPr>
        <w:b/>
        <w:bCs/>
      </w:rPr>
      <w:tblPr/>
      <w:tcPr>
        <w:tcBorders>
          <w:top w:val="double" w:sz="4" w:space="0" w:color="7A8C8E" w:themeColor="accent4"/>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customStyle="1" w:styleId="-451">
    <w:name w:val="Таблица-сетка 4 — акцент 51"/>
    <w:basedOn w:val="a4"/>
    <w:uiPriority w:val="49"/>
    <w:rsid w:val="004230D9"/>
    <w:pPr>
      <w:spacing w:after="0" w:line="240" w:lineRule="auto"/>
    </w:pPr>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blStylePr w:type="firstRow">
      <w:rPr>
        <w:b/>
        <w:bCs/>
        <w:color w:val="FFFFFF" w:themeColor="background1"/>
      </w:rPr>
      <w:tblPr/>
      <w:tcPr>
        <w:tcBorders>
          <w:top w:val="single" w:sz="4" w:space="0" w:color="84ACB6" w:themeColor="accent5"/>
          <w:left w:val="single" w:sz="4" w:space="0" w:color="84ACB6" w:themeColor="accent5"/>
          <w:bottom w:val="single" w:sz="4" w:space="0" w:color="84ACB6" w:themeColor="accent5"/>
          <w:right w:val="single" w:sz="4" w:space="0" w:color="84ACB6" w:themeColor="accent5"/>
          <w:insideH w:val="nil"/>
          <w:insideV w:val="nil"/>
        </w:tcBorders>
        <w:shd w:val="clear" w:color="auto" w:fill="84ACB6" w:themeFill="accent5"/>
      </w:tcPr>
    </w:tblStylePr>
    <w:tblStylePr w:type="lastRow">
      <w:rPr>
        <w:b/>
        <w:bCs/>
      </w:rPr>
      <w:tblPr/>
      <w:tcPr>
        <w:tcBorders>
          <w:top w:val="double" w:sz="4" w:space="0" w:color="84ACB6" w:themeColor="accent5"/>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461">
    <w:name w:val="Таблица-сетка 4 — акцент 61"/>
    <w:basedOn w:val="a4"/>
    <w:uiPriority w:val="49"/>
    <w:rsid w:val="004230D9"/>
    <w:pPr>
      <w:spacing w:after="0" w:line="240" w:lineRule="auto"/>
    </w:p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insideV w:val="single" w:sz="4" w:space="0" w:color="74B5E4" w:themeColor="accent6" w:themeTint="99"/>
      </w:tblBorders>
    </w:tblPr>
    <w:tblStylePr w:type="firstRow">
      <w:rPr>
        <w:b/>
        <w:bCs/>
        <w:color w:val="FFFFFF" w:themeColor="background1"/>
      </w:rPr>
      <w:tblPr/>
      <w:tcPr>
        <w:tcBorders>
          <w:top w:val="single" w:sz="4" w:space="0" w:color="2683C6" w:themeColor="accent6"/>
          <w:left w:val="single" w:sz="4" w:space="0" w:color="2683C6" w:themeColor="accent6"/>
          <w:bottom w:val="single" w:sz="4" w:space="0" w:color="2683C6" w:themeColor="accent6"/>
          <w:right w:val="single" w:sz="4" w:space="0" w:color="2683C6" w:themeColor="accent6"/>
          <w:insideH w:val="nil"/>
          <w:insideV w:val="nil"/>
        </w:tcBorders>
        <w:shd w:val="clear" w:color="auto" w:fill="2683C6" w:themeFill="accent6"/>
      </w:tcPr>
    </w:tblStylePr>
    <w:tblStylePr w:type="lastRow">
      <w:rPr>
        <w:b/>
        <w:bCs/>
      </w:rPr>
      <w:tblPr/>
      <w:tcPr>
        <w:tcBorders>
          <w:top w:val="double" w:sz="4" w:space="0" w:color="2683C6" w:themeColor="accent6"/>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510">
    <w:name w:val="Таблица-сетка 5 темная1"/>
    <w:basedOn w:val="a4"/>
    <w:uiPriority w:val="50"/>
    <w:rsid w:val="004230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511">
    <w:name w:val="Таблица-сетка 5 темная — акцент 11"/>
    <w:basedOn w:val="a4"/>
    <w:uiPriority w:val="50"/>
    <w:rsid w:val="004230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4EA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494BA"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494BA"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494BA"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494BA" w:themeFill="accent1"/>
      </w:tcPr>
    </w:tblStylePr>
    <w:tblStylePr w:type="band1Vert">
      <w:tblPr/>
      <w:tcPr>
        <w:shd w:val="clear" w:color="auto" w:fill="A9D5E7" w:themeFill="accent1" w:themeFillTint="66"/>
      </w:tcPr>
    </w:tblStylePr>
    <w:tblStylePr w:type="band1Horz">
      <w:tblPr/>
      <w:tcPr>
        <w:shd w:val="clear" w:color="auto" w:fill="A9D5E7" w:themeFill="accent1" w:themeFillTint="66"/>
      </w:tcPr>
    </w:tblStylePr>
  </w:style>
  <w:style w:type="table" w:customStyle="1" w:styleId="-521">
    <w:name w:val="Таблица-сетка 5 темная — акцент 21"/>
    <w:basedOn w:val="a4"/>
    <w:uiPriority w:val="50"/>
    <w:rsid w:val="004230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F0F2"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8B6C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8B6C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8B6C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8B6C0" w:themeFill="accent2"/>
      </w:tcPr>
    </w:tblStylePr>
    <w:tblStylePr w:type="band1Vert">
      <w:tblPr/>
      <w:tcPr>
        <w:shd w:val="clear" w:color="auto" w:fill="BCE1E5" w:themeFill="accent2" w:themeFillTint="66"/>
      </w:tcPr>
    </w:tblStylePr>
    <w:tblStylePr w:type="band1Horz">
      <w:tblPr/>
      <w:tcPr>
        <w:shd w:val="clear" w:color="auto" w:fill="BCE1E5" w:themeFill="accent2" w:themeFillTint="66"/>
      </w:tcPr>
    </w:tblStylePr>
  </w:style>
  <w:style w:type="table" w:customStyle="1" w:styleId="-531">
    <w:name w:val="Таблица-сетка 5 темная — акцент 31"/>
    <w:basedOn w:val="a4"/>
    <w:uiPriority w:val="50"/>
    <w:rsid w:val="004230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3F1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5BDA7"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5BDA7"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5BDA7"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5BDA7" w:themeFill="accent3"/>
      </w:tcPr>
    </w:tblStylePr>
    <w:tblStylePr w:type="band1Vert">
      <w:tblPr/>
      <w:tcPr>
        <w:shd w:val="clear" w:color="auto" w:fill="C7E4DB" w:themeFill="accent3" w:themeFillTint="66"/>
      </w:tcPr>
    </w:tblStylePr>
    <w:tblStylePr w:type="band1Horz">
      <w:tblPr/>
      <w:tcPr>
        <w:shd w:val="clear" w:color="auto" w:fill="C7E4DB" w:themeFill="accent3" w:themeFillTint="66"/>
      </w:tcPr>
    </w:tblStylePr>
  </w:style>
  <w:style w:type="table" w:customStyle="1" w:styleId="-541">
    <w:name w:val="Таблица-сетка 5 темная — акцент 41"/>
    <w:basedOn w:val="a4"/>
    <w:uiPriority w:val="50"/>
    <w:rsid w:val="004230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4E7E8"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A8C8E"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A8C8E"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A8C8E"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A8C8E" w:themeFill="accent4"/>
      </w:tcPr>
    </w:tblStylePr>
    <w:tblStylePr w:type="band1Vert">
      <w:tblPr/>
      <w:tcPr>
        <w:shd w:val="clear" w:color="auto" w:fill="C9D0D1" w:themeFill="accent4" w:themeFillTint="66"/>
      </w:tcPr>
    </w:tblStylePr>
    <w:tblStylePr w:type="band1Horz">
      <w:tblPr/>
      <w:tcPr>
        <w:shd w:val="clear" w:color="auto" w:fill="C9D0D1" w:themeFill="accent4" w:themeFillTint="66"/>
      </w:tcPr>
    </w:tblStylePr>
  </w:style>
  <w:style w:type="table" w:customStyle="1" w:styleId="-551">
    <w:name w:val="Таблица-сетка 5 темная — акцент 51"/>
    <w:basedOn w:val="a4"/>
    <w:uiPriority w:val="50"/>
    <w:rsid w:val="004230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6EEF0"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4ACB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4ACB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4ACB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4ACB6" w:themeFill="accent5"/>
      </w:tcPr>
    </w:tblStylePr>
    <w:tblStylePr w:type="band1Vert">
      <w:tblPr/>
      <w:tcPr>
        <w:shd w:val="clear" w:color="auto" w:fill="CDDDE1" w:themeFill="accent5" w:themeFillTint="66"/>
      </w:tcPr>
    </w:tblStylePr>
    <w:tblStylePr w:type="band1Horz">
      <w:tblPr/>
      <w:tcPr>
        <w:shd w:val="clear" w:color="auto" w:fill="CDDDE1" w:themeFill="accent5" w:themeFillTint="66"/>
      </w:tcPr>
    </w:tblStylePr>
  </w:style>
  <w:style w:type="table" w:customStyle="1" w:styleId="-561">
    <w:name w:val="Таблица-сетка 5 темная — акцент 61"/>
    <w:basedOn w:val="a4"/>
    <w:uiPriority w:val="50"/>
    <w:rsid w:val="004230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0E6F6"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683C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683C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683C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683C6" w:themeFill="accent6"/>
      </w:tcPr>
    </w:tblStylePr>
    <w:tblStylePr w:type="band1Vert">
      <w:tblPr/>
      <w:tcPr>
        <w:shd w:val="clear" w:color="auto" w:fill="A3CEED" w:themeFill="accent6" w:themeFillTint="66"/>
      </w:tcPr>
    </w:tblStylePr>
    <w:tblStylePr w:type="band1Horz">
      <w:tblPr/>
      <w:tcPr>
        <w:shd w:val="clear" w:color="auto" w:fill="A3CEED" w:themeFill="accent6" w:themeFillTint="66"/>
      </w:tcPr>
    </w:tblStylePr>
  </w:style>
  <w:style w:type="table" w:customStyle="1" w:styleId="-610">
    <w:name w:val="Таблица-сетка 6 цветная1"/>
    <w:basedOn w:val="a4"/>
    <w:uiPriority w:val="51"/>
    <w:rsid w:val="004230D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611">
    <w:name w:val="Таблица-сетка 6 цветная — акцент 11"/>
    <w:basedOn w:val="a4"/>
    <w:uiPriority w:val="51"/>
    <w:rsid w:val="004230D9"/>
    <w:pPr>
      <w:spacing w:after="0" w:line="240" w:lineRule="auto"/>
    </w:pPr>
    <w:rPr>
      <w:color w:val="276E8B" w:themeColor="accent1" w:themeShade="BF"/>
    </w:r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rPr>
      <w:tblPr/>
      <w:tcPr>
        <w:tcBorders>
          <w:bottom w:val="single" w:sz="12" w:space="0" w:color="7FC0DB" w:themeColor="accent1" w:themeTint="99"/>
        </w:tcBorders>
      </w:tcPr>
    </w:tblStylePr>
    <w:tblStylePr w:type="lastRow">
      <w:rPr>
        <w:b/>
        <w:bCs/>
      </w:rPr>
      <w:tblPr/>
      <w:tcPr>
        <w:tcBorders>
          <w:top w:val="double" w:sz="4" w:space="0" w:color="7FC0DB" w:themeColor="accent1" w:themeTint="99"/>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customStyle="1" w:styleId="-621">
    <w:name w:val="Таблица-сетка 6 цветная — акцент 21"/>
    <w:basedOn w:val="a4"/>
    <w:uiPriority w:val="51"/>
    <w:rsid w:val="004230D9"/>
    <w:pPr>
      <w:spacing w:after="0" w:line="240" w:lineRule="auto"/>
    </w:pPr>
    <w:rPr>
      <w:color w:val="398E98" w:themeColor="accent2" w:themeShade="BF"/>
    </w:rPr>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insideV w:val="single" w:sz="4" w:space="0" w:color="9AD3D9" w:themeColor="accent2" w:themeTint="99"/>
      </w:tblBorders>
    </w:tblPr>
    <w:tblStylePr w:type="firstRow">
      <w:rPr>
        <w:b/>
        <w:bCs/>
      </w:rPr>
      <w:tblPr/>
      <w:tcPr>
        <w:tcBorders>
          <w:bottom w:val="single" w:sz="12" w:space="0" w:color="9AD3D9" w:themeColor="accent2" w:themeTint="99"/>
        </w:tcBorders>
      </w:tcPr>
    </w:tblStylePr>
    <w:tblStylePr w:type="lastRow">
      <w:rPr>
        <w:b/>
        <w:bCs/>
      </w:rPr>
      <w:tblPr/>
      <w:tcPr>
        <w:tcBorders>
          <w:top w:val="double" w:sz="4" w:space="0" w:color="9AD3D9" w:themeColor="accent2" w:themeTint="99"/>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customStyle="1" w:styleId="-631">
    <w:name w:val="Таблица-сетка 6 цветная — акцент 31"/>
    <w:basedOn w:val="a4"/>
    <w:uiPriority w:val="51"/>
    <w:rsid w:val="004230D9"/>
    <w:pPr>
      <w:spacing w:after="0" w:line="240" w:lineRule="auto"/>
    </w:pPr>
    <w:rPr>
      <w:color w:val="4A9A82" w:themeColor="accent3" w:themeShade="BF"/>
    </w:rPr>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insideV w:val="single" w:sz="4" w:space="0" w:color="ACD7CA" w:themeColor="accent3" w:themeTint="99"/>
      </w:tblBorders>
    </w:tblPr>
    <w:tblStylePr w:type="firstRow">
      <w:rPr>
        <w:b/>
        <w:bCs/>
      </w:rPr>
      <w:tblPr/>
      <w:tcPr>
        <w:tcBorders>
          <w:bottom w:val="single" w:sz="12" w:space="0" w:color="ACD7CA" w:themeColor="accent3" w:themeTint="99"/>
        </w:tcBorders>
      </w:tcPr>
    </w:tblStylePr>
    <w:tblStylePr w:type="lastRow">
      <w:rPr>
        <w:b/>
        <w:bCs/>
      </w:rPr>
      <w:tblPr/>
      <w:tcPr>
        <w:tcBorders>
          <w:top w:val="double" w:sz="4" w:space="0" w:color="ACD7CA" w:themeColor="accent3" w:themeTint="99"/>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customStyle="1" w:styleId="-641">
    <w:name w:val="Таблица-сетка 6 цветная — акцент 41"/>
    <w:basedOn w:val="a4"/>
    <w:uiPriority w:val="51"/>
    <w:rsid w:val="004230D9"/>
    <w:pPr>
      <w:spacing w:after="0" w:line="240" w:lineRule="auto"/>
    </w:pPr>
    <w:rPr>
      <w:color w:val="5A696A" w:themeColor="accent4" w:themeShade="BF"/>
    </w:rPr>
    <w:tblPr>
      <w:tblStyleRowBandSize w:val="1"/>
      <w:tblStyleColBandSize w:val="1"/>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insideV w:val="single" w:sz="4" w:space="0" w:color="AFB9BB" w:themeColor="accent4" w:themeTint="99"/>
      </w:tblBorders>
    </w:tblPr>
    <w:tblStylePr w:type="firstRow">
      <w:rPr>
        <w:b/>
        <w:bCs/>
      </w:rPr>
      <w:tblPr/>
      <w:tcPr>
        <w:tcBorders>
          <w:bottom w:val="single" w:sz="12" w:space="0" w:color="AFB9BB" w:themeColor="accent4" w:themeTint="99"/>
        </w:tcBorders>
      </w:tcPr>
    </w:tblStylePr>
    <w:tblStylePr w:type="lastRow">
      <w:rPr>
        <w:b/>
        <w:bCs/>
      </w:rPr>
      <w:tblPr/>
      <w:tcPr>
        <w:tcBorders>
          <w:top w:val="double" w:sz="4" w:space="0" w:color="AFB9BB" w:themeColor="accent4" w:themeTint="99"/>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customStyle="1" w:styleId="-651">
    <w:name w:val="Таблица-сетка 6 цветная — акцент 51"/>
    <w:basedOn w:val="a4"/>
    <w:uiPriority w:val="51"/>
    <w:rsid w:val="004230D9"/>
    <w:pPr>
      <w:spacing w:after="0" w:line="240" w:lineRule="auto"/>
    </w:pPr>
    <w:rPr>
      <w:color w:val="578793" w:themeColor="accent5" w:themeShade="BF"/>
    </w:rPr>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blStylePr w:type="firstRow">
      <w:rPr>
        <w:b/>
        <w:bCs/>
      </w:rPr>
      <w:tblPr/>
      <w:tcPr>
        <w:tcBorders>
          <w:bottom w:val="single" w:sz="12" w:space="0" w:color="B5CDD3" w:themeColor="accent5" w:themeTint="99"/>
        </w:tcBorders>
      </w:tcPr>
    </w:tblStylePr>
    <w:tblStylePr w:type="lastRow">
      <w:rPr>
        <w:b/>
        <w:bCs/>
      </w:rPr>
      <w:tblPr/>
      <w:tcPr>
        <w:tcBorders>
          <w:top w:val="double" w:sz="4" w:space="0" w:color="B5CDD3" w:themeColor="accent5" w:themeTint="99"/>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661">
    <w:name w:val="Таблица-сетка 6 цветная — акцент 61"/>
    <w:basedOn w:val="a4"/>
    <w:uiPriority w:val="51"/>
    <w:rsid w:val="004230D9"/>
    <w:pPr>
      <w:spacing w:after="0" w:line="240" w:lineRule="auto"/>
    </w:pPr>
    <w:rPr>
      <w:color w:val="1C6194" w:themeColor="accent6" w:themeShade="BF"/>
    </w:r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insideV w:val="single" w:sz="4" w:space="0" w:color="74B5E4" w:themeColor="accent6" w:themeTint="99"/>
      </w:tblBorders>
    </w:tblPr>
    <w:tblStylePr w:type="firstRow">
      <w:rPr>
        <w:b/>
        <w:bCs/>
      </w:rPr>
      <w:tblPr/>
      <w:tcPr>
        <w:tcBorders>
          <w:bottom w:val="single" w:sz="12" w:space="0" w:color="74B5E4" w:themeColor="accent6" w:themeTint="99"/>
        </w:tcBorders>
      </w:tcPr>
    </w:tblStylePr>
    <w:tblStylePr w:type="lastRow">
      <w:rPr>
        <w:b/>
        <w:bCs/>
      </w:rPr>
      <w:tblPr/>
      <w:tcPr>
        <w:tcBorders>
          <w:top w:val="double" w:sz="4" w:space="0" w:color="74B5E4" w:themeColor="accent6" w:themeTint="99"/>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71">
    <w:name w:val="Таблица-сетка 7 цветная1"/>
    <w:basedOn w:val="a4"/>
    <w:uiPriority w:val="52"/>
    <w:rsid w:val="004230D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711">
    <w:name w:val="Таблица-сетка 7 цветная — акцент 11"/>
    <w:basedOn w:val="a4"/>
    <w:uiPriority w:val="52"/>
    <w:rsid w:val="004230D9"/>
    <w:pPr>
      <w:spacing w:after="0" w:line="240" w:lineRule="auto"/>
    </w:pPr>
    <w:rPr>
      <w:color w:val="276E8B" w:themeColor="accent1" w:themeShade="BF"/>
    </w:r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4EAF3" w:themeFill="accent1" w:themeFillTint="33"/>
      </w:tcPr>
    </w:tblStylePr>
    <w:tblStylePr w:type="band1Horz">
      <w:tblPr/>
      <w:tcPr>
        <w:shd w:val="clear" w:color="auto" w:fill="D4EAF3" w:themeFill="accent1" w:themeFillTint="33"/>
      </w:tcPr>
    </w:tblStylePr>
    <w:tblStylePr w:type="neCell">
      <w:tblPr/>
      <w:tcPr>
        <w:tcBorders>
          <w:bottom w:val="single" w:sz="4" w:space="0" w:color="7FC0DB" w:themeColor="accent1" w:themeTint="99"/>
        </w:tcBorders>
      </w:tcPr>
    </w:tblStylePr>
    <w:tblStylePr w:type="nwCell">
      <w:tblPr/>
      <w:tcPr>
        <w:tcBorders>
          <w:bottom w:val="single" w:sz="4" w:space="0" w:color="7FC0DB" w:themeColor="accent1" w:themeTint="99"/>
        </w:tcBorders>
      </w:tcPr>
    </w:tblStylePr>
    <w:tblStylePr w:type="seCell">
      <w:tblPr/>
      <w:tcPr>
        <w:tcBorders>
          <w:top w:val="single" w:sz="4" w:space="0" w:color="7FC0DB" w:themeColor="accent1" w:themeTint="99"/>
        </w:tcBorders>
      </w:tcPr>
    </w:tblStylePr>
    <w:tblStylePr w:type="swCell">
      <w:tblPr/>
      <w:tcPr>
        <w:tcBorders>
          <w:top w:val="single" w:sz="4" w:space="0" w:color="7FC0DB" w:themeColor="accent1" w:themeTint="99"/>
        </w:tcBorders>
      </w:tcPr>
    </w:tblStylePr>
  </w:style>
  <w:style w:type="table" w:customStyle="1" w:styleId="-721">
    <w:name w:val="Таблица-сетка 7 цветная — акцент 21"/>
    <w:basedOn w:val="a4"/>
    <w:uiPriority w:val="52"/>
    <w:rsid w:val="004230D9"/>
    <w:pPr>
      <w:spacing w:after="0" w:line="240" w:lineRule="auto"/>
    </w:pPr>
    <w:rPr>
      <w:color w:val="398E98" w:themeColor="accent2" w:themeShade="BF"/>
    </w:rPr>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insideV w:val="single" w:sz="4" w:space="0" w:color="9AD3D9"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F0F2" w:themeFill="accent2" w:themeFillTint="33"/>
      </w:tcPr>
    </w:tblStylePr>
    <w:tblStylePr w:type="band1Horz">
      <w:tblPr/>
      <w:tcPr>
        <w:shd w:val="clear" w:color="auto" w:fill="DDF0F2" w:themeFill="accent2" w:themeFillTint="33"/>
      </w:tcPr>
    </w:tblStylePr>
    <w:tblStylePr w:type="neCell">
      <w:tblPr/>
      <w:tcPr>
        <w:tcBorders>
          <w:bottom w:val="single" w:sz="4" w:space="0" w:color="9AD3D9" w:themeColor="accent2" w:themeTint="99"/>
        </w:tcBorders>
      </w:tcPr>
    </w:tblStylePr>
    <w:tblStylePr w:type="nwCell">
      <w:tblPr/>
      <w:tcPr>
        <w:tcBorders>
          <w:bottom w:val="single" w:sz="4" w:space="0" w:color="9AD3D9" w:themeColor="accent2" w:themeTint="99"/>
        </w:tcBorders>
      </w:tcPr>
    </w:tblStylePr>
    <w:tblStylePr w:type="seCell">
      <w:tblPr/>
      <w:tcPr>
        <w:tcBorders>
          <w:top w:val="single" w:sz="4" w:space="0" w:color="9AD3D9" w:themeColor="accent2" w:themeTint="99"/>
        </w:tcBorders>
      </w:tcPr>
    </w:tblStylePr>
    <w:tblStylePr w:type="swCell">
      <w:tblPr/>
      <w:tcPr>
        <w:tcBorders>
          <w:top w:val="single" w:sz="4" w:space="0" w:color="9AD3D9" w:themeColor="accent2" w:themeTint="99"/>
        </w:tcBorders>
      </w:tcPr>
    </w:tblStylePr>
  </w:style>
  <w:style w:type="table" w:customStyle="1" w:styleId="-731">
    <w:name w:val="Таблица-сетка 7 цветная — акцент 31"/>
    <w:basedOn w:val="a4"/>
    <w:uiPriority w:val="52"/>
    <w:rsid w:val="004230D9"/>
    <w:pPr>
      <w:spacing w:after="0" w:line="240" w:lineRule="auto"/>
    </w:pPr>
    <w:rPr>
      <w:color w:val="4A9A82" w:themeColor="accent3" w:themeShade="BF"/>
    </w:rPr>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insideV w:val="single" w:sz="4" w:space="0" w:color="ACD7CA"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F1ED" w:themeFill="accent3" w:themeFillTint="33"/>
      </w:tcPr>
    </w:tblStylePr>
    <w:tblStylePr w:type="band1Horz">
      <w:tblPr/>
      <w:tcPr>
        <w:shd w:val="clear" w:color="auto" w:fill="E3F1ED" w:themeFill="accent3" w:themeFillTint="33"/>
      </w:tcPr>
    </w:tblStylePr>
    <w:tblStylePr w:type="neCell">
      <w:tblPr/>
      <w:tcPr>
        <w:tcBorders>
          <w:bottom w:val="single" w:sz="4" w:space="0" w:color="ACD7CA" w:themeColor="accent3" w:themeTint="99"/>
        </w:tcBorders>
      </w:tcPr>
    </w:tblStylePr>
    <w:tblStylePr w:type="nwCell">
      <w:tblPr/>
      <w:tcPr>
        <w:tcBorders>
          <w:bottom w:val="single" w:sz="4" w:space="0" w:color="ACD7CA" w:themeColor="accent3" w:themeTint="99"/>
        </w:tcBorders>
      </w:tcPr>
    </w:tblStylePr>
    <w:tblStylePr w:type="seCell">
      <w:tblPr/>
      <w:tcPr>
        <w:tcBorders>
          <w:top w:val="single" w:sz="4" w:space="0" w:color="ACD7CA" w:themeColor="accent3" w:themeTint="99"/>
        </w:tcBorders>
      </w:tcPr>
    </w:tblStylePr>
    <w:tblStylePr w:type="swCell">
      <w:tblPr/>
      <w:tcPr>
        <w:tcBorders>
          <w:top w:val="single" w:sz="4" w:space="0" w:color="ACD7CA" w:themeColor="accent3" w:themeTint="99"/>
        </w:tcBorders>
      </w:tcPr>
    </w:tblStylePr>
  </w:style>
  <w:style w:type="table" w:customStyle="1" w:styleId="-741">
    <w:name w:val="Таблица-сетка 7 цветная — акцент 41"/>
    <w:basedOn w:val="a4"/>
    <w:uiPriority w:val="52"/>
    <w:rsid w:val="004230D9"/>
    <w:pPr>
      <w:spacing w:after="0" w:line="240" w:lineRule="auto"/>
    </w:pPr>
    <w:rPr>
      <w:color w:val="5A696A" w:themeColor="accent4" w:themeShade="BF"/>
    </w:rPr>
    <w:tblPr>
      <w:tblStyleRowBandSize w:val="1"/>
      <w:tblStyleColBandSize w:val="1"/>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insideV w:val="single" w:sz="4" w:space="0" w:color="AFB9BB"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4E7E8" w:themeFill="accent4" w:themeFillTint="33"/>
      </w:tcPr>
    </w:tblStylePr>
    <w:tblStylePr w:type="band1Horz">
      <w:tblPr/>
      <w:tcPr>
        <w:shd w:val="clear" w:color="auto" w:fill="E4E7E8" w:themeFill="accent4" w:themeFillTint="33"/>
      </w:tcPr>
    </w:tblStylePr>
    <w:tblStylePr w:type="neCell">
      <w:tblPr/>
      <w:tcPr>
        <w:tcBorders>
          <w:bottom w:val="single" w:sz="4" w:space="0" w:color="AFB9BB" w:themeColor="accent4" w:themeTint="99"/>
        </w:tcBorders>
      </w:tcPr>
    </w:tblStylePr>
    <w:tblStylePr w:type="nwCell">
      <w:tblPr/>
      <w:tcPr>
        <w:tcBorders>
          <w:bottom w:val="single" w:sz="4" w:space="0" w:color="AFB9BB" w:themeColor="accent4" w:themeTint="99"/>
        </w:tcBorders>
      </w:tcPr>
    </w:tblStylePr>
    <w:tblStylePr w:type="seCell">
      <w:tblPr/>
      <w:tcPr>
        <w:tcBorders>
          <w:top w:val="single" w:sz="4" w:space="0" w:color="AFB9BB" w:themeColor="accent4" w:themeTint="99"/>
        </w:tcBorders>
      </w:tcPr>
    </w:tblStylePr>
    <w:tblStylePr w:type="swCell">
      <w:tblPr/>
      <w:tcPr>
        <w:tcBorders>
          <w:top w:val="single" w:sz="4" w:space="0" w:color="AFB9BB" w:themeColor="accent4" w:themeTint="99"/>
        </w:tcBorders>
      </w:tcPr>
    </w:tblStylePr>
  </w:style>
  <w:style w:type="table" w:customStyle="1" w:styleId="-751">
    <w:name w:val="Таблица-сетка 7 цветная — акцент 51"/>
    <w:basedOn w:val="a4"/>
    <w:uiPriority w:val="52"/>
    <w:rsid w:val="004230D9"/>
    <w:pPr>
      <w:spacing w:after="0" w:line="240" w:lineRule="auto"/>
    </w:pPr>
    <w:rPr>
      <w:color w:val="578793" w:themeColor="accent5" w:themeShade="BF"/>
    </w:rPr>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EF0" w:themeFill="accent5" w:themeFillTint="33"/>
      </w:tcPr>
    </w:tblStylePr>
    <w:tblStylePr w:type="band1Horz">
      <w:tblPr/>
      <w:tcPr>
        <w:shd w:val="clear" w:color="auto" w:fill="E6EEF0" w:themeFill="accent5" w:themeFillTint="33"/>
      </w:tcPr>
    </w:tblStylePr>
    <w:tblStylePr w:type="neCell">
      <w:tblPr/>
      <w:tcPr>
        <w:tcBorders>
          <w:bottom w:val="single" w:sz="4" w:space="0" w:color="B5CDD3" w:themeColor="accent5" w:themeTint="99"/>
        </w:tcBorders>
      </w:tcPr>
    </w:tblStylePr>
    <w:tblStylePr w:type="nwCell">
      <w:tblPr/>
      <w:tcPr>
        <w:tcBorders>
          <w:bottom w:val="single" w:sz="4" w:space="0" w:color="B5CDD3" w:themeColor="accent5" w:themeTint="99"/>
        </w:tcBorders>
      </w:tcPr>
    </w:tblStylePr>
    <w:tblStylePr w:type="seCell">
      <w:tblPr/>
      <w:tcPr>
        <w:tcBorders>
          <w:top w:val="single" w:sz="4" w:space="0" w:color="B5CDD3" w:themeColor="accent5" w:themeTint="99"/>
        </w:tcBorders>
      </w:tcPr>
    </w:tblStylePr>
    <w:tblStylePr w:type="swCell">
      <w:tblPr/>
      <w:tcPr>
        <w:tcBorders>
          <w:top w:val="single" w:sz="4" w:space="0" w:color="B5CDD3" w:themeColor="accent5" w:themeTint="99"/>
        </w:tcBorders>
      </w:tcPr>
    </w:tblStylePr>
  </w:style>
  <w:style w:type="table" w:customStyle="1" w:styleId="-761">
    <w:name w:val="Таблица-сетка 7 цветная — акцент 61"/>
    <w:basedOn w:val="a4"/>
    <w:uiPriority w:val="52"/>
    <w:rsid w:val="004230D9"/>
    <w:pPr>
      <w:spacing w:after="0" w:line="240" w:lineRule="auto"/>
    </w:pPr>
    <w:rPr>
      <w:color w:val="1C6194" w:themeColor="accent6" w:themeShade="BF"/>
    </w:r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insideV w:val="single" w:sz="4" w:space="0" w:color="74B5E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0E6F6" w:themeFill="accent6" w:themeFillTint="33"/>
      </w:tcPr>
    </w:tblStylePr>
    <w:tblStylePr w:type="band1Horz">
      <w:tblPr/>
      <w:tcPr>
        <w:shd w:val="clear" w:color="auto" w:fill="D0E6F6" w:themeFill="accent6" w:themeFillTint="33"/>
      </w:tcPr>
    </w:tblStylePr>
    <w:tblStylePr w:type="neCell">
      <w:tblPr/>
      <w:tcPr>
        <w:tcBorders>
          <w:bottom w:val="single" w:sz="4" w:space="0" w:color="74B5E4" w:themeColor="accent6" w:themeTint="99"/>
        </w:tcBorders>
      </w:tcPr>
    </w:tblStylePr>
    <w:tblStylePr w:type="nwCell">
      <w:tblPr/>
      <w:tcPr>
        <w:tcBorders>
          <w:bottom w:val="single" w:sz="4" w:space="0" w:color="74B5E4" w:themeColor="accent6" w:themeTint="99"/>
        </w:tcBorders>
      </w:tcPr>
    </w:tblStylePr>
    <w:tblStylePr w:type="seCell">
      <w:tblPr/>
      <w:tcPr>
        <w:tcBorders>
          <w:top w:val="single" w:sz="4" w:space="0" w:color="74B5E4" w:themeColor="accent6" w:themeTint="99"/>
        </w:tcBorders>
      </w:tcPr>
    </w:tblStylePr>
    <w:tblStylePr w:type="swCell">
      <w:tblPr/>
      <w:tcPr>
        <w:tcBorders>
          <w:top w:val="single" w:sz="4" w:space="0" w:color="74B5E4" w:themeColor="accent6" w:themeTint="99"/>
        </w:tcBorders>
      </w:tcPr>
    </w:tblStylePr>
  </w:style>
  <w:style w:type="character" w:styleId="HTMLa">
    <w:name w:val="HTML Sample"/>
    <w:basedOn w:val="a3"/>
    <w:uiPriority w:val="99"/>
    <w:semiHidden/>
    <w:unhideWhenUsed/>
    <w:rsid w:val="004230D9"/>
    <w:rPr>
      <w:rFonts w:ascii="Consolas" w:hAnsi="Consolas" w:cs="Times New Roman"/>
      <w:sz w:val="24"/>
      <w:szCs w:val="24"/>
    </w:rPr>
  </w:style>
  <w:style w:type="paragraph" w:styleId="2c">
    <w:name w:val="index 2"/>
    <w:basedOn w:val="a2"/>
    <w:next w:val="a2"/>
    <w:autoRedefine/>
    <w:uiPriority w:val="99"/>
    <w:semiHidden/>
    <w:unhideWhenUsed/>
    <w:rsid w:val="004230D9"/>
    <w:pPr>
      <w:ind w:left="480" w:hanging="240"/>
    </w:pPr>
  </w:style>
  <w:style w:type="paragraph" w:styleId="36">
    <w:name w:val="index 3"/>
    <w:basedOn w:val="a2"/>
    <w:next w:val="a2"/>
    <w:autoRedefine/>
    <w:uiPriority w:val="99"/>
    <w:semiHidden/>
    <w:unhideWhenUsed/>
    <w:rsid w:val="004230D9"/>
    <w:pPr>
      <w:ind w:left="720" w:hanging="240"/>
    </w:pPr>
  </w:style>
  <w:style w:type="paragraph" w:styleId="43">
    <w:name w:val="index 4"/>
    <w:basedOn w:val="a2"/>
    <w:next w:val="a2"/>
    <w:autoRedefine/>
    <w:uiPriority w:val="99"/>
    <w:semiHidden/>
    <w:unhideWhenUsed/>
    <w:rsid w:val="004230D9"/>
    <w:pPr>
      <w:ind w:left="960" w:hanging="240"/>
    </w:pPr>
  </w:style>
  <w:style w:type="paragraph" w:styleId="53">
    <w:name w:val="index 5"/>
    <w:basedOn w:val="a2"/>
    <w:next w:val="a2"/>
    <w:autoRedefine/>
    <w:uiPriority w:val="99"/>
    <w:semiHidden/>
    <w:unhideWhenUsed/>
    <w:rsid w:val="004230D9"/>
    <w:pPr>
      <w:ind w:left="1200" w:hanging="240"/>
    </w:pPr>
  </w:style>
  <w:style w:type="paragraph" w:styleId="61">
    <w:name w:val="index 6"/>
    <w:basedOn w:val="a2"/>
    <w:next w:val="a2"/>
    <w:autoRedefine/>
    <w:uiPriority w:val="99"/>
    <w:semiHidden/>
    <w:unhideWhenUsed/>
    <w:rsid w:val="004230D9"/>
    <w:pPr>
      <w:ind w:left="1440" w:hanging="240"/>
    </w:pPr>
  </w:style>
  <w:style w:type="paragraph" w:styleId="71">
    <w:name w:val="index 7"/>
    <w:basedOn w:val="a2"/>
    <w:next w:val="a2"/>
    <w:autoRedefine/>
    <w:uiPriority w:val="99"/>
    <w:semiHidden/>
    <w:unhideWhenUsed/>
    <w:rsid w:val="004230D9"/>
    <w:pPr>
      <w:ind w:left="1680" w:hanging="240"/>
    </w:pPr>
  </w:style>
  <w:style w:type="paragraph" w:styleId="81">
    <w:name w:val="index 8"/>
    <w:basedOn w:val="a2"/>
    <w:next w:val="a2"/>
    <w:autoRedefine/>
    <w:uiPriority w:val="99"/>
    <w:semiHidden/>
    <w:unhideWhenUsed/>
    <w:rsid w:val="004230D9"/>
    <w:pPr>
      <w:ind w:left="1920" w:hanging="240"/>
    </w:pPr>
  </w:style>
  <w:style w:type="paragraph" w:styleId="92">
    <w:name w:val="index 9"/>
    <w:basedOn w:val="a2"/>
    <w:next w:val="a2"/>
    <w:autoRedefine/>
    <w:uiPriority w:val="99"/>
    <w:semiHidden/>
    <w:unhideWhenUsed/>
    <w:rsid w:val="004230D9"/>
    <w:pPr>
      <w:ind w:left="2160" w:hanging="240"/>
    </w:pPr>
  </w:style>
  <w:style w:type="table" w:styleId="affffe">
    <w:name w:val="Light Grid"/>
    <w:basedOn w:val="a4"/>
    <w:uiPriority w:val="62"/>
    <w:semiHidden/>
    <w:unhideWhenUsed/>
    <w:rsid w:val="004230D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3">
    <w:name w:val="Light Grid Accent 1"/>
    <w:basedOn w:val="a4"/>
    <w:uiPriority w:val="62"/>
    <w:semiHidden/>
    <w:unhideWhenUsed/>
    <w:rsid w:val="004230D9"/>
    <w:pPr>
      <w:spacing w:after="0" w:line="240" w:lineRule="auto"/>
    </w:pPr>
    <w:tblPr>
      <w:tblStyleRowBandSize w:val="1"/>
      <w:tblStyleColBandSize w:val="1"/>
      <w:tblBorders>
        <w:top w:val="single" w:sz="8" w:space="0" w:color="3494BA" w:themeColor="accent1"/>
        <w:left w:val="single" w:sz="8" w:space="0" w:color="3494BA" w:themeColor="accent1"/>
        <w:bottom w:val="single" w:sz="8" w:space="0" w:color="3494BA" w:themeColor="accent1"/>
        <w:right w:val="single" w:sz="8" w:space="0" w:color="3494BA" w:themeColor="accent1"/>
        <w:insideH w:val="single" w:sz="8" w:space="0" w:color="3494BA" w:themeColor="accent1"/>
        <w:insideV w:val="single" w:sz="8" w:space="0" w:color="3494BA"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494BA" w:themeColor="accent1"/>
          <w:left w:val="single" w:sz="8" w:space="0" w:color="3494BA" w:themeColor="accent1"/>
          <w:bottom w:val="single" w:sz="18" w:space="0" w:color="3494BA" w:themeColor="accent1"/>
          <w:right w:val="single" w:sz="8" w:space="0" w:color="3494BA" w:themeColor="accent1"/>
          <w:insideH w:val="nil"/>
          <w:insideV w:val="single" w:sz="8" w:space="0" w:color="3494BA"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494BA" w:themeColor="accent1"/>
          <w:left w:val="single" w:sz="8" w:space="0" w:color="3494BA" w:themeColor="accent1"/>
          <w:bottom w:val="single" w:sz="8" w:space="0" w:color="3494BA" w:themeColor="accent1"/>
          <w:right w:val="single" w:sz="8" w:space="0" w:color="3494BA" w:themeColor="accent1"/>
          <w:insideH w:val="nil"/>
          <w:insideV w:val="single" w:sz="8" w:space="0" w:color="3494BA"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tcPr>
    </w:tblStylePr>
    <w:tblStylePr w:type="band1Vert">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shd w:val="clear" w:color="auto" w:fill="CAE5F0" w:themeFill="accent1" w:themeFillTint="3F"/>
      </w:tcPr>
    </w:tblStylePr>
    <w:tblStylePr w:type="band1Horz">
      <w:tblPr/>
      <w:tcPr>
        <w:tcBorders>
          <w:top w:val="single" w:sz="8" w:space="0" w:color="3494BA" w:themeColor="accent1"/>
          <w:left w:val="single" w:sz="8" w:space="0" w:color="3494BA" w:themeColor="accent1"/>
          <w:bottom w:val="single" w:sz="8" w:space="0" w:color="3494BA" w:themeColor="accent1"/>
          <w:right w:val="single" w:sz="8" w:space="0" w:color="3494BA" w:themeColor="accent1"/>
          <w:insideV w:val="single" w:sz="8" w:space="0" w:color="3494BA" w:themeColor="accent1"/>
        </w:tcBorders>
        <w:shd w:val="clear" w:color="auto" w:fill="CAE5F0" w:themeFill="accent1" w:themeFillTint="3F"/>
      </w:tcPr>
    </w:tblStylePr>
    <w:tblStylePr w:type="band2Horz">
      <w:tblPr/>
      <w:tcPr>
        <w:tcBorders>
          <w:top w:val="single" w:sz="8" w:space="0" w:color="3494BA" w:themeColor="accent1"/>
          <w:left w:val="single" w:sz="8" w:space="0" w:color="3494BA" w:themeColor="accent1"/>
          <w:bottom w:val="single" w:sz="8" w:space="0" w:color="3494BA" w:themeColor="accent1"/>
          <w:right w:val="single" w:sz="8" w:space="0" w:color="3494BA" w:themeColor="accent1"/>
          <w:insideV w:val="single" w:sz="8" w:space="0" w:color="3494BA" w:themeColor="accent1"/>
        </w:tcBorders>
      </w:tcPr>
    </w:tblStylePr>
  </w:style>
  <w:style w:type="table" w:styleId="-23">
    <w:name w:val="Light Grid Accent 2"/>
    <w:basedOn w:val="a4"/>
    <w:uiPriority w:val="62"/>
    <w:semiHidden/>
    <w:unhideWhenUsed/>
    <w:rsid w:val="004230D9"/>
    <w:pPr>
      <w:spacing w:after="0" w:line="240" w:lineRule="auto"/>
    </w:pPr>
    <w:tblPr>
      <w:tblStyleRowBandSize w:val="1"/>
      <w:tblStyleColBandSize w:val="1"/>
      <w:tblBorders>
        <w:top w:val="single" w:sz="8" w:space="0" w:color="58B6C0" w:themeColor="accent2"/>
        <w:left w:val="single" w:sz="8" w:space="0" w:color="58B6C0" w:themeColor="accent2"/>
        <w:bottom w:val="single" w:sz="8" w:space="0" w:color="58B6C0" w:themeColor="accent2"/>
        <w:right w:val="single" w:sz="8" w:space="0" w:color="58B6C0" w:themeColor="accent2"/>
        <w:insideH w:val="single" w:sz="8" w:space="0" w:color="58B6C0" w:themeColor="accent2"/>
        <w:insideV w:val="single" w:sz="8" w:space="0" w:color="58B6C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8B6C0" w:themeColor="accent2"/>
          <w:left w:val="single" w:sz="8" w:space="0" w:color="58B6C0" w:themeColor="accent2"/>
          <w:bottom w:val="single" w:sz="18" w:space="0" w:color="58B6C0" w:themeColor="accent2"/>
          <w:right w:val="single" w:sz="8" w:space="0" w:color="58B6C0" w:themeColor="accent2"/>
          <w:insideH w:val="nil"/>
          <w:insideV w:val="single" w:sz="8" w:space="0" w:color="58B6C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8B6C0" w:themeColor="accent2"/>
          <w:left w:val="single" w:sz="8" w:space="0" w:color="58B6C0" w:themeColor="accent2"/>
          <w:bottom w:val="single" w:sz="8" w:space="0" w:color="58B6C0" w:themeColor="accent2"/>
          <w:right w:val="single" w:sz="8" w:space="0" w:color="58B6C0" w:themeColor="accent2"/>
          <w:insideH w:val="nil"/>
          <w:insideV w:val="single" w:sz="8" w:space="0" w:color="58B6C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tcPr>
    </w:tblStylePr>
    <w:tblStylePr w:type="band1Vert">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shd w:val="clear" w:color="auto" w:fill="D5ECEF" w:themeFill="accent2" w:themeFillTint="3F"/>
      </w:tcPr>
    </w:tblStylePr>
    <w:tblStylePr w:type="band1Horz">
      <w:tblPr/>
      <w:tcPr>
        <w:tcBorders>
          <w:top w:val="single" w:sz="8" w:space="0" w:color="58B6C0" w:themeColor="accent2"/>
          <w:left w:val="single" w:sz="8" w:space="0" w:color="58B6C0" w:themeColor="accent2"/>
          <w:bottom w:val="single" w:sz="8" w:space="0" w:color="58B6C0" w:themeColor="accent2"/>
          <w:right w:val="single" w:sz="8" w:space="0" w:color="58B6C0" w:themeColor="accent2"/>
          <w:insideV w:val="single" w:sz="8" w:space="0" w:color="58B6C0" w:themeColor="accent2"/>
        </w:tcBorders>
        <w:shd w:val="clear" w:color="auto" w:fill="D5ECEF" w:themeFill="accent2" w:themeFillTint="3F"/>
      </w:tcPr>
    </w:tblStylePr>
    <w:tblStylePr w:type="band2Horz">
      <w:tblPr/>
      <w:tcPr>
        <w:tcBorders>
          <w:top w:val="single" w:sz="8" w:space="0" w:color="58B6C0" w:themeColor="accent2"/>
          <w:left w:val="single" w:sz="8" w:space="0" w:color="58B6C0" w:themeColor="accent2"/>
          <w:bottom w:val="single" w:sz="8" w:space="0" w:color="58B6C0" w:themeColor="accent2"/>
          <w:right w:val="single" w:sz="8" w:space="0" w:color="58B6C0" w:themeColor="accent2"/>
          <w:insideV w:val="single" w:sz="8" w:space="0" w:color="58B6C0" w:themeColor="accent2"/>
        </w:tcBorders>
      </w:tcPr>
    </w:tblStylePr>
  </w:style>
  <w:style w:type="table" w:styleId="-33">
    <w:name w:val="Light Grid Accent 3"/>
    <w:basedOn w:val="a4"/>
    <w:uiPriority w:val="62"/>
    <w:semiHidden/>
    <w:unhideWhenUsed/>
    <w:rsid w:val="004230D9"/>
    <w:pPr>
      <w:spacing w:after="0" w:line="240" w:lineRule="auto"/>
    </w:pPr>
    <w:tblPr>
      <w:tblStyleRowBandSize w:val="1"/>
      <w:tblStyleColBandSize w:val="1"/>
      <w:tblBorders>
        <w:top w:val="single" w:sz="8" w:space="0" w:color="75BDA7" w:themeColor="accent3"/>
        <w:left w:val="single" w:sz="8" w:space="0" w:color="75BDA7" w:themeColor="accent3"/>
        <w:bottom w:val="single" w:sz="8" w:space="0" w:color="75BDA7" w:themeColor="accent3"/>
        <w:right w:val="single" w:sz="8" w:space="0" w:color="75BDA7" w:themeColor="accent3"/>
        <w:insideH w:val="single" w:sz="8" w:space="0" w:color="75BDA7" w:themeColor="accent3"/>
        <w:insideV w:val="single" w:sz="8" w:space="0" w:color="75BDA7"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5BDA7" w:themeColor="accent3"/>
          <w:left w:val="single" w:sz="8" w:space="0" w:color="75BDA7" w:themeColor="accent3"/>
          <w:bottom w:val="single" w:sz="18" w:space="0" w:color="75BDA7" w:themeColor="accent3"/>
          <w:right w:val="single" w:sz="8" w:space="0" w:color="75BDA7" w:themeColor="accent3"/>
          <w:insideH w:val="nil"/>
          <w:insideV w:val="single" w:sz="8" w:space="0" w:color="75BDA7"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5BDA7" w:themeColor="accent3"/>
          <w:left w:val="single" w:sz="8" w:space="0" w:color="75BDA7" w:themeColor="accent3"/>
          <w:bottom w:val="single" w:sz="8" w:space="0" w:color="75BDA7" w:themeColor="accent3"/>
          <w:right w:val="single" w:sz="8" w:space="0" w:color="75BDA7" w:themeColor="accent3"/>
          <w:insideH w:val="nil"/>
          <w:insideV w:val="single" w:sz="8" w:space="0" w:color="75BDA7"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tcPr>
    </w:tblStylePr>
    <w:tblStylePr w:type="band1Vert">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shd w:val="clear" w:color="auto" w:fill="DCEEE9" w:themeFill="accent3" w:themeFillTint="3F"/>
      </w:tcPr>
    </w:tblStylePr>
    <w:tblStylePr w:type="band1Horz">
      <w:tblPr/>
      <w:tcPr>
        <w:tcBorders>
          <w:top w:val="single" w:sz="8" w:space="0" w:color="75BDA7" w:themeColor="accent3"/>
          <w:left w:val="single" w:sz="8" w:space="0" w:color="75BDA7" w:themeColor="accent3"/>
          <w:bottom w:val="single" w:sz="8" w:space="0" w:color="75BDA7" w:themeColor="accent3"/>
          <w:right w:val="single" w:sz="8" w:space="0" w:color="75BDA7" w:themeColor="accent3"/>
          <w:insideV w:val="single" w:sz="8" w:space="0" w:color="75BDA7" w:themeColor="accent3"/>
        </w:tcBorders>
        <w:shd w:val="clear" w:color="auto" w:fill="DCEEE9" w:themeFill="accent3" w:themeFillTint="3F"/>
      </w:tcPr>
    </w:tblStylePr>
    <w:tblStylePr w:type="band2Horz">
      <w:tblPr/>
      <w:tcPr>
        <w:tcBorders>
          <w:top w:val="single" w:sz="8" w:space="0" w:color="75BDA7" w:themeColor="accent3"/>
          <w:left w:val="single" w:sz="8" w:space="0" w:color="75BDA7" w:themeColor="accent3"/>
          <w:bottom w:val="single" w:sz="8" w:space="0" w:color="75BDA7" w:themeColor="accent3"/>
          <w:right w:val="single" w:sz="8" w:space="0" w:color="75BDA7" w:themeColor="accent3"/>
          <w:insideV w:val="single" w:sz="8" w:space="0" w:color="75BDA7" w:themeColor="accent3"/>
        </w:tcBorders>
      </w:tcPr>
    </w:tblStylePr>
  </w:style>
  <w:style w:type="table" w:styleId="-43">
    <w:name w:val="Light Grid Accent 4"/>
    <w:basedOn w:val="a4"/>
    <w:uiPriority w:val="62"/>
    <w:semiHidden/>
    <w:unhideWhenUsed/>
    <w:rsid w:val="004230D9"/>
    <w:pPr>
      <w:spacing w:after="0" w:line="240" w:lineRule="auto"/>
    </w:pPr>
    <w:tblPr>
      <w:tblStyleRowBandSize w:val="1"/>
      <w:tblStyleColBandSize w:val="1"/>
      <w:tblBorders>
        <w:top w:val="single" w:sz="8" w:space="0" w:color="7A8C8E" w:themeColor="accent4"/>
        <w:left w:val="single" w:sz="8" w:space="0" w:color="7A8C8E" w:themeColor="accent4"/>
        <w:bottom w:val="single" w:sz="8" w:space="0" w:color="7A8C8E" w:themeColor="accent4"/>
        <w:right w:val="single" w:sz="8" w:space="0" w:color="7A8C8E" w:themeColor="accent4"/>
        <w:insideH w:val="single" w:sz="8" w:space="0" w:color="7A8C8E" w:themeColor="accent4"/>
        <w:insideV w:val="single" w:sz="8" w:space="0" w:color="7A8C8E"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A8C8E" w:themeColor="accent4"/>
          <w:left w:val="single" w:sz="8" w:space="0" w:color="7A8C8E" w:themeColor="accent4"/>
          <w:bottom w:val="single" w:sz="18" w:space="0" w:color="7A8C8E" w:themeColor="accent4"/>
          <w:right w:val="single" w:sz="8" w:space="0" w:color="7A8C8E" w:themeColor="accent4"/>
          <w:insideH w:val="nil"/>
          <w:insideV w:val="single" w:sz="8" w:space="0" w:color="7A8C8E"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A8C8E" w:themeColor="accent4"/>
          <w:left w:val="single" w:sz="8" w:space="0" w:color="7A8C8E" w:themeColor="accent4"/>
          <w:bottom w:val="single" w:sz="8" w:space="0" w:color="7A8C8E" w:themeColor="accent4"/>
          <w:right w:val="single" w:sz="8" w:space="0" w:color="7A8C8E" w:themeColor="accent4"/>
          <w:insideH w:val="nil"/>
          <w:insideV w:val="single" w:sz="8" w:space="0" w:color="7A8C8E"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tcPr>
    </w:tblStylePr>
    <w:tblStylePr w:type="band1Vert">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shd w:val="clear" w:color="auto" w:fill="DEE2E3" w:themeFill="accent4" w:themeFillTint="3F"/>
      </w:tcPr>
    </w:tblStylePr>
    <w:tblStylePr w:type="band1Horz">
      <w:tblPr/>
      <w:tcPr>
        <w:tcBorders>
          <w:top w:val="single" w:sz="8" w:space="0" w:color="7A8C8E" w:themeColor="accent4"/>
          <w:left w:val="single" w:sz="8" w:space="0" w:color="7A8C8E" w:themeColor="accent4"/>
          <w:bottom w:val="single" w:sz="8" w:space="0" w:color="7A8C8E" w:themeColor="accent4"/>
          <w:right w:val="single" w:sz="8" w:space="0" w:color="7A8C8E" w:themeColor="accent4"/>
          <w:insideV w:val="single" w:sz="8" w:space="0" w:color="7A8C8E" w:themeColor="accent4"/>
        </w:tcBorders>
        <w:shd w:val="clear" w:color="auto" w:fill="DEE2E3" w:themeFill="accent4" w:themeFillTint="3F"/>
      </w:tcPr>
    </w:tblStylePr>
    <w:tblStylePr w:type="band2Horz">
      <w:tblPr/>
      <w:tcPr>
        <w:tcBorders>
          <w:top w:val="single" w:sz="8" w:space="0" w:color="7A8C8E" w:themeColor="accent4"/>
          <w:left w:val="single" w:sz="8" w:space="0" w:color="7A8C8E" w:themeColor="accent4"/>
          <w:bottom w:val="single" w:sz="8" w:space="0" w:color="7A8C8E" w:themeColor="accent4"/>
          <w:right w:val="single" w:sz="8" w:space="0" w:color="7A8C8E" w:themeColor="accent4"/>
          <w:insideV w:val="single" w:sz="8" w:space="0" w:color="7A8C8E" w:themeColor="accent4"/>
        </w:tcBorders>
      </w:tcPr>
    </w:tblStylePr>
  </w:style>
  <w:style w:type="table" w:styleId="-53">
    <w:name w:val="Light Grid Accent 5"/>
    <w:basedOn w:val="a4"/>
    <w:uiPriority w:val="62"/>
    <w:semiHidden/>
    <w:unhideWhenUsed/>
    <w:rsid w:val="004230D9"/>
    <w:pPr>
      <w:spacing w:after="0" w:line="240" w:lineRule="auto"/>
    </w:pPr>
    <w:tblPr>
      <w:tblStyleRowBandSize w:val="1"/>
      <w:tblStyleColBandSize w:val="1"/>
      <w:tblBorders>
        <w:top w:val="single" w:sz="8" w:space="0" w:color="84ACB6" w:themeColor="accent5"/>
        <w:left w:val="single" w:sz="8" w:space="0" w:color="84ACB6" w:themeColor="accent5"/>
        <w:bottom w:val="single" w:sz="8" w:space="0" w:color="84ACB6" w:themeColor="accent5"/>
        <w:right w:val="single" w:sz="8" w:space="0" w:color="84ACB6" w:themeColor="accent5"/>
        <w:insideH w:val="single" w:sz="8" w:space="0" w:color="84ACB6" w:themeColor="accent5"/>
        <w:insideV w:val="single" w:sz="8" w:space="0" w:color="84ACB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4ACB6" w:themeColor="accent5"/>
          <w:left w:val="single" w:sz="8" w:space="0" w:color="84ACB6" w:themeColor="accent5"/>
          <w:bottom w:val="single" w:sz="18" w:space="0" w:color="84ACB6" w:themeColor="accent5"/>
          <w:right w:val="single" w:sz="8" w:space="0" w:color="84ACB6" w:themeColor="accent5"/>
          <w:insideH w:val="nil"/>
          <w:insideV w:val="single" w:sz="8" w:space="0" w:color="84ACB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4ACB6" w:themeColor="accent5"/>
          <w:left w:val="single" w:sz="8" w:space="0" w:color="84ACB6" w:themeColor="accent5"/>
          <w:bottom w:val="single" w:sz="8" w:space="0" w:color="84ACB6" w:themeColor="accent5"/>
          <w:right w:val="single" w:sz="8" w:space="0" w:color="84ACB6" w:themeColor="accent5"/>
          <w:insideH w:val="nil"/>
          <w:insideV w:val="single" w:sz="8" w:space="0" w:color="84ACB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tcPr>
    </w:tblStylePr>
    <w:tblStylePr w:type="band1Vert">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shd w:val="clear" w:color="auto" w:fill="E0EAED" w:themeFill="accent5" w:themeFillTint="3F"/>
      </w:tcPr>
    </w:tblStylePr>
    <w:tblStylePr w:type="band1Horz">
      <w:tblPr/>
      <w:tcPr>
        <w:tcBorders>
          <w:top w:val="single" w:sz="8" w:space="0" w:color="84ACB6" w:themeColor="accent5"/>
          <w:left w:val="single" w:sz="8" w:space="0" w:color="84ACB6" w:themeColor="accent5"/>
          <w:bottom w:val="single" w:sz="8" w:space="0" w:color="84ACB6" w:themeColor="accent5"/>
          <w:right w:val="single" w:sz="8" w:space="0" w:color="84ACB6" w:themeColor="accent5"/>
          <w:insideV w:val="single" w:sz="8" w:space="0" w:color="84ACB6" w:themeColor="accent5"/>
        </w:tcBorders>
        <w:shd w:val="clear" w:color="auto" w:fill="E0EAED" w:themeFill="accent5" w:themeFillTint="3F"/>
      </w:tcPr>
    </w:tblStylePr>
    <w:tblStylePr w:type="band2Horz">
      <w:tblPr/>
      <w:tcPr>
        <w:tcBorders>
          <w:top w:val="single" w:sz="8" w:space="0" w:color="84ACB6" w:themeColor="accent5"/>
          <w:left w:val="single" w:sz="8" w:space="0" w:color="84ACB6" w:themeColor="accent5"/>
          <w:bottom w:val="single" w:sz="8" w:space="0" w:color="84ACB6" w:themeColor="accent5"/>
          <w:right w:val="single" w:sz="8" w:space="0" w:color="84ACB6" w:themeColor="accent5"/>
          <w:insideV w:val="single" w:sz="8" w:space="0" w:color="84ACB6" w:themeColor="accent5"/>
        </w:tcBorders>
      </w:tcPr>
    </w:tblStylePr>
  </w:style>
  <w:style w:type="table" w:styleId="-63">
    <w:name w:val="Light Grid Accent 6"/>
    <w:basedOn w:val="a4"/>
    <w:uiPriority w:val="62"/>
    <w:semiHidden/>
    <w:unhideWhenUsed/>
    <w:rsid w:val="004230D9"/>
    <w:pPr>
      <w:spacing w:after="0" w:line="240" w:lineRule="auto"/>
    </w:pPr>
    <w:tblPr>
      <w:tblStyleRowBandSize w:val="1"/>
      <w:tblStyleColBandSize w:val="1"/>
      <w:tblBorders>
        <w:top w:val="single" w:sz="8" w:space="0" w:color="2683C6" w:themeColor="accent6"/>
        <w:left w:val="single" w:sz="8" w:space="0" w:color="2683C6" w:themeColor="accent6"/>
        <w:bottom w:val="single" w:sz="8" w:space="0" w:color="2683C6" w:themeColor="accent6"/>
        <w:right w:val="single" w:sz="8" w:space="0" w:color="2683C6" w:themeColor="accent6"/>
        <w:insideH w:val="single" w:sz="8" w:space="0" w:color="2683C6" w:themeColor="accent6"/>
        <w:insideV w:val="single" w:sz="8" w:space="0" w:color="2683C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683C6" w:themeColor="accent6"/>
          <w:left w:val="single" w:sz="8" w:space="0" w:color="2683C6" w:themeColor="accent6"/>
          <w:bottom w:val="single" w:sz="18" w:space="0" w:color="2683C6" w:themeColor="accent6"/>
          <w:right w:val="single" w:sz="8" w:space="0" w:color="2683C6" w:themeColor="accent6"/>
          <w:insideH w:val="nil"/>
          <w:insideV w:val="single" w:sz="8" w:space="0" w:color="2683C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683C6" w:themeColor="accent6"/>
          <w:left w:val="single" w:sz="8" w:space="0" w:color="2683C6" w:themeColor="accent6"/>
          <w:bottom w:val="single" w:sz="8" w:space="0" w:color="2683C6" w:themeColor="accent6"/>
          <w:right w:val="single" w:sz="8" w:space="0" w:color="2683C6" w:themeColor="accent6"/>
          <w:insideH w:val="nil"/>
          <w:insideV w:val="single" w:sz="8" w:space="0" w:color="2683C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tcPr>
    </w:tblStylePr>
    <w:tblStylePr w:type="band1Vert">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shd w:val="clear" w:color="auto" w:fill="C5E0F4" w:themeFill="accent6" w:themeFillTint="3F"/>
      </w:tcPr>
    </w:tblStylePr>
    <w:tblStylePr w:type="band1Horz">
      <w:tblPr/>
      <w:tcPr>
        <w:tcBorders>
          <w:top w:val="single" w:sz="8" w:space="0" w:color="2683C6" w:themeColor="accent6"/>
          <w:left w:val="single" w:sz="8" w:space="0" w:color="2683C6" w:themeColor="accent6"/>
          <w:bottom w:val="single" w:sz="8" w:space="0" w:color="2683C6" w:themeColor="accent6"/>
          <w:right w:val="single" w:sz="8" w:space="0" w:color="2683C6" w:themeColor="accent6"/>
          <w:insideV w:val="single" w:sz="8" w:space="0" w:color="2683C6" w:themeColor="accent6"/>
        </w:tcBorders>
        <w:shd w:val="clear" w:color="auto" w:fill="C5E0F4" w:themeFill="accent6" w:themeFillTint="3F"/>
      </w:tcPr>
    </w:tblStylePr>
    <w:tblStylePr w:type="band2Horz">
      <w:tblPr/>
      <w:tcPr>
        <w:tcBorders>
          <w:top w:val="single" w:sz="8" w:space="0" w:color="2683C6" w:themeColor="accent6"/>
          <w:left w:val="single" w:sz="8" w:space="0" w:color="2683C6" w:themeColor="accent6"/>
          <w:bottom w:val="single" w:sz="8" w:space="0" w:color="2683C6" w:themeColor="accent6"/>
          <w:right w:val="single" w:sz="8" w:space="0" w:color="2683C6" w:themeColor="accent6"/>
          <w:insideV w:val="single" w:sz="8" w:space="0" w:color="2683C6" w:themeColor="accent6"/>
        </w:tcBorders>
      </w:tcPr>
    </w:tblStylePr>
  </w:style>
  <w:style w:type="table" w:styleId="afffff">
    <w:name w:val="Light List"/>
    <w:basedOn w:val="a4"/>
    <w:uiPriority w:val="61"/>
    <w:semiHidden/>
    <w:unhideWhenUsed/>
    <w:rsid w:val="004230D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4">
    <w:name w:val="Light List Accent 1"/>
    <w:basedOn w:val="a4"/>
    <w:uiPriority w:val="61"/>
    <w:semiHidden/>
    <w:unhideWhenUsed/>
    <w:rsid w:val="004230D9"/>
    <w:pPr>
      <w:spacing w:after="0" w:line="240" w:lineRule="auto"/>
    </w:pPr>
    <w:tblPr>
      <w:tblStyleRowBandSize w:val="1"/>
      <w:tblStyleColBandSize w:val="1"/>
      <w:tblBorders>
        <w:top w:val="single" w:sz="8" w:space="0" w:color="3494BA" w:themeColor="accent1"/>
        <w:left w:val="single" w:sz="8" w:space="0" w:color="3494BA" w:themeColor="accent1"/>
        <w:bottom w:val="single" w:sz="8" w:space="0" w:color="3494BA" w:themeColor="accent1"/>
        <w:right w:val="single" w:sz="8" w:space="0" w:color="3494BA" w:themeColor="accent1"/>
      </w:tblBorders>
    </w:tblPr>
    <w:tblStylePr w:type="firstRow">
      <w:pPr>
        <w:spacing w:before="0" w:after="0" w:line="240" w:lineRule="auto"/>
      </w:pPr>
      <w:rPr>
        <w:b/>
        <w:bCs/>
        <w:color w:val="FFFFFF" w:themeColor="background1"/>
      </w:rPr>
      <w:tblPr/>
      <w:tcPr>
        <w:shd w:val="clear" w:color="auto" w:fill="3494BA" w:themeFill="accent1"/>
      </w:tcPr>
    </w:tblStylePr>
    <w:tblStylePr w:type="lastRow">
      <w:pPr>
        <w:spacing w:before="0" w:after="0" w:line="240" w:lineRule="auto"/>
      </w:pPr>
      <w:rPr>
        <w:b/>
        <w:bCs/>
      </w:rPr>
      <w:tblPr/>
      <w:tcPr>
        <w:tcBorders>
          <w:top w:val="double" w:sz="6" w:space="0" w:color="3494BA" w:themeColor="accent1"/>
          <w:left w:val="single" w:sz="8" w:space="0" w:color="3494BA" w:themeColor="accent1"/>
          <w:bottom w:val="single" w:sz="8" w:space="0" w:color="3494BA" w:themeColor="accent1"/>
          <w:right w:val="single" w:sz="8" w:space="0" w:color="3494BA" w:themeColor="accent1"/>
        </w:tcBorders>
      </w:tcPr>
    </w:tblStylePr>
    <w:tblStylePr w:type="firstCol">
      <w:rPr>
        <w:b/>
        <w:bCs/>
      </w:rPr>
    </w:tblStylePr>
    <w:tblStylePr w:type="lastCol">
      <w:rPr>
        <w:b/>
        <w:bCs/>
      </w:rPr>
    </w:tblStylePr>
    <w:tblStylePr w:type="band1Vert">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tcPr>
    </w:tblStylePr>
    <w:tblStylePr w:type="band1Horz">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tcPr>
    </w:tblStylePr>
  </w:style>
  <w:style w:type="table" w:styleId="-24">
    <w:name w:val="Light List Accent 2"/>
    <w:basedOn w:val="a4"/>
    <w:uiPriority w:val="61"/>
    <w:semiHidden/>
    <w:unhideWhenUsed/>
    <w:rsid w:val="004230D9"/>
    <w:pPr>
      <w:spacing w:after="0" w:line="240" w:lineRule="auto"/>
    </w:pPr>
    <w:tblPr>
      <w:tblStyleRowBandSize w:val="1"/>
      <w:tblStyleColBandSize w:val="1"/>
      <w:tblBorders>
        <w:top w:val="single" w:sz="8" w:space="0" w:color="58B6C0" w:themeColor="accent2"/>
        <w:left w:val="single" w:sz="8" w:space="0" w:color="58B6C0" w:themeColor="accent2"/>
        <w:bottom w:val="single" w:sz="8" w:space="0" w:color="58B6C0" w:themeColor="accent2"/>
        <w:right w:val="single" w:sz="8" w:space="0" w:color="58B6C0" w:themeColor="accent2"/>
      </w:tblBorders>
    </w:tblPr>
    <w:tblStylePr w:type="firstRow">
      <w:pPr>
        <w:spacing w:before="0" w:after="0" w:line="240" w:lineRule="auto"/>
      </w:pPr>
      <w:rPr>
        <w:b/>
        <w:bCs/>
        <w:color w:val="FFFFFF" w:themeColor="background1"/>
      </w:rPr>
      <w:tblPr/>
      <w:tcPr>
        <w:shd w:val="clear" w:color="auto" w:fill="58B6C0" w:themeFill="accent2"/>
      </w:tcPr>
    </w:tblStylePr>
    <w:tblStylePr w:type="lastRow">
      <w:pPr>
        <w:spacing w:before="0" w:after="0" w:line="240" w:lineRule="auto"/>
      </w:pPr>
      <w:rPr>
        <w:b/>
        <w:bCs/>
      </w:rPr>
      <w:tblPr/>
      <w:tcPr>
        <w:tcBorders>
          <w:top w:val="double" w:sz="6" w:space="0" w:color="58B6C0" w:themeColor="accent2"/>
          <w:left w:val="single" w:sz="8" w:space="0" w:color="58B6C0" w:themeColor="accent2"/>
          <w:bottom w:val="single" w:sz="8" w:space="0" w:color="58B6C0" w:themeColor="accent2"/>
          <w:right w:val="single" w:sz="8" w:space="0" w:color="58B6C0" w:themeColor="accent2"/>
        </w:tcBorders>
      </w:tcPr>
    </w:tblStylePr>
    <w:tblStylePr w:type="firstCol">
      <w:rPr>
        <w:b/>
        <w:bCs/>
      </w:rPr>
    </w:tblStylePr>
    <w:tblStylePr w:type="lastCol">
      <w:rPr>
        <w:b/>
        <w:bCs/>
      </w:rPr>
    </w:tblStylePr>
    <w:tblStylePr w:type="band1Vert">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tcPr>
    </w:tblStylePr>
    <w:tblStylePr w:type="band1Horz">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tcPr>
    </w:tblStylePr>
  </w:style>
  <w:style w:type="table" w:styleId="-34">
    <w:name w:val="Light List Accent 3"/>
    <w:basedOn w:val="a4"/>
    <w:uiPriority w:val="61"/>
    <w:semiHidden/>
    <w:unhideWhenUsed/>
    <w:rsid w:val="004230D9"/>
    <w:pPr>
      <w:spacing w:after="0" w:line="240" w:lineRule="auto"/>
    </w:pPr>
    <w:tblPr>
      <w:tblStyleRowBandSize w:val="1"/>
      <w:tblStyleColBandSize w:val="1"/>
      <w:tblBorders>
        <w:top w:val="single" w:sz="8" w:space="0" w:color="75BDA7" w:themeColor="accent3"/>
        <w:left w:val="single" w:sz="8" w:space="0" w:color="75BDA7" w:themeColor="accent3"/>
        <w:bottom w:val="single" w:sz="8" w:space="0" w:color="75BDA7" w:themeColor="accent3"/>
        <w:right w:val="single" w:sz="8" w:space="0" w:color="75BDA7" w:themeColor="accent3"/>
      </w:tblBorders>
    </w:tblPr>
    <w:tblStylePr w:type="firstRow">
      <w:pPr>
        <w:spacing w:before="0" w:after="0" w:line="240" w:lineRule="auto"/>
      </w:pPr>
      <w:rPr>
        <w:b/>
        <w:bCs/>
        <w:color w:val="FFFFFF" w:themeColor="background1"/>
      </w:rPr>
      <w:tblPr/>
      <w:tcPr>
        <w:shd w:val="clear" w:color="auto" w:fill="75BDA7" w:themeFill="accent3"/>
      </w:tcPr>
    </w:tblStylePr>
    <w:tblStylePr w:type="lastRow">
      <w:pPr>
        <w:spacing w:before="0" w:after="0" w:line="240" w:lineRule="auto"/>
      </w:pPr>
      <w:rPr>
        <w:b/>
        <w:bCs/>
      </w:rPr>
      <w:tblPr/>
      <w:tcPr>
        <w:tcBorders>
          <w:top w:val="double" w:sz="6" w:space="0" w:color="75BDA7" w:themeColor="accent3"/>
          <w:left w:val="single" w:sz="8" w:space="0" w:color="75BDA7" w:themeColor="accent3"/>
          <w:bottom w:val="single" w:sz="8" w:space="0" w:color="75BDA7" w:themeColor="accent3"/>
          <w:right w:val="single" w:sz="8" w:space="0" w:color="75BDA7" w:themeColor="accent3"/>
        </w:tcBorders>
      </w:tcPr>
    </w:tblStylePr>
    <w:tblStylePr w:type="firstCol">
      <w:rPr>
        <w:b/>
        <w:bCs/>
      </w:rPr>
    </w:tblStylePr>
    <w:tblStylePr w:type="lastCol">
      <w:rPr>
        <w:b/>
        <w:bCs/>
      </w:rPr>
    </w:tblStylePr>
    <w:tblStylePr w:type="band1Vert">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tcPr>
    </w:tblStylePr>
    <w:tblStylePr w:type="band1Horz">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tcPr>
    </w:tblStylePr>
  </w:style>
  <w:style w:type="table" w:styleId="-44">
    <w:name w:val="Light List Accent 4"/>
    <w:basedOn w:val="a4"/>
    <w:uiPriority w:val="61"/>
    <w:semiHidden/>
    <w:unhideWhenUsed/>
    <w:rsid w:val="004230D9"/>
    <w:pPr>
      <w:spacing w:after="0" w:line="240" w:lineRule="auto"/>
    </w:pPr>
    <w:tblPr>
      <w:tblStyleRowBandSize w:val="1"/>
      <w:tblStyleColBandSize w:val="1"/>
      <w:tblBorders>
        <w:top w:val="single" w:sz="8" w:space="0" w:color="7A8C8E" w:themeColor="accent4"/>
        <w:left w:val="single" w:sz="8" w:space="0" w:color="7A8C8E" w:themeColor="accent4"/>
        <w:bottom w:val="single" w:sz="8" w:space="0" w:color="7A8C8E" w:themeColor="accent4"/>
        <w:right w:val="single" w:sz="8" w:space="0" w:color="7A8C8E" w:themeColor="accent4"/>
      </w:tblBorders>
    </w:tblPr>
    <w:tblStylePr w:type="firstRow">
      <w:pPr>
        <w:spacing w:before="0" w:after="0" w:line="240" w:lineRule="auto"/>
      </w:pPr>
      <w:rPr>
        <w:b/>
        <w:bCs/>
        <w:color w:val="FFFFFF" w:themeColor="background1"/>
      </w:rPr>
      <w:tblPr/>
      <w:tcPr>
        <w:shd w:val="clear" w:color="auto" w:fill="7A8C8E" w:themeFill="accent4"/>
      </w:tcPr>
    </w:tblStylePr>
    <w:tblStylePr w:type="lastRow">
      <w:pPr>
        <w:spacing w:before="0" w:after="0" w:line="240" w:lineRule="auto"/>
      </w:pPr>
      <w:rPr>
        <w:b/>
        <w:bCs/>
      </w:rPr>
      <w:tblPr/>
      <w:tcPr>
        <w:tcBorders>
          <w:top w:val="double" w:sz="6" w:space="0" w:color="7A8C8E" w:themeColor="accent4"/>
          <w:left w:val="single" w:sz="8" w:space="0" w:color="7A8C8E" w:themeColor="accent4"/>
          <w:bottom w:val="single" w:sz="8" w:space="0" w:color="7A8C8E" w:themeColor="accent4"/>
          <w:right w:val="single" w:sz="8" w:space="0" w:color="7A8C8E" w:themeColor="accent4"/>
        </w:tcBorders>
      </w:tcPr>
    </w:tblStylePr>
    <w:tblStylePr w:type="firstCol">
      <w:rPr>
        <w:b/>
        <w:bCs/>
      </w:rPr>
    </w:tblStylePr>
    <w:tblStylePr w:type="lastCol">
      <w:rPr>
        <w:b/>
        <w:bCs/>
      </w:rPr>
    </w:tblStylePr>
    <w:tblStylePr w:type="band1Vert">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tcPr>
    </w:tblStylePr>
    <w:tblStylePr w:type="band1Horz">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tcPr>
    </w:tblStylePr>
  </w:style>
  <w:style w:type="table" w:styleId="-54">
    <w:name w:val="Light List Accent 5"/>
    <w:basedOn w:val="a4"/>
    <w:uiPriority w:val="61"/>
    <w:semiHidden/>
    <w:unhideWhenUsed/>
    <w:rsid w:val="004230D9"/>
    <w:pPr>
      <w:spacing w:after="0" w:line="240" w:lineRule="auto"/>
    </w:pPr>
    <w:tblPr>
      <w:tblStyleRowBandSize w:val="1"/>
      <w:tblStyleColBandSize w:val="1"/>
      <w:tblBorders>
        <w:top w:val="single" w:sz="8" w:space="0" w:color="84ACB6" w:themeColor="accent5"/>
        <w:left w:val="single" w:sz="8" w:space="0" w:color="84ACB6" w:themeColor="accent5"/>
        <w:bottom w:val="single" w:sz="8" w:space="0" w:color="84ACB6" w:themeColor="accent5"/>
        <w:right w:val="single" w:sz="8" w:space="0" w:color="84ACB6" w:themeColor="accent5"/>
      </w:tblBorders>
    </w:tblPr>
    <w:tblStylePr w:type="firstRow">
      <w:pPr>
        <w:spacing w:before="0" w:after="0" w:line="240" w:lineRule="auto"/>
      </w:pPr>
      <w:rPr>
        <w:b/>
        <w:bCs/>
        <w:color w:val="FFFFFF" w:themeColor="background1"/>
      </w:rPr>
      <w:tblPr/>
      <w:tcPr>
        <w:shd w:val="clear" w:color="auto" w:fill="84ACB6" w:themeFill="accent5"/>
      </w:tcPr>
    </w:tblStylePr>
    <w:tblStylePr w:type="lastRow">
      <w:pPr>
        <w:spacing w:before="0" w:after="0" w:line="240" w:lineRule="auto"/>
      </w:pPr>
      <w:rPr>
        <w:b/>
        <w:bCs/>
      </w:rPr>
      <w:tblPr/>
      <w:tcPr>
        <w:tcBorders>
          <w:top w:val="double" w:sz="6" w:space="0" w:color="84ACB6" w:themeColor="accent5"/>
          <w:left w:val="single" w:sz="8" w:space="0" w:color="84ACB6" w:themeColor="accent5"/>
          <w:bottom w:val="single" w:sz="8" w:space="0" w:color="84ACB6" w:themeColor="accent5"/>
          <w:right w:val="single" w:sz="8" w:space="0" w:color="84ACB6" w:themeColor="accent5"/>
        </w:tcBorders>
      </w:tcPr>
    </w:tblStylePr>
    <w:tblStylePr w:type="firstCol">
      <w:rPr>
        <w:b/>
        <w:bCs/>
      </w:rPr>
    </w:tblStylePr>
    <w:tblStylePr w:type="lastCol">
      <w:rPr>
        <w:b/>
        <w:bCs/>
      </w:rPr>
    </w:tblStylePr>
    <w:tblStylePr w:type="band1Vert">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tcPr>
    </w:tblStylePr>
    <w:tblStylePr w:type="band1Horz">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tcPr>
    </w:tblStylePr>
  </w:style>
  <w:style w:type="table" w:styleId="-64">
    <w:name w:val="Light List Accent 6"/>
    <w:basedOn w:val="a4"/>
    <w:uiPriority w:val="61"/>
    <w:semiHidden/>
    <w:unhideWhenUsed/>
    <w:rsid w:val="004230D9"/>
    <w:pPr>
      <w:spacing w:after="0" w:line="240" w:lineRule="auto"/>
    </w:pPr>
    <w:tblPr>
      <w:tblStyleRowBandSize w:val="1"/>
      <w:tblStyleColBandSize w:val="1"/>
      <w:tblBorders>
        <w:top w:val="single" w:sz="8" w:space="0" w:color="2683C6" w:themeColor="accent6"/>
        <w:left w:val="single" w:sz="8" w:space="0" w:color="2683C6" w:themeColor="accent6"/>
        <w:bottom w:val="single" w:sz="8" w:space="0" w:color="2683C6" w:themeColor="accent6"/>
        <w:right w:val="single" w:sz="8" w:space="0" w:color="2683C6" w:themeColor="accent6"/>
      </w:tblBorders>
    </w:tblPr>
    <w:tblStylePr w:type="firstRow">
      <w:pPr>
        <w:spacing w:before="0" w:after="0" w:line="240" w:lineRule="auto"/>
      </w:pPr>
      <w:rPr>
        <w:b/>
        <w:bCs/>
        <w:color w:val="FFFFFF" w:themeColor="background1"/>
      </w:rPr>
      <w:tblPr/>
      <w:tcPr>
        <w:shd w:val="clear" w:color="auto" w:fill="2683C6" w:themeFill="accent6"/>
      </w:tcPr>
    </w:tblStylePr>
    <w:tblStylePr w:type="lastRow">
      <w:pPr>
        <w:spacing w:before="0" w:after="0" w:line="240" w:lineRule="auto"/>
      </w:pPr>
      <w:rPr>
        <w:b/>
        <w:bCs/>
      </w:rPr>
      <w:tblPr/>
      <w:tcPr>
        <w:tcBorders>
          <w:top w:val="double" w:sz="6" w:space="0" w:color="2683C6" w:themeColor="accent6"/>
          <w:left w:val="single" w:sz="8" w:space="0" w:color="2683C6" w:themeColor="accent6"/>
          <w:bottom w:val="single" w:sz="8" w:space="0" w:color="2683C6" w:themeColor="accent6"/>
          <w:right w:val="single" w:sz="8" w:space="0" w:color="2683C6" w:themeColor="accent6"/>
        </w:tcBorders>
      </w:tcPr>
    </w:tblStylePr>
    <w:tblStylePr w:type="firstCol">
      <w:rPr>
        <w:b/>
        <w:bCs/>
      </w:rPr>
    </w:tblStylePr>
    <w:tblStylePr w:type="lastCol">
      <w:rPr>
        <w:b/>
        <w:bCs/>
      </w:rPr>
    </w:tblStylePr>
    <w:tblStylePr w:type="band1Vert">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tcPr>
    </w:tblStylePr>
    <w:tblStylePr w:type="band1Horz">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tcPr>
    </w:tblStylePr>
  </w:style>
  <w:style w:type="table" w:styleId="afffff0">
    <w:name w:val="Light Shading"/>
    <w:basedOn w:val="a4"/>
    <w:uiPriority w:val="60"/>
    <w:semiHidden/>
    <w:unhideWhenUsed/>
    <w:rsid w:val="004230D9"/>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5">
    <w:name w:val="Light Shading Accent 1"/>
    <w:basedOn w:val="a4"/>
    <w:uiPriority w:val="60"/>
    <w:semiHidden/>
    <w:unhideWhenUsed/>
    <w:rsid w:val="004230D9"/>
    <w:pPr>
      <w:spacing w:after="0" w:line="240" w:lineRule="auto"/>
    </w:pPr>
    <w:rPr>
      <w:color w:val="276E8B" w:themeColor="accent1" w:themeShade="BF"/>
    </w:rPr>
    <w:tblPr>
      <w:tblStyleRowBandSize w:val="1"/>
      <w:tblStyleColBandSize w:val="1"/>
      <w:tblBorders>
        <w:top w:val="single" w:sz="8" w:space="0" w:color="3494BA" w:themeColor="accent1"/>
        <w:bottom w:val="single" w:sz="8" w:space="0" w:color="3494BA" w:themeColor="accent1"/>
      </w:tblBorders>
    </w:tblPr>
    <w:tblStylePr w:type="firstRow">
      <w:pPr>
        <w:spacing w:before="0" w:after="0" w:line="240" w:lineRule="auto"/>
      </w:pPr>
      <w:rPr>
        <w:b/>
        <w:bCs/>
      </w:rPr>
      <w:tblPr/>
      <w:tcPr>
        <w:tcBorders>
          <w:top w:val="single" w:sz="8" w:space="0" w:color="3494BA" w:themeColor="accent1"/>
          <w:left w:val="nil"/>
          <w:bottom w:val="single" w:sz="8" w:space="0" w:color="3494BA" w:themeColor="accent1"/>
          <w:right w:val="nil"/>
          <w:insideH w:val="nil"/>
          <w:insideV w:val="nil"/>
        </w:tcBorders>
      </w:tcPr>
    </w:tblStylePr>
    <w:tblStylePr w:type="lastRow">
      <w:pPr>
        <w:spacing w:before="0" w:after="0" w:line="240" w:lineRule="auto"/>
      </w:pPr>
      <w:rPr>
        <w:b/>
        <w:bCs/>
      </w:rPr>
      <w:tblPr/>
      <w:tcPr>
        <w:tcBorders>
          <w:top w:val="single" w:sz="8" w:space="0" w:color="3494BA" w:themeColor="accent1"/>
          <w:left w:val="nil"/>
          <w:bottom w:val="single" w:sz="8" w:space="0" w:color="3494BA"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AE5F0" w:themeFill="accent1" w:themeFillTint="3F"/>
      </w:tcPr>
    </w:tblStylePr>
    <w:tblStylePr w:type="band1Horz">
      <w:tblPr/>
      <w:tcPr>
        <w:tcBorders>
          <w:left w:val="nil"/>
          <w:right w:val="nil"/>
          <w:insideH w:val="nil"/>
          <w:insideV w:val="nil"/>
        </w:tcBorders>
        <w:shd w:val="clear" w:color="auto" w:fill="CAE5F0" w:themeFill="accent1" w:themeFillTint="3F"/>
      </w:tcPr>
    </w:tblStylePr>
  </w:style>
  <w:style w:type="table" w:styleId="-25">
    <w:name w:val="Light Shading Accent 2"/>
    <w:basedOn w:val="a4"/>
    <w:uiPriority w:val="60"/>
    <w:semiHidden/>
    <w:unhideWhenUsed/>
    <w:rsid w:val="004230D9"/>
    <w:pPr>
      <w:spacing w:after="0" w:line="240" w:lineRule="auto"/>
    </w:pPr>
    <w:rPr>
      <w:color w:val="398E98" w:themeColor="accent2" w:themeShade="BF"/>
    </w:rPr>
    <w:tblPr>
      <w:tblStyleRowBandSize w:val="1"/>
      <w:tblStyleColBandSize w:val="1"/>
      <w:tblBorders>
        <w:top w:val="single" w:sz="8" w:space="0" w:color="58B6C0" w:themeColor="accent2"/>
        <w:bottom w:val="single" w:sz="8" w:space="0" w:color="58B6C0" w:themeColor="accent2"/>
      </w:tblBorders>
    </w:tblPr>
    <w:tblStylePr w:type="firstRow">
      <w:pPr>
        <w:spacing w:before="0" w:after="0" w:line="240" w:lineRule="auto"/>
      </w:pPr>
      <w:rPr>
        <w:b/>
        <w:bCs/>
      </w:rPr>
      <w:tblPr/>
      <w:tcPr>
        <w:tcBorders>
          <w:top w:val="single" w:sz="8" w:space="0" w:color="58B6C0" w:themeColor="accent2"/>
          <w:left w:val="nil"/>
          <w:bottom w:val="single" w:sz="8" w:space="0" w:color="58B6C0" w:themeColor="accent2"/>
          <w:right w:val="nil"/>
          <w:insideH w:val="nil"/>
          <w:insideV w:val="nil"/>
        </w:tcBorders>
      </w:tcPr>
    </w:tblStylePr>
    <w:tblStylePr w:type="lastRow">
      <w:pPr>
        <w:spacing w:before="0" w:after="0" w:line="240" w:lineRule="auto"/>
      </w:pPr>
      <w:rPr>
        <w:b/>
        <w:bCs/>
      </w:rPr>
      <w:tblPr/>
      <w:tcPr>
        <w:tcBorders>
          <w:top w:val="single" w:sz="8" w:space="0" w:color="58B6C0" w:themeColor="accent2"/>
          <w:left w:val="nil"/>
          <w:bottom w:val="single" w:sz="8" w:space="0" w:color="58B6C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ECEF" w:themeFill="accent2" w:themeFillTint="3F"/>
      </w:tcPr>
    </w:tblStylePr>
    <w:tblStylePr w:type="band1Horz">
      <w:tblPr/>
      <w:tcPr>
        <w:tcBorders>
          <w:left w:val="nil"/>
          <w:right w:val="nil"/>
          <w:insideH w:val="nil"/>
          <w:insideV w:val="nil"/>
        </w:tcBorders>
        <w:shd w:val="clear" w:color="auto" w:fill="D5ECEF" w:themeFill="accent2" w:themeFillTint="3F"/>
      </w:tcPr>
    </w:tblStylePr>
  </w:style>
  <w:style w:type="table" w:styleId="-35">
    <w:name w:val="Light Shading Accent 3"/>
    <w:basedOn w:val="a4"/>
    <w:uiPriority w:val="60"/>
    <w:semiHidden/>
    <w:unhideWhenUsed/>
    <w:rsid w:val="004230D9"/>
    <w:pPr>
      <w:spacing w:after="0" w:line="240" w:lineRule="auto"/>
    </w:pPr>
    <w:rPr>
      <w:color w:val="4A9A82" w:themeColor="accent3" w:themeShade="BF"/>
    </w:rPr>
    <w:tblPr>
      <w:tblStyleRowBandSize w:val="1"/>
      <w:tblStyleColBandSize w:val="1"/>
      <w:tblBorders>
        <w:top w:val="single" w:sz="8" w:space="0" w:color="75BDA7" w:themeColor="accent3"/>
        <w:bottom w:val="single" w:sz="8" w:space="0" w:color="75BDA7" w:themeColor="accent3"/>
      </w:tblBorders>
    </w:tblPr>
    <w:tblStylePr w:type="firstRow">
      <w:pPr>
        <w:spacing w:before="0" w:after="0" w:line="240" w:lineRule="auto"/>
      </w:pPr>
      <w:rPr>
        <w:b/>
        <w:bCs/>
      </w:rPr>
      <w:tblPr/>
      <w:tcPr>
        <w:tcBorders>
          <w:top w:val="single" w:sz="8" w:space="0" w:color="75BDA7" w:themeColor="accent3"/>
          <w:left w:val="nil"/>
          <w:bottom w:val="single" w:sz="8" w:space="0" w:color="75BDA7" w:themeColor="accent3"/>
          <w:right w:val="nil"/>
          <w:insideH w:val="nil"/>
          <w:insideV w:val="nil"/>
        </w:tcBorders>
      </w:tcPr>
    </w:tblStylePr>
    <w:tblStylePr w:type="lastRow">
      <w:pPr>
        <w:spacing w:before="0" w:after="0" w:line="240" w:lineRule="auto"/>
      </w:pPr>
      <w:rPr>
        <w:b/>
        <w:bCs/>
      </w:rPr>
      <w:tblPr/>
      <w:tcPr>
        <w:tcBorders>
          <w:top w:val="single" w:sz="8" w:space="0" w:color="75BDA7" w:themeColor="accent3"/>
          <w:left w:val="nil"/>
          <w:bottom w:val="single" w:sz="8" w:space="0" w:color="75BDA7"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EEE9" w:themeFill="accent3" w:themeFillTint="3F"/>
      </w:tcPr>
    </w:tblStylePr>
    <w:tblStylePr w:type="band1Horz">
      <w:tblPr/>
      <w:tcPr>
        <w:tcBorders>
          <w:left w:val="nil"/>
          <w:right w:val="nil"/>
          <w:insideH w:val="nil"/>
          <w:insideV w:val="nil"/>
        </w:tcBorders>
        <w:shd w:val="clear" w:color="auto" w:fill="DCEEE9" w:themeFill="accent3" w:themeFillTint="3F"/>
      </w:tcPr>
    </w:tblStylePr>
  </w:style>
  <w:style w:type="table" w:styleId="-45">
    <w:name w:val="Light Shading Accent 4"/>
    <w:basedOn w:val="a4"/>
    <w:uiPriority w:val="60"/>
    <w:semiHidden/>
    <w:unhideWhenUsed/>
    <w:rsid w:val="004230D9"/>
    <w:pPr>
      <w:spacing w:after="0" w:line="240" w:lineRule="auto"/>
    </w:pPr>
    <w:rPr>
      <w:color w:val="5A696A" w:themeColor="accent4" w:themeShade="BF"/>
    </w:rPr>
    <w:tblPr>
      <w:tblStyleRowBandSize w:val="1"/>
      <w:tblStyleColBandSize w:val="1"/>
      <w:tblBorders>
        <w:top w:val="single" w:sz="8" w:space="0" w:color="7A8C8E" w:themeColor="accent4"/>
        <w:bottom w:val="single" w:sz="8" w:space="0" w:color="7A8C8E" w:themeColor="accent4"/>
      </w:tblBorders>
    </w:tblPr>
    <w:tblStylePr w:type="firstRow">
      <w:pPr>
        <w:spacing w:before="0" w:after="0" w:line="240" w:lineRule="auto"/>
      </w:pPr>
      <w:rPr>
        <w:b/>
        <w:bCs/>
      </w:rPr>
      <w:tblPr/>
      <w:tcPr>
        <w:tcBorders>
          <w:top w:val="single" w:sz="8" w:space="0" w:color="7A8C8E" w:themeColor="accent4"/>
          <w:left w:val="nil"/>
          <w:bottom w:val="single" w:sz="8" w:space="0" w:color="7A8C8E" w:themeColor="accent4"/>
          <w:right w:val="nil"/>
          <w:insideH w:val="nil"/>
          <w:insideV w:val="nil"/>
        </w:tcBorders>
      </w:tcPr>
    </w:tblStylePr>
    <w:tblStylePr w:type="lastRow">
      <w:pPr>
        <w:spacing w:before="0" w:after="0" w:line="240" w:lineRule="auto"/>
      </w:pPr>
      <w:rPr>
        <w:b/>
        <w:bCs/>
      </w:rPr>
      <w:tblPr/>
      <w:tcPr>
        <w:tcBorders>
          <w:top w:val="single" w:sz="8" w:space="0" w:color="7A8C8E" w:themeColor="accent4"/>
          <w:left w:val="nil"/>
          <w:bottom w:val="single" w:sz="8" w:space="0" w:color="7A8C8E"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EE2E3" w:themeFill="accent4" w:themeFillTint="3F"/>
      </w:tcPr>
    </w:tblStylePr>
    <w:tblStylePr w:type="band1Horz">
      <w:tblPr/>
      <w:tcPr>
        <w:tcBorders>
          <w:left w:val="nil"/>
          <w:right w:val="nil"/>
          <w:insideH w:val="nil"/>
          <w:insideV w:val="nil"/>
        </w:tcBorders>
        <w:shd w:val="clear" w:color="auto" w:fill="DEE2E3" w:themeFill="accent4" w:themeFillTint="3F"/>
      </w:tcPr>
    </w:tblStylePr>
  </w:style>
  <w:style w:type="table" w:styleId="-55">
    <w:name w:val="Light Shading Accent 5"/>
    <w:basedOn w:val="a4"/>
    <w:uiPriority w:val="60"/>
    <w:semiHidden/>
    <w:unhideWhenUsed/>
    <w:rsid w:val="004230D9"/>
    <w:pPr>
      <w:spacing w:after="0" w:line="240" w:lineRule="auto"/>
    </w:pPr>
    <w:rPr>
      <w:color w:val="578793" w:themeColor="accent5" w:themeShade="BF"/>
    </w:rPr>
    <w:tblPr>
      <w:tblStyleRowBandSize w:val="1"/>
      <w:tblStyleColBandSize w:val="1"/>
      <w:tblBorders>
        <w:top w:val="single" w:sz="8" w:space="0" w:color="84ACB6" w:themeColor="accent5"/>
        <w:bottom w:val="single" w:sz="8" w:space="0" w:color="84ACB6" w:themeColor="accent5"/>
      </w:tblBorders>
    </w:tblPr>
    <w:tblStylePr w:type="firstRow">
      <w:pPr>
        <w:spacing w:before="0" w:after="0" w:line="240" w:lineRule="auto"/>
      </w:pPr>
      <w:rPr>
        <w:b/>
        <w:bCs/>
      </w:rPr>
      <w:tblPr/>
      <w:tcPr>
        <w:tcBorders>
          <w:top w:val="single" w:sz="8" w:space="0" w:color="84ACB6" w:themeColor="accent5"/>
          <w:left w:val="nil"/>
          <w:bottom w:val="single" w:sz="8" w:space="0" w:color="84ACB6" w:themeColor="accent5"/>
          <w:right w:val="nil"/>
          <w:insideH w:val="nil"/>
          <w:insideV w:val="nil"/>
        </w:tcBorders>
      </w:tcPr>
    </w:tblStylePr>
    <w:tblStylePr w:type="lastRow">
      <w:pPr>
        <w:spacing w:before="0" w:after="0" w:line="240" w:lineRule="auto"/>
      </w:pPr>
      <w:rPr>
        <w:b/>
        <w:bCs/>
      </w:rPr>
      <w:tblPr/>
      <w:tcPr>
        <w:tcBorders>
          <w:top w:val="single" w:sz="8" w:space="0" w:color="84ACB6" w:themeColor="accent5"/>
          <w:left w:val="nil"/>
          <w:bottom w:val="single" w:sz="8" w:space="0" w:color="84ACB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0EAED" w:themeFill="accent5" w:themeFillTint="3F"/>
      </w:tcPr>
    </w:tblStylePr>
    <w:tblStylePr w:type="band1Horz">
      <w:tblPr/>
      <w:tcPr>
        <w:tcBorders>
          <w:left w:val="nil"/>
          <w:right w:val="nil"/>
          <w:insideH w:val="nil"/>
          <w:insideV w:val="nil"/>
        </w:tcBorders>
        <w:shd w:val="clear" w:color="auto" w:fill="E0EAED" w:themeFill="accent5" w:themeFillTint="3F"/>
      </w:tcPr>
    </w:tblStylePr>
  </w:style>
  <w:style w:type="table" w:styleId="-65">
    <w:name w:val="Light Shading Accent 6"/>
    <w:basedOn w:val="a4"/>
    <w:uiPriority w:val="60"/>
    <w:semiHidden/>
    <w:unhideWhenUsed/>
    <w:rsid w:val="004230D9"/>
    <w:pPr>
      <w:spacing w:after="0" w:line="240" w:lineRule="auto"/>
    </w:pPr>
    <w:rPr>
      <w:color w:val="1C6194" w:themeColor="accent6" w:themeShade="BF"/>
    </w:rPr>
    <w:tblPr>
      <w:tblStyleRowBandSize w:val="1"/>
      <w:tblStyleColBandSize w:val="1"/>
      <w:tblBorders>
        <w:top w:val="single" w:sz="8" w:space="0" w:color="2683C6" w:themeColor="accent6"/>
        <w:bottom w:val="single" w:sz="8" w:space="0" w:color="2683C6" w:themeColor="accent6"/>
      </w:tblBorders>
    </w:tblPr>
    <w:tblStylePr w:type="firstRow">
      <w:pPr>
        <w:spacing w:before="0" w:after="0" w:line="240" w:lineRule="auto"/>
      </w:pPr>
      <w:rPr>
        <w:b/>
        <w:bCs/>
      </w:rPr>
      <w:tblPr/>
      <w:tcPr>
        <w:tcBorders>
          <w:top w:val="single" w:sz="8" w:space="0" w:color="2683C6" w:themeColor="accent6"/>
          <w:left w:val="nil"/>
          <w:bottom w:val="single" w:sz="8" w:space="0" w:color="2683C6" w:themeColor="accent6"/>
          <w:right w:val="nil"/>
          <w:insideH w:val="nil"/>
          <w:insideV w:val="nil"/>
        </w:tcBorders>
      </w:tcPr>
    </w:tblStylePr>
    <w:tblStylePr w:type="lastRow">
      <w:pPr>
        <w:spacing w:before="0" w:after="0" w:line="240" w:lineRule="auto"/>
      </w:pPr>
      <w:rPr>
        <w:b/>
        <w:bCs/>
      </w:rPr>
      <w:tblPr/>
      <w:tcPr>
        <w:tcBorders>
          <w:top w:val="single" w:sz="8" w:space="0" w:color="2683C6" w:themeColor="accent6"/>
          <w:left w:val="nil"/>
          <w:bottom w:val="single" w:sz="8" w:space="0" w:color="2683C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5E0F4" w:themeFill="accent6" w:themeFillTint="3F"/>
      </w:tcPr>
    </w:tblStylePr>
    <w:tblStylePr w:type="band1Horz">
      <w:tblPr/>
      <w:tcPr>
        <w:tcBorders>
          <w:left w:val="nil"/>
          <w:right w:val="nil"/>
          <w:insideH w:val="nil"/>
          <w:insideV w:val="nil"/>
        </w:tcBorders>
        <w:shd w:val="clear" w:color="auto" w:fill="C5E0F4" w:themeFill="accent6" w:themeFillTint="3F"/>
      </w:tcPr>
    </w:tblStylePr>
  </w:style>
  <w:style w:type="paragraph" w:styleId="afffff1">
    <w:name w:val="List"/>
    <w:basedOn w:val="a2"/>
    <w:uiPriority w:val="99"/>
    <w:semiHidden/>
    <w:unhideWhenUsed/>
    <w:rsid w:val="004230D9"/>
    <w:pPr>
      <w:ind w:left="360" w:hanging="360"/>
      <w:contextualSpacing/>
    </w:pPr>
  </w:style>
  <w:style w:type="paragraph" w:styleId="2d">
    <w:name w:val="List 2"/>
    <w:basedOn w:val="a2"/>
    <w:uiPriority w:val="99"/>
    <w:semiHidden/>
    <w:unhideWhenUsed/>
    <w:rsid w:val="004230D9"/>
    <w:pPr>
      <w:ind w:left="720" w:hanging="360"/>
      <w:contextualSpacing/>
    </w:pPr>
  </w:style>
  <w:style w:type="paragraph" w:styleId="37">
    <w:name w:val="List 3"/>
    <w:basedOn w:val="a2"/>
    <w:uiPriority w:val="99"/>
    <w:semiHidden/>
    <w:unhideWhenUsed/>
    <w:rsid w:val="004230D9"/>
    <w:pPr>
      <w:ind w:left="1080" w:hanging="360"/>
      <w:contextualSpacing/>
    </w:pPr>
  </w:style>
  <w:style w:type="paragraph" w:styleId="44">
    <w:name w:val="List 4"/>
    <w:basedOn w:val="a2"/>
    <w:uiPriority w:val="99"/>
    <w:semiHidden/>
    <w:unhideWhenUsed/>
    <w:rsid w:val="004230D9"/>
    <w:pPr>
      <w:ind w:left="1440" w:hanging="360"/>
      <w:contextualSpacing/>
    </w:pPr>
  </w:style>
  <w:style w:type="paragraph" w:styleId="54">
    <w:name w:val="List 5"/>
    <w:basedOn w:val="a2"/>
    <w:uiPriority w:val="99"/>
    <w:semiHidden/>
    <w:unhideWhenUsed/>
    <w:rsid w:val="004230D9"/>
    <w:pPr>
      <w:ind w:left="1800" w:hanging="360"/>
      <w:contextualSpacing/>
    </w:pPr>
  </w:style>
  <w:style w:type="paragraph" w:styleId="2">
    <w:name w:val="List Bullet 2"/>
    <w:basedOn w:val="a2"/>
    <w:uiPriority w:val="99"/>
    <w:semiHidden/>
    <w:unhideWhenUsed/>
    <w:rsid w:val="004230D9"/>
    <w:pPr>
      <w:numPr>
        <w:numId w:val="2"/>
      </w:numPr>
      <w:contextualSpacing/>
    </w:pPr>
  </w:style>
  <w:style w:type="paragraph" w:styleId="30">
    <w:name w:val="List Bullet 3"/>
    <w:basedOn w:val="a2"/>
    <w:uiPriority w:val="99"/>
    <w:semiHidden/>
    <w:unhideWhenUsed/>
    <w:rsid w:val="004230D9"/>
    <w:pPr>
      <w:numPr>
        <w:numId w:val="3"/>
      </w:numPr>
      <w:contextualSpacing/>
    </w:pPr>
  </w:style>
  <w:style w:type="paragraph" w:styleId="40">
    <w:name w:val="List Bullet 4"/>
    <w:basedOn w:val="a2"/>
    <w:uiPriority w:val="99"/>
    <w:semiHidden/>
    <w:unhideWhenUsed/>
    <w:rsid w:val="004230D9"/>
    <w:pPr>
      <w:numPr>
        <w:numId w:val="4"/>
      </w:numPr>
      <w:contextualSpacing/>
    </w:pPr>
  </w:style>
  <w:style w:type="paragraph" w:styleId="50">
    <w:name w:val="List Bullet 5"/>
    <w:basedOn w:val="a2"/>
    <w:uiPriority w:val="99"/>
    <w:semiHidden/>
    <w:unhideWhenUsed/>
    <w:rsid w:val="004230D9"/>
    <w:pPr>
      <w:numPr>
        <w:numId w:val="5"/>
      </w:numPr>
      <w:contextualSpacing/>
    </w:pPr>
  </w:style>
  <w:style w:type="paragraph" w:styleId="afffff2">
    <w:name w:val="List Continue"/>
    <w:basedOn w:val="a2"/>
    <w:uiPriority w:val="99"/>
    <w:semiHidden/>
    <w:unhideWhenUsed/>
    <w:rsid w:val="004230D9"/>
    <w:pPr>
      <w:spacing w:after="120"/>
      <w:ind w:left="360"/>
      <w:contextualSpacing/>
    </w:pPr>
  </w:style>
  <w:style w:type="paragraph" w:styleId="2e">
    <w:name w:val="List Continue 2"/>
    <w:basedOn w:val="a2"/>
    <w:uiPriority w:val="99"/>
    <w:semiHidden/>
    <w:unhideWhenUsed/>
    <w:rsid w:val="004230D9"/>
    <w:pPr>
      <w:spacing w:after="120"/>
      <w:ind w:left="720"/>
      <w:contextualSpacing/>
    </w:pPr>
  </w:style>
  <w:style w:type="paragraph" w:styleId="38">
    <w:name w:val="List Continue 3"/>
    <w:basedOn w:val="a2"/>
    <w:uiPriority w:val="99"/>
    <w:semiHidden/>
    <w:unhideWhenUsed/>
    <w:rsid w:val="004230D9"/>
    <w:pPr>
      <w:spacing w:after="120"/>
      <w:ind w:left="1080"/>
      <w:contextualSpacing/>
    </w:pPr>
  </w:style>
  <w:style w:type="paragraph" w:styleId="45">
    <w:name w:val="List Continue 4"/>
    <w:basedOn w:val="a2"/>
    <w:uiPriority w:val="99"/>
    <w:semiHidden/>
    <w:unhideWhenUsed/>
    <w:rsid w:val="004230D9"/>
    <w:pPr>
      <w:spacing w:after="120"/>
      <w:ind w:left="1440"/>
      <w:contextualSpacing/>
    </w:pPr>
  </w:style>
  <w:style w:type="paragraph" w:styleId="55">
    <w:name w:val="List Continue 5"/>
    <w:basedOn w:val="a2"/>
    <w:uiPriority w:val="99"/>
    <w:semiHidden/>
    <w:unhideWhenUsed/>
    <w:rsid w:val="004230D9"/>
    <w:pPr>
      <w:spacing w:after="120"/>
      <w:ind w:left="1800"/>
      <w:contextualSpacing/>
    </w:pPr>
  </w:style>
  <w:style w:type="paragraph" w:styleId="3">
    <w:name w:val="List Number 3"/>
    <w:basedOn w:val="a2"/>
    <w:uiPriority w:val="99"/>
    <w:semiHidden/>
    <w:unhideWhenUsed/>
    <w:rsid w:val="004230D9"/>
    <w:pPr>
      <w:numPr>
        <w:numId w:val="6"/>
      </w:numPr>
      <w:contextualSpacing/>
    </w:pPr>
  </w:style>
  <w:style w:type="paragraph" w:styleId="4">
    <w:name w:val="List Number 4"/>
    <w:basedOn w:val="a2"/>
    <w:uiPriority w:val="99"/>
    <w:semiHidden/>
    <w:unhideWhenUsed/>
    <w:rsid w:val="004230D9"/>
    <w:pPr>
      <w:numPr>
        <w:numId w:val="7"/>
      </w:numPr>
      <w:contextualSpacing/>
    </w:pPr>
  </w:style>
  <w:style w:type="paragraph" w:styleId="5">
    <w:name w:val="List Number 5"/>
    <w:basedOn w:val="a2"/>
    <w:uiPriority w:val="99"/>
    <w:semiHidden/>
    <w:unhideWhenUsed/>
    <w:rsid w:val="004230D9"/>
    <w:pPr>
      <w:numPr>
        <w:numId w:val="8"/>
      </w:numPr>
      <w:contextualSpacing/>
    </w:pPr>
  </w:style>
  <w:style w:type="table" w:customStyle="1" w:styleId="-112">
    <w:name w:val="Список-таблица 1 светлая1"/>
    <w:basedOn w:val="a4"/>
    <w:uiPriority w:val="46"/>
    <w:rsid w:val="004230D9"/>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110">
    <w:name w:val="Список-таблица 1 светлая — акцент 11"/>
    <w:basedOn w:val="a4"/>
    <w:uiPriority w:val="46"/>
    <w:rsid w:val="004230D9"/>
    <w:pPr>
      <w:spacing w:after="0" w:line="240" w:lineRule="auto"/>
    </w:pPr>
    <w:tblPr>
      <w:tblStyleRowBandSize w:val="1"/>
      <w:tblStyleColBandSize w:val="1"/>
    </w:tblPr>
    <w:tblStylePr w:type="firstRow">
      <w:rPr>
        <w:b/>
        <w:bCs/>
      </w:rPr>
      <w:tblPr/>
      <w:tcPr>
        <w:tcBorders>
          <w:bottom w:val="single" w:sz="4" w:space="0" w:color="7FC0DB" w:themeColor="accent1" w:themeTint="99"/>
        </w:tcBorders>
      </w:tcPr>
    </w:tblStylePr>
    <w:tblStylePr w:type="lastRow">
      <w:rPr>
        <w:b/>
        <w:bCs/>
      </w:rPr>
      <w:tblPr/>
      <w:tcPr>
        <w:tcBorders>
          <w:top w:val="single" w:sz="4" w:space="0" w:color="7FC0DB" w:themeColor="accent1" w:themeTint="99"/>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customStyle="1" w:styleId="-1210">
    <w:name w:val="Список-таблица 1 светлая — акцент 21"/>
    <w:basedOn w:val="a4"/>
    <w:uiPriority w:val="46"/>
    <w:rsid w:val="004230D9"/>
    <w:pPr>
      <w:spacing w:after="0" w:line="240" w:lineRule="auto"/>
    </w:pPr>
    <w:tblPr>
      <w:tblStyleRowBandSize w:val="1"/>
      <w:tblStyleColBandSize w:val="1"/>
    </w:tblPr>
    <w:tblStylePr w:type="firstRow">
      <w:rPr>
        <w:b/>
        <w:bCs/>
      </w:rPr>
      <w:tblPr/>
      <w:tcPr>
        <w:tcBorders>
          <w:bottom w:val="single" w:sz="4" w:space="0" w:color="9AD3D9" w:themeColor="accent2" w:themeTint="99"/>
        </w:tcBorders>
      </w:tcPr>
    </w:tblStylePr>
    <w:tblStylePr w:type="lastRow">
      <w:rPr>
        <w:b/>
        <w:bCs/>
      </w:rPr>
      <w:tblPr/>
      <w:tcPr>
        <w:tcBorders>
          <w:top w:val="single" w:sz="4" w:space="0" w:color="9AD3D9" w:themeColor="accent2" w:themeTint="99"/>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customStyle="1" w:styleId="-1310">
    <w:name w:val="Список-таблица 1 светлая — акцент 31"/>
    <w:basedOn w:val="a4"/>
    <w:uiPriority w:val="46"/>
    <w:rsid w:val="004230D9"/>
    <w:pPr>
      <w:spacing w:after="0" w:line="240" w:lineRule="auto"/>
    </w:pPr>
    <w:tblPr>
      <w:tblStyleRowBandSize w:val="1"/>
      <w:tblStyleColBandSize w:val="1"/>
    </w:tblPr>
    <w:tblStylePr w:type="firstRow">
      <w:rPr>
        <w:b/>
        <w:bCs/>
      </w:rPr>
      <w:tblPr/>
      <w:tcPr>
        <w:tcBorders>
          <w:bottom w:val="single" w:sz="4" w:space="0" w:color="ACD7CA" w:themeColor="accent3" w:themeTint="99"/>
        </w:tcBorders>
      </w:tcPr>
    </w:tblStylePr>
    <w:tblStylePr w:type="lastRow">
      <w:rPr>
        <w:b/>
        <w:bCs/>
      </w:rPr>
      <w:tblPr/>
      <w:tcPr>
        <w:tcBorders>
          <w:top w:val="single" w:sz="4" w:space="0" w:color="ACD7CA" w:themeColor="accent3" w:themeTint="99"/>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customStyle="1" w:styleId="-1410">
    <w:name w:val="Список-таблица 1 светлая — акцент 41"/>
    <w:basedOn w:val="a4"/>
    <w:uiPriority w:val="46"/>
    <w:rsid w:val="004230D9"/>
    <w:pPr>
      <w:spacing w:after="0" w:line="240" w:lineRule="auto"/>
    </w:pPr>
    <w:tblPr>
      <w:tblStyleRowBandSize w:val="1"/>
      <w:tblStyleColBandSize w:val="1"/>
    </w:tblPr>
    <w:tblStylePr w:type="firstRow">
      <w:rPr>
        <w:b/>
        <w:bCs/>
      </w:rPr>
      <w:tblPr/>
      <w:tcPr>
        <w:tcBorders>
          <w:bottom w:val="single" w:sz="4" w:space="0" w:color="AFB9BB" w:themeColor="accent4" w:themeTint="99"/>
        </w:tcBorders>
      </w:tcPr>
    </w:tblStylePr>
    <w:tblStylePr w:type="lastRow">
      <w:rPr>
        <w:b/>
        <w:bCs/>
      </w:rPr>
      <w:tblPr/>
      <w:tcPr>
        <w:tcBorders>
          <w:top w:val="single" w:sz="4" w:space="0" w:color="AFB9BB" w:themeColor="accent4" w:themeTint="99"/>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customStyle="1" w:styleId="-1510">
    <w:name w:val="Список-таблица 1 светлая — акцент 51"/>
    <w:basedOn w:val="a4"/>
    <w:uiPriority w:val="46"/>
    <w:rsid w:val="004230D9"/>
    <w:pPr>
      <w:spacing w:after="0" w:line="240" w:lineRule="auto"/>
    </w:pPr>
    <w:tblPr>
      <w:tblStyleRowBandSize w:val="1"/>
      <w:tblStyleColBandSize w:val="1"/>
    </w:tblPr>
    <w:tblStylePr w:type="firstRow">
      <w:rPr>
        <w:b/>
        <w:bCs/>
      </w:rPr>
      <w:tblPr/>
      <w:tcPr>
        <w:tcBorders>
          <w:bottom w:val="single" w:sz="4" w:space="0" w:color="B5CDD3" w:themeColor="accent5" w:themeTint="99"/>
        </w:tcBorders>
      </w:tcPr>
    </w:tblStylePr>
    <w:tblStylePr w:type="lastRow">
      <w:rPr>
        <w:b/>
        <w:bCs/>
      </w:rPr>
      <w:tblPr/>
      <w:tcPr>
        <w:tcBorders>
          <w:top w:val="single" w:sz="4" w:space="0" w:color="B5CDD3" w:themeColor="accent5" w:themeTint="99"/>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1610">
    <w:name w:val="Список-таблица 1 светлая — акцент 61"/>
    <w:basedOn w:val="a4"/>
    <w:uiPriority w:val="46"/>
    <w:rsid w:val="004230D9"/>
    <w:pPr>
      <w:spacing w:after="0" w:line="240" w:lineRule="auto"/>
    </w:pPr>
    <w:tblPr>
      <w:tblStyleRowBandSize w:val="1"/>
      <w:tblStyleColBandSize w:val="1"/>
    </w:tblPr>
    <w:tblStylePr w:type="firstRow">
      <w:rPr>
        <w:b/>
        <w:bCs/>
      </w:rPr>
      <w:tblPr/>
      <w:tcPr>
        <w:tcBorders>
          <w:bottom w:val="single" w:sz="4" w:space="0" w:color="74B5E4" w:themeColor="accent6" w:themeTint="99"/>
        </w:tcBorders>
      </w:tcPr>
    </w:tblStylePr>
    <w:tblStylePr w:type="lastRow">
      <w:rPr>
        <w:b/>
        <w:bCs/>
      </w:rPr>
      <w:tblPr/>
      <w:tcPr>
        <w:tcBorders>
          <w:top w:val="single" w:sz="4" w:space="0" w:color="74B5E4" w:themeColor="accent6" w:themeTint="99"/>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212">
    <w:name w:val="Список-таблица 21"/>
    <w:basedOn w:val="a4"/>
    <w:uiPriority w:val="47"/>
    <w:rsid w:val="004230D9"/>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2110">
    <w:name w:val="Список-таблица 2 — акцент 11"/>
    <w:basedOn w:val="a4"/>
    <w:uiPriority w:val="47"/>
    <w:rsid w:val="004230D9"/>
    <w:pPr>
      <w:spacing w:after="0" w:line="240" w:lineRule="auto"/>
    </w:pPr>
    <w:tblPr>
      <w:tblStyleRowBandSize w:val="1"/>
      <w:tblStyleColBandSize w:val="1"/>
      <w:tblBorders>
        <w:top w:val="single" w:sz="4" w:space="0" w:color="7FC0DB" w:themeColor="accent1" w:themeTint="99"/>
        <w:bottom w:val="single" w:sz="4" w:space="0" w:color="7FC0DB" w:themeColor="accent1" w:themeTint="99"/>
        <w:insideH w:val="single" w:sz="4" w:space="0" w:color="7FC0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customStyle="1" w:styleId="-2210">
    <w:name w:val="Список-таблица 2 — акцент 21"/>
    <w:basedOn w:val="a4"/>
    <w:uiPriority w:val="47"/>
    <w:rsid w:val="004230D9"/>
    <w:pPr>
      <w:spacing w:after="0" w:line="240" w:lineRule="auto"/>
    </w:pPr>
    <w:tblPr>
      <w:tblStyleRowBandSize w:val="1"/>
      <w:tblStyleColBandSize w:val="1"/>
      <w:tblBorders>
        <w:top w:val="single" w:sz="4" w:space="0" w:color="9AD3D9" w:themeColor="accent2" w:themeTint="99"/>
        <w:bottom w:val="single" w:sz="4" w:space="0" w:color="9AD3D9" w:themeColor="accent2" w:themeTint="99"/>
        <w:insideH w:val="single" w:sz="4" w:space="0" w:color="9AD3D9"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customStyle="1" w:styleId="-2310">
    <w:name w:val="Список-таблица 2 — акцент 31"/>
    <w:basedOn w:val="a4"/>
    <w:uiPriority w:val="47"/>
    <w:rsid w:val="004230D9"/>
    <w:pPr>
      <w:spacing w:after="0" w:line="240" w:lineRule="auto"/>
    </w:pPr>
    <w:tblPr>
      <w:tblStyleRowBandSize w:val="1"/>
      <w:tblStyleColBandSize w:val="1"/>
      <w:tblBorders>
        <w:top w:val="single" w:sz="4" w:space="0" w:color="ACD7CA" w:themeColor="accent3" w:themeTint="99"/>
        <w:bottom w:val="single" w:sz="4" w:space="0" w:color="ACD7CA" w:themeColor="accent3" w:themeTint="99"/>
        <w:insideH w:val="single" w:sz="4" w:space="0" w:color="ACD7CA"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customStyle="1" w:styleId="-2410">
    <w:name w:val="Список-таблица 2 — акцент 41"/>
    <w:basedOn w:val="a4"/>
    <w:uiPriority w:val="47"/>
    <w:rsid w:val="004230D9"/>
    <w:pPr>
      <w:spacing w:after="0" w:line="240" w:lineRule="auto"/>
    </w:pPr>
    <w:tblPr>
      <w:tblStyleRowBandSize w:val="1"/>
      <w:tblStyleColBandSize w:val="1"/>
      <w:tblBorders>
        <w:top w:val="single" w:sz="4" w:space="0" w:color="AFB9BB" w:themeColor="accent4" w:themeTint="99"/>
        <w:bottom w:val="single" w:sz="4" w:space="0" w:color="AFB9BB" w:themeColor="accent4" w:themeTint="99"/>
        <w:insideH w:val="single" w:sz="4" w:space="0" w:color="AFB9BB"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customStyle="1" w:styleId="-2510">
    <w:name w:val="Список-таблица 2 — акцент 51"/>
    <w:basedOn w:val="a4"/>
    <w:uiPriority w:val="47"/>
    <w:rsid w:val="004230D9"/>
    <w:pPr>
      <w:spacing w:after="0" w:line="240" w:lineRule="auto"/>
    </w:pPr>
    <w:tblPr>
      <w:tblStyleRowBandSize w:val="1"/>
      <w:tblStyleColBandSize w:val="1"/>
      <w:tblBorders>
        <w:top w:val="single" w:sz="4" w:space="0" w:color="B5CDD3" w:themeColor="accent5" w:themeTint="99"/>
        <w:bottom w:val="single" w:sz="4" w:space="0" w:color="B5CDD3" w:themeColor="accent5" w:themeTint="99"/>
        <w:insideH w:val="single" w:sz="4" w:space="0" w:color="B5CDD3"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2610">
    <w:name w:val="Список-таблица 2 — акцент 61"/>
    <w:basedOn w:val="a4"/>
    <w:uiPriority w:val="47"/>
    <w:rsid w:val="004230D9"/>
    <w:pPr>
      <w:spacing w:after="0" w:line="240" w:lineRule="auto"/>
    </w:pPr>
    <w:tblPr>
      <w:tblStyleRowBandSize w:val="1"/>
      <w:tblStyleColBandSize w:val="1"/>
      <w:tblBorders>
        <w:top w:val="single" w:sz="4" w:space="0" w:color="74B5E4" w:themeColor="accent6" w:themeTint="99"/>
        <w:bottom w:val="single" w:sz="4" w:space="0" w:color="74B5E4" w:themeColor="accent6" w:themeTint="99"/>
        <w:insideH w:val="single" w:sz="4" w:space="0" w:color="74B5E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312">
    <w:name w:val="Список-таблица 31"/>
    <w:basedOn w:val="a4"/>
    <w:uiPriority w:val="48"/>
    <w:rsid w:val="004230D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3110">
    <w:name w:val="Список-таблица 3 — акцент 11"/>
    <w:basedOn w:val="a4"/>
    <w:uiPriority w:val="48"/>
    <w:rsid w:val="004230D9"/>
    <w:pPr>
      <w:spacing w:after="0" w:line="240" w:lineRule="auto"/>
    </w:pPr>
    <w:tblPr>
      <w:tblStyleRowBandSize w:val="1"/>
      <w:tblStyleColBandSize w:val="1"/>
      <w:tblBorders>
        <w:top w:val="single" w:sz="4" w:space="0" w:color="3494BA" w:themeColor="accent1"/>
        <w:left w:val="single" w:sz="4" w:space="0" w:color="3494BA" w:themeColor="accent1"/>
        <w:bottom w:val="single" w:sz="4" w:space="0" w:color="3494BA" w:themeColor="accent1"/>
        <w:right w:val="single" w:sz="4" w:space="0" w:color="3494BA" w:themeColor="accent1"/>
      </w:tblBorders>
    </w:tblPr>
    <w:tblStylePr w:type="firstRow">
      <w:rPr>
        <w:b/>
        <w:bCs/>
        <w:color w:val="FFFFFF" w:themeColor="background1"/>
      </w:rPr>
      <w:tblPr/>
      <w:tcPr>
        <w:shd w:val="clear" w:color="auto" w:fill="3494BA" w:themeFill="accent1"/>
      </w:tcPr>
    </w:tblStylePr>
    <w:tblStylePr w:type="lastRow">
      <w:rPr>
        <w:b/>
        <w:bCs/>
      </w:rPr>
      <w:tblPr/>
      <w:tcPr>
        <w:tcBorders>
          <w:top w:val="double" w:sz="4" w:space="0" w:color="3494BA"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494BA" w:themeColor="accent1"/>
          <w:right w:val="single" w:sz="4" w:space="0" w:color="3494BA" w:themeColor="accent1"/>
        </w:tcBorders>
      </w:tcPr>
    </w:tblStylePr>
    <w:tblStylePr w:type="band1Horz">
      <w:tblPr/>
      <w:tcPr>
        <w:tcBorders>
          <w:top w:val="single" w:sz="4" w:space="0" w:color="3494BA" w:themeColor="accent1"/>
          <w:bottom w:val="single" w:sz="4" w:space="0" w:color="3494BA"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494BA" w:themeColor="accent1"/>
          <w:left w:val="nil"/>
        </w:tcBorders>
      </w:tcPr>
    </w:tblStylePr>
    <w:tblStylePr w:type="swCell">
      <w:tblPr/>
      <w:tcPr>
        <w:tcBorders>
          <w:top w:val="double" w:sz="4" w:space="0" w:color="3494BA" w:themeColor="accent1"/>
          <w:right w:val="nil"/>
        </w:tcBorders>
      </w:tcPr>
    </w:tblStylePr>
  </w:style>
  <w:style w:type="table" w:customStyle="1" w:styleId="-3210">
    <w:name w:val="Список-таблица 3 — акцент 21"/>
    <w:basedOn w:val="a4"/>
    <w:uiPriority w:val="48"/>
    <w:rsid w:val="004230D9"/>
    <w:pPr>
      <w:spacing w:after="0" w:line="240" w:lineRule="auto"/>
    </w:pPr>
    <w:tblPr>
      <w:tblStyleRowBandSize w:val="1"/>
      <w:tblStyleColBandSize w:val="1"/>
      <w:tblBorders>
        <w:top w:val="single" w:sz="4" w:space="0" w:color="58B6C0" w:themeColor="accent2"/>
        <w:left w:val="single" w:sz="4" w:space="0" w:color="58B6C0" w:themeColor="accent2"/>
        <w:bottom w:val="single" w:sz="4" w:space="0" w:color="58B6C0" w:themeColor="accent2"/>
        <w:right w:val="single" w:sz="4" w:space="0" w:color="58B6C0" w:themeColor="accent2"/>
      </w:tblBorders>
    </w:tblPr>
    <w:tblStylePr w:type="firstRow">
      <w:rPr>
        <w:b/>
        <w:bCs/>
        <w:color w:val="FFFFFF" w:themeColor="background1"/>
      </w:rPr>
      <w:tblPr/>
      <w:tcPr>
        <w:shd w:val="clear" w:color="auto" w:fill="58B6C0" w:themeFill="accent2"/>
      </w:tcPr>
    </w:tblStylePr>
    <w:tblStylePr w:type="lastRow">
      <w:rPr>
        <w:b/>
        <w:bCs/>
      </w:rPr>
      <w:tblPr/>
      <w:tcPr>
        <w:tcBorders>
          <w:top w:val="double" w:sz="4" w:space="0" w:color="58B6C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8B6C0" w:themeColor="accent2"/>
          <w:right w:val="single" w:sz="4" w:space="0" w:color="58B6C0" w:themeColor="accent2"/>
        </w:tcBorders>
      </w:tcPr>
    </w:tblStylePr>
    <w:tblStylePr w:type="band1Horz">
      <w:tblPr/>
      <w:tcPr>
        <w:tcBorders>
          <w:top w:val="single" w:sz="4" w:space="0" w:color="58B6C0" w:themeColor="accent2"/>
          <w:bottom w:val="single" w:sz="4" w:space="0" w:color="58B6C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8B6C0" w:themeColor="accent2"/>
          <w:left w:val="nil"/>
        </w:tcBorders>
      </w:tcPr>
    </w:tblStylePr>
    <w:tblStylePr w:type="swCell">
      <w:tblPr/>
      <w:tcPr>
        <w:tcBorders>
          <w:top w:val="double" w:sz="4" w:space="0" w:color="58B6C0" w:themeColor="accent2"/>
          <w:right w:val="nil"/>
        </w:tcBorders>
      </w:tcPr>
    </w:tblStylePr>
  </w:style>
  <w:style w:type="table" w:customStyle="1" w:styleId="-3310">
    <w:name w:val="Список-таблица 3 — акцент 31"/>
    <w:basedOn w:val="a4"/>
    <w:uiPriority w:val="48"/>
    <w:rsid w:val="004230D9"/>
    <w:pPr>
      <w:spacing w:after="0" w:line="240" w:lineRule="auto"/>
    </w:pPr>
    <w:tblPr>
      <w:tblStyleRowBandSize w:val="1"/>
      <w:tblStyleColBandSize w:val="1"/>
      <w:tblBorders>
        <w:top w:val="single" w:sz="4" w:space="0" w:color="75BDA7" w:themeColor="accent3"/>
        <w:left w:val="single" w:sz="4" w:space="0" w:color="75BDA7" w:themeColor="accent3"/>
        <w:bottom w:val="single" w:sz="4" w:space="0" w:color="75BDA7" w:themeColor="accent3"/>
        <w:right w:val="single" w:sz="4" w:space="0" w:color="75BDA7" w:themeColor="accent3"/>
      </w:tblBorders>
    </w:tblPr>
    <w:tblStylePr w:type="firstRow">
      <w:rPr>
        <w:b/>
        <w:bCs/>
        <w:color w:val="FFFFFF" w:themeColor="background1"/>
      </w:rPr>
      <w:tblPr/>
      <w:tcPr>
        <w:shd w:val="clear" w:color="auto" w:fill="75BDA7" w:themeFill="accent3"/>
      </w:tcPr>
    </w:tblStylePr>
    <w:tblStylePr w:type="lastRow">
      <w:rPr>
        <w:b/>
        <w:bCs/>
      </w:rPr>
      <w:tblPr/>
      <w:tcPr>
        <w:tcBorders>
          <w:top w:val="double" w:sz="4" w:space="0" w:color="75BDA7"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5BDA7" w:themeColor="accent3"/>
          <w:right w:val="single" w:sz="4" w:space="0" w:color="75BDA7" w:themeColor="accent3"/>
        </w:tcBorders>
      </w:tcPr>
    </w:tblStylePr>
    <w:tblStylePr w:type="band1Horz">
      <w:tblPr/>
      <w:tcPr>
        <w:tcBorders>
          <w:top w:val="single" w:sz="4" w:space="0" w:color="75BDA7" w:themeColor="accent3"/>
          <w:bottom w:val="single" w:sz="4" w:space="0" w:color="75BDA7"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5BDA7" w:themeColor="accent3"/>
          <w:left w:val="nil"/>
        </w:tcBorders>
      </w:tcPr>
    </w:tblStylePr>
    <w:tblStylePr w:type="swCell">
      <w:tblPr/>
      <w:tcPr>
        <w:tcBorders>
          <w:top w:val="double" w:sz="4" w:space="0" w:color="75BDA7" w:themeColor="accent3"/>
          <w:right w:val="nil"/>
        </w:tcBorders>
      </w:tcPr>
    </w:tblStylePr>
  </w:style>
  <w:style w:type="table" w:customStyle="1" w:styleId="-3410">
    <w:name w:val="Список-таблица 3 — акцент 41"/>
    <w:basedOn w:val="a4"/>
    <w:uiPriority w:val="48"/>
    <w:rsid w:val="004230D9"/>
    <w:pPr>
      <w:spacing w:after="0" w:line="240" w:lineRule="auto"/>
    </w:pPr>
    <w:tblPr>
      <w:tblStyleRowBandSize w:val="1"/>
      <w:tblStyleColBandSize w:val="1"/>
      <w:tblBorders>
        <w:top w:val="single" w:sz="4" w:space="0" w:color="7A8C8E" w:themeColor="accent4"/>
        <w:left w:val="single" w:sz="4" w:space="0" w:color="7A8C8E" w:themeColor="accent4"/>
        <w:bottom w:val="single" w:sz="4" w:space="0" w:color="7A8C8E" w:themeColor="accent4"/>
        <w:right w:val="single" w:sz="4" w:space="0" w:color="7A8C8E" w:themeColor="accent4"/>
      </w:tblBorders>
    </w:tblPr>
    <w:tblStylePr w:type="firstRow">
      <w:rPr>
        <w:b/>
        <w:bCs/>
        <w:color w:val="FFFFFF" w:themeColor="background1"/>
      </w:rPr>
      <w:tblPr/>
      <w:tcPr>
        <w:shd w:val="clear" w:color="auto" w:fill="7A8C8E" w:themeFill="accent4"/>
      </w:tcPr>
    </w:tblStylePr>
    <w:tblStylePr w:type="lastRow">
      <w:rPr>
        <w:b/>
        <w:bCs/>
      </w:rPr>
      <w:tblPr/>
      <w:tcPr>
        <w:tcBorders>
          <w:top w:val="double" w:sz="4" w:space="0" w:color="7A8C8E"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A8C8E" w:themeColor="accent4"/>
          <w:right w:val="single" w:sz="4" w:space="0" w:color="7A8C8E" w:themeColor="accent4"/>
        </w:tcBorders>
      </w:tcPr>
    </w:tblStylePr>
    <w:tblStylePr w:type="band1Horz">
      <w:tblPr/>
      <w:tcPr>
        <w:tcBorders>
          <w:top w:val="single" w:sz="4" w:space="0" w:color="7A8C8E" w:themeColor="accent4"/>
          <w:bottom w:val="single" w:sz="4" w:space="0" w:color="7A8C8E"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A8C8E" w:themeColor="accent4"/>
          <w:left w:val="nil"/>
        </w:tcBorders>
      </w:tcPr>
    </w:tblStylePr>
    <w:tblStylePr w:type="swCell">
      <w:tblPr/>
      <w:tcPr>
        <w:tcBorders>
          <w:top w:val="double" w:sz="4" w:space="0" w:color="7A8C8E" w:themeColor="accent4"/>
          <w:right w:val="nil"/>
        </w:tcBorders>
      </w:tcPr>
    </w:tblStylePr>
  </w:style>
  <w:style w:type="table" w:customStyle="1" w:styleId="-3510">
    <w:name w:val="Список-таблица 3 — акцент 51"/>
    <w:basedOn w:val="a4"/>
    <w:uiPriority w:val="48"/>
    <w:rsid w:val="004230D9"/>
    <w:pPr>
      <w:spacing w:after="0" w:line="240" w:lineRule="auto"/>
    </w:pPr>
    <w:tblPr>
      <w:tblStyleRowBandSize w:val="1"/>
      <w:tblStyleColBandSize w:val="1"/>
      <w:tblBorders>
        <w:top w:val="single" w:sz="4" w:space="0" w:color="84ACB6" w:themeColor="accent5"/>
        <w:left w:val="single" w:sz="4" w:space="0" w:color="84ACB6" w:themeColor="accent5"/>
        <w:bottom w:val="single" w:sz="4" w:space="0" w:color="84ACB6" w:themeColor="accent5"/>
        <w:right w:val="single" w:sz="4" w:space="0" w:color="84ACB6" w:themeColor="accent5"/>
      </w:tblBorders>
    </w:tblPr>
    <w:tblStylePr w:type="firstRow">
      <w:rPr>
        <w:b/>
        <w:bCs/>
        <w:color w:val="FFFFFF" w:themeColor="background1"/>
      </w:rPr>
      <w:tblPr/>
      <w:tcPr>
        <w:shd w:val="clear" w:color="auto" w:fill="84ACB6" w:themeFill="accent5"/>
      </w:tcPr>
    </w:tblStylePr>
    <w:tblStylePr w:type="lastRow">
      <w:rPr>
        <w:b/>
        <w:bCs/>
      </w:rPr>
      <w:tblPr/>
      <w:tcPr>
        <w:tcBorders>
          <w:top w:val="double" w:sz="4" w:space="0" w:color="84ACB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4ACB6" w:themeColor="accent5"/>
          <w:right w:val="single" w:sz="4" w:space="0" w:color="84ACB6" w:themeColor="accent5"/>
        </w:tcBorders>
      </w:tcPr>
    </w:tblStylePr>
    <w:tblStylePr w:type="band1Horz">
      <w:tblPr/>
      <w:tcPr>
        <w:tcBorders>
          <w:top w:val="single" w:sz="4" w:space="0" w:color="84ACB6" w:themeColor="accent5"/>
          <w:bottom w:val="single" w:sz="4" w:space="0" w:color="84ACB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4ACB6" w:themeColor="accent5"/>
          <w:left w:val="nil"/>
        </w:tcBorders>
      </w:tcPr>
    </w:tblStylePr>
    <w:tblStylePr w:type="swCell">
      <w:tblPr/>
      <w:tcPr>
        <w:tcBorders>
          <w:top w:val="double" w:sz="4" w:space="0" w:color="84ACB6" w:themeColor="accent5"/>
          <w:right w:val="nil"/>
        </w:tcBorders>
      </w:tcPr>
    </w:tblStylePr>
  </w:style>
  <w:style w:type="table" w:customStyle="1" w:styleId="-3610">
    <w:name w:val="Список-таблица 3 — акцент 61"/>
    <w:basedOn w:val="a4"/>
    <w:uiPriority w:val="48"/>
    <w:rsid w:val="004230D9"/>
    <w:pPr>
      <w:spacing w:after="0" w:line="240" w:lineRule="auto"/>
    </w:pPr>
    <w:tblPr>
      <w:tblStyleRowBandSize w:val="1"/>
      <w:tblStyleColBandSize w:val="1"/>
      <w:tblBorders>
        <w:top w:val="single" w:sz="4" w:space="0" w:color="2683C6" w:themeColor="accent6"/>
        <w:left w:val="single" w:sz="4" w:space="0" w:color="2683C6" w:themeColor="accent6"/>
        <w:bottom w:val="single" w:sz="4" w:space="0" w:color="2683C6" w:themeColor="accent6"/>
        <w:right w:val="single" w:sz="4" w:space="0" w:color="2683C6" w:themeColor="accent6"/>
      </w:tblBorders>
    </w:tblPr>
    <w:tblStylePr w:type="firstRow">
      <w:rPr>
        <w:b/>
        <w:bCs/>
        <w:color w:val="FFFFFF" w:themeColor="background1"/>
      </w:rPr>
      <w:tblPr/>
      <w:tcPr>
        <w:shd w:val="clear" w:color="auto" w:fill="2683C6" w:themeFill="accent6"/>
      </w:tcPr>
    </w:tblStylePr>
    <w:tblStylePr w:type="lastRow">
      <w:rPr>
        <w:b/>
        <w:bCs/>
      </w:rPr>
      <w:tblPr/>
      <w:tcPr>
        <w:tcBorders>
          <w:top w:val="double" w:sz="4" w:space="0" w:color="2683C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683C6" w:themeColor="accent6"/>
          <w:right w:val="single" w:sz="4" w:space="0" w:color="2683C6" w:themeColor="accent6"/>
        </w:tcBorders>
      </w:tcPr>
    </w:tblStylePr>
    <w:tblStylePr w:type="band1Horz">
      <w:tblPr/>
      <w:tcPr>
        <w:tcBorders>
          <w:top w:val="single" w:sz="4" w:space="0" w:color="2683C6" w:themeColor="accent6"/>
          <w:bottom w:val="single" w:sz="4" w:space="0" w:color="2683C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683C6" w:themeColor="accent6"/>
          <w:left w:val="nil"/>
        </w:tcBorders>
      </w:tcPr>
    </w:tblStylePr>
    <w:tblStylePr w:type="swCell">
      <w:tblPr/>
      <w:tcPr>
        <w:tcBorders>
          <w:top w:val="double" w:sz="4" w:space="0" w:color="2683C6" w:themeColor="accent6"/>
          <w:right w:val="nil"/>
        </w:tcBorders>
      </w:tcPr>
    </w:tblStylePr>
  </w:style>
  <w:style w:type="table" w:customStyle="1" w:styleId="-412">
    <w:name w:val="Список-таблица 41"/>
    <w:basedOn w:val="a4"/>
    <w:uiPriority w:val="49"/>
    <w:rsid w:val="004230D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4110">
    <w:name w:val="Список-таблица 4 — акцент 11"/>
    <w:basedOn w:val="a4"/>
    <w:uiPriority w:val="49"/>
    <w:rsid w:val="004230D9"/>
    <w:pPr>
      <w:spacing w:after="0" w:line="240" w:lineRule="auto"/>
    </w:p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tblBorders>
    </w:tblPr>
    <w:tblStylePr w:type="firstRow">
      <w:rPr>
        <w:b/>
        <w:bCs/>
        <w:color w:val="FFFFFF" w:themeColor="background1"/>
      </w:rPr>
      <w:tblPr/>
      <w:tcPr>
        <w:tcBorders>
          <w:top w:val="single" w:sz="4" w:space="0" w:color="3494BA" w:themeColor="accent1"/>
          <w:left w:val="single" w:sz="4" w:space="0" w:color="3494BA" w:themeColor="accent1"/>
          <w:bottom w:val="single" w:sz="4" w:space="0" w:color="3494BA" w:themeColor="accent1"/>
          <w:right w:val="single" w:sz="4" w:space="0" w:color="3494BA" w:themeColor="accent1"/>
          <w:insideH w:val="nil"/>
        </w:tcBorders>
        <w:shd w:val="clear" w:color="auto" w:fill="3494BA" w:themeFill="accent1"/>
      </w:tcPr>
    </w:tblStylePr>
    <w:tblStylePr w:type="lastRow">
      <w:rPr>
        <w:b/>
        <w:bCs/>
      </w:rPr>
      <w:tblPr/>
      <w:tcPr>
        <w:tcBorders>
          <w:top w:val="double" w:sz="4" w:space="0" w:color="7FC0DB" w:themeColor="accent1" w:themeTint="99"/>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customStyle="1" w:styleId="-4210">
    <w:name w:val="Список-таблица 4 — акцент 21"/>
    <w:basedOn w:val="a4"/>
    <w:uiPriority w:val="49"/>
    <w:rsid w:val="004230D9"/>
    <w:pPr>
      <w:spacing w:after="0" w:line="240" w:lineRule="auto"/>
    </w:pPr>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tblBorders>
    </w:tblPr>
    <w:tblStylePr w:type="firstRow">
      <w:rPr>
        <w:b/>
        <w:bCs/>
        <w:color w:val="FFFFFF" w:themeColor="background1"/>
      </w:rPr>
      <w:tblPr/>
      <w:tcPr>
        <w:tcBorders>
          <w:top w:val="single" w:sz="4" w:space="0" w:color="58B6C0" w:themeColor="accent2"/>
          <w:left w:val="single" w:sz="4" w:space="0" w:color="58B6C0" w:themeColor="accent2"/>
          <w:bottom w:val="single" w:sz="4" w:space="0" w:color="58B6C0" w:themeColor="accent2"/>
          <w:right w:val="single" w:sz="4" w:space="0" w:color="58B6C0" w:themeColor="accent2"/>
          <w:insideH w:val="nil"/>
        </w:tcBorders>
        <w:shd w:val="clear" w:color="auto" w:fill="58B6C0" w:themeFill="accent2"/>
      </w:tcPr>
    </w:tblStylePr>
    <w:tblStylePr w:type="lastRow">
      <w:rPr>
        <w:b/>
        <w:bCs/>
      </w:rPr>
      <w:tblPr/>
      <w:tcPr>
        <w:tcBorders>
          <w:top w:val="double" w:sz="4" w:space="0" w:color="9AD3D9" w:themeColor="accent2" w:themeTint="99"/>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customStyle="1" w:styleId="-4310">
    <w:name w:val="Список-таблица 4 — акцент 31"/>
    <w:basedOn w:val="a4"/>
    <w:uiPriority w:val="49"/>
    <w:rsid w:val="004230D9"/>
    <w:pPr>
      <w:spacing w:after="0" w:line="240" w:lineRule="auto"/>
    </w:pPr>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tblBorders>
    </w:tblPr>
    <w:tblStylePr w:type="firstRow">
      <w:rPr>
        <w:b/>
        <w:bCs/>
        <w:color w:val="FFFFFF" w:themeColor="background1"/>
      </w:rPr>
      <w:tblPr/>
      <w:tcPr>
        <w:tcBorders>
          <w:top w:val="single" w:sz="4" w:space="0" w:color="75BDA7" w:themeColor="accent3"/>
          <w:left w:val="single" w:sz="4" w:space="0" w:color="75BDA7" w:themeColor="accent3"/>
          <w:bottom w:val="single" w:sz="4" w:space="0" w:color="75BDA7" w:themeColor="accent3"/>
          <w:right w:val="single" w:sz="4" w:space="0" w:color="75BDA7" w:themeColor="accent3"/>
          <w:insideH w:val="nil"/>
        </w:tcBorders>
        <w:shd w:val="clear" w:color="auto" w:fill="75BDA7" w:themeFill="accent3"/>
      </w:tcPr>
    </w:tblStylePr>
    <w:tblStylePr w:type="lastRow">
      <w:rPr>
        <w:b/>
        <w:bCs/>
      </w:rPr>
      <w:tblPr/>
      <w:tcPr>
        <w:tcBorders>
          <w:top w:val="double" w:sz="4" w:space="0" w:color="ACD7CA" w:themeColor="accent3" w:themeTint="99"/>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customStyle="1" w:styleId="-4410">
    <w:name w:val="Список-таблица 4 — акцент 41"/>
    <w:basedOn w:val="a4"/>
    <w:uiPriority w:val="49"/>
    <w:rsid w:val="004230D9"/>
    <w:pPr>
      <w:spacing w:after="0" w:line="240" w:lineRule="auto"/>
    </w:pPr>
    <w:tblPr>
      <w:tblStyleRowBandSize w:val="1"/>
      <w:tblStyleColBandSize w:val="1"/>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tblBorders>
    </w:tblPr>
    <w:tblStylePr w:type="firstRow">
      <w:rPr>
        <w:b/>
        <w:bCs/>
        <w:color w:val="FFFFFF" w:themeColor="background1"/>
      </w:rPr>
      <w:tblPr/>
      <w:tcPr>
        <w:tcBorders>
          <w:top w:val="single" w:sz="4" w:space="0" w:color="7A8C8E" w:themeColor="accent4"/>
          <w:left w:val="single" w:sz="4" w:space="0" w:color="7A8C8E" w:themeColor="accent4"/>
          <w:bottom w:val="single" w:sz="4" w:space="0" w:color="7A8C8E" w:themeColor="accent4"/>
          <w:right w:val="single" w:sz="4" w:space="0" w:color="7A8C8E" w:themeColor="accent4"/>
          <w:insideH w:val="nil"/>
        </w:tcBorders>
        <w:shd w:val="clear" w:color="auto" w:fill="7A8C8E" w:themeFill="accent4"/>
      </w:tcPr>
    </w:tblStylePr>
    <w:tblStylePr w:type="lastRow">
      <w:rPr>
        <w:b/>
        <w:bCs/>
      </w:rPr>
      <w:tblPr/>
      <w:tcPr>
        <w:tcBorders>
          <w:top w:val="double" w:sz="4" w:space="0" w:color="AFB9BB" w:themeColor="accent4" w:themeTint="99"/>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customStyle="1" w:styleId="-4510">
    <w:name w:val="Список-таблица 4 — акцент 51"/>
    <w:basedOn w:val="a4"/>
    <w:uiPriority w:val="49"/>
    <w:rsid w:val="004230D9"/>
    <w:pPr>
      <w:spacing w:after="0" w:line="240" w:lineRule="auto"/>
    </w:pPr>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tblBorders>
    </w:tblPr>
    <w:tblStylePr w:type="firstRow">
      <w:rPr>
        <w:b/>
        <w:bCs/>
        <w:color w:val="FFFFFF" w:themeColor="background1"/>
      </w:rPr>
      <w:tblPr/>
      <w:tcPr>
        <w:tcBorders>
          <w:top w:val="single" w:sz="4" w:space="0" w:color="84ACB6" w:themeColor="accent5"/>
          <w:left w:val="single" w:sz="4" w:space="0" w:color="84ACB6" w:themeColor="accent5"/>
          <w:bottom w:val="single" w:sz="4" w:space="0" w:color="84ACB6" w:themeColor="accent5"/>
          <w:right w:val="single" w:sz="4" w:space="0" w:color="84ACB6" w:themeColor="accent5"/>
          <w:insideH w:val="nil"/>
        </w:tcBorders>
        <w:shd w:val="clear" w:color="auto" w:fill="84ACB6" w:themeFill="accent5"/>
      </w:tcPr>
    </w:tblStylePr>
    <w:tblStylePr w:type="lastRow">
      <w:rPr>
        <w:b/>
        <w:bCs/>
      </w:rPr>
      <w:tblPr/>
      <w:tcPr>
        <w:tcBorders>
          <w:top w:val="double" w:sz="4" w:space="0" w:color="B5CDD3" w:themeColor="accent5" w:themeTint="99"/>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4610">
    <w:name w:val="Список-таблица 4 — акцент 61"/>
    <w:basedOn w:val="a4"/>
    <w:uiPriority w:val="49"/>
    <w:rsid w:val="004230D9"/>
    <w:pPr>
      <w:spacing w:after="0" w:line="240" w:lineRule="auto"/>
    </w:p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tblBorders>
    </w:tblPr>
    <w:tblStylePr w:type="firstRow">
      <w:rPr>
        <w:b/>
        <w:bCs/>
        <w:color w:val="FFFFFF" w:themeColor="background1"/>
      </w:rPr>
      <w:tblPr/>
      <w:tcPr>
        <w:tcBorders>
          <w:top w:val="single" w:sz="4" w:space="0" w:color="2683C6" w:themeColor="accent6"/>
          <w:left w:val="single" w:sz="4" w:space="0" w:color="2683C6" w:themeColor="accent6"/>
          <w:bottom w:val="single" w:sz="4" w:space="0" w:color="2683C6" w:themeColor="accent6"/>
          <w:right w:val="single" w:sz="4" w:space="0" w:color="2683C6" w:themeColor="accent6"/>
          <w:insideH w:val="nil"/>
        </w:tcBorders>
        <w:shd w:val="clear" w:color="auto" w:fill="2683C6" w:themeFill="accent6"/>
      </w:tcPr>
    </w:tblStylePr>
    <w:tblStylePr w:type="lastRow">
      <w:rPr>
        <w:b/>
        <w:bCs/>
      </w:rPr>
      <w:tblPr/>
      <w:tcPr>
        <w:tcBorders>
          <w:top w:val="double" w:sz="4" w:space="0" w:color="74B5E4" w:themeColor="accent6" w:themeTint="99"/>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512">
    <w:name w:val="Список-таблица 5 темная1"/>
    <w:basedOn w:val="a4"/>
    <w:uiPriority w:val="50"/>
    <w:rsid w:val="004230D9"/>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110">
    <w:name w:val="Список-таблица 5 темная — акцент 11"/>
    <w:basedOn w:val="a4"/>
    <w:uiPriority w:val="50"/>
    <w:rsid w:val="004230D9"/>
    <w:pPr>
      <w:spacing w:after="0" w:line="240" w:lineRule="auto"/>
    </w:pPr>
    <w:rPr>
      <w:color w:val="FFFFFF" w:themeColor="background1"/>
    </w:rPr>
    <w:tblPr>
      <w:tblStyleRowBandSize w:val="1"/>
      <w:tblStyleColBandSize w:val="1"/>
      <w:tblBorders>
        <w:top w:val="single" w:sz="24" w:space="0" w:color="3494BA" w:themeColor="accent1"/>
        <w:left w:val="single" w:sz="24" w:space="0" w:color="3494BA" w:themeColor="accent1"/>
        <w:bottom w:val="single" w:sz="24" w:space="0" w:color="3494BA" w:themeColor="accent1"/>
        <w:right w:val="single" w:sz="24" w:space="0" w:color="3494BA" w:themeColor="accent1"/>
      </w:tblBorders>
    </w:tblPr>
    <w:tcPr>
      <w:shd w:val="clear" w:color="auto" w:fill="3494BA"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210">
    <w:name w:val="Список-таблица 5 темная — акцент 21"/>
    <w:basedOn w:val="a4"/>
    <w:uiPriority w:val="50"/>
    <w:rsid w:val="004230D9"/>
    <w:pPr>
      <w:spacing w:after="0" w:line="240" w:lineRule="auto"/>
    </w:pPr>
    <w:rPr>
      <w:color w:val="FFFFFF" w:themeColor="background1"/>
    </w:rPr>
    <w:tblPr>
      <w:tblStyleRowBandSize w:val="1"/>
      <w:tblStyleColBandSize w:val="1"/>
      <w:tblBorders>
        <w:top w:val="single" w:sz="24" w:space="0" w:color="58B6C0" w:themeColor="accent2"/>
        <w:left w:val="single" w:sz="24" w:space="0" w:color="58B6C0" w:themeColor="accent2"/>
        <w:bottom w:val="single" w:sz="24" w:space="0" w:color="58B6C0" w:themeColor="accent2"/>
        <w:right w:val="single" w:sz="24" w:space="0" w:color="58B6C0" w:themeColor="accent2"/>
      </w:tblBorders>
    </w:tblPr>
    <w:tcPr>
      <w:shd w:val="clear" w:color="auto" w:fill="58B6C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310">
    <w:name w:val="Список-таблица 5 темная — акцент 31"/>
    <w:basedOn w:val="a4"/>
    <w:uiPriority w:val="50"/>
    <w:rsid w:val="004230D9"/>
    <w:pPr>
      <w:spacing w:after="0" w:line="240" w:lineRule="auto"/>
    </w:pPr>
    <w:rPr>
      <w:color w:val="FFFFFF" w:themeColor="background1"/>
    </w:rPr>
    <w:tblPr>
      <w:tblStyleRowBandSize w:val="1"/>
      <w:tblStyleColBandSize w:val="1"/>
      <w:tblBorders>
        <w:top w:val="single" w:sz="24" w:space="0" w:color="75BDA7" w:themeColor="accent3"/>
        <w:left w:val="single" w:sz="24" w:space="0" w:color="75BDA7" w:themeColor="accent3"/>
        <w:bottom w:val="single" w:sz="24" w:space="0" w:color="75BDA7" w:themeColor="accent3"/>
        <w:right w:val="single" w:sz="24" w:space="0" w:color="75BDA7" w:themeColor="accent3"/>
      </w:tblBorders>
    </w:tblPr>
    <w:tcPr>
      <w:shd w:val="clear" w:color="auto" w:fill="75BDA7"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410">
    <w:name w:val="Список-таблица 5 темная — акцент 41"/>
    <w:basedOn w:val="a4"/>
    <w:uiPriority w:val="50"/>
    <w:rsid w:val="004230D9"/>
    <w:pPr>
      <w:spacing w:after="0" w:line="240" w:lineRule="auto"/>
    </w:pPr>
    <w:rPr>
      <w:color w:val="FFFFFF" w:themeColor="background1"/>
    </w:rPr>
    <w:tblPr>
      <w:tblStyleRowBandSize w:val="1"/>
      <w:tblStyleColBandSize w:val="1"/>
      <w:tblBorders>
        <w:top w:val="single" w:sz="24" w:space="0" w:color="7A8C8E" w:themeColor="accent4"/>
        <w:left w:val="single" w:sz="24" w:space="0" w:color="7A8C8E" w:themeColor="accent4"/>
        <w:bottom w:val="single" w:sz="24" w:space="0" w:color="7A8C8E" w:themeColor="accent4"/>
        <w:right w:val="single" w:sz="24" w:space="0" w:color="7A8C8E" w:themeColor="accent4"/>
      </w:tblBorders>
    </w:tblPr>
    <w:tcPr>
      <w:shd w:val="clear" w:color="auto" w:fill="7A8C8E"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510">
    <w:name w:val="Список-таблица 5 темная — акцент 51"/>
    <w:basedOn w:val="a4"/>
    <w:uiPriority w:val="50"/>
    <w:rsid w:val="004230D9"/>
    <w:pPr>
      <w:spacing w:after="0" w:line="240" w:lineRule="auto"/>
    </w:pPr>
    <w:rPr>
      <w:color w:val="FFFFFF" w:themeColor="background1"/>
    </w:rPr>
    <w:tblPr>
      <w:tblStyleRowBandSize w:val="1"/>
      <w:tblStyleColBandSize w:val="1"/>
      <w:tblBorders>
        <w:top w:val="single" w:sz="24" w:space="0" w:color="84ACB6" w:themeColor="accent5"/>
        <w:left w:val="single" w:sz="24" w:space="0" w:color="84ACB6" w:themeColor="accent5"/>
        <w:bottom w:val="single" w:sz="24" w:space="0" w:color="84ACB6" w:themeColor="accent5"/>
        <w:right w:val="single" w:sz="24" w:space="0" w:color="84ACB6" w:themeColor="accent5"/>
      </w:tblBorders>
    </w:tblPr>
    <w:tcPr>
      <w:shd w:val="clear" w:color="auto" w:fill="84ACB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610">
    <w:name w:val="Список-таблица 5 темная — акцент 61"/>
    <w:basedOn w:val="a4"/>
    <w:uiPriority w:val="50"/>
    <w:rsid w:val="004230D9"/>
    <w:pPr>
      <w:spacing w:after="0" w:line="240" w:lineRule="auto"/>
    </w:pPr>
    <w:rPr>
      <w:color w:val="FFFFFF" w:themeColor="background1"/>
    </w:rPr>
    <w:tblPr>
      <w:tblStyleRowBandSize w:val="1"/>
      <w:tblStyleColBandSize w:val="1"/>
      <w:tblBorders>
        <w:top w:val="single" w:sz="24" w:space="0" w:color="2683C6" w:themeColor="accent6"/>
        <w:left w:val="single" w:sz="24" w:space="0" w:color="2683C6" w:themeColor="accent6"/>
        <w:bottom w:val="single" w:sz="24" w:space="0" w:color="2683C6" w:themeColor="accent6"/>
        <w:right w:val="single" w:sz="24" w:space="0" w:color="2683C6" w:themeColor="accent6"/>
      </w:tblBorders>
    </w:tblPr>
    <w:tcPr>
      <w:shd w:val="clear" w:color="auto" w:fill="2683C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612">
    <w:name w:val="Список-таблица 6 цветная1"/>
    <w:basedOn w:val="a4"/>
    <w:uiPriority w:val="51"/>
    <w:rsid w:val="004230D9"/>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6110">
    <w:name w:val="Список-таблица 6 цветная — акцент 11"/>
    <w:basedOn w:val="a4"/>
    <w:uiPriority w:val="51"/>
    <w:rsid w:val="004230D9"/>
    <w:pPr>
      <w:spacing w:after="0" w:line="240" w:lineRule="auto"/>
    </w:pPr>
    <w:rPr>
      <w:color w:val="276E8B" w:themeColor="accent1" w:themeShade="BF"/>
    </w:rPr>
    <w:tblPr>
      <w:tblStyleRowBandSize w:val="1"/>
      <w:tblStyleColBandSize w:val="1"/>
      <w:tblBorders>
        <w:top w:val="single" w:sz="4" w:space="0" w:color="3494BA" w:themeColor="accent1"/>
        <w:bottom w:val="single" w:sz="4" w:space="0" w:color="3494BA" w:themeColor="accent1"/>
      </w:tblBorders>
    </w:tblPr>
    <w:tblStylePr w:type="firstRow">
      <w:rPr>
        <w:b/>
        <w:bCs/>
      </w:rPr>
      <w:tblPr/>
      <w:tcPr>
        <w:tcBorders>
          <w:bottom w:val="single" w:sz="4" w:space="0" w:color="3494BA" w:themeColor="accent1"/>
        </w:tcBorders>
      </w:tcPr>
    </w:tblStylePr>
    <w:tblStylePr w:type="lastRow">
      <w:rPr>
        <w:b/>
        <w:bCs/>
      </w:rPr>
      <w:tblPr/>
      <w:tcPr>
        <w:tcBorders>
          <w:top w:val="double" w:sz="4" w:space="0" w:color="3494BA" w:themeColor="accent1"/>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customStyle="1" w:styleId="-6210">
    <w:name w:val="Список-таблица 6 цветная — акцент 21"/>
    <w:basedOn w:val="a4"/>
    <w:uiPriority w:val="51"/>
    <w:rsid w:val="004230D9"/>
    <w:pPr>
      <w:spacing w:after="0" w:line="240" w:lineRule="auto"/>
    </w:pPr>
    <w:rPr>
      <w:color w:val="398E98" w:themeColor="accent2" w:themeShade="BF"/>
    </w:rPr>
    <w:tblPr>
      <w:tblStyleRowBandSize w:val="1"/>
      <w:tblStyleColBandSize w:val="1"/>
      <w:tblBorders>
        <w:top w:val="single" w:sz="4" w:space="0" w:color="58B6C0" w:themeColor="accent2"/>
        <w:bottom w:val="single" w:sz="4" w:space="0" w:color="58B6C0" w:themeColor="accent2"/>
      </w:tblBorders>
    </w:tblPr>
    <w:tblStylePr w:type="firstRow">
      <w:rPr>
        <w:b/>
        <w:bCs/>
      </w:rPr>
      <w:tblPr/>
      <w:tcPr>
        <w:tcBorders>
          <w:bottom w:val="single" w:sz="4" w:space="0" w:color="58B6C0" w:themeColor="accent2"/>
        </w:tcBorders>
      </w:tcPr>
    </w:tblStylePr>
    <w:tblStylePr w:type="lastRow">
      <w:rPr>
        <w:b/>
        <w:bCs/>
      </w:rPr>
      <w:tblPr/>
      <w:tcPr>
        <w:tcBorders>
          <w:top w:val="double" w:sz="4" w:space="0" w:color="58B6C0" w:themeColor="accent2"/>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customStyle="1" w:styleId="-6310">
    <w:name w:val="Список-таблица 6 цветная — акцент 31"/>
    <w:basedOn w:val="a4"/>
    <w:uiPriority w:val="51"/>
    <w:rsid w:val="004230D9"/>
    <w:pPr>
      <w:spacing w:after="0" w:line="240" w:lineRule="auto"/>
    </w:pPr>
    <w:rPr>
      <w:color w:val="4A9A82" w:themeColor="accent3" w:themeShade="BF"/>
    </w:rPr>
    <w:tblPr>
      <w:tblStyleRowBandSize w:val="1"/>
      <w:tblStyleColBandSize w:val="1"/>
      <w:tblBorders>
        <w:top w:val="single" w:sz="4" w:space="0" w:color="75BDA7" w:themeColor="accent3"/>
        <w:bottom w:val="single" w:sz="4" w:space="0" w:color="75BDA7" w:themeColor="accent3"/>
      </w:tblBorders>
    </w:tblPr>
    <w:tblStylePr w:type="firstRow">
      <w:rPr>
        <w:b/>
        <w:bCs/>
      </w:rPr>
      <w:tblPr/>
      <w:tcPr>
        <w:tcBorders>
          <w:bottom w:val="single" w:sz="4" w:space="0" w:color="75BDA7" w:themeColor="accent3"/>
        </w:tcBorders>
      </w:tcPr>
    </w:tblStylePr>
    <w:tblStylePr w:type="lastRow">
      <w:rPr>
        <w:b/>
        <w:bCs/>
      </w:rPr>
      <w:tblPr/>
      <w:tcPr>
        <w:tcBorders>
          <w:top w:val="double" w:sz="4" w:space="0" w:color="75BDA7" w:themeColor="accent3"/>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customStyle="1" w:styleId="-6410">
    <w:name w:val="Список-таблица 6 цветная — акцент 41"/>
    <w:basedOn w:val="a4"/>
    <w:uiPriority w:val="51"/>
    <w:rsid w:val="004230D9"/>
    <w:pPr>
      <w:spacing w:after="0" w:line="240" w:lineRule="auto"/>
    </w:pPr>
    <w:rPr>
      <w:color w:val="5A696A" w:themeColor="accent4" w:themeShade="BF"/>
    </w:rPr>
    <w:tblPr>
      <w:tblStyleRowBandSize w:val="1"/>
      <w:tblStyleColBandSize w:val="1"/>
      <w:tblBorders>
        <w:top w:val="single" w:sz="4" w:space="0" w:color="7A8C8E" w:themeColor="accent4"/>
        <w:bottom w:val="single" w:sz="4" w:space="0" w:color="7A8C8E" w:themeColor="accent4"/>
      </w:tblBorders>
    </w:tblPr>
    <w:tblStylePr w:type="firstRow">
      <w:rPr>
        <w:b/>
        <w:bCs/>
      </w:rPr>
      <w:tblPr/>
      <w:tcPr>
        <w:tcBorders>
          <w:bottom w:val="single" w:sz="4" w:space="0" w:color="7A8C8E" w:themeColor="accent4"/>
        </w:tcBorders>
      </w:tcPr>
    </w:tblStylePr>
    <w:tblStylePr w:type="lastRow">
      <w:rPr>
        <w:b/>
        <w:bCs/>
      </w:rPr>
      <w:tblPr/>
      <w:tcPr>
        <w:tcBorders>
          <w:top w:val="double" w:sz="4" w:space="0" w:color="7A8C8E" w:themeColor="accent4"/>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customStyle="1" w:styleId="-6510">
    <w:name w:val="Список-таблица 6 цветная — акцент 51"/>
    <w:basedOn w:val="a4"/>
    <w:uiPriority w:val="51"/>
    <w:rsid w:val="004230D9"/>
    <w:pPr>
      <w:spacing w:after="0" w:line="240" w:lineRule="auto"/>
    </w:pPr>
    <w:rPr>
      <w:color w:val="578793" w:themeColor="accent5" w:themeShade="BF"/>
    </w:rPr>
    <w:tblPr>
      <w:tblStyleRowBandSize w:val="1"/>
      <w:tblStyleColBandSize w:val="1"/>
      <w:tblBorders>
        <w:top w:val="single" w:sz="4" w:space="0" w:color="84ACB6" w:themeColor="accent5"/>
        <w:bottom w:val="single" w:sz="4" w:space="0" w:color="84ACB6" w:themeColor="accent5"/>
      </w:tblBorders>
    </w:tblPr>
    <w:tblStylePr w:type="firstRow">
      <w:rPr>
        <w:b/>
        <w:bCs/>
      </w:rPr>
      <w:tblPr/>
      <w:tcPr>
        <w:tcBorders>
          <w:bottom w:val="single" w:sz="4" w:space="0" w:color="84ACB6" w:themeColor="accent5"/>
        </w:tcBorders>
      </w:tcPr>
    </w:tblStylePr>
    <w:tblStylePr w:type="lastRow">
      <w:rPr>
        <w:b/>
        <w:bCs/>
      </w:rPr>
      <w:tblPr/>
      <w:tcPr>
        <w:tcBorders>
          <w:top w:val="double" w:sz="4" w:space="0" w:color="84ACB6" w:themeColor="accent5"/>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6610">
    <w:name w:val="Список-таблица 6 цветная — акцент 61"/>
    <w:basedOn w:val="a4"/>
    <w:uiPriority w:val="51"/>
    <w:rsid w:val="004230D9"/>
    <w:pPr>
      <w:spacing w:after="0" w:line="240" w:lineRule="auto"/>
    </w:pPr>
    <w:rPr>
      <w:color w:val="1C6194" w:themeColor="accent6" w:themeShade="BF"/>
    </w:rPr>
    <w:tblPr>
      <w:tblStyleRowBandSize w:val="1"/>
      <w:tblStyleColBandSize w:val="1"/>
      <w:tblBorders>
        <w:top w:val="single" w:sz="4" w:space="0" w:color="2683C6" w:themeColor="accent6"/>
        <w:bottom w:val="single" w:sz="4" w:space="0" w:color="2683C6" w:themeColor="accent6"/>
      </w:tblBorders>
    </w:tblPr>
    <w:tblStylePr w:type="firstRow">
      <w:rPr>
        <w:b/>
        <w:bCs/>
      </w:rPr>
      <w:tblPr/>
      <w:tcPr>
        <w:tcBorders>
          <w:bottom w:val="single" w:sz="4" w:space="0" w:color="2683C6" w:themeColor="accent6"/>
        </w:tcBorders>
      </w:tcPr>
    </w:tblStylePr>
    <w:tblStylePr w:type="lastRow">
      <w:rPr>
        <w:b/>
        <w:bCs/>
      </w:rPr>
      <w:tblPr/>
      <w:tcPr>
        <w:tcBorders>
          <w:top w:val="double" w:sz="4" w:space="0" w:color="2683C6" w:themeColor="accent6"/>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710">
    <w:name w:val="Список-таблица 7 цветная1"/>
    <w:basedOn w:val="a4"/>
    <w:uiPriority w:val="52"/>
    <w:rsid w:val="004230D9"/>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110">
    <w:name w:val="Список-таблица 7 цветная — акцент 11"/>
    <w:basedOn w:val="a4"/>
    <w:uiPriority w:val="52"/>
    <w:rsid w:val="004230D9"/>
    <w:pPr>
      <w:spacing w:after="0" w:line="240" w:lineRule="auto"/>
    </w:pPr>
    <w:rPr>
      <w:color w:val="276E8B"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494BA"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494BA"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494BA"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494BA" w:themeColor="accent1"/>
        </w:tcBorders>
        <w:shd w:val="clear" w:color="auto" w:fill="FFFFFF" w:themeFill="background1"/>
      </w:tcPr>
    </w:tblStylePr>
    <w:tblStylePr w:type="band1Vert">
      <w:tblPr/>
      <w:tcPr>
        <w:shd w:val="clear" w:color="auto" w:fill="D4EAF3" w:themeFill="accent1" w:themeFillTint="33"/>
      </w:tcPr>
    </w:tblStylePr>
    <w:tblStylePr w:type="band1Horz">
      <w:tblPr/>
      <w:tcPr>
        <w:shd w:val="clear" w:color="auto" w:fill="D4EA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210">
    <w:name w:val="Список-таблица 7 цветная — акцент 21"/>
    <w:basedOn w:val="a4"/>
    <w:uiPriority w:val="52"/>
    <w:rsid w:val="004230D9"/>
    <w:pPr>
      <w:spacing w:after="0" w:line="240" w:lineRule="auto"/>
    </w:pPr>
    <w:rPr>
      <w:color w:val="398E98"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8B6C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8B6C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8B6C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8B6C0" w:themeColor="accent2"/>
        </w:tcBorders>
        <w:shd w:val="clear" w:color="auto" w:fill="FFFFFF" w:themeFill="background1"/>
      </w:tcPr>
    </w:tblStylePr>
    <w:tblStylePr w:type="band1Vert">
      <w:tblPr/>
      <w:tcPr>
        <w:shd w:val="clear" w:color="auto" w:fill="DDF0F2" w:themeFill="accent2" w:themeFillTint="33"/>
      </w:tcPr>
    </w:tblStylePr>
    <w:tblStylePr w:type="band1Horz">
      <w:tblPr/>
      <w:tcPr>
        <w:shd w:val="clear" w:color="auto" w:fill="DDF0F2"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310">
    <w:name w:val="Список-таблица 7 цветная — акцент 31"/>
    <w:basedOn w:val="a4"/>
    <w:uiPriority w:val="52"/>
    <w:rsid w:val="004230D9"/>
    <w:pPr>
      <w:spacing w:after="0" w:line="240" w:lineRule="auto"/>
    </w:pPr>
    <w:rPr>
      <w:color w:val="4A9A8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5BDA7"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5BDA7"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5BDA7"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5BDA7" w:themeColor="accent3"/>
        </w:tcBorders>
        <w:shd w:val="clear" w:color="auto" w:fill="FFFFFF" w:themeFill="background1"/>
      </w:tcPr>
    </w:tblStylePr>
    <w:tblStylePr w:type="band1Vert">
      <w:tblPr/>
      <w:tcPr>
        <w:shd w:val="clear" w:color="auto" w:fill="E3F1ED" w:themeFill="accent3" w:themeFillTint="33"/>
      </w:tcPr>
    </w:tblStylePr>
    <w:tblStylePr w:type="band1Horz">
      <w:tblPr/>
      <w:tcPr>
        <w:shd w:val="clear" w:color="auto" w:fill="E3F1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410">
    <w:name w:val="Список-таблица 7 цветная — акцент 41"/>
    <w:basedOn w:val="a4"/>
    <w:uiPriority w:val="52"/>
    <w:rsid w:val="004230D9"/>
    <w:pPr>
      <w:spacing w:after="0" w:line="240" w:lineRule="auto"/>
    </w:pPr>
    <w:rPr>
      <w:color w:val="5A696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A8C8E"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A8C8E"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A8C8E"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A8C8E" w:themeColor="accent4"/>
        </w:tcBorders>
        <w:shd w:val="clear" w:color="auto" w:fill="FFFFFF" w:themeFill="background1"/>
      </w:tcPr>
    </w:tblStylePr>
    <w:tblStylePr w:type="band1Vert">
      <w:tblPr/>
      <w:tcPr>
        <w:shd w:val="clear" w:color="auto" w:fill="E4E7E8" w:themeFill="accent4" w:themeFillTint="33"/>
      </w:tcPr>
    </w:tblStylePr>
    <w:tblStylePr w:type="band1Horz">
      <w:tblPr/>
      <w:tcPr>
        <w:shd w:val="clear" w:color="auto" w:fill="E4E7E8"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10">
    <w:name w:val="Список-таблица 7 цветная — акцент 51"/>
    <w:basedOn w:val="a4"/>
    <w:uiPriority w:val="52"/>
    <w:rsid w:val="004230D9"/>
    <w:pPr>
      <w:spacing w:after="0" w:line="240" w:lineRule="auto"/>
    </w:pPr>
    <w:rPr>
      <w:color w:val="578793"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4ACB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4ACB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4ACB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4ACB6" w:themeColor="accent5"/>
        </w:tcBorders>
        <w:shd w:val="clear" w:color="auto" w:fill="FFFFFF" w:themeFill="background1"/>
      </w:tcPr>
    </w:tblStylePr>
    <w:tblStylePr w:type="band1Vert">
      <w:tblPr/>
      <w:tcPr>
        <w:shd w:val="clear" w:color="auto" w:fill="E6EEF0" w:themeFill="accent5" w:themeFillTint="33"/>
      </w:tcPr>
    </w:tblStylePr>
    <w:tblStylePr w:type="band1Horz">
      <w:tblPr/>
      <w:tcPr>
        <w:shd w:val="clear" w:color="auto" w:fill="E6EEF0"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0">
    <w:name w:val="Список-таблица 7 цветная — акцент 61"/>
    <w:basedOn w:val="a4"/>
    <w:uiPriority w:val="52"/>
    <w:rsid w:val="004230D9"/>
    <w:pPr>
      <w:spacing w:after="0" w:line="240" w:lineRule="auto"/>
    </w:pPr>
    <w:rPr>
      <w:color w:val="1C6194"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683C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683C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683C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683C6" w:themeColor="accent6"/>
        </w:tcBorders>
        <w:shd w:val="clear" w:color="auto" w:fill="FFFFFF" w:themeFill="background1"/>
      </w:tcPr>
    </w:tblStylePr>
    <w:tblStylePr w:type="band1Vert">
      <w:tblPr/>
      <w:tcPr>
        <w:shd w:val="clear" w:color="auto" w:fill="D0E6F6" w:themeFill="accent6" w:themeFillTint="33"/>
      </w:tcPr>
    </w:tblStylePr>
    <w:tblStylePr w:type="band1Horz">
      <w:tblPr/>
      <w:tcPr>
        <w:shd w:val="clear" w:color="auto" w:fill="D0E6F6"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3">
    <w:name w:val="Medium Grid 1"/>
    <w:basedOn w:val="a4"/>
    <w:uiPriority w:val="67"/>
    <w:semiHidden/>
    <w:unhideWhenUsed/>
    <w:rsid w:val="004230D9"/>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
    <w:name w:val="Medium Grid 1 Accent 1"/>
    <w:basedOn w:val="a4"/>
    <w:uiPriority w:val="67"/>
    <w:semiHidden/>
    <w:unhideWhenUsed/>
    <w:rsid w:val="004230D9"/>
    <w:pPr>
      <w:spacing w:after="0" w:line="240" w:lineRule="auto"/>
    </w:pPr>
    <w:tblPr>
      <w:tblStyleRowBandSize w:val="1"/>
      <w:tblStyleColBandSize w:val="1"/>
      <w:tblBorders>
        <w:top w:val="single" w:sz="8"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single" w:sz="8" w:space="0" w:color="5FB1D2" w:themeColor="accent1" w:themeTint="BF"/>
        <w:insideV w:val="single" w:sz="8" w:space="0" w:color="5FB1D2" w:themeColor="accent1" w:themeTint="BF"/>
      </w:tblBorders>
    </w:tblPr>
    <w:tcPr>
      <w:shd w:val="clear" w:color="auto" w:fill="CAE5F0" w:themeFill="accent1" w:themeFillTint="3F"/>
    </w:tcPr>
    <w:tblStylePr w:type="firstRow">
      <w:rPr>
        <w:b/>
        <w:bCs/>
      </w:rPr>
    </w:tblStylePr>
    <w:tblStylePr w:type="lastRow">
      <w:rPr>
        <w:b/>
        <w:bCs/>
      </w:rPr>
      <w:tblPr/>
      <w:tcPr>
        <w:tcBorders>
          <w:top w:val="single" w:sz="18" w:space="0" w:color="5FB1D2" w:themeColor="accent1" w:themeTint="BF"/>
        </w:tcBorders>
      </w:tcPr>
    </w:tblStylePr>
    <w:tblStylePr w:type="firstCol">
      <w:rPr>
        <w:b/>
        <w:bCs/>
      </w:rPr>
    </w:tblStylePr>
    <w:tblStylePr w:type="lastCol">
      <w:rPr>
        <w:b/>
        <w:bCs/>
      </w:rPr>
    </w:tblStylePr>
    <w:tblStylePr w:type="band1Vert">
      <w:tblPr/>
      <w:tcPr>
        <w:shd w:val="clear" w:color="auto" w:fill="94CBE1" w:themeFill="accent1" w:themeFillTint="7F"/>
      </w:tcPr>
    </w:tblStylePr>
    <w:tblStylePr w:type="band1Horz">
      <w:tblPr/>
      <w:tcPr>
        <w:shd w:val="clear" w:color="auto" w:fill="94CBE1" w:themeFill="accent1" w:themeFillTint="7F"/>
      </w:tcPr>
    </w:tblStylePr>
  </w:style>
  <w:style w:type="table" w:styleId="1-2">
    <w:name w:val="Medium Grid 1 Accent 2"/>
    <w:basedOn w:val="a4"/>
    <w:uiPriority w:val="67"/>
    <w:semiHidden/>
    <w:unhideWhenUsed/>
    <w:rsid w:val="004230D9"/>
    <w:pPr>
      <w:spacing w:after="0" w:line="240" w:lineRule="auto"/>
    </w:pPr>
    <w:tblPr>
      <w:tblStyleRowBandSize w:val="1"/>
      <w:tblStyleColBandSize w:val="1"/>
      <w:tblBorders>
        <w:top w:val="single" w:sz="8"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single" w:sz="8" w:space="0" w:color="81C8CF" w:themeColor="accent2" w:themeTint="BF"/>
        <w:insideV w:val="single" w:sz="8" w:space="0" w:color="81C8CF" w:themeColor="accent2" w:themeTint="BF"/>
      </w:tblBorders>
    </w:tblPr>
    <w:tcPr>
      <w:shd w:val="clear" w:color="auto" w:fill="D5ECEF" w:themeFill="accent2" w:themeFillTint="3F"/>
    </w:tcPr>
    <w:tblStylePr w:type="firstRow">
      <w:rPr>
        <w:b/>
        <w:bCs/>
      </w:rPr>
    </w:tblStylePr>
    <w:tblStylePr w:type="lastRow">
      <w:rPr>
        <w:b/>
        <w:bCs/>
      </w:rPr>
      <w:tblPr/>
      <w:tcPr>
        <w:tcBorders>
          <w:top w:val="single" w:sz="18" w:space="0" w:color="81C8CF" w:themeColor="accent2" w:themeTint="BF"/>
        </w:tcBorders>
      </w:tcPr>
    </w:tblStylePr>
    <w:tblStylePr w:type="firstCol">
      <w:rPr>
        <w:b/>
        <w:bCs/>
      </w:rPr>
    </w:tblStylePr>
    <w:tblStylePr w:type="lastCol">
      <w:rPr>
        <w:b/>
        <w:bCs/>
      </w:rPr>
    </w:tblStylePr>
    <w:tblStylePr w:type="band1Vert">
      <w:tblPr/>
      <w:tcPr>
        <w:shd w:val="clear" w:color="auto" w:fill="ABDADF" w:themeFill="accent2" w:themeFillTint="7F"/>
      </w:tcPr>
    </w:tblStylePr>
    <w:tblStylePr w:type="band1Horz">
      <w:tblPr/>
      <w:tcPr>
        <w:shd w:val="clear" w:color="auto" w:fill="ABDADF" w:themeFill="accent2" w:themeFillTint="7F"/>
      </w:tcPr>
    </w:tblStylePr>
  </w:style>
  <w:style w:type="table" w:styleId="1-3">
    <w:name w:val="Medium Grid 1 Accent 3"/>
    <w:basedOn w:val="a4"/>
    <w:uiPriority w:val="67"/>
    <w:semiHidden/>
    <w:unhideWhenUsed/>
    <w:rsid w:val="004230D9"/>
    <w:pPr>
      <w:spacing w:after="0" w:line="240" w:lineRule="auto"/>
    </w:pPr>
    <w:tblPr>
      <w:tblStyleRowBandSize w:val="1"/>
      <w:tblStyleColBandSize w:val="1"/>
      <w:tblBorders>
        <w:top w:val="single" w:sz="8"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single" w:sz="8" w:space="0" w:color="97CDBC" w:themeColor="accent3" w:themeTint="BF"/>
        <w:insideV w:val="single" w:sz="8" w:space="0" w:color="97CDBC" w:themeColor="accent3" w:themeTint="BF"/>
      </w:tblBorders>
    </w:tblPr>
    <w:tcPr>
      <w:shd w:val="clear" w:color="auto" w:fill="DCEEE9" w:themeFill="accent3" w:themeFillTint="3F"/>
    </w:tcPr>
    <w:tblStylePr w:type="firstRow">
      <w:rPr>
        <w:b/>
        <w:bCs/>
      </w:rPr>
    </w:tblStylePr>
    <w:tblStylePr w:type="lastRow">
      <w:rPr>
        <w:b/>
        <w:bCs/>
      </w:rPr>
      <w:tblPr/>
      <w:tcPr>
        <w:tcBorders>
          <w:top w:val="single" w:sz="18" w:space="0" w:color="97CDBC" w:themeColor="accent3" w:themeTint="BF"/>
        </w:tcBorders>
      </w:tcPr>
    </w:tblStylePr>
    <w:tblStylePr w:type="firstCol">
      <w:rPr>
        <w:b/>
        <w:bCs/>
      </w:rPr>
    </w:tblStylePr>
    <w:tblStylePr w:type="lastCol">
      <w:rPr>
        <w:b/>
        <w:bCs/>
      </w:rPr>
    </w:tblStylePr>
    <w:tblStylePr w:type="band1Vert">
      <w:tblPr/>
      <w:tcPr>
        <w:shd w:val="clear" w:color="auto" w:fill="BADED3" w:themeFill="accent3" w:themeFillTint="7F"/>
      </w:tcPr>
    </w:tblStylePr>
    <w:tblStylePr w:type="band1Horz">
      <w:tblPr/>
      <w:tcPr>
        <w:shd w:val="clear" w:color="auto" w:fill="BADED3" w:themeFill="accent3" w:themeFillTint="7F"/>
      </w:tcPr>
    </w:tblStylePr>
  </w:style>
  <w:style w:type="table" w:styleId="1-4">
    <w:name w:val="Medium Grid 1 Accent 4"/>
    <w:basedOn w:val="a4"/>
    <w:uiPriority w:val="67"/>
    <w:semiHidden/>
    <w:unhideWhenUsed/>
    <w:rsid w:val="004230D9"/>
    <w:pPr>
      <w:spacing w:after="0" w:line="240" w:lineRule="auto"/>
    </w:pPr>
    <w:tblPr>
      <w:tblStyleRowBandSize w:val="1"/>
      <w:tblStyleColBandSize w:val="1"/>
      <w:tblBorders>
        <w:top w:val="single" w:sz="8"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single" w:sz="8" w:space="0" w:color="9BA8AA" w:themeColor="accent4" w:themeTint="BF"/>
        <w:insideV w:val="single" w:sz="8" w:space="0" w:color="9BA8AA" w:themeColor="accent4" w:themeTint="BF"/>
      </w:tblBorders>
    </w:tblPr>
    <w:tcPr>
      <w:shd w:val="clear" w:color="auto" w:fill="DEE2E3" w:themeFill="accent4" w:themeFillTint="3F"/>
    </w:tcPr>
    <w:tblStylePr w:type="firstRow">
      <w:rPr>
        <w:b/>
        <w:bCs/>
      </w:rPr>
    </w:tblStylePr>
    <w:tblStylePr w:type="lastRow">
      <w:rPr>
        <w:b/>
        <w:bCs/>
      </w:rPr>
      <w:tblPr/>
      <w:tcPr>
        <w:tcBorders>
          <w:top w:val="single" w:sz="18" w:space="0" w:color="9BA8AA" w:themeColor="accent4" w:themeTint="BF"/>
        </w:tcBorders>
      </w:tcPr>
    </w:tblStylePr>
    <w:tblStylePr w:type="firstCol">
      <w:rPr>
        <w:b/>
        <w:bCs/>
      </w:rPr>
    </w:tblStylePr>
    <w:tblStylePr w:type="lastCol">
      <w:rPr>
        <w:b/>
        <w:bCs/>
      </w:rPr>
    </w:tblStylePr>
    <w:tblStylePr w:type="band1Vert">
      <w:tblPr/>
      <w:tcPr>
        <w:shd w:val="clear" w:color="auto" w:fill="BCC5C6" w:themeFill="accent4" w:themeFillTint="7F"/>
      </w:tcPr>
    </w:tblStylePr>
    <w:tblStylePr w:type="band1Horz">
      <w:tblPr/>
      <w:tcPr>
        <w:shd w:val="clear" w:color="auto" w:fill="BCC5C6" w:themeFill="accent4" w:themeFillTint="7F"/>
      </w:tcPr>
    </w:tblStylePr>
  </w:style>
  <w:style w:type="table" w:styleId="1-5">
    <w:name w:val="Medium Grid 1 Accent 5"/>
    <w:basedOn w:val="a4"/>
    <w:uiPriority w:val="67"/>
    <w:semiHidden/>
    <w:unhideWhenUsed/>
    <w:rsid w:val="004230D9"/>
    <w:pPr>
      <w:spacing w:after="0" w:line="240" w:lineRule="auto"/>
    </w:pPr>
    <w:tblPr>
      <w:tblStyleRowBandSize w:val="1"/>
      <w:tblStyleColBandSize w:val="1"/>
      <w:tblBorders>
        <w:top w:val="single" w:sz="8"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single" w:sz="8" w:space="0" w:color="A2C0C8" w:themeColor="accent5" w:themeTint="BF"/>
        <w:insideV w:val="single" w:sz="8" w:space="0" w:color="A2C0C8" w:themeColor="accent5" w:themeTint="BF"/>
      </w:tblBorders>
    </w:tblPr>
    <w:tcPr>
      <w:shd w:val="clear" w:color="auto" w:fill="E0EAED" w:themeFill="accent5" w:themeFillTint="3F"/>
    </w:tcPr>
    <w:tblStylePr w:type="firstRow">
      <w:rPr>
        <w:b/>
        <w:bCs/>
      </w:rPr>
    </w:tblStylePr>
    <w:tblStylePr w:type="lastRow">
      <w:rPr>
        <w:b/>
        <w:bCs/>
      </w:rPr>
      <w:tblPr/>
      <w:tcPr>
        <w:tcBorders>
          <w:top w:val="single" w:sz="18" w:space="0" w:color="A2C0C8" w:themeColor="accent5" w:themeTint="BF"/>
        </w:tcBorders>
      </w:tcPr>
    </w:tblStylePr>
    <w:tblStylePr w:type="firstCol">
      <w:rPr>
        <w:b/>
        <w:bCs/>
      </w:rPr>
    </w:tblStylePr>
    <w:tblStylePr w:type="lastCol">
      <w:rPr>
        <w:b/>
        <w:bCs/>
      </w:rPr>
    </w:tblStylePr>
    <w:tblStylePr w:type="band1Vert">
      <w:tblPr/>
      <w:tcPr>
        <w:shd w:val="clear" w:color="auto" w:fill="C1D5DA" w:themeFill="accent5" w:themeFillTint="7F"/>
      </w:tcPr>
    </w:tblStylePr>
    <w:tblStylePr w:type="band1Horz">
      <w:tblPr/>
      <w:tcPr>
        <w:shd w:val="clear" w:color="auto" w:fill="C1D5DA" w:themeFill="accent5" w:themeFillTint="7F"/>
      </w:tcPr>
    </w:tblStylePr>
  </w:style>
  <w:style w:type="table" w:styleId="1-6">
    <w:name w:val="Medium Grid 1 Accent 6"/>
    <w:basedOn w:val="a4"/>
    <w:uiPriority w:val="67"/>
    <w:semiHidden/>
    <w:unhideWhenUsed/>
    <w:rsid w:val="004230D9"/>
    <w:pPr>
      <w:spacing w:after="0" w:line="240" w:lineRule="auto"/>
    </w:pPr>
    <w:tblPr>
      <w:tblStyleRowBandSize w:val="1"/>
      <w:tblStyleColBandSize w:val="1"/>
      <w:tblBorders>
        <w:top w:val="single" w:sz="8"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single" w:sz="8" w:space="0" w:color="52A3DE" w:themeColor="accent6" w:themeTint="BF"/>
        <w:insideV w:val="single" w:sz="8" w:space="0" w:color="52A3DE" w:themeColor="accent6" w:themeTint="BF"/>
      </w:tblBorders>
    </w:tblPr>
    <w:tcPr>
      <w:shd w:val="clear" w:color="auto" w:fill="C5E0F4" w:themeFill="accent6" w:themeFillTint="3F"/>
    </w:tcPr>
    <w:tblStylePr w:type="firstRow">
      <w:rPr>
        <w:b/>
        <w:bCs/>
      </w:rPr>
    </w:tblStylePr>
    <w:tblStylePr w:type="lastRow">
      <w:rPr>
        <w:b/>
        <w:bCs/>
      </w:rPr>
      <w:tblPr/>
      <w:tcPr>
        <w:tcBorders>
          <w:top w:val="single" w:sz="18" w:space="0" w:color="52A3DE" w:themeColor="accent6" w:themeTint="BF"/>
        </w:tcBorders>
      </w:tcPr>
    </w:tblStylePr>
    <w:tblStylePr w:type="firstCol">
      <w:rPr>
        <w:b/>
        <w:bCs/>
      </w:rPr>
    </w:tblStylePr>
    <w:tblStylePr w:type="lastCol">
      <w:rPr>
        <w:b/>
        <w:bCs/>
      </w:rPr>
    </w:tblStylePr>
    <w:tblStylePr w:type="band1Vert">
      <w:tblPr/>
      <w:tcPr>
        <w:shd w:val="clear" w:color="auto" w:fill="8CC2E9" w:themeFill="accent6" w:themeFillTint="7F"/>
      </w:tcPr>
    </w:tblStylePr>
    <w:tblStylePr w:type="band1Horz">
      <w:tblPr/>
      <w:tcPr>
        <w:shd w:val="clear" w:color="auto" w:fill="8CC2E9" w:themeFill="accent6" w:themeFillTint="7F"/>
      </w:tcPr>
    </w:tblStylePr>
  </w:style>
  <w:style w:type="table" w:styleId="2f">
    <w:name w:val="Medium Grid 2"/>
    <w:basedOn w:val="a4"/>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
    <w:name w:val="Medium Grid 2 Accent 1"/>
    <w:basedOn w:val="a4"/>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3494BA" w:themeColor="accent1"/>
        <w:left w:val="single" w:sz="8" w:space="0" w:color="3494BA" w:themeColor="accent1"/>
        <w:bottom w:val="single" w:sz="8" w:space="0" w:color="3494BA" w:themeColor="accent1"/>
        <w:right w:val="single" w:sz="8" w:space="0" w:color="3494BA" w:themeColor="accent1"/>
        <w:insideH w:val="single" w:sz="8" w:space="0" w:color="3494BA" w:themeColor="accent1"/>
        <w:insideV w:val="single" w:sz="8" w:space="0" w:color="3494BA" w:themeColor="accent1"/>
      </w:tblBorders>
    </w:tblPr>
    <w:tcPr>
      <w:shd w:val="clear" w:color="auto" w:fill="CAE5F0" w:themeFill="accent1" w:themeFillTint="3F"/>
    </w:tcPr>
    <w:tblStylePr w:type="firstRow">
      <w:rPr>
        <w:b/>
        <w:bCs/>
        <w:color w:val="000000" w:themeColor="text1"/>
      </w:rPr>
      <w:tblPr/>
      <w:tcPr>
        <w:shd w:val="clear" w:color="auto" w:fill="EAF4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4EAF3" w:themeFill="accent1" w:themeFillTint="33"/>
      </w:tcPr>
    </w:tblStylePr>
    <w:tblStylePr w:type="band1Vert">
      <w:tblPr/>
      <w:tcPr>
        <w:shd w:val="clear" w:color="auto" w:fill="94CBE1" w:themeFill="accent1" w:themeFillTint="7F"/>
      </w:tcPr>
    </w:tblStylePr>
    <w:tblStylePr w:type="band1Horz">
      <w:tblPr/>
      <w:tcPr>
        <w:tcBorders>
          <w:insideH w:val="single" w:sz="6" w:space="0" w:color="3494BA" w:themeColor="accent1"/>
          <w:insideV w:val="single" w:sz="6" w:space="0" w:color="3494BA" w:themeColor="accent1"/>
        </w:tcBorders>
        <w:shd w:val="clear" w:color="auto" w:fill="94CBE1" w:themeFill="accent1" w:themeFillTint="7F"/>
      </w:tcPr>
    </w:tblStylePr>
    <w:tblStylePr w:type="nwCell">
      <w:tblPr/>
      <w:tcPr>
        <w:shd w:val="clear" w:color="auto" w:fill="FFFFFF" w:themeFill="background1"/>
      </w:tcPr>
    </w:tblStylePr>
  </w:style>
  <w:style w:type="table" w:styleId="2-2">
    <w:name w:val="Medium Grid 2 Accent 2"/>
    <w:basedOn w:val="a4"/>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58B6C0" w:themeColor="accent2"/>
        <w:left w:val="single" w:sz="8" w:space="0" w:color="58B6C0" w:themeColor="accent2"/>
        <w:bottom w:val="single" w:sz="8" w:space="0" w:color="58B6C0" w:themeColor="accent2"/>
        <w:right w:val="single" w:sz="8" w:space="0" w:color="58B6C0" w:themeColor="accent2"/>
        <w:insideH w:val="single" w:sz="8" w:space="0" w:color="58B6C0" w:themeColor="accent2"/>
        <w:insideV w:val="single" w:sz="8" w:space="0" w:color="58B6C0" w:themeColor="accent2"/>
      </w:tblBorders>
    </w:tblPr>
    <w:tcPr>
      <w:shd w:val="clear" w:color="auto" w:fill="D5ECEF" w:themeFill="accent2" w:themeFillTint="3F"/>
    </w:tcPr>
    <w:tblStylePr w:type="firstRow">
      <w:rPr>
        <w:b/>
        <w:bCs/>
        <w:color w:val="000000" w:themeColor="text1"/>
      </w:rPr>
      <w:tblPr/>
      <w:tcPr>
        <w:shd w:val="clear" w:color="auto" w:fill="EEF7F8"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F0F2" w:themeFill="accent2" w:themeFillTint="33"/>
      </w:tcPr>
    </w:tblStylePr>
    <w:tblStylePr w:type="band1Vert">
      <w:tblPr/>
      <w:tcPr>
        <w:shd w:val="clear" w:color="auto" w:fill="ABDADF" w:themeFill="accent2" w:themeFillTint="7F"/>
      </w:tcPr>
    </w:tblStylePr>
    <w:tblStylePr w:type="band1Horz">
      <w:tblPr/>
      <w:tcPr>
        <w:tcBorders>
          <w:insideH w:val="single" w:sz="6" w:space="0" w:color="58B6C0" w:themeColor="accent2"/>
          <w:insideV w:val="single" w:sz="6" w:space="0" w:color="58B6C0" w:themeColor="accent2"/>
        </w:tcBorders>
        <w:shd w:val="clear" w:color="auto" w:fill="ABDADF" w:themeFill="accent2" w:themeFillTint="7F"/>
      </w:tcPr>
    </w:tblStylePr>
    <w:tblStylePr w:type="nwCell">
      <w:tblPr/>
      <w:tcPr>
        <w:shd w:val="clear" w:color="auto" w:fill="FFFFFF" w:themeFill="background1"/>
      </w:tcPr>
    </w:tblStylePr>
  </w:style>
  <w:style w:type="table" w:styleId="2-3">
    <w:name w:val="Medium Grid 2 Accent 3"/>
    <w:basedOn w:val="a4"/>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75BDA7" w:themeColor="accent3"/>
        <w:left w:val="single" w:sz="8" w:space="0" w:color="75BDA7" w:themeColor="accent3"/>
        <w:bottom w:val="single" w:sz="8" w:space="0" w:color="75BDA7" w:themeColor="accent3"/>
        <w:right w:val="single" w:sz="8" w:space="0" w:color="75BDA7" w:themeColor="accent3"/>
        <w:insideH w:val="single" w:sz="8" w:space="0" w:color="75BDA7" w:themeColor="accent3"/>
        <w:insideV w:val="single" w:sz="8" w:space="0" w:color="75BDA7" w:themeColor="accent3"/>
      </w:tblBorders>
    </w:tblPr>
    <w:tcPr>
      <w:shd w:val="clear" w:color="auto" w:fill="DCEEE9" w:themeFill="accent3" w:themeFillTint="3F"/>
    </w:tcPr>
    <w:tblStylePr w:type="firstRow">
      <w:rPr>
        <w:b/>
        <w:bCs/>
        <w:color w:val="000000" w:themeColor="text1"/>
      </w:rPr>
      <w:tblPr/>
      <w:tcPr>
        <w:shd w:val="clear" w:color="auto" w:fill="F1F8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3F1ED" w:themeFill="accent3" w:themeFillTint="33"/>
      </w:tcPr>
    </w:tblStylePr>
    <w:tblStylePr w:type="band1Vert">
      <w:tblPr/>
      <w:tcPr>
        <w:shd w:val="clear" w:color="auto" w:fill="BADED3" w:themeFill="accent3" w:themeFillTint="7F"/>
      </w:tcPr>
    </w:tblStylePr>
    <w:tblStylePr w:type="band1Horz">
      <w:tblPr/>
      <w:tcPr>
        <w:tcBorders>
          <w:insideH w:val="single" w:sz="6" w:space="0" w:color="75BDA7" w:themeColor="accent3"/>
          <w:insideV w:val="single" w:sz="6" w:space="0" w:color="75BDA7" w:themeColor="accent3"/>
        </w:tcBorders>
        <w:shd w:val="clear" w:color="auto" w:fill="BADED3" w:themeFill="accent3" w:themeFillTint="7F"/>
      </w:tcPr>
    </w:tblStylePr>
    <w:tblStylePr w:type="nwCell">
      <w:tblPr/>
      <w:tcPr>
        <w:shd w:val="clear" w:color="auto" w:fill="FFFFFF" w:themeFill="background1"/>
      </w:tcPr>
    </w:tblStylePr>
  </w:style>
  <w:style w:type="table" w:styleId="2-4">
    <w:name w:val="Medium Grid 2 Accent 4"/>
    <w:basedOn w:val="a4"/>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7A8C8E" w:themeColor="accent4"/>
        <w:left w:val="single" w:sz="8" w:space="0" w:color="7A8C8E" w:themeColor="accent4"/>
        <w:bottom w:val="single" w:sz="8" w:space="0" w:color="7A8C8E" w:themeColor="accent4"/>
        <w:right w:val="single" w:sz="8" w:space="0" w:color="7A8C8E" w:themeColor="accent4"/>
        <w:insideH w:val="single" w:sz="8" w:space="0" w:color="7A8C8E" w:themeColor="accent4"/>
        <w:insideV w:val="single" w:sz="8" w:space="0" w:color="7A8C8E" w:themeColor="accent4"/>
      </w:tblBorders>
    </w:tblPr>
    <w:tcPr>
      <w:shd w:val="clear" w:color="auto" w:fill="DEE2E3" w:themeFill="accent4" w:themeFillTint="3F"/>
    </w:tcPr>
    <w:tblStylePr w:type="firstRow">
      <w:rPr>
        <w:b/>
        <w:bCs/>
        <w:color w:val="000000" w:themeColor="text1"/>
      </w:rPr>
      <w:tblPr/>
      <w:tcPr>
        <w:shd w:val="clear" w:color="auto" w:fill="F1F3F3"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4E7E8" w:themeFill="accent4" w:themeFillTint="33"/>
      </w:tcPr>
    </w:tblStylePr>
    <w:tblStylePr w:type="band1Vert">
      <w:tblPr/>
      <w:tcPr>
        <w:shd w:val="clear" w:color="auto" w:fill="BCC5C6" w:themeFill="accent4" w:themeFillTint="7F"/>
      </w:tcPr>
    </w:tblStylePr>
    <w:tblStylePr w:type="band1Horz">
      <w:tblPr/>
      <w:tcPr>
        <w:tcBorders>
          <w:insideH w:val="single" w:sz="6" w:space="0" w:color="7A8C8E" w:themeColor="accent4"/>
          <w:insideV w:val="single" w:sz="6" w:space="0" w:color="7A8C8E" w:themeColor="accent4"/>
        </w:tcBorders>
        <w:shd w:val="clear" w:color="auto" w:fill="BCC5C6" w:themeFill="accent4" w:themeFillTint="7F"/>
      </w:tcPr>
    </w:tblStylePr>
    <w:tblStylePr w:type="nwCell">
      <w:tblPr/>
      <w:tcPr>
        <w:shd w:val="clear" w:color="auto" w:fill="FFFFFF" w:themeFill="background1"/>
      </w:tcPr>
    </w:tblStylePr>
  </w:style>
  <w:style w:type="table" w:styleId="2-5">
    <w:name w:val="Medium Grid 2 Accent 5"/>
    <w:basedOn w:val="a4"/>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84ACB6" w:themeColor="accent5"/>
        <w:left w:val="single" w:sz="8" w:space="0" w:color="84ACB6" w:themeColor="accent5"/>
        <w:bottom w:val="single" w:sz="8" w:space="0" w:color="84ACB6" w:themeColor="accent5"/>
        <w:right w:val="single" w:sz="8" w:space="0" w:color="84ACB6" w:themeColor="accent5"/>
        <w:insideH w:val="single" w:sz="8" w:space="0" w:color="84ACB6" w:themeColor="accent5"/>
        <w:insideV w:val="single" w:sz="8" w:space="0" w:color="84ACB6" w:themeColor="accent5"/>
      </w:tblBorders>
    </w:tblPr>
    <w:tcPr>
      <w:shd w:val="clear" w:color="auto" w:fill="E0EAED" w:themeFill="accent5" w:themeFillTint="3F"/>
    </w:tcPr>
    <w:tblStylePr w:type="firstRow">
      <w:rPr>
        <w:b/>
        <w:bCs/>
        <w:color w:val="000000" w:themeColor="text1"/>
      </w:rPr>
      <w:tblPr/>
      <w:tcPr>
        <w:shd w:val="clear" w:color="auto" w:fill="F2F6F7"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EEF0" w:themeFill="accent5" w:themeFillTint="33"/>
      </w:tcPr>
    </w:tblStylePr>
    <w:tblStylePr w:type="band1Vert">
      <w:tblPr/>
      <w:tcPr>
        <w:shd w:val="clear" w:color="auto" w:fill="C1D5DA" w:themeFill="accent5" w:themeFillTint="7F"/>
      </w:tcPr>
    </w:tblStylePr>
    <w:tblStylePr w:type="band1Horz">
      <w:tblPr/>
      <w:tcPr>
        <w:tcBorders>
          <w:insideH w:val="single" w:sz="6" w:space="0" w:color="84ACB6" w:themeColor="accent5"/>
          <w:insideV w:val="single" w:sz="6" w:space="0" w:color="84ACB6" w:themeColor="accent5"/>
        </w:tcBorders>
        <w:shd w:val="clear" w:color="auto" w:fill="C1D5DA" w:themeFill="accent5" w:themeFillTint="7F"/>
      </w:tcPr>
    </w:tblStylePr>
    <w:tblStylePr w:type="nwCell">
      <w:tblPr/>
      <w:tcPr>
        <w:shd w:val="clear" w:color="auto" w:fill="FFFFFF" w:themeFill="background1"/>
      </w:tcPr>
    </w:tblStylePr>
  </w:style>
  <w:style w:type="table" w:styleId="2-6">
    <w:name w:val="Medium Grid 2 Accent 6"/>
    <w:basedOn w:val="a4"/>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2683C6" w:themeColor="accent6"/>
        <w:left w:val="single" w:sz="8" w:space="0" w:color="2683C6" w:themeColor="accent6"/>
        <w:bottom w:val="single" w:sz="8" w:space="0" w:color="2683C6" w:themeColor="accent6"/>
        <w:right w:val="single" w:sz="8" w:space="0" w:color="2683C6" w:themeColor="accent6"/>
        <w:insideH w:val="single" w:sz="8" w:space="0" w:color="2683C6" w:themeColor="accent6"/>
        <w:insideV w:val="single" w:sz="8" w:space="0" w:color="2683C6" w:themeColor="accent6"/>
      </w:tblBorders>
    </w:tblPr>
    <w:tcPr>
      <w:shd w:val="clear" w:color="auto" w:fill="C5E0F4" w:themeFill="accent6" w:themeFillTint="3F"/>
    </w:tcPr>
    <w:tblStylePr w:type="firstRow">
      <w:rPr>
        <w:b/>
        <w:bCs/>
        <w:color w:val="000000" w:themeColor="text1"/>
      </w:rPr>
      <w:tblPr/>
      <w:tcPr>
        <w:shd w:val="clear" w:color="auto" w:fill="E8F2FA"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0E6F6" w:themeFill="accent6" w:themeFillTint="33"/>
      </w:tcPr>
    </w:tblStylePr>
    <w:tblStylePr w:type="band1Vert">
      <w:tblPr/>
      <w:tcPr>
        <w:shd w:val="clear" w:color="auto" w:fill="8CC2E9" w:themeFill="accent6" w:themeFillTint="7F"/>
      </w:tcPr>
    </w:tblStylePr>
    <w:tblStylePr w:type="band1Horz">
      <w:tblPr/>
      <w:tcPr>
        <w:tcBorders>
          <w:insideH w:val="single" w:sz="6" w:space="0" w:color="2683C6" w:themeColor="accent6"/>
          <w:insideV w:val="single" w:sz="6" w:space="0" w:color="2683C6" w:themeColor="accent6"/>
        </w:tcBorders>
        <w:shd w:val="clear" w:color="auto" w:fill="8CC2E9" w:themeFill="accent6" w:themeFillTint="7F"/>
      </w:tcPr>
    </w:tblStylePr>
    <w:tblStylePr w:type="nwCell">
      <w:tblPr/>
      <w:tcPr>
        <w:shd w:val="clear" w:color="auto" w:fill="FFFFFF" w:themeFill="background1"/>
      </w:tcPr>
    </w:tblStylePr>
  </w:style>
  <w:style w:type="table" w:styleId="39">
    <w:name w:val="Medium Grid 3"/>
    <w:basedOn w:val="a4"/>
    <w:uiPriority w:val="69"/>
    <w:semiHidden/>
    <w:unhideWhenUsed/>
    <w:rsid w:val="004230D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4"/>
    <w:uiPriority w:val="69"/>
    <w:semiHidden/>
    <w:unhideWhenUsed/>
    <w:rsid w:val="004230D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AE5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494BA"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494BA"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494BA"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494BA"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4CB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4CBE1" w:themeFill="accent1" w:themeFillTint="7F"/>
      </w:tcPr>
    </w:tblStylePr>
  </w:style>
  <w:style w:type="table" w:styleId="3-2">
    <w:name w:val="Medium Grid 3 Accent 2"/>
    <w:basedOn w:val="a4"/>
    <w:uiPriority w:val="69"/>
    <w:semiHidden/>
    <w:unhideWhenUsed/>
    <w:rsid w:val="004230D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ECEF"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8B6C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8B6C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8B6C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8B6C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BDAD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BDADF" w:themeFill="accent2" w:themeFillTint="7F"/>
      </w:tcPr>
    </w:tblStylePr>
  </w:style>
  <w:style w:type="table" w:styleId="3-3">
    <w:name w:val="Medium Grid 3 Accent 3"/>
    <w:basedOn w:val="a4"/>
    <w:uiPriority w:val="69"/>
    <w:semiHidden/>
    <w:unhideWhenUsed/>
    <w:rsid w:val="004230D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CEEE9"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5BDA7"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5BDA7"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5BDA7"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5BDA7"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ADED3"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ADED3" w:themeFill="accent3" w:themeFillTint="7F"/>
      </w:tcPr>
    </w:tblStylePr>
  </w:style>
  <w:style w:type="table" w:styleId="3-4">
    <w:name w:val="Medium Grid 3 Accent 4"/>
    <w:basedOn w:val="a4"/>
    <w:uiPriority w:val="69"/>
    <w:semiHidden/>
    <w:unhideWhenUsed/>
    <w:rsid w:val="004230D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EE2E3"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A8C8E"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A8C8E"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A8C8E"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A8C8E"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CC5C6"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CC5C6" w:themeFill="accent4" w:themeFillTint="7F"/>
      </w:tcPr>
    </w:tblStylePr>
  </w:style>
  <w:style w:type="table" w:styleId="3-5">
    <w:name w:val="Medium Grid 3 Accent 5"/>
    <w:basedOn w:val="a4"/>
    <w:uiPriority w:val="69"/>
    <w:semiHidden/>
    <w:unhideWhenUsed/>
    <w:rsid w:val="004230D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0EAED"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4ACB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4ACB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4ACB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4ACB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1D5D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1D5DA" w:themeFill="accent5" w:themeFillTint="7F"/>
      </w:tcPr>
    </w:tblStylePr>
  </w:style>
  <w:style w:type="table" w:styleId="3-6">
    <w:name w:val="Medium Grid 3 Accent 6"/>
    <w:basedOn w:val="a4"/>
    <w:uiPriority w:val="69"/>
    <w:semiHidden/>
    <w:unhideWhenUsed/>
    <w:rsid w:val="004230D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5E0F4"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683C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683C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683C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683C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CC2E9"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CC2E9" w:themeFill="accent6" w:themeFillTint="7F"/>
      </w:tcPr>
    </w:tblStylePr>
  </w:style>
  <w:style w:type="table" w:styleId="14">
    <w:name w:val="Medium List 1"/>
    <w:basedOn w:val="a4"/>
    <w:uiPriority w:val="65"/>
    <w:semiHidden/>
    <w:unhideWhenUsed/>
    <w:rsid w:val="004230D9"/>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73545"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4"/>
    <w:uiPriority w:val="65"/>
    <w:semiHidden/>
    <w:unhideWhenUsed/>
    <w:rsid w:val="004230D9"/>
    <w:pPr>
      <w:spacing w:after="0" w:line="240" w:lineRule="auto"/>
    </w:pPr>
    <w:rPr>
      <w:color w:val="000000" w:themeColor="text1"/>
    </w:rPr>
    <w:tblPr>
      <w:tblStyleRowBandSize w:val="1"/>
      <w:tblStyleColBandSize w:val="1"/>
      <w:tblBorders>
        <w:top w:val="single" w:sz="8" w:space="0" w:color="3494BA" w:themeColor="accent1"/>
        <w:bottom w:val="single" w:sz="8" w:space="0" w:color="3494BA" w:themeColor="accent1"/>
      </w:tblBorders>
    </w:tblPr>
    <w:tblStylePr w:type="firstRow">
      <w:rPr>
        <w:rFonts w:asciiTheme="majorHAnsi" w:eastAsiaTheme="majorEastAsia" w:hAnsiTheme="majorHAnsi" w:cstheme="majorBidi"/>
      </w:rPr>
      <w:tblPr/>
      <w:tcPr>
        <w:tcBorders>
          <w:top w:val="nil"/>
          <w:bottom w:val="single" w:sz="8" w:space="0" w:color="3494BA" w:themeColor="accent1"/>
        </w:tcBorders>
      </w:tcPr>
    </w:tblStylePr>
    <w:tblStylePr w:type="lastRow">
      <w:rPr>
        <w:b/>
        <w:bCs/>
        <w:color w:val="373545" w:themeColor="text2"/>
      </w:rPr>
      <w:tblPr/>
      <w:tcPr>
        <w:tcBorders>
          <w:top w:val="single" w:sz="8" w:space="0" w:color="3494BA" w:themeColor="accent1"/>
          <w:bottom w:val="single" w:sz="8" w:space="0" w:color="3494BA" w:themeColor="accent1"/>
        </w:tcBorders>
      </w:tcPr>
    </w:tblStylePr>
    <w:tblStylePr w:type="firstCol">
      <w:rPr>
        <w:b/>
        <w:bCs/>
      </w:rPr>
    </w:tblStylePr>
    <w:tblStylePr w:type="lastCol">
      <w:rPr>
        <w:b/>
        <w:bCs/>
      </w:rPr>
      <w:tblPr/>
      <w:tcPr>
        <w:tcBorders>
          <w:top w:val="single" w:sz="8" w:space="0" w:color="3494BA" w:themeColor="accent1"/>
          <w:bottom w:val="single" w:sz="8" w:space="0" w:color="3494BA" w:themeColor="accent1"/>
        </w:tcBorders>
      </w:tcPr>
    </w:tblStylePr>
    <w:tblStylePr w:type="band1Vert">
      <w:tblPr/>
      <w:tcPr>
        <w:shd w:val="clear" w:color="auto" w:fill="CAE5F0" w:themeFill="accent1" w:themeFillTint="3F"/>
      </w:tcPr>
    </w:tblStylePr>
    <w:tblStylePr w:type="band1Horz">
      <w:tblPr/>
      <w:tcPr>
        <w:shd w:val="clear" w:color="auto" w:fill="CAE5F0" w:themeFill="accent1" w:themeFillTint="3F"/>
      </w:tcPr>
    </w:tblStylePr>
  </w:style>
  <w:style w:type="table" w:styleId="1-20">
    <w:name w:val="Medium List 1 Accent 2"/>
    <w:basedOn w:val="a4"/>
    <w:uiPriority w:val="65"/>
    <w:semiHidden/>
    <w:unhideWhenUsed/>
    <w:rsid w:val="004230D9"/>
    <w:pPr>
      <w:spacing w:after="0" w:line="240" w:lineRule="auto"/>
    </w:pPr>
    <w:rPr>
      <w:color w:val="000000" w:themeColor="text1"/>
    </w:rPr>
    <w:tblPr>
      <w:tblStyleRowBandSize w:val="1"/>
      <w:tblStyleColBandSize w:val="1"/>
      <w:tblBorders>
        <w:top w:val="single" w:sz="8" w:space="0" w:color="58B6C0" w:themeColor="accent2"/>
        <w:bottom w:val="single" w:sz="8" w:space="0" w:color="58B6C0" w:themeColor="accent2"/>
      </w:tblBorders>
    </w:tblPr>
    <w:tblStylePr w:type="firstRow">
      <w:rPr>
        <w:rFonts w:asciiTheme="majorHAnsi" w:eastAsiaTheme="majorEastAsia" w:hAnsiTheme="majorHAnsi" w:cstheme="majorBidi"/>
      </w:rPr>
      <w:tblPr/>
      <w:tcPr>
        <w:tcBorders>
          <w:top w:val="nil"/>
          <w:bottom w:val="single" w:sz="8" w:space="0" w:color="58B6C0" w:themeColor="accent2"/>
        </w:tcBorders>
      </w:tcPr>
    </w:tblStylePr>
    <w:tblStylePr w:type="lastRow">
      <w:rPr>
        <w:b/>
        <w:bCs/>
        <w:color w:val="373545" w:themeColor="text2"/>
      </w:rPr>
      <w:tblPr/>
      <w:tcPr>
        <w:tcBorders>
          <w:top w:val="single" w:sz="8" w:space="0" w:color="58B6C0" w:themeColor="accent2"/>
          <w:bottom w:val="single" w:sz="8" w:space="0" w:color="58B6C0" w:themeColor="accent2"/>
        </w:tcBorders>
      </w:tcPr>
    </w:tblStylePr>
    <w:tblStylePr w:type="firstCol">
      <w:rPr>
        <w:b/>
        <w:bCs/>
      </w:rPr>
    </w:tblStylePr>
    <w:tblStylePr w:type="lastCol">
      <w:rPr>
        <w:b/>
        <w:bCs/>
      </w:rPr>
      <w:tblPr/>
      <w:tcPr>
        <w:tcBorders>
          <w:top w:val="single" w:sz="8" w:space="0" w:color="58B6C0" w:themeColor="accent2"/>
          <w:bottom w:val="single" w:sz="8" w:space="0" w:color="58B6C0" w:themeColor="accent2"/>
        </w:tcBorders>
      </w:tcPr>
    </w:tblStylePr>
    <w:tblStylePr w:type="band1Vert">
      <w:tblPr/>
      <w:tcPr>
        <w:shd w:val="clear" w:color="auto" w:fill="D5ECEF" w:themeFill="accent2" w:themeFillTint="3F"/>
      </w:tcPr>
    </w:tblStylePr>
    <w:tblStylePr w:type="band1Horz">
      <w:tblPr/>
      <w:tcPr>
        <w:shd w:val="clear" w:color="auto" w:fill="D5ECEF" w:themeFill="accent2" w:themeFillTint="3F"/>
      </w:tcPr>
    </w:tblStylePr>
  </w:style>
  <w:style w:type="table" w:styleId="1-30">
    <w:name w:val="Medium List 1 Accent 3"/>
    <w:basedOn w:val="a4"/>
    <w:uiPriority w:val="65"/>
    <w:semiHidden/>
    <w:unhideWhenUsed/>
    <w:rsid w:val="004230D9"/>
    <w:pPr>
      <w:spacing w:after="0" w:line="240" w:lineRule="auto"/>
    </w:pPr>
    <w:rPr>
      <w:color w:val="000000" w:themeColor="text1"/>
    </w:rPr>
    <w:tblPr>
      <w:tblStyleRowBandSize w:val="1"/>
      <w:tblStyleColBandSize w:val="1"/>
      <w:tblBorders>
        <w:top w:val="single" w:sz="8" w:space="0" w:color="75BDA7" w:themeColor="accent3"/>
        <w:bottom w:val="single" w:sz="8" w:space="0" w:color="75BDA7" w:themeColor="accent3"/>
      </w:tblBorders>
    </w:tblPr>
    <w:tblStylePr w:type="firstRow">
      <w:rPr>
        <w:rFonts w:asciiTheme="majorHAnsi" w:eastAsiaTheme="majorEastAsia" w:hAnsiTheme="majorHAnsi" w:cstheme="majorBidi"/>
      </w:rPr>
      <w:tblPr/>
      <w:tcPr>
        <w:tcBorders>
          <w:top w:val="nil"/>
          <w:bottom w:val="single" w:sz="8" w:space="0" w:color="75BDA7" w:themeColor="accent3"/>
        </w:tcBorders>
      </w:tcPr>
    </w:tblStylePr>
    <w:tblStylePr w:type="lastRow">
      <w:rPr>
        <w:b/>
        <w:bCs/>
        <w:color w:val="373545" w:themeColor="text2"/>
      </w:rPr>
      <w:tblPr/>
      <w:tcPr>
        <w:tcBorders>
          <w:top w:val="single" w:sz="8" w:space="0" w:color="75BDA7" w:themeColor="accent3"/>
          <w:bottom w:val="single" w:sz="8" w:space="0" w:color="75BDA7" w:themeColor="accent3"/>
        </w:tcBorders>
      </w:tcPr>
    </w:tblStylePr>
    <w:tblStylePr w:type="firstCol">
      <w:rPr>
        <w:b/>
        <w:bCs/>
      </w:rPr>
    </w:tblStylePr>
    <w:tblStylePr w:type="lastCol">
      <w:rPr>
        <w:b/>
        <w:bCs/>
      </w:rPr>
      <w:tblPr/>
      <w:tcPr>
        <w:tcBorders>
          <w:top w:val="single" w:sz="8" w:space="0" w:color="75BDA7" w:themeColor="accent3"/>
          <w:bottom w:val="single" w:sz="8" w:space="0" w:color="75BDA7" w:themeColor="accent3"/>
        </w:tcBorders>
      </w:tcPr>
    </w:tblStylePr>
    <w:tblStylePr w:type="band1Vert">
      <w:tblPr/>
      <w:tcPr>
        <w:shd w:val="clear" w:color="auto" w:fill="DCEEE9" w:themeFill="accent3" w:themeFillTint="3F"/>
      </w:tcPr>
    </w:tblStylePr>
    <w:tblStylePr w:type="band1Horz">
      <w:tblPr/>
      <w:tcPr>
        <w:shd w:val="clear" w:color="auto" w:fill="DCEEE9" w:themeFill="accent3" w:themeFillTint="3F"/>
      </w:tcPr>
    </w:tblStylePr>
  </w:style>
  <w:style w:type="table" w:styleId="1-40">
    <w:name w:val="Medium List 1 Accent 4"/>
    <w:basedOn w:val="a4"/>
    <w:uiPriority w:val="65"/>
    <w:semiHidden/>
    <w:unhideWhenUsed/>
    <w:rsid w:val="004230D9"/>
    <w:pPr>
      <w:spacing w:after="0" w:line="240" w:lineRule="auto"/>
    </w:pPr>
    <w:rPr>
      <w:color w:val="000000" w:themeColor="text1"/>
    </w:rPr>
    <w:tblPr>
      <w:tblStyleRowBandSize w:val="1"/>
      <w:tblStyleColBandSize w:val="1"/>
      <w:tblBorders>
        <w:top w:val="single" w:sz="8" w:space="0" w:color="7A8C8E" w:themeColor="accent4"/>
        <w:bottom w:val="single" w:sz="8" w:space="0" w:color="7A8C8E" w:themeColor="accent4"/>
      </w:tblBorders>
    </w:tblPr>
    <w:tblStylePr w:type="firstRow">
      <w:rPr>
        <w:rFonts w:asciiTheme="majorHAnsi" w:eastAsiaTheme="majorEastAsia" w:hAnsiTheme="majorHAnsi" w:cstheme="majorBidi"/>
      </w:rPr>
      <w:tblPr/>
      <w:tcPr>
        <w:tcBorders>
          <w:top w:val="nil"/>
          <w:bottom w:val="single" w:sz="8" w:space="0" w:color="7A8C8E" w:themeColor="accent4"/>
        </w:tcBorders>
      </w:tcPr>
    </w:tblStylePr>
    <w:tblStylePr w:type="lastRow">
      <w:rPr>
        <w:b/>
        <w:bCs/>
        <w:color w:val="373545" w:themeColor="text2"/>
      </w:rPr>
      <w:tblPr/>
      <w:tcPr>
        <w:tcBorders>
          <w:top w:val="single" w:sz="8" w:space="0" w:color="7A8C8E" w:themeColor="accent4"/>
          <w:bottom w:val="single" w:sz="8" w:space="0" w:color="7A8C8E" w:themeColor="accent4"/>
        </w:tcBorders>
      </w:tcPr>
    </w:tblStylePr>
    <w:tblStylePr w:type="firstCol">
      <w:rPr>
        <w:b/>
        <w:bCs/>
      </w:rPr>
    </w:tblStylePr>
    <w:tblStylePr w:type="lastCol">
      <w:rPr>
        <w:b/>
        <w:bCs/>
      </w:rPr>
      <w:tblPr/>
      <w:tcPr>
        <w:tcBorders>
          <w:top w:val="single" w:sz="8" w:space="0" w:color="7A8C8E" w:themeColor="accent4"/>
          <w:bottom w:val="single" w:sz="8" w:space="0" w:color="7A8C8E" w:themeColor="accent4"/>
        </w:tcBorders>
      </w:tcPr>
    </w:tblStylePr>
    <w:tblStylePr w:type="band1Vert">
      <w:tblPr/>
      <w:tcPr>
        <w:shd w:val="clear" w:color="auto" w:fill="DEE2E3" w:themeFill="accent4" w:themeFillTint="3F"/>
      </w:tcPr>
    </w:tblStylePr>
    <w:tblStylePr w:type="band1Horz">
      <w:tblPr/>
      <w:tcPr>
        <w:shd w:val="clear" w:color="auto" w:fill="DEE2E3" w:themeFill="accent4" w:themeFillTint="3F"/>
      </w:tcPr>
    </w:tblStylePr>
  </w:style>
  <w:style w:type="table" w:styleId="1-50">
    <w:name w:val="Medium List 1 Accent 5"/>
    <w:basedOn w:val="a4"/>
    <w:uiPriority w:val="65"/>
    <w:semiHidden/>
    <w:unhideWhenUsed/>
    <w:rsid w:val="004230D9"/>
    <w:pPr>
      <w:spacing w:after="0" w:line="240" w:lineRule="auto"/>
    </w:pPr>
    <w:rPr>
      <w:color w:val="000000" w:themeColor="text1"/>
    </w:rPr>
    <w:tblPr>
      <w:tblStyleRowBandSize w:val="1"/>
      <w:tblStyleColBandSize w:val="1"/>
      <w:tblBorders>
        <w:top w:val="single" w:sz="8" w:space="0" w:color="84ACB6" w:themeColor="accent5"/>
        <w:bottom w:val="single" w:sz="8" w:space="0" w:color="84ACB6" w:themeColor="accent5"/>
      </w:tblBorders>
    </w:tblPr>
    <w:tblStylePr w:type="firstRow">
      <w:rPr>
        <w:rFonts w:asciiTheme="majorHAnsi" w:eastAsiaTheme="majorEastAsia" w:hAnsiTheme="majorHAnsi" w:cstheme="majorBidi"/>
      </w:rPr>
      <w:tblPr/>
      <w:tcPr>
        <w:tcBorders>
          <w:top w:val="nil"/>
          <w:bottom w:val="single" w:sz="8" w:space="0" w:color="84ACB6" w:themeColor="accent5"/>
        </w:tcBorders>
      </w:tcPr>
    </w:tblStylePr>
    <w:tblStylePr w:type="lastRow">
      <w:rPr>
        <w:b/>
        <w:bCs/>
        <w:color w:val="373545" w:themeColor="text2"/>
      </w:rPr>
      <w:tblPr/>
      <w:tcPr>
        <w:tcBorders>
          <w:top w:val="single" w:sz="8" w:space="0" w:color="84ACB6" w:themeColor="accent5"/>
          <w:bottom w:val="single" w:sz="8" w:space="0" w:color="84ACB6" w:themeColor="accent5"/>
        </w:tcBorders>
      </w:tcPr>
    </w:tblStylePr>
    <w:tblStylePr w:type="firstCol">
      <w:rPr>
        <w:b/>
        <w:bCs/>
      </w:rPr>
    </w:tblStylePr>
    <w:tblStylePr w:type="lastCol">
      <w:rPr>
        <w:b/>
        <w:bCs/>
      </w:rPr>
      <w:tblPr/>
      <w:tcPr>
        <w:tcBorders>
          <w:top w:val="single" w:sz="8" w:space="0" w:color="84ACB6" w:themeColor="accent5"/>
          <w:bottom w:val="single" w:sz="8" w:space="0" w:color="84ACB6" w:themeColor="accent5"/>
        </w:tcBorders>
      </w:tcPr>
    </w:tblStylePr>
    <w:tblStylePr w:type="band1Vert">
      <w:tblPr/>
      <w:tcPr>
        <w:shd w:val="clear" w:color="auto" w:fill="E0EAED" w:themeFill="accent5" w:themeFillTint="3F"/>
      </w:tcPr>
    </w:tblStylePr>
    <w:tblStylePr w:type="band1Horz">
      <w:tblPr/>
      <w:tcPr>
        <w:shd w:val="clear" w:color="auto" w:fill="E0EAED" w:themeFill="accent5" w:themeFillTint="3F"/>
      </w:tcPr>
    </w:tblStylePr>
  </w:style>
  <w:style w:type="table" w:styleId="1-60">
    <w:name w:val="Medium List 1 Accent 6"/>
    <w:basedOn w:val="a4"/>
    <w:uiPriority w:val="65"/>
    <w:semiHidden/>
    <w:unhideWhenUsed/>
    <w:rsid w:val="004230D9"/>
    <w:pPr>
      <w:spacing w:after="0" w:line="240" w:lineRule="auto"/>
    </w:pPr>
    <w:rPr>
      <w:color w:val="000000" w:themeColor="text1"/>
    </w:rPr>
    <w:tblPr>
      <w:tblStyleRowBandSize w:val="1"/>
      <w:tblStyleColBandSize w:val="1"/>
      <w:tblBorders>
        <w:top w:val="single" w:sz="8" w:space="0" w:color="2683C6" w:themeColor="accent6"/>
        <w:bottom w:val="single" w:sz="8" w:space="0" w:color="2683C6" w:themeColor="accent6"/>
      </w:tblBorders>
    </w:tblPr>
    <w:tblStylePr w:type="firstRow">
      <w:rPr>
        <w:rFonts w:asciiTheme="majorHAnsi" w:eastAsiaTheme="majorEastAsia" w:hAnsiTheme="majorHAnsi" w:cstheme="majorBidi"/>
      </w:rPr>
      <w:tblPr/>
      <w:tcPr>
        <w:tcBorders>
          <w:top w:val="nil"/>
          <w:bottom w:val="single" w:sz="8" w:space="0" w:color="2683C6" w:themeColor="accent6"/>
        </w:tcBorders>
      </w:tcPr>
    </w:tblStylePr>
    <w:tblStylePr w:type="lastRow">
      <w:rPr>
        <w:b/>
        <w:bCs/>
        <w:color w:val="373545" w:themeColor="text2"/>
      </w:rPr>
      <w:tblPr/>
      <w:tcPr>
        <w:tcBorders>
          <w:top w:val="single" w:sz="8" w:space="0" w:color="2683C6" w:themeColor="accent6"/>
          <w:bottom w:val="single" w:sz="8" w:space="0" w:color="2683C6" w:themeColor="accent6"/>
        </w:tcBorders>
      </w:tcPr>
    </w:tblStylePr>
    <w:tblStylePr w:type="firstCol">
      <w:rPr>
        <w:b/>
        <w:bCs/>
      </w:rPr>
    </w:tblStylePr>
    <w:tblStylePr w:type="lastCol">
      <w:rPr>
        <w:b/>
        <w:bCs/>
      </w:rPr>
      <w:tblPr/>
      <w:tcPr>
        <w:tcBorders>
          <w:top w:val="single" w:sz="8" w:space="0" w:color="2683C6" w:themeColor="accent6"/>
          <w:bottom w:val="single" w:sz="8" w:space="0" w:color="2683C6" w:themeColor="accent6"/>
        </w:tcBorders>
      </w:tcPr>
    </w:tblStylePr>
    <w:tblStylePr w:type="band1Vert">
      <w:tblPr/>
      <w:tcPr>
        <w:shd w:val="clear" w:color="auto" w:fill="C5E0F4" w:themeFill="accent6" w:themeFillTint="3F"/>
      </w:tcPr>
    </w:tblStylePr>
    <w:tblStylePr w:type="band1Horz">
      <w:tblPr/>
      <w:tcPr>
        <w:shd w:val="clear" w:color="auto" w:fill="C5E0F4" w:themeFill="accent6" w:themeFillTint="3F"/>
      </w:tcPr>
    </w:tblStylePr>
  </w:style>
  <w:style w:type="table" w:styleId="2f0">
    <w:name w:val="Medium List 2"/>
    <w:basedOn w:val="a4"/>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4"/>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3494BA" w:themeColor="accent1"/>
        <w:left w:val="single" w:sz="8" w:space="0" w:color="3494BA" w:themeColor="accent1"/>
        <w:bottom w:val="single" w:sz="8" w:space="0" w:color="3494BA" w:themeColor="accent1"/>
        <w:right w:val="single" w:sz="8" w:space="0" w:color="3494BA" w:themeColor="accent1"/>
      </w:tblBorders>
    </w:tblPr>
    <w:tblStylePr w:type="firstRow">
      <w:rPr>
        <w:sz w:val="24"/>
        <w:szCs w:val="24"/>
      </w:rPr>
      <w:tblPr/>
      <w:tcPr>
        <w:tcBorders>
          <w:top w:val="nil"/>
          <w:left w:val="nil"/>
          <w:bottom w:val="single" w:sz="24" w:space="0" w:color="3494BA"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494BA" w:themeColor="accent1"/>
          <w:insideH w:val="nil"/>
          <w:insideV w:val="nil"/>
        </w:tcBorders>
        <w:shd w:val="clear" w:color="auto" w:fill="FFFFFF" w:themeFill="background1"/>
      </w:tcPr>
    </w:tblStylePr>
    <w:tblStylePr w:type="lastCol">
      <w:tblPr/>
      <w:tcPr>
        <w:tcBorders>
          <w:top w:val="nil"/>
          <w:left w:val="single" w:sz="8" w:space="0" w:color="3494BA"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AE5F0" w:themeFill="accent1" w:themeFillTint="3F"/>
      </w:tcPr>
    </w:tblStylePr>
    <w:tblStylePr w:type="band1Horz">
      <w:tblPr/>
      <w:tcPr>
        <w:tcBorders>
          <w:top w:val="nil"/>
          <w:bottom w:val="nil"/>
          <w:insideH w:val="nil"/>
          <w:insideV w:val="nil"/>
        </w:tcBorders>
        <w:shd w:val="clear" w:color="auto" w:fill="CAE5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4"/>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58B6C0" w:themeColor="accent2"/>
        <w:left w:val="single" w:sz="8" w:space="0" w:color="58B6C0" w:themeColor="accent2"/>
        <w:bottom w:val="single" w:sz="8" w:space="0" w:color="58B6C0" w:themeColor="accent2"/>
        <w:right w:val="single" w:sz="8" w:space="0" w:color="58B6C0" w:themeColor="accent2"/>
      </w:tblBorders>
    </w:tblPr>
    <w:tblStylePr w:type="firstRow">
      <w:rPr>
        <w:sz w:val="24"/>
        <w:szCs w:val="24"/>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8B6C0" w:themeColor="accent2"/>
          <w:insideH w:val="nil"/>
          <w:insideV w:val="nil"/>
        </w:tcBorders>
        <w:shd w:val="clear" w:color="auto" w:fill="FFFFFF" w:themeFill="background1"/>
      </w:tcPr>
    </w:tblStylePr>
    <w:tblStylePr w:type="lastCol">
      <w:tblPr/>
      <w:tcPr>
        <w:tcBorders>
          <w:top w:val="nil"/>
          <w:left w:val="single" w:sz="8" w:space="0" w:color="58B6C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ECEF" w:themeFill="accent2" w:themeFillTint="3F"/>
      </w:tcPr>
    </w:tblStylePr>
    <w:tblStylePr w:type="band1Horz">
      <w:tblPr/>
      <w:tcPr>
        <w:tcBorders>
          <w:top w:val="nil"/>
          <w:bottom w:val="nil"/>
          <w:insideH w:val="nil"/>
          <w:insideV w:val="nil"/>
        </w:tcBorders>
        <w:shd w:val="clear" w:color="auto" w:fill="D5ECE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4"/>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75BDA7" w:themeColor="accent3"/>
        <w:left w:val="single" w:sz="8" w:space="0" w:color="75BDA7" w:themeColor="accent3"/>
        <w:bottom w:val="single" w:sz="8" w:space="0" w:color="75BDA7" w:themeColor="accent3"/>
        <w:right w:val="single" w:sz="8" w:space="0" w:color="75BDA7" w:themeColor="accent3"/>
      </w:tblBorders>
    </w:tblPr>
    <w:tblStylePr w:type="firstRow">
      <w:rPr>
        <w:sz w:val="24"/>
        <w:szCs w:val="24"/>
      </w:rPr>
      <w:tblPr/>
      <w:tcPr>
        <w:tcBorders>
          <w:top w:val="nil"/>
          <w:left w:val="nil"/>
          <w:bottom w:val="single" w:sz="24" w:space="0" w:color="75BDA7"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5BDA7" w:themeColor="accent3"/>
          <w:insideH w:val="nil"/>
          <w:insideV w:val="nil"/>
        </w:tcBorders>
        <w:shd w:val="clear" w:color="auto" w:fill="FFFFFF" w:themeFill="background1"/>
      </w:tcPr>
    </w:tblStylePr>
    <w:tblStylePr w:type="lastCol">
      <w:tblPr/>
      <w:tcPr>
        <w:tcBorders>
          <w:top w:val="nil"/>
          <w:left w:val="single" w:sz="8" w:space="0" w:color="75BDA7"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CEEE9" w:themeFill="accent3" w:themeFillTint="3F"/>
      </w:tcPr>
    </w:tblStylePr>
    <w:tblStylePr w:type="band1Horz">
      <w:tblPr/>
      <w:tcPr>
        <w:tcBorders>
          <w:top w:val="nil"/>
          <w:bottom w:val="nil"/>
          <w:insideH w:val="nil"/>
          <w:insideV w:val="nil"/>
        </w:tcBorders>
        <w:shd w:val="clear" w:color="auto" w:fill="DCEEE9"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4"/>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7A8C8E" w:themeColor="accent4"/>
        <w:left w:val="single" w:sz="8" w:space="0" w:color="7A8C8E" w:themeColor="accent4"/>
        <w:bottom w:val="single" w:sz="8" w:space="0" w:color="7A8C8E" w:themeColor="accent4"/>
        <w:right w:val="single" w:sz="8" w:space="0" w:color="7A8C8E" w:themeColor="accent4"/>
      </w:tblBorders>
    </w:tblPr>
    <w:tblStylePr w:type="firstRow">
      <w:rPr>
        <w:sz w:val="24"/>
        <w:szCs w:val="24"/>
      </w:rPr>
      <w:tblPr/>
      <w:tcPr>
        <w:tcBorders>
          <w:top w:val="nil"/>
          <w:left w:val="nil"/>
          <w:bottom w:val="single" w:sz="24" w:space="0" w:color="7A8C8E"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A8C8E" w:themeColor="accent4"/>
          <w:insideH w:val="nil"/>
          <w:insideV w:val="nil"/>
        </w:tcBorders>
        <w:shd w:val="clear" w:color="auto" w:fill="FFFFFF" w:themeFill="background1"/>
      </w:tcPr>
    </w:tblStylePr>
    <w:tblStylePr w:type="lastCol">
      <w:tblPr/>
      <w:tcPr>
        <w:tcBorders>
          <w:top w:val="nil"/>
          <w:left w:val="single" w:sz="8" w:space="0" w:color="7A8C8E"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EE2E3" w:themeFill="accent4" w:themeFillTint="3F"/>
      </w:tcPr>
    </w:tblStylePr>
    <w:tblStylePr w:type="band1Horz">
      <w:tblPr/>
      <w:tcPr>
        <w:tcBorders>
          <w:top w:val="nil"/>
          <w:bottom w:val="nil"/>
          <w:insideH w:val="nil"/>
          <w:insideV w:val="nil"/>
        </w:tcBorders>
        <w:shd w:val="clear" w:color="auto" w:fill="DEE2E3"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4"/>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84ACB6" w:themeColor="accent5"/>
        <w:left w:val="single" w:sz="8" w:space="0" w:color="84ACB6" w:themeColor="accent5"/>
        <w:bottom w:val="single" w:sz="8" w:space="0" w:color="84ACB6" w:themeColor="accent5"/>
        <w:right w:val="single" w:sz="8" w:space="0" w:color="84ACB6" w:themeColor="accent5"/>
      </w:tblBorders>
    </w:tblPr>
    <w:tblStylePr w:type="firstRow">
      <w:rPr>
        <w:sz w:val="24"/>
        <w:szCs w:val="24"/>
      </w:rPr>
      <w:tblPr/>
      <w:tcPr>
        <w:tcBorders>
          <w:top w:val="nil"/>
          <w:left w:val="nil"/>
          <w:bottom w:val="single" w:sz="24" w:space="0" w:color="84ACB6"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4ACB6" w:themeColor="accent5"/>
          <w:insideH w:val="nil"/>
          <w:insideV w:val="nil"/>
        </w:tcBorders>
        <w:shd w:val="clear" w:color="auto" w:fill="FFFFFF" w:themeFill="background1"/>
      </w:tcPr>
    </w:tblStylePr>
    <w:tblStylePr w:type="lastCol">
      <w:tblPr/>
      <w:tcPr>
        <w:tcBorders>
          <w:top w:val="nil"/>
          <w:left w:val="single" w:sz="8" w:space="0" w:color="84ACB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0EAED" w:themeFill="accent5" w:themeFillTint="3F"/>
      </w:tcPr>
    </w:tblStylePr>
    <w:tblStylePr w:type="band1Horz">
      <w:tblPr/>
      <w:tcPr>
        <w:tcBorders>
          <w:top w:val="nil"/>
          <w:bottom w:val="nil"/>
          <w:insideH w:val="nil"/>
          <w:insideV w:val="nil"/>
        </w:tcBorders>
        <w:shd w:val="clear" w:color="auto" w:fill="E0EAED"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4"/>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2683C6" w:themeColor="accent6"/>
        <w:left w:val="single" w:sz="8" w:space="0" w:color="2683C6" w:themeColor="accent6"/>
        <w:bottom w:val="single" w:sz="8" w:space="0" w:color="2683C6" w:themeColor="accent6"/>
        <w:right w:val="single" w:sz="8" w:space="0" w:color="2683C6" w:themeColor="accent6"/>
      </w:tblBorders>
    </w:tblPr>
    <w:tblStylePr w:type="firstRow">
      <w:rPr>
        <w:sz w:val="24"/>
        <w:szCs w:val="24"/>
      </w:rPr>
      <w:tblPr/>
      <w:tcPr>
        <w:tcBorders>
          <w:top w:val="nil"/>
          <w:left w:val="nil"/>
          <w:bottom w:val="single" w:sz="24" w:space="0" w:color="2683C6"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683C6" w:themeColor="accent6"/>
          <w:insideH w:val="nil"/>
          <w:insideV w:val="nil"/>
        </w:tcBorders>
        <w:shd w:val="clear" w:color="auto" w:fill="FFFFFF" w:themeFill="background1"/>
      </w:tcPr>
    </w:tblStylePr>
    <w:tblStylePr w:type="lastCol">
      <w:tblPr/>
      <w:tcPr>
        <w:tcBorders>
          <w:top w:val="nil"/>
          <w:left w:val="single" w:sz="8" w:space="0" w:color="2683C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5E0F4" w:themeFill="accent6" w:themeFillTint="3F"/>
      </w:tcPr>
    </w:tblStylePr>
    <w:tblStylePr w:type="band1Horz">
      <w:tblPr/>
      <w:tcPr>
        <w:tcBorders>
          <w:top w:val="nil"/>
          <w:bottom w:val="nil"/>
          <w:insideH w:val="nil"/>
          <w:insideV w:val="nil"/>
        </w:tcBorders>
        <w:shd w:val="clear" w:color="auto" w:fill="C5E0F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5">
    <w:name w:val="Medium Shading 1"/>
    <w:basedOn w:val="a4"/>
    <w:uiPriority w:val="63"/>
    <w:semiHidden/>
    <w:unhideWhenUsed/>
    <w:rsid w:val="004230D9"/>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1">
    <w:name w:val="Medium Shading 1 Accent 1"/>
    <w:basedOn w:val="a4"/>
    <w:uiPriority w:val="63"/>
    <w:semiHidden/>
    <w:unhideWhenUsed/>
    <w:rsid w:val="004230D9"/>
    <w:pPr>
      <w:spacing w:after="0" w:line="240" w:lineRule="auto"/>
    </w:pPr>
    <w:tblPr>
      <w:tblStyleRowBandSize w:val="1"/>
      <w:tblStyleColBandSize w:val="1"/>
      <w:tblBorders>
        <w:top w:val="single" w:sz="8"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single" w:sz="8" w:space="0" w:color="5FB1D2" w:themeColor="accent1" w:themeTint="BF"/>
      </w:tblBorders>
    </w:tblPr>
    <w:tblStylePr w:type="firstRow">
      <w:pPr>
        <w:spacing w:before="0" w:after="0" w:line="240" w:lineRule="auto"/>
      </w:pPr>
      <w:rPr>
        <w:b/>
        <w:bCs/>
        <w:color w:val="FFFFFF" w:themeColor="background1"/>
      </w:rPr>
      <w:tblPr/>
      <w:tcPr>
        <w:tcBorders>
          <w:top w:val="single" w:sz="8"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nil"/>
          <w:insideV w:val="nil"/>
        </w:tcBorders>
        <w:shd w:val="clear" w:color="auto" w:fill="3494BA" w:themeFill="accent1"/>
      </w:tcPr>
    </w:tblStylePr>
    <w:tblStylePr w:type="lastRow">
      <w:pPr>
        <w:spacing w:before="0" w:after="0" w:line="240" w:lineRule="auto"/>
      </w:pPr>
      <w:rPr>
        <w:b/>
        <w:bCs/>
      </w:rPr>
      <w:tblPr/>
      <w:tcPr>
        <w:tcBorders>
          <w:top w:val="double" w:sz="6"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AE5F0" w:themeFill="accent1" w:themeFillTint="3F"/>
      </w:tcPr>
    </w:tblStylePr>
    <w:tblStylePr w:type="band1Horz">
      <w:tblPr/>
      <w:tcPr>
        <w:tcBorders>
          <w:insideH w:val="nil"/>
          <w:insideV w:val="nil"/>
        </w:tcBorders>
        <w:shd w:val="clear" w:color="auto" w:fill="CAE5F0" w:themeFill="accent1" w:themeFillTint="3F"/>
      </w:tcPr>
    </w:tblStylePr>
    <w:tblStylePr w:type="band2Horz">
      <w:tblPr/>
      <w:tcPr>
        <w:tcBorders>
          <w:insideH w:val="nil"/>
          <w:insideV w:val="nil"/>
        </w:tcBorders>
      </w:tcPr>
    </w:tblStylePr>
  </w:style>
  <w:style w:type="table" w:styleId="1-21">
    <w:name w:val="Medium Shading 1 Accent 2"/>
    <w:basedOn w:val="a4"/>
    <w:uiPriority w:val="63"/>
    <w:semiHidden/>
    <w:unhideWhenUsed/>
    <w:rsid w:val="004230D9"/>
    <w:pPr>
      <w:spacing w:after="0" w:line="240" w:lineRule="auto"/>
    </w:pPr>
    <w:tblPr>
      <w:tblStyleRowBandSize w:val="1"/>
      <w:tblStyleColBandSize w:val="1"/>
      <w:tblBorders>
        <w:top w:val="single" w:sz="8"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single" w:sz="8" w:space="0" w:color="81C8CF" w:themeColor="accent2" w:themeTint="BF"/>
      </w:tblBorders>
    </w:tblPr>
    <w:tblStylePr w:type="firstRow">
      <w:pPr>
        <w:spacing w:before="0" w:after="0" w:line="240" w:lineRule="auto"/>
      </w:pPr>
      <w:rPr>
        <w:b/>
        <w:bCs/>
        <w:color w:val="FFFFFF" w:themeColor="background1"/>
      </w:rPr>
      <w:tblPr/>
      <w:tcPr>
        <w:tcBorders>
          <w:top w:val="single" w:sz="8"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nil"/>
          <w:insideV w:val="nil"/>
        </w:tcBorders>
        <w:shd w:val="clear" w:color="auto" w:fill="58B6C0" w:themeFill="accent2"/>
      </w:tcPr>
    </w:tblStylePr>
    <w:tblStylePr w:type="lastRow">
      <w:pPr>
        <w:spacing w:before="0" w:after="0" w:line="240" w:lineRule="auto"/>
      </w:pPr>
      <w:rPr>
        <w:b/>
        <w:bCs/>
      </w:rPr>
      <w:tblPr/>
      <w:tcPr>
        <w:tcBorders>
          <w:top w:val="double" w:sz="6"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nil"/>
          <w:insideV w:val="nil"/>
        </w:tcBorders>
      </w:tcPr>
    </w:tblStylePr>
    <w:tblStylePr w:type="firstCol">
      <w:rPr>
        <w:b/>
        <w:bCs/>
      </w:rPr>
    </w:tblStylePr>
    <w:tblStylePr w:type="lastCol">
      <w:rPr>
        <w:b/>
        <w:bCs/>
      </w:rPr>
    </w:tblStylePr>
    <w:tblStylePr w:type="band1Vert">
      <w:tblPr/>
      <w:tcPr>
        <w:shd w:val="clear" w:color="auto" w:fill="D5ECEF" w:themeFill="accent2" w:themeFillTint="3F"/>
      </w:tcPr>
    </w:tblStylePr>
    <w:tblStylePr w:type="band1Horz">
      <w:tblPr/>
      <w:tcPr>
        <w:tcBorders>
          <w:insideH w:val="nil"/>
          <w:insideV w:val="nil"/>
        </w:tcBorders>
        <w:shd w:val="clear" w:color="auto" w:fill="D5ECEF" w:themeFill="accent2" w:themeFillTint="3F"/>
      </w:tcPr>
    </w:tblStylePr>
    <w:tblStylePr w:type="band2Horz">
      <w:tblPr/>
      <w:tcPr>
        <w:tcBorders>
          <w:insideH w:val="nil"/>
          <w:insideV w:val="nil"/>
        </w:tcBorders>
      </w:tcPr>
    </w:tblStylePr>
  </w:style>
  <w:style w:type="table" w:styleId="1-31">
    <w:name w:val="Medium Shading 1 Accent 3"/>
    <w:basedOn w:val="a4"/>
    <w:uiPriority w:val="63"/>
    <w:semiHidden/>
    <w:unhideWhenUsed/>
    <w:rsid w:val="004230D9"/>
    <w:pPr>
      <w:spacing w:after="0" w:line="240" w:lineRule="auto"/>
    </w:pPr>
    <w:tblPr>
      <w:tblStyleRowBandSize w:val="1"/>
      <w:tblStyleColBandSize w:val="1"/>
      <w:tblBorders>
        <w:top w:val="single" w:sz="8"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single" w:sz="8" w:space="0" w:color="97CDBC" w:themeColor="accent3" w:themeTint="BF"/>
      </w:tblBorders>
    </w:tblPr>
    <w:tblStylePr w:type="firstRow">
      <w:pPr>
        <w:spacing w:before="0" w:after="0" w:line="240" w:lineRule="auto"/>
      </w:pPr>
      <w:rPr>
        <w:b/>
        <w:bCs/>
        <w:color w:val="FFFFFF" w:themeColor="background1"/>
      </w:rPr>
      <w:tblPr/>
      <w:tcPr>
        <w:tcBorders>
          <w:top w:val="single" w:sz="8"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nil"/>
          <w:insideV w:val="nil"/>
        </w:tcBorders>
        <w:shd w:val="clear" w:color="auto" w:fill="75BDA7" w:themeFill="accent3"/>
      </w:tcPr>
    </w:tblStylePr>
    <w:tblStylePr w:type="lastRow">
      <w:pPr>
        <w:spacing w:before="0" w:after="0" w:line="240" w:lineRule="auto"/>
      </w:pPr>
      <w:rPr>
        <w:b/>
        <w:bCs/>
      </w:rPr>
      <w:tblPr/>
      <w:tcPr>
        <w:tcBorders>
          <w:top w:val="double" w:sz="6"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nil"/>
          <w:insideV w:val="nil"/>
        </w:tcBorders>
      </w:tcPr>
    </w:tblStylePr>
    <w:tblStylePr w:type="firstCol">
      <w:rPr>
        <w:b/>
        <w:bCs/>
      </w:rPr>
    </w:tblStylePr>
    <w:tblStylePr w:type="lastCol">
      <w:rPr>
        <w:b/>
        <w:bCs/>
      </w:rPr>
    </w:tblStylePr>
    <w:tblStylePr w:type="band1Vert">
      <w:tblPr/>
      <w:tcPr>
        <w:shd w:val="clear" w:color="auto" w:fill="DCEEE9" w:themeFill="accent3" w:themeFillTint="3F"/>
      </w:tcPr>
    </w:tblStylePr>
    <w:tblStylePr w:type="band1Horz">
      <w:tblPr/>
      <w:tcPr>
        <w:tcBorders>
          <w:insideH w:val="nil"/>
          <w:insideV w:val="nil"/>
        </w:tcBorders>
        <w:shd w:val="clear" w:color="auto" w:fill="DCEEE9" w:themeFill="accent3" w:themeFillTint="3F"/>
      </w:tcPr>
    </w:tblStylePr>
    <w:tblStylePr w:type="band2Horz">
      <w:tblPr/>
      <w:tcPr>
        <w:tcBorders>
          <w:insideH w:val="nil"/>
          <w:insideV w:val="nil"/>
        </w:tcBorders>
      </w:tcPr>
    </w:tblStylePr>
  </w:style>
  <w:style w:type="table" w:styleId="1-41">
    <w:name w:val="Medium Shading 1 Accent 4"/>
    <w:basedOn w:val="a4"/>
    <w:uiPriority w:val="63"/>
    <w:semiHidden/>
    <w:unhideWhenUsed/>
    <w:rsid w:val="004230D9"/>
    <w:pPr>
      <w:spacing w:after="0" w:line="240" w:lineRule="auto"/>
    </w:pPr>
    <w:tblPr>
      <w:tblStyleRowBandSize w:val="1"/>
      <w:tblStyleColBandSize w:val="1"/>
      <w:tblBorders>
        <w:top w:val="single" w:sz="8"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single" w:sz="8" w:space="0" w:color="9BA8AA" w:themeColor="accent4" w:themeTint="BF"/>
      </w:tblBorders>
    </w:tblPr>
    <w:tblStylePr w:type="firstRow">
      <w:pPr>
        <w:spacing w:before="0" w:after="0" w:line="240" w:lineRule="auto"/>
      </w:pPr>
      <w:rPr>
        <w:b/>
        <w:bCs/>
        <w:color w:val="FFFFFF" w:themeColor="background1"/>
      </w:rPr>
      <w:tblPr/>
      <w:tcPr>
        <w:tcBorders>
          <w:top w:val="single" w:sz="8"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nil"/>
          <w:insideV w:val="nil"/>
        </w:tcBorders>
        <w:shd w:val="clear" w:color="auto" w:fill="7A8C8E" w:themeFill="accent4"/>
      </w:tcPr>
    </w:tblStylePr>
    <w:tblStylePr w:type="lastRow">
      <w:pPr>
        <w:spacing w:before="0" w:after="0" w:line="240" w:lineRule="auto"/>
      </w:pPr>
      <w:rPr>
        <w:b/>
        <w:bCs/>
      </w:rPr>
      <w:tblPr/>
      <w:tcPr>
        <w:tcBorders>
          <w:top w:val="double" w:sz="6"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nil"/>
          <w:insideV w:val="nil"/>
        </w:tcBorders>
      </w:tcPr>
    </w:tblStylePr>
    <w:tblStylePr w:type="firstCol">
      <w:rPr>
        <w:b/>
        <w:bCs/>
      </w:rPr>
    </w:tblStylePr>
    <w:tblStylePr w:type="lastCol">
      <w:rPr>
        <w:b/>
        <w:bCs/>
      </w:rPr>
    </w:tblStylePr>
    <w:tblStylePr w:type="band1Vert">
      <w:tblPr/>
      <w:tcPr>
        <w:shd w:val="clear" w:color="auto" w:fill="DEE2E3" w:themeFill="accent4" w:themeFillTint="3F"/>
      </w:tcPr>
    </w:tblStylePr>
    <w:tblStylePr w:type="band1Horz">
      <w:tblPr/>
      <w:tcPr>
        <w:tcBorders>
          <w:insideH w:val="nil"/>
          <w:insideV w:val="nil"/>
        </w:tcBorders>
        <w:shd w:val="clear" w:color="auto" w:fill="DEE2E3" w:themeFill="accent4" w:themeFillTint="3F"/>
      </w:tcPr>
    </w:tblStylePr>
    <w:tblStylePr w:type="band2Horz">
      <w:tblPr/>
      <w:tcPr>
        <w:tcBorders>
          <w:insideH w:val="nil"/>
          <w:insideV w:val="nil"/>
        </w:tcBorders>
      </w:tcPr>
    </w:tblStylePr>
  </w:style>
  <w:style w:type="table" w:styleId="1-51">
    <w:name w:val="Medium Shading 1 Accent 5"/>
    <w:basedOn w:val="a4"/>
    <w:uiPriority w:val="63"/>
    <w:semiHidden/>
    <w:unhideWhenUsed/>
    <w:rsid w:val="004230D9"/>
    <w:pPr>
      <w:spacing w:after="0" w:line="240" w:lineRule="auto"/>
    </w:pPr>
    <w:tblPr>
      <w:tblStyleRowBandSize w:val="1"/>
      <w:tblStyleColBandSize w:val="1"/>
      <w:tblBorders>
        <w:top w:val="single" w:sz="8"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single" w:sz="8" w:space="0" w:color="A2C0C8" w:themeColor="accent5" w:themeTint="BF"/>
      </w:tblBorders>
    </w:tblPr>
    <w:tblStylePr w:type="firstRow">
      <w:pPr>
        <w:spacing w:before="0" w:after="0" w:line="240" w:lineRule="auto"/>
      </w:pPr>
      <w:rPr>
        <w:b/>
        <w:bCs/>
        <w:color w:val="FFFFFF" w:themeColor="background1"/>
      </w:rPr>
      <w:tblPr/>
      <w:tcPr>
        <w:tcBorders>
          <w:top w:val="single" w:sz="8"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nil"/>
          <w:insideV w:val="nil"/>
        </w:tcBorders>
        <w:shd w:val="clear" w:color="auto" w:fill="84ACB6" w:themeFill="accent5"/>
      </w:tcPr>
    </w:tblStylePr>
    <w:tblStylePr w:type="lastRow">
      <w:pPr>
        <w:spacing w:before="0" w:after="0" w:line="240" w:lineRule="auto"/>
      </w:pPr>
      <w:rPr>
        <w:b/>
        <w:bCs/>
      </w:rPr>
      <w:tblPr/>
      <w:tcPr>
        <w:tcBorders>
          <w:top w:val="double" w:sz="6"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nil"/>
          <w:insideV w:val="nil"/>
        </w:tcBorders>
      </w:tcPr>
    </w:tblStylePr>
    <w:tblStylePr w:type="firstCol">
      <w:rPr>
        <w:b/>
        <w:bCs/>
      </w:rPr>
    </w:tblStylePr>
    <w:tblStylePr w:type="lastCol">
      <w:rPr>
        <w:b/>
        <w:bCs/>
      </w:rPr>
    </w:tblStylePr>
    <w:tblStylePr w:type="band1Vert">
      <w:tblPr/>
      <w:tcPr>
        <w:shd w:val="clear" w:color="auto" w:fill="E0EAED" w:themeFill="accent5" w:themeFillTint="3F"/>
      </w:tcPr>
    </w:tblStylePr>
    <w:tblStylePr w:type="band1Horz">
      <w:tblPr/>
      <w:tcPr>
        <w:tcBorders>
          <w:insideH w:val="nil"/>
          <w:insideV w:val="nil"/>
        </w:tcBorders>
        <w:shd w:val="clear" w:color="auto" w:fill="E0EAED" w:themeFill="accent5" w:themeFillTint="3F"/>
      </w:tcPr>
    </w:tblStylePr>
    <w:tblStylePr w:type="band2Horz">
      <w:tblPr/>
      <w:tcPr>
        <w:tcBorders>
          <w:insideH w:val="nil"/>
          <w:insideV w:val="nil"/>
        </w:tcBorders>
      </w:tcPr>
    </w:tblStylePr>
  </w:style>
  <w:style w:type="table" w:styleId="1-61">
    <w:name w:val="Medium Shading 1 Accent 6"/>
    <w:basedOn w:val="a4"/>
    <w:uiPriority w:val="63"/>
    <w:semiHidden/>
    <w:unhideWhenUsed/>
    <w:rsid w:val="004230D9"/>
    <w:pPr>
      <w:spacing w:after="0" w:line="240" w:lineRule="auto"/>
    </w:pPr>
    <w:tblPr>
      <w:tblStyleRowBandSize w:val="1"/>
      <w:tblStyleColBandSize w:val="1"/>
      <w:tblBorders>
        <w:top w:val="single" w:sz="8"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single" w:sz="8" w:space="0" w:color="52A3DE" w:themeColor="accent6" w:themeTint="BF"/>
      </w:tblBorders>
    </w:tblPr>
    <w:tblStylePr w:type="firstRow">
      <w:pPr>
        <w:spacing w:before="0" w:after="0" w:line="240" w:lineRule="auto"/>
      </w:pPr>
      <w:rPr>
        <w:b/>
        <w:bCs/>
        <w:color w:val="FFFFFF" w:themeColor="background1"/>
      </w:rPr>
      <w:tblPr/>
      <w:tcPr>
        <w:tcBorders>
          <w:top w:val="single" w:sz="8"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nil"/>
          <w:insideV w:val="nil"/>
        </w:tcBorders>
        <w:shd w:val="clear" w:color="auto" w:fill="2683C6" w:themeFill="accent6"/>
      </w:tcPr>
    </w:tblStylePr>
    <w:tblStylePr w:type="lastRow">
      <w:pPr>
        <w:spacing w:before="0" w:after="0" w:line="240" w:lineRule="auto"/>
      </w:pPr>
      <w:rPr>
        <w:b/>
        <w:bCs/>
      </w:rPr>
      <w:tblPr/>
      <w:tcPr>
        <w:tcBorders>
          <w:top w:val="double" w:sz="6"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nil"/>
          <w:insideV w:val="nil"/>
        </w:tcBorders>
      </w:tcPr>
    </w:tblStylePr>
    <w:tblStylePr w:type="firstCol">
      <w:rPr>
        <w:b/>
        <w:bCs/>
      </w:rPr>
    </w:tblStylePr>
    <w:tblStylePr w:type="lastCol">
      <w:rPr>
        <w:b/>
        <w:bCs/>
      </w:rPr>
    </w:tblStylePr>
    <w:tblStylePr w:type="band1Vert">
      <w:tblPr/>
      <w:tcPr>
        <w:shd w:val="clear" w:color="auto" w:fill="C5E0F4" w:themeFill="accent6" w:themeFillTint="3F"/>
      </w:tcPr>
    </w:tblStylePr>
    <w:tblStylePr w:type="band1Horz">
      <w:tblPr/>
      <w:tcPr>
        <w:tcBorders>
          <w:insideH w:val="nil"/>
          <w:insideV w:val="nil"/>
        </w:tcBorders>
        <w:shd w:val="clear" w:color="auto" w:fill="C5E0F4" w:themeFill="accent6" w:themeFillTint="3F"/>
      </w:tcPr>
    </w:tblStylePr>
    <w:tblStylePr w:type="band2Horz">
      <w:tblPr/>
      <w:tcPr>
        <w:tcBorders>
          <w:insideH w:val="nil"/>
          <w:insideV w:val="nil"/>
        </w:tcBorders>
      </w:tcPr>
    </w:tblStylePr>
  </w:style>
  <w:style w:type="table" w:styleId="2f1">
    <w:name w:val="Medium Shading 2"/>
    <w:basedOn w:val="a4"/>
    <w:uiPriority w:val="64"/>
    <w:semiHidden/>
    <w:unhideWhenUsed/>
    <w:rsid w:val="004230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11">
    <w:name w:val="Medium Shading 2 Accent 1"/>
    <w:basedOn w:val="a4"/>
    <w:uiPriority w:val="64"/>
    <w:semiHidden/>
    <w:unhideWhenUsed/>
    <w:rsid w:val="004230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494BA"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494BA" w:themeFill="accent1"/>
      </w:tcPr>
    </w:tblStylePr>
    <w:tblStylePr w:type="lastCol">
      <w:rPr>
        <w:b/>
        <w:bCs/>
        <w:color w:val="FFFFFF" w:themeColor="background1"/>
      </w:rPr>
      <w:tblPr/>
      <w:tcPr>
        <w:tcBorders>
          <w:left w:val="nil"/>
          <w:right w:val="nil"/>
          <w:insideH w:val="nil"/>
          <w:insideV w:val="nil"/>
        </w:tcBorders>
        <w:shd w:val="clear" w:color="auto" w:fill="3494BA"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21">
    <w:name w:val="Medium Shading 2 Accent 2"/>
    <w:basedOn w:val="a4"/>
    <w:uiPriority w:val="64"/>
    <w:semiHidden/>
    <w:unhideWhenUsed/>
    <w:rsid w:val="004230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8B6C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8B6C0" w:themeFill="accent2"/>
      </w:tcPr>
    </w:tblStylePr>
    <w:tblStylePr w:type="lastCol">
      <w:rPr>
        <w:b/>
        <w:bCs/>
        <w:color w:val="FFFFFF" w:themeColor="background1"/>
      </w:rPr>
      <w:tblPr/>
      <w:tcPr>
        <w:tcBorders>
          <w:left w:val="nil"/>
          <w:right w:val="nil"/>
          <w:insideH w:val="nil"/>
          <w:insideV w:val="nil"/>
        </w:tcBorders>
        <w:shd w:val="clear" w:color="auto" w:fill="58B6C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31">
    <w:name w:val="Medium Shading 2 Accent 3"/>
    <w:basedOn w:val="a4"/>
    <w:uiPriority w:val="64"/>
    <w:semiHidden/>
    <w:unhideWhenUsed/>
    <w:rsid w:val="004230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5BDA7"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5BDA7" w:themeFill="accent3"/>
      </w:tcPr>
    </w:tblStylePr>
    <w:tblStylePr w:type="lastCol">
      <w:rPr>
        <w:b/>
        <w:bCs/>
        <w:color w:val="FFFFFF" w:themeColor="background1"/>
      </w:rPr>
      <w:tblPr/>
      <w:tcPr>
        <w:tcBorders>
          <w:left w:val="nil"/>
          <w:right w:val="nil"/>
          <w:insideH w:val="nil"/>
          <w:insideV w:val="nil"/>
        </w:tcBorders>
        <w:shd w:val="clear" w:color="auto" w:fill="75BDA7"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41">
    <w:name w:val="Medium Shading 2 Accent 4"/>
    <w:basedOn w:val="a4"/>
    <w:uiPriority w:val="64"/>
    <w:semiHidden/>
    <w:unhideWhenUsed/>
    <w:rsid w:val="004230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A8C8E"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A8C8E" w:themeFill="accent4"/>
      </w:tcPr>
    </w:tblStylePr>
    <w:tblStylePr w:type="lastCol">
      <w:rPr>
        <w:b/>
        <w:bCs/>
        <w:color w:val="FFFFFF" w:themeColor="background1"/>
      </w:rPr>
      <w:tblPr/>
      <w:tcPr>
        <w:tcBorders>
          <w:left w:val="nil"/>
          <w:right w:val="nil"/>
          <w:insideH w:val="nil"/>
          <w:insideV w:val="nil"/>
        </w:tcBorders>
        <w:shd w:val="clear" w:color="auto" w:fill="7A8C8E"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51">
    <w:name w:val="Medium Shading 2 Accent 5"/>
    <w:basedOn w:val="a4"/>
    <w:uiPriority w:val="64"/>
    <w:semiHidden/>
    <w:unhideWhenUsed/>
    <w:rsid w:val="004230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4ACB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4ACB6" w:themeFill="accent5"/>
      </w:tcPr>
    </w:tblStylePr>
    <w:tblStylePr w:type="lastCol">
      <w:rPr>
        <w:b/>
        <w:bCs/>
        <w:color w:val="FFFFFF" w:themeColor="background1"/>
      </w:rPr>
      <w:tblPr/>
      <w:tcPr>
        <w:tcBorders>
          <w:left w:val="nil"/>
          <w:right w:val="nil"/>
          <w:insideH w:val="nil"/>
          <w:insideV w:val="nil"/>
        </w:tcBorders>
        <w:shd w:val="clear" w:color="auto" w:fill="84ACB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61">
    <w:name w:val="Medium Shading 2 Accent 6"/>
    <w:basedOn w:val="a4"/>
    <w:uiPriority w:val="64"/>
    <w:semiHidden/>
    <w:unhideWhenUsed/>
    <w:rsid w:val="004230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683C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683C6" w:themeFill="accent6"/>
      </w:tcPr>
    </w:tblStylePr>
    <w:tblStylePr w:type="lastCol">
      <w:rPr>
        <w:b/>
        <w:bCs/>
        <w:color w:val="FFFFFF" w:themeColor="background1"/>
      </w:rPr>
      <w:tblPr/>
      <w:tcPr>
        <w:tcBorders>
          <w:left w:val="nil"/>
          <w:right w:val="nil"/>
          <w:insideH w:val="nil"/>
          <w:insideV w:val="nil"/>
        </w:tcBorders>
        <w:shd w:val="clear" w:color="auto" w:fill="2683C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afffff3">
    <w:name w:val="No Spacing"/>
    <w:uiPriority w:val="1"/>
    <w:semiHidden/>
    <w:unhideWhenUsed/>
    <w:qFormat/>
    <w:rsid w:val="004230D9"/>
    <w:pPr>
      <w:spacing w:after="0" w:line="240" w:lineRule="auto"/>
    </w:pPr>
    <w:rPr>
      <w:rFonts w:ascii="Times New Roman" w:hAnsi="Times New Roman"/>
    </w:rPr>
  </w:style>
  <w:style w:type="paragraph" w:styleId="afffff4">
    <w:name w:val="Normal (Web)"/>
    <w:basedOn w:val="a2"/>
    <w:uiPriority w:val="99"/>
    <w:unhideWhenUsed/>
    <w:rsid w:val="004230D9"/>
  </w:style>
  <w:style w:type="paragraph" w:styleId="afffff5">
    <w:name w:val="Normal Indent"/>
    <w:basedOn w:val="a2"/>
    <w:uiPriority w:val="99"/>
    <w:semiHidden/>
    <w:unhideWhenUsed/>
    <w:rsid w:val="004230D9"/>
    <w:pPr>
      <w:ind w:left="708"/>
    </w:pPr>
  </w:style>
  <w:style w:type="character" w:styleId="afffff6">
    <w:name w:val="page number"/>
    <w:basedOn w:val="a3"/>
    <w:uiPriority w:val="99"/>
    <w:semiHidden/>
    <w:unhideWhenUsed/>
    <w:rsid w:val="004230D9"/>
    <w:rPr>
      <w:rFonts w:ascii="Times New Roman" w:hAnsi="Times New Roman" w:cs="Times New Roman"/>
    </w:rPr>
  </w:style>
  <w:style w:type="table" w:customStyle="1" w:styleId="110">
    <w:name w:val="Таблица простая 11"/>
    <w:basedOn w:val="a4"/>
    <w:uiPriority w:val="41"/>
    <w:rsid w:val="004230D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210">
    <w:name w:val="Таблица простая 21"/>
    <w:basedOn w:val="a4"/>
    <w:uiPriority w:val="42"/>
    <w:rsid w:val="004230D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310">
    <w:name w:val="Таблица простая 31"/>
    <w:basedOn w:val="a4"/>
    <w:uiPriority w:val="43"/>
    <w:rsid w:val="004230D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410">
    <w:name w:val="Таблица простая 41"/>
    <w:basedOn w:val="a4"/>
    <w:uiPriority w:val="44"/>
    <w:rsid w:val="004230D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510">
    <w:name w:val="Таблица простая 51"/>
    <w:basedOn w:val="a4"/>
    <w:uiPriority w:val="45"/>
    <w:rsid w:val="004230D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6">
    <w:name w:val="Table 3D effects 1"/>
    <w:basedOn w:val="a4"/>
    <w:uiPriority w:val="99"/>
    <w:semiHidden/>
    <w:unhideWhenUsed/>
    <w:rsid w:val="004230D9"/>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2">
    <w:name w:val="Table 3D effects 2"/>
    <w:basedOn w:val="a4"/>
    <w:uiPriority w:val="99"/>
    <w:semiHidden/>
    <w:unhideWhenUsed/>
    <w:rsid w:val="004230D9"/>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3D effects 3"/>
    <w:basedOn w:val="a4"/>
    <w:uiPriority w:val="99"/>
    <w:semiHidden/>
    <w:unhideWhenUsed/>
    <w:rsid w:val="004230D9"/>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7">
    <w:name w:val="Table Classic 1"/>
    <w:basedOn w:val="a4"/>
    <w:uiPriority w:val="99"/>
    <w:semiHidden/>
    <w:unhideWhenUsed/>
    <w:rsid w:val="004230D9"/>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3">
    <w:name w:val="Table Classic 2"/>
    <w:basedOn w:val="a4"/>
    <w:uiPriority w:val="99"/>
    <w:semiHidden/>
    <w:unhideWhenUsed/>
    <w:rsid w:val="004230D9"/>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b">
    <w:name w:val="Table Classic 3"/>
    <w:basedOn w:val="a4"/>
    <w:uiPriority w:val="99"/>
    <w:semiHidden/>
    <w:unhideWhenUsed/>
    <w:rsid w:val="004230D9"/>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6">
    <w:name w:val="Table Classic 4"/>
    <w:basedOn w:val="a4"/>
    <w:uiPriority w:val="99"/>
    <w:semiHidden/>
    <w:unhideWhenUsed/>
    <w:rsid w:val="004230D9"/>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8">
    <w:name w:val="Table Colorful 1"/>
    <w:basedOn w:val="a4"/>
    <w:uiPriority w:val="99"/>
    <w:semiHidden/>
    <w:unhideWhenUsed/>
    <w:rsid w:val="004230D9"/>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4">
    <w:name w:val="Table Colorful 2"/>
    <w:basedOn w:val="a4"/>
    <w:uiPriority w:val="99"/>
    <w:semiHidden/>
    <w:unhideWhenUsed/>
    <w:rsid w:val="004230D9"/>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c">
    <w:name w:val="Table Colorful 3"/>
    <w:basedOn w:val="a4"/>
    <w:uiPriority w:val="99"/>
    <w:semiHidden/>
    <w:unhideWhenUsed/>
    <w:rsid w:val="004230D9"/>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9">
    <w:name w:val="Table Columns 1"/>
    <w:basedOn w:val="a4"/>
    <w:uiPriority w:val="99"/>
    <w:semiHidden/>
    <w:unhideWhenUsed/>
    <w:rsid w:val="004230D9"/>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5">
    <w:name w:val="Table Columns 2"/>
    <w:basedOn w:val="a4"/>
    <w:uiPriority w:val="99"/>
    <w:semiHidden/>
    <w:unhideWhenUsed/>
    <w:rsid w:val="004230D9"/>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
    <w:name w:val="Table Columns 3"/>
    <w:basedOn w:val="a4"/>
    <w:uiPriority w:val="99"/>
    <w:semiHidden/>
    <w:unhideWhenUsed/>
    <w:rsid w:val="004230D9"/>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7">
    <w:name w:val="Table Columns 4"/>
    <w:basedOn w:val="a4"/>
    <w:uiPriority w:val="99"/>
    <w:semiHidden/>
    <w:unhideWhenUsed/>
    <w:rsid w:val="004230D9"/>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6">
    <w:name w:val="Table Columns 5"/>
    <w:basedOn w:val="a4"/>
    <w:uiPriority w:val="99"/>
    <w:semiHidden/>
    <w:unhideWhenUsed/>
    <w:rsid w:val="004230D9"/>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ff7">
    <w:name w:val="Table Contemporary"/>
    <w:basedOn w:val="a4"/>
    <w:uiPriority w:val="99"/>
    <w:semiHidden/>
    <w:unhideWhenUsed/>
    <w:rsid w:val="004230D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8">
    <w:name w:val="Table Elegant"/>
    <w:basedOn w:val="a4"/>
    <w:uiPriority w:val="99"/>
    <w:semiHidden/>
    <w:unhideWhenUsed/>
    <w:rsid w:val="004230D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fff9">
    <w:name w:val="Table Grid"/>
    <w:basedOn w:val="a4"/>
    <w:uiPriority w:val="59"/>
    <w:rsid w:val="004230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a">
    <w:name w:val="Table Grid 1"/>
    <w:basedOn w:val="a4"/>
    <w:uiPriority w:val="99"/>
    <w:semiHidden/>
    <w:unhideWhenUsed/>
    <w:rsid w:val="004230D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6">
    <w:name w:val="Table Grid 2"/>
    <w:basedOn w:val="a4"/>
    <w:uiPriority w:val="99"/>
    <w:semiHidden/>
    <w:unhideWhenUsed/>
    <w:rsid w:val="004230D9"/>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e">
    <w:name w:val="Table Grid 3"/>
    <w:basedOn w:val="a4"/>
    <w:uiPriority w:val="99"/>
    <w:semiHidden/>
    <w:unhideWhenUsed/>
    <w:rsid w:val="004230D9"/>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8">
    <w:name w:val="Table Grid 4"/>
    <w:basedOn w:val="a4"/>
    <w:uiPriority w:val="99"/>
    <w:semiHidden/>
    <w:unhideWhenUsed/>
    <w:rsid w:val="004230D9"/>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7">
    <w:name w:val="Table Grid 5"/>
    <w:basedOn w:val="a4"/>
    <w:uiPriority w:val="99"/>
    <w:semiHidden/>
    <w:unhideWhenUsed/>
    <w:rsid w:val="004230D9"/>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2">
    <w:name w:val="Table Grid 6"/>
    <w:basedOn w:val="a4"/>
    <w:uiPriority w:val="99"/>
    <w:semiHidden/>
    <w:unhideWhenUsed/>
    <w:rsid w:val="004230D9"/>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4"/>
    <w:uiPriority w:val="99"/>
    <w:semiHidden/>
    <w:unhideWhenUsed/>
    <w:rsid w:val="004230D9"/>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4"/>
    <w:uiPriority w:val="99"/>
    <w:semiHidden/>
    <w:unhideWhenUsed/>
    <w:rsid w:val="004230D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b">
    <w:name w:val="Сетка таблицы светлая1"/>
    <w:basedOn w:val="a4"/>
    <w:uiPriority w:val="40"/>
    <w:rsid w:val="004230D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6">
    <w:name w:val="Table List 1"/>
    <w:basedOn w:val="a4"/>
    <w:uiPriority w:val="99"/>
    <w:semiHidden/>
    <w:unhideWhenUsed/>
    <w:rsid w:val="004230D9"/>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6">
    <w:name w:val="Table List 2"/>
    <w:basedOn w:val="a4"/>
    <w:uiPriority w:val="99"/>
    <w:semiHidden/>
    <w:unhideWhenUsed/>
    <w:rsid w:val="004230D9"/>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6">
    <w:name w:val="Table List 3"/>
    <w:basedOn w:val="a4"/>
    <w:uiPriority w:val="99"/>
    <w:semiHidden/>
    <w:unhideWhenUsed/>
    <w:rsid w:val="004230D9"/>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6">
    <w:name w:val="Table List 4"/>
    <w:basedOn w:val="a4"/>
    <w:uiPriority w:val="99"/>
    <w:semiHidden/>
    <w:unhideWhenUsed/>
    <w:rsid w:val="004230D9"/>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6">
    <w:name w:val="Table List 5"/>
    <w:basedOn w:val="a4"/>
    <w:uiPriority w:val="99"/>
    <w:semiHidden/>
    <w:unhideWhenUsed/>
    <w:rsid w:val="004230D9"/>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6">
    <w:name w:val="Table List 6"/>
    <w:basedOn w:val="a4"/>
    <w:uiPriority w:val="99"/>
    <w:semiHidden/>
    <w:unhideWhenUsed/>
    <w:rsid w:val="004230D9"/>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4"/>
    <w:uiPriority w:val="99"/>
    <w:semiHidden/>
    <w:unhideWhenUsed/>
    <w:rsid w:val="004230D9"/>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uiPriority w:val="99"/>
    <w:semiHidden/>
    <w:unhideWhenUsed/>
    <w:rsid w:val="004230D9"/>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afffffa">
    <w:name w:val="table of authorities"/>
    <w:basedOn w:val="a2"/>
    <w:next w:val="a2"/>
    <w:uiPriority w:val="99"/>
    <w:semiHidden/>
    <w:unhideWhenUsed/>
    <w:rsid w:val="004230D9"/>
    <w:pPr>
      <w:ind w:left="240" w:hanging="240"/>
    </w:pPr>
  </w:style>
  <w:style w:type="paragraph" w:styleId="afffffb">
    <w:name w:val="table of figures"/>
    <w:basedOn w:val="a2"/>
    <w:next w:val="a2"/>
    <w:uiPriority w:val="99"/>
    <w:semiHidden/>
    <w:unhideWhenUsed/>
    <w:rsid w:val="004230D9"/>
  </w:style>
  <w:style w:type="table" w:styleId="afffffc">
    <w:name w:val="Table Professional"/>
    <w:basedOn w:val="a4"/>
    <w:uiPriority w:val="99"/>
    <w:semiHidden/>
    <w:unhideWhenUsed/>
    <w:rsid w:val="004230D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c">
    <w:name w:val="Table Simple 1"/>
    <w:basedOn w:val="a4"/>
    <w:uiPriority w:val="99"/>
    <w:semiHidden/>
    <w:unhideWhenUsed/>
    <w:rsid w:val="004230D9"/>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4"/>
    <w:uiPriority w:val="99"/>
    <w:semiHidden/>
    <w:unhideWhenUsed/>
    <w:rsid w:val="004230D9"/>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
    <w:name w:val="Table Simple 3"/>
    <w:basedOn w:val="a4"/>
    <w:uiPriority w:val="99"/>
    <w:semiHidden/>
    <w:unhideWhenUsed/>
    <w:rsid w:val="004230D9"/>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d">
    <w:name w:val="Table Subtle 1"/>
    <w:basedOn w:val="a4"/>
    <w:uiPriority w:val="99"/>
    <w:semiHidden/>
    <w:unhideWhenUsed/>
    <w:rsid w:val="004230D9"/>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Subtle 2"/>
    <w:basedOn w:val="a4"/>
    <w:uiPriority w:val="99"/>
    <w:semiHidden/>
    <w:unhideWhenUsed/>
    <w:rsid w:val="004230D9"/>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d">
    <w:name w:val="Table Theme"/>
    <w:basedOn w:val="a4"/>
    <w:uiPriority w:val="99"/>
    <w:semiHidden/>
    <w:unhideWhenUsed/>
    <w:rsid w:val="004230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7">
    <w:name w:val="Table Web 1"/>
    <w:basedOn w:val="a4"/>
    <w:uiPriority w:val="99"/>
    <w:semiHidden/>
    <w:unhideWhenUsed/>
    <w:rsid w:val="004230D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7">
    <w:name w:val="Table Web 2"/>
    <w:basedOn w:val="a4"/>
    <w:uiPriority w:val="99"/>
    <w:semiHidden/>
    <w:unhideWhenUsed/>
    <w:rsid w:val="004230D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7">
    <w:name w:val="Table Web 3"/>
    <w:basedOn w:val="a4"/>
    <w:uiPriority w:val="99"/>
    <w:semiHidden/>
    <w:unhideWhenUsed/>
    <w:rsid w:val="004230D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ffe">
    <w:name w:val="toa heading"/>
    <w:basedOn w:val="a2"/>
    <w:next w:val="a2"/>
    <w:uiPriority w:val="99"/>
    <w:semiHidden/>
    <w:unhideWhenUsed/>
    <w:rsid w:val="004230D9"/>
    <w:pPr>
      <w:spacing w:before="120"/>
    </w:pPr>
    <w:rPr>
      <w:rFonts w:ascii="Arial" w:eastAsiaTheme="majorEastAsia" w:hAnsi="Arial" w:cs="Arial"/>
      <w:b/>
      <w:bCs/>
    </w:rPr>
  </w:style>
  <w:style w:type="paragraph" w:styleId="2f9">
    <w:name w:val="toc 2"/>
    <w:basedOn w:val="a2"/>
    <w:next w:val="a2"/>
    <w:autoRedefine/>
    <w:uiPriority w:val="39"/>
    <w:unhideWhenUsed/>
    <w:rsid w:val="004230D9"/>
    <w:pPr>
      <w:spacing w:after="100"/>
      <w:ind w:left="240"/>
    </w:pPr>
  </w:style>
  <w:style w:type="paragraph" w:styleId="3f0">
    <w:name w:val="toc 3"/>
    <w:basedOn w:val="a2"/>
    <w:next w:val="a2"/>
    <w:autoRedefine/>
    <w:uiPriority w:val="39"/>
    <w:unhideWhenUsed/>
    <w:rsid w:val="004230D9"/>
    <w:pPr>
      <w:spacing w:after="100"/>
      <w:ind w:left="480"/>
    </w:pPr>
  </w:style>
  <w:style w:type="paragraph" w:styleId="49">
    <w:name w:val="toc 4"/>
    <w:basedOn w:val="a2"/>
    <w:next w:val="a2"/>
    <w:autoRedefine/>
    <w:uiPriority w:val="39"/>
    <w:unhideWhenUsed/>
    <w:rsid w:val="004230D9"/>
    <w:pPr>
      <w:spacing w:after="100"/>
      <w:ind w:left="720"/>
    </w:pPr>
  </w:style>
  <w:style w:type="paragraph" w:styleId="58">
    <w:name w:val="toc 5"/>
    <w:basedOn w:val="a2"/>
    <w:next w:val="a2"/>
    <w:autoRedefine/>
    <w:uiPriority w:val="39"/>
    <w:unhideWhenUsed/>
    <w:rsid w:val="004230D9"/>
    <w:pPr>
      <w:spacing w:after="100"/>
      <w:ind w:left="960"/>
    </w:pPr>
  </w:style>
  <w:style w:type="paragraph" w:styleId="63">
    <w:name w:val="toc 6"/>
    <w:basedOn w:val="a2"/>
    <w:next w:val="a2"/>
    <w:autoRedefine/>
    <w:uiPriority w:val="39"/>
    <w:unhideWhenUsed/>
    <w:rsid w:val="004230D9"/>
    <w:pPr>
      <w:spacing w:after="100"/>
      <w:ind w:left="1200"/>
    </w:pPr>
  </w:style>
  <w:style w:type="paragraph" w:styleId="73">
    <w:name w:val="toc 7"/>
    <w:basedOn w:val="a2"/>
    <w:next w:val="a2"/>
    <w:autoRedefine/>
    <w:uiPriority w:val="39"/>
    <w:unhideWhenUsed/>
    <w:rsid w:val="004230D9"/>
    <w:pPr>
      <w:spacing w:after="100"/>
      <w:ind w:left="1440"/>
    </w:pPr>
  </w:style>
  <w:style w:type="paragraph" w:styleId="83">
    <w:name w:val="toc 8"/>
    <w:basedOn w:val="a2"/>
    <w:next w:val="a2"/>
    <w:autoRedefine/>
    <w:uiPriority w:val="39"/>
    <w:unhideWhenUsed/>
    <w:rsid w:val="004230D9"/>
    <w:pPr>
      <w:spacing w:after="100"/>
      <w:ind w:left="1680"/>
    </w:pPr>
  </w:style>
  <w:style w:type="character" w:customStyle="1" w:styleId="a8">
    <w:name w:val="Дата Знак"/>
    <w:basedOn w:val="a3"/>
    <w:link w:val="a7"/>
    <w:uiPriority w:val="10"/>
    <w:rsid w:val="00C47362"/>
    <w:rPr>
      <w:rFonts w:ascii="Times New Roman" w:hAnsi="Times New Roman"/>
    </w:rPr>
  </w:style>
  <w:style w:type="paragraph" w:customStyle="1" w:styleId="affffff">
    <w:name w:val="МестоДатаВремя"/>
    <w:basedOn w:val="a2"/>
    <w:qFormat/>
    <w:rsid w:val="00F50B79"/>
    <w:pPr>
      <w:framePr w:wrap="around" w:vAnchor="page" w:hAnchor="text" w:xAlign="right" w:y="318"/>
      <w:spacing w:line="220" w:lineRule="exact"/>
      <w:ind w:left="431" w:hanging="431"/>
    </w:pPr>
    <w:rPr>
      <w:rFonts w:asciiTheme="majorHAnsi" w:hAnsiTheme="majorHAnsi"/>
      <w:color w:val="FFFFFF" w:themeColor="background1"/>
      <w:sz w:val="16"/>
    </w:rPr>
  </w:style>
  <w:style w:type="numbering" w:customStyle="1" w:styleId="1e">
    <w:name w:val="Нет списка1"/>
    <w:next w:val="a5"/>
    <w:uiPriority w:val="99"/>
    <w:semiHidden/>
    <w:unhideWhenUsed/>
    <w:rsid w:val="00FA3FA4"/>
  </w:style>
  <w:style w:type="character" w:customStyle="1" w:styleId="10">
    <w:name w:val="Заголовок 1 Знак"/>
    <w:basedOn w:val="a3"/>
    <w:link w:val="1"/>
    <w:uiPriority w:val="9"/>
    <w:rsid w:val="00FA3FA4"/>
    <w:rPr>
      <w:rFonts w:asciiTheme="majorHAnsi" w:hAnsiTheme="majorHAnsi" w:cs="Arial"/>
      <w:b/>
      <w:bCs/>
      <w:kern w:val="32"/>
      <w:sz w:val="32"/>
      <w:szCs w:val="32"/>
      <w:lang w:eastAsia="ru-RU"/>
    </w:rPr>
  </w:style>
  <w:style w:type="character" w:customStyle="1" w:styleId="22">
    <w:name w:val="Заголовок 2 Знак"/>
    <w:basedOn w:val="a3"/>
    <w:link w:val="21"/>
    <w:uiPriority w:val="9"/>
    <w:rsid w:val="00FA3FA4"/>
    <w:rPr>
      <w:rFonts w:ascii="Arial" w:hAnsi="Arial" w:cs="Arial"/>
      <w:b/>
      <w:bCs/>
      <w:iCs/>
      <w:sz w:val="20"/>
      <w:szCs w:val="28"/>
      <w:lang w:eastAsia="ru-RU"/>
    </w:rPr>
  </w:style>
  <w:style w:type="numbering" w:customStyle="1" w:styleId="111">
    <w:name w:val="Нет списка11"/>
    <w:next w:val="a5"/>
    <w:uiPriority w:val="99"/>
    <w:semiHidden/>
    <w:unhideWhenUsed/>
    <w:rsid w:val="00FA3FA4"/>
  </w:style>
  <w:style w:type="paragraph" w:customStyle="1" w:styleId="FR1">
    <w:name w:val="FR1"/>
    <w:uiPriority w:val="99"/>
    <w:rsid w:val="00FA3FA4"/>
    <w:pPr>
      <w:widowControl w:val="0"/>
      <w:spacing w:after="0" w:line="240" w:lineRule="auto"/>
      <w:ind w:left="0"/>
      <w:jc w:val="center"/>
    </w:pPr>
    <w:rPr>
      <w:rFonts w:ascii="Arial" w:hAnsi="Arial"/>
      <w:b/>
      <w:sz w:val="16"/>
      <w:szCs w:val="20"/>
      <w:lang w:eastAsia="ru-RU"/>
    </w:rPr>
  </w:style>
  <w:style w:type="paragraph" w:customStyle="1" w:styleId="FR2">
    <w:name w:val="FR2"/>
    <w:uiPriority w:val="99"/>
    <w:rsid w:val="00FA3FA4"/>
    <w:pPr>
      <w:widowControl w:val="0"/>
      <w:spacing w:after="0" w:line="240" w:lineRule="auto"/>
      <w:ind w:left="0"/>
      <w:jc w:val="both"/>
    </w:pPr>
    <w:rPr>
      <w:rFonts w:ascii="Arial" w:hAnsi="Arial"/>
      <w:sz w:val="12"/>
      <w:szCs w:val="20"/>
      <w:lang w:eastAsia="ru-RU"/>
    </w:rPr>
  </w:style>
  <w:style w:type="paragraph" w:customStyle="1" w:styleId="FR3">
    <w:name w:val="FR3"/>
    <w:uiPriority w:val="99"/>
    <w:rsid w:val="00FA3FA4"/>
    <w:pPr>
      <w:widowControl w:val="0"/>
      <w:autoSpaceDE w:val="0"/>
      <w:autoSpaceDN w:val="0"/>
      <w:adjustRightInd w:val="0"/>
      <w:spacing w:after="0" w:line="240" w:lineRule="auto"/>
      <w:ind w:left="0" w:right="200"/>
      <w:jc w:val="center"/>
    </w:pPr>
    <w:rPr>
      <w:rFonts w:ascii="Arial" w:hAnsi="Arial" w:cs="Arial"/>
      <w:sz w:val="12"/>
      <w:szCs w:val="12"/>
      <w:lang w:eastAsia="ru-RU"/>
    </w:rPr>
  </w:style>
  <w:style w:type="paragraph" w:customStyle="1" w:styleId="heading2">
    <w:name w:val="heading2"/>
    <w:basedOn w:val="a2"/>
    <w:rsid w:val="00FA3FA4"/>
    <w:pPr>
      <w:widowControl/>
      <w:autoSpaceDE/>
      <w:autoSpaceDN/>
      <w:adjustRightInd/>
      <w:spacing w:before="100" w:beforeAutospacing="1" w:after="100" w:afterAutospacing="1"/>
    </w:pPr>
    <w:rPr>
      <w:sz w:val="36"/>
      <w:szCs w:val="36"/>
    </w:rPr>
  </w:style>
  <w:style w:type="paragraph" w:customStyle="1" w:styleId="author">
    <w:name w:val="author"/>
    <w:basedOn w:val="a2"/>
    <w:rsid w:val="00FA3FA4"/>
    <w:pPr>
      <w:widowControl/>
      <w:autoSpaceDE/>
      <w:autoSpaceDN/>
      <w:adjustRightInd/>
      <w:spacing w:before="100" w:beforeAutospacing="1" w:after="100" w:afterAutospacing="1"/>
      <w:jc w:val="right"/>
    </w:pPr>
    <w:rPr>
      <w:sz w:val="27"/>
      <w:szCs w:val="27"/>
    </w:rPr>
  </w:style>
  <w:style w:type="paragraph" w:customStyle="1" w:styleId="authors">
    <w:name w:val="authors"/>
    <w:basedOn w:val="a2"/>
    <w:rsid w:val="00FA3FA4"/>
    <w:pPr>
      <w:widowControl/>
      <w:autoSpaceDE/>
      <w:autoSpaceDN/>
      <w:adjustRightInd/>
      <w:spacing w:before="100" w:beforeAutospacing="1"/>
    </w:pPr>
    <w:rPr>
      <w:sz w:val="24"/>
      <w:szCs w:val="24"/>
    </w:rPr>
  </w:style>
  <w:style w:type="paragraph" w:customStyle="1" w:styleId="level00">
    <w:name w:val="level00"/>
    <w:basedOn w:val="a2"/>
    <w:rsid w:val="00FA3FA4"/>
    <w:pPr>
      <w:widowControl/>
      <w:autoSpaceDE/>
      <w:autoSpaceDN/>
      <w:adjustRightInd/>
      <w:spacing w:before="100" w:beforeAutospacing="1" w:after="100" w:afterAutospacing="1"/>
    </w:pPr>
    <w:rPr>
      <w:sz w:val="24"/>
      <w:szCs w:val="24"/>
    </w:rPr>
  </w:style>
  <w:style w:type="paragraph" w:customStyle="1" w:styleId="heading1">
    <w:name w:val="heading1"/>
    <w:basedOn w:val="a2"/>
    <w:rsid w:val="00FA3FA4"/>
    <w:pPr>
      <w:widowControl/>
      <w:autoSpaceDE/>
      <w:autoSpaceDN/>
      <w:adjustRightInd/>
      <w:spacing w:before="100" w:beforeAutospacing="1" w:after="100" w:afterAutospacing="1"/>
    </w:pPr>
    <w:rPr>
      <w:sz w:val="48"/>
      <w:szCs w:val="48"/>
    </w:rPr>
  </w:style>
  <w:style w:type="paragraph" w:customStyle="1" w:styleId="literature">
    <w:name w:val="literature"/>
    <w:basedOn w:val="a2"/>
    <w:rsid w:val="00FA3FA4"/>
    <w:pPr>
      <w:widowControl/>
      <w:autoSpaceDE/>
      <w:autoSpaceDN/>
      <w:adjustRightInd/>
      <w:spacing w:before="30"/>
      <w:ind w:left="300" w:hanging="300"/>
    </w:pPr>
    <w:rPr>
      <w:sz w:val="24"/>
      <w:szCs w:val="24"/>
    </w:rPr>
  </w:style>
  <w:style w:type="paragraph" w:customStyle="1" w:styleId="level10">
    <w:name w:val="level10"/>
    <w:basedOn w:val="a2"/>
    <w:rsid w:val="00FA3FA4"/>
    <w:pPr>
      <w:widowControl/>
      <w:autoSpaceDE/>
      <w:autoSpaceDN/>
      <w:adjustRightInd/>
      <w:spacing w:before="30"/>
      <w:ind w:left="300" w:hanging="300"/>
    </w:pPr>
    <w:rPr>
      <w:sz w:val="24"/>
      <w:szCs w:val="24"/>
    </w:rPr>
  </w:style>
  <w:style w:type="paragraph" w:customStyle="1" w:styleId="level11">
    <w:name w:val="level11"/>
    <w:basedOn w:val="a2"/>
    <w:rsid w:val="00FA3FA4"/>
    <w:pPr>
      <w:widowControl/>
      <w:autoSpaceDE/>
      <w:autoSpaceDN/>
      <w:adjustRightInd/>
      <w:spacing w:before="30"/>
      <w:ind w:left="300"/>
    </w:pPr>
    <w:rPr>
      <w:sz w:val="24"/>
      <w:szCs w:val="24"/>
    </w:rPr>
  </w:style>
  <w:style w:type="paragraph" w:customStyle="1" w:styleId="level20">
    <w:name w:val="level20"/>
    <w:basedOn w:val="a2"/>
    <w:rsid w:val="00FA3FA4"/>
    <w:pPr>
      <w:widowControl/>
      <w:autoSpaceDE/>
      <w:autoSpaceDN/>
      <w:adjustRightInd/>
      <w:spacing w:before="30"/>
      <w:ind w:left="600" w:hanging="300"/>
    </w:pPr>
    <w:rPr>
      <w:sz w:val="24"/>
      <w:szCs w:val="24"/>
    </w:rPr>
  </w:style>
  <w:style w:type="paragraph" w:customStyle="1" w:styleId="level21">
    <w:name w:val="level21"/>
    <w:basedOn w:val="a2"/>
    <w:rsid w:val="00FA3FA4"/>
    <w:pPr>
      <w:widowControl/>
      <w:autoSpaceDE/>
      <w:autoSpaceDN/>
      <w:adjustRightInd/>
      <w:spacing w:before="30"/>
      <w:ind w:left="600"/>
    </w:pPr>
    <w:rPr>
      <w:sz w:val="24"/>
      <w:szCs w:val="24"/>
    </w:rPr>
  </w:style>
  <w:style w:type="paragraph" w:customStyle="1" w:styleId="level30">
    <w:name w:val="level30"/>
    <w:basedOn w:val="a2"/>
    <w:rsid w:val="00FA3FA4"/>
    <w:pPr>
      <w:widowControl/>
      <w:autoSpaceDE/>
      <w:autoSpaceDN/>
      <w:adjustRightInd/>
      <w:spacing w:before="30"/>
      <w:ind w:left="900" w:hanging="300"/>
    </w:pPr>
    <w:rPr>
      <w:sz w:val="24"/>
      <w:szCs w:val="24"/>
    </w:rPr>
  </w:style>
  <w:style w:type="paragraph" w:customStyle="1" w:styleId="level40">
    <w:name w:val="level40"/>
    <w:basedOn w:val="a2"/>
    <w:rsid w:val="00FA3FA4"/>
    <w:pPr>
      <w:widowControl/>
      <w:autoSpaceDE/>
      <w:autoSpaceDN/>
      <w:adjustRightInd/>
      <w:spacing w:before="30"/>
      <w:ind w:left="1200" w:hanging="300"/>
    </w:pPr>
    <w:rPr>
      <w:sz w:val="24"/>
      <w:szCs w:val="24"/>
    </w:rPr>
  </w:style>
  <w:style w:type="paragraph" w:customStyle="1" w:styleId="level50">
    <w:name w:val="level50"/>
    <w:basedOn w:val="a2"/>
    <w:rsid w:val="00FA3FA4"/>
    <w:pPr>
      <w:widowControl/>
      <w:autoSpaceDE/>
      <w:autoSpaceDN/>
      <w:adjustRightInd/>
      <w:spacing w:before="30"/>
      <w:ind w:left="1500" w:hanging="300"/>
    </w:pPr>
    <w:rPr>
      <w:sz w:val="24"/>
      <w:szCs w:val="24"/>
    </w:rPr>
  </w:style>
  <w:style w:type="paragraph" w:customStyle="1" w:styleId="level31">
    <w:name w:val="level31"/>
    <w:basedOn w:val="a2"/>
    <w:rsid w:val="00FA3FA4"/>
    <w:pPr>
      <w:widowControl/>
      <w:autoSpaceDE/>
      <w:autoSpaceDN/>
      <w:adjustRightInd/>
      <w:spacing w:before="30"/>
      <w:ind w:left="900"/>
    </w:pPr>
    <w:rPr>
      <w:sz w:val="24"/>
      <w:szCs w:val="24"/>
    </w:rPr>
  </w:style>
  <w:style w:type="paragraph" w:customStyle="1" w:styleId="level60">
    <w:name w:val="level60"/>
    <w:basedOn w:val="a2"/>
    <w:rsid w:val="00FA3FA4"/>
    <w:pPr>
      <w:widowControl/>
      <w:autoSpaceDE/>
      <w:autoSpaceDN/>
      <w:adjustRightInd/>
      <w:spacing w:before="30"/>
      <w:ind w:left="1800" w:hanging="300"/>
    </w:pPr>
    <w:rPr>
      <w:sz w:val="24"/>
      <w:szCs w:val="24"/>
    </w:rPr>
  </w:style>
  <w:style w:type="paragraph" w:customStyle="1" w:styleId="level41">
    <w:name w:val="level41"/>
    <w:basedOn w:val="a2"/>
    <w:rsid w:val="00FA3FA4"/>
    <w:pPr>
      <w:widowControl/>
      <w:autoSpaceDE/>
      <w:autoSpaceDN/>
      <w:adjustRightInd/>
      <w:spacing w:before="30"/>
      <w:ind w:left="1200"/>
    </w:pPr>
    <w:rPr>
      <w:sz w:val="24"/>
      <w:szCs w:val="24"/>
    </w:rPr>
  </w:style>
  <w:style w:type="paragraph" w:customStyle="1" w:styleId="level51">
    <w:name w:val="level51"/>
    <w:basedOn w:val="a2"/>
    <w:rsid w:val="00FA3FA4"/>
    <w:pPr>
      <w:widowControl/>
      <w:autoSpaceDE/>
      <w:autoSpaceDN/>
      <w:adjustRightInd/>
      <w:spacing w:before="30"/>
      <w:ind w:left="1500"/>
    </w:pPr>
    <w:rPr>
      <w:sz w:val="24"/>
      <w:szCs w:val="24"/>
    </w:rPr>
  </w:style>
  <w:style w:type="paragraph" w:customStyle="1" w:styleId="level61">
    <w:name w:val="level61"/>
    <w:basedOn w:val="a2"/>
    <w:rsid w:val="00FA3FA4"/>
    <w:pPr>
      <w:widowControl/>
      <w:autoSpaceDE/>
      <w:autoSpaceDN/>
      <w:adjustRightInd/>
      <w:spacing w:before="30"/>
      <w:ind w:left="1800"/>
    </w:pPr>
    <w:rPr>
      <w:sz w:val="24"/>
      <w:szCs w:val="24"/>
    </w:rPr>
  </w:style>
  <w:style w:type="paragraph" w:customStyle="1" w:styleId="tblnorm">
    <w:name w:val="tblnorm"/>
    <w:basedOn w:val="a2"/>
    <w:rsid w:val="00FA3FA4"/>
    <w:pPr>
      <w:widowControl/>
      <w:autoSpaceDE/>
      <w:autoSpaceDN/>
      <w:adjustRightInd/>
    </w:pPr>
    <w:rPr>
      <w:sz w:val="24"/>
      <w:szCs w:val="24"/>
    </w:rPr>
  </w:style>
  <w:style w:type="paragraph" w:customStyle="1" w:styleId="tblshift">
    <w:name w:val="tblshift"/>
    <w:basedOn w:val="a2"/>
    <w:rsid w:val="00FA3FA4"/>
    <w:pPr>
      <w:widowControl/>
      <w:autoSpaceDE/>
      <w:autoSpaceDN/>
      <w:adjustRightInd/>
      <w:ind w:left="300"/>
    </w:pPr>
    <w:rPr>
      <w:sz w:val="24"/>
      <w:szCs w:val="24"/>
    </w:rPr>
  </w:style>
  <w:style w:type="paragraph" w:customStyle="1" w:styleId="figurelegend">
    <w:name w:val="figurelegend"/>
    <w:basedOn w:val="a2"/>
    <w:rsid w:val="00FA3FA4"/>
    <w:pPr>
      <w:widowControl/>
      <w:autoSpaceDE/>
      <w:autoSpaceDN/>
      <w:adjustRightInd/>
      <w:spacing w:before="100" w:beforeAutospacing="1" w:after="100" w:afterAutospacing="1"/>
    </w:pPr>
    <w:rPr>
      <w:sz w:val="24"/>
      <w:szCs w:val="24"/>
    </w:rPr>
  </w:style>
  <w:style w:type="paragraph" w:customStyle="1" w:styleId="tblshift1">
    <w:name w:val="tblshift1"/>
    <w:basedOn w:val="a2"/>
    <w:rsid w:val="00FA3FA4"/>
    <w:pPr>
      <w:widowControl/>
      <w:autoSpaceDE/>
      <w:autoSpaceDN/>
      <w:adjustRightInd/>
      <w:ind w:left="600"/>
    </w:pPr>
    <w:rPr>
      <w:sz w:val="24"/>
      <w:szCs w:val="24"/>
    </w:rPr>
  </w:style>
  <w:style w:type="paragraph" w:customStyle="1" w:styleId="1f">
    <w:name w:val="Стиль1"/>
    <w:basedOn w:val="afb"/>
    <w:link w:val="1f0"/>
    <w:qFormat/>
    <w:rsid w:val="00FA3FA4"/>
    <w:pPr>
      <w:keepLines/>
      <w:framePr w:wrap="auto" w:vAnchor="margin" w:yAlign="inline"/>
      <w:widowControl/>
      <w:autoSpaceDE/>
      <w:autoSpaceDN/>
      <w:adjustRightInd/>
      <w:spacing w:after="0" w:line="276" w:lineRule="auto"/>
      <w:contextualSpacing w:val="0"/>
      <w:jc w:val="left"/>
      <w:outlineLvl w:val="9"/>
    </w:pPr>
    <w:rPr>
      <w:rFonts w:ascii="Cambria" w:hAnsi="Cambria"/>
    </w:rPr>
  </w:style>
  <w:style w:type="character" w:customStyle="1" w:styleId="afc">
    <w:name w:val="Заголовок оглавления Знак"/>
    <w:basedOn w:val="10"/>
    <w:link w:val="afb"/>
    <w:uiPriority w:val="39"/>
    <w:rsid w:val="00FA3FA4"/>
    <w:rPr>
      <w:rFonts w:asciiTheme="majorHAnsi" w:eastAsiaTheme="majorEastAsia" w:hAnsiTheme="majorHAnsi" w:cs="Arial"/>
      <w:b/>
      <w:bCs w:val="0"/>
      <w:kern w:val="32"/>
      <w:sz w:val="32"/>
      <w:szCs w:val="32"/>
      <w:lang w:eastAsia="ru-RU"/>
    </w:rPr>
  </w:style>
  <w:style w:type="character" w:customStyle="1" w:styleId="1f0">
    <w:name w:val="Стиль1 Знак"/>
    <w:basedOn w:val="afc"/>
    <w:link w:val="1f"/>
    <w:rsid w:val="00FA3FA4"/>
    <w:rPr>
      <w:rFonts w:ascii="Cambria" w:eastAsiaTheme="majorEastAsia" w:hAnsi="Cambria" w:cs="Arial"/>
      <w:b/>
      <w:bCs w:val="0"/>
      <w:kern w:val="32"/>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703390">
      <w:bodyDiv w:val="1"/>
      <w:marLeft w:val="0"/>
      <w:marRight w:val="0"/>
      <w:marTop w:val="0"/>
      <w:marBottom w:val="0"/>
      <w:divBdr>
        <w:top w:val="none" w:sz="0" w:space="0" w:color="auto"/>
        <w:left w:val="none" w:sz="0" w:space="0" w:color="auto"/>
        <w:bottom w:val="none" w:sz="0" w:space="0" w:color="auto"/>
        <w:right w:val="none" w:sz="0" w:space="0" w:color="auto"/>
      </w:divBdr>
    </w:div>
    <w:div w:id="570389781">
      <w:bodyDiv w:val="1"/>
      <w:marLeft w:val="0"/>
      <w:marRight w:val="0"/>
      <w:marTop w:val="0"/>
      <w:marBottom w:val="0"/>
      <w:divBdr>
        <w:top w:val="none" w:sz="0" w:space="0" w:color="auto"/>
        <w:left w:val="none" w:sz="0" w:space="0" w:color="auto"/>
        <w:bottom w:val="none" w:sz="0" w:space="0" w:color="auto"/>
        <w:right w:val="none" w:sz="0" w:space="0" w:color="auto"/>
      </w:divBdr>
      <w:divsChild>
        <w:div w:id="1335646927">
          <w:marLeft w:val="547"/>
          <w:marRight w:val="0"/>
          <w:marTop w:val="115"/>
          <w:marBottom w:val="0"/>
          <w:divBdr>
            <w:top w:val="none" w:sz="0" w:space="0" w:color="auto"/>
            <w:left w:val="none" w:sz="0" w:space="0" w:color="auto"/>
            <w:bottom w:val="none" w:sz="0" w:space="0" w:color="auto"/>
            <w:right w:val="none" w:sz="0" w:space="0" w:color="auto"/>
          </w:divBdr>
        </w:div>
        <w:div w:id="1487279069">
          <w:marLeft w:val="547"/>
          <w:marRight w:val="0"/>
          <w:marTop w:val="115"/>
          <w:marBottom w:val="0"/>
          <w:divBdr>
            <w:top w:val="none" w:sz="0" w:space="0" w:color="auto"/>
            <w:left w:val="none" w:sz="0" w:space="0" w:color="auto"/>
            <w:bottom w:val="none" w:sz="0" w:space="0" w:color="auto"/>
            <w:right w:val="none" w:sz="0" w:space="0" w:color="auto"/>
          </w:divBdr>
        </w:div>
        <w:div w:id="561794560">
          <w:marLeft w:val="547"/>
          <w:marRight w:val="0"/>
          <w:marTop w:val="115"/>
          <w:marBottom w:val="0"/>
          <w:divBdr>
            <w:top w:val="none" w:sz="0" w:space="0" w:color="auto"/>
            <w:left w:val="none" w:sz="0" w:space="0" w:color="auto"/>
            <w:bottom w:val="none" w:sz="0" w:space="0" w:color="auto"/>
            <w:right w:val="none" w:sz="0" w:space="0" w:color="auto"/>
          </w:divBdr>
        </w:div>
        <w:div w:id="734931193">
          <w:marLeft w:val="547"/>
          <w:marRight w:val="0"/>
          <w:marTop w:val="115"/>
          <w:marBottom w:val="0"/>
          <w:divBdr>
            <w:top w:val="none" w:sz="0" w:space="0" w:color="auto"/>
            <w:left w:val="none" w:sz="0" w:space="0" w:color="auto"/>
            <w:bottom w:val="none" w:sz="0" w:space="0" w:color="auto"/>
            <w:right w:val="none" w:sz="0" w:space="0" w:color="auto"/>
          </w:divBdr>
        </w:div>
        <w:div w:id="1064332117">
          <w:marLeft w:val="547"/>
          <w:marRight w:val="0"/>
          <w:marTop w:val="115"/>
          <w:marBottom w:val="0"/>
          <w:divBdr>
            <w:top w:val="none" w:sz="0" w:space="0" w:color="auto"/>
            <w:left w:val="none" w:sz="0" w:space="0" w:color="auto"/>
            <w:bottom w:val="none" w:sz="0" w:space="0" w:color="auto"/>
            <w:right w:val="none" w:sz="0" w:space="0" w:color="auto"/>
          </w:divBdr>
        </w:div>
        <w:div w:id="227545335">
          <w:marLeft w:val="547"/>
          <w:marRight w:val="0"/>
          <w:marTop w:val="115"/>
          <w:marBottom w:val="0"/>
          <w:divBdr>
            <w:top w:val="none" w:sz="0" w:space="0" w:color="auto"/>
            <w:left w:val="none" w:sz="0" w:space="0" w:color="auto"/>
            <w:bottom w:val="none" w:sz="0" w:space="0" w:color="auto"/>
            <w:right w:val="none" w:sz="0" w:space="0" w:color="auto"/>
          </w:divBdr>
        </w:div>
        <w:div w:id="415136050">
          <w:marLeft w:val="547"/>
          <w:marRight w:val="0"/>
          <w:marTop w:val="115"/>
          <w:marBottom w:val="0"/>
          <w:divBdr>
            <w:top w:val="none" w:sz="0" w:space="0" w:color="auto"/>
            <w:left w:val="none" w:sz="0" w:space="0" w:color="auto"/>
            <w:bottom w:val="none" w:sz="0" w:space="0" w:color="auto"/>
            <w:right w:val="none" w:sz="0" w:space="0" w:color="auto"/>
          </w:divBdr>
        </w:div>
      </w:divsChild>
    </w:div>
    <w:div w:id="781074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wnloads\tf23071820.dotx" TargetMode="External"/></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Custom 14">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9677210f24a1be23c92c90fd886aa0aa">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60e05723c5c1908df1a1a4ebf11d344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64D29EE-BCA5-4847-AAAA-8D9E4282C105}">
  <ds:schemaRefs>
    <ds:schemaRef ds:uri="http://schemas.microsoft.com/sharepoint/v3/contenttype/forms"/>
  </ds:schemaRefs>
</ds:datastoreItem>
</file>

<file path=customXml/itemProps3.xml><?xml version="1.0" encoding="utf-8"?>
<ds:datastoreItem xmlns:ds="http://schemas.openxmlformats.org/officeDocument/2006/customXml" ds:itemID="{DED00AEE-3F06-4626-AB25-35C6D09AE97B}">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3CF9A439-08CB-4BF0-B5C9-E9020D5951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3DB401F-2B6E-430E-AC89-E06A86E21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tf23071820.dotx</Template>
  <TotalTime>0</TotalTime>
  <Pages>26</Pages>
  <Words>11293</Words>
  <Characters>64374</Characters>
  <Application>Microsoft Office Word</Application>
  <DocSecurity>0</DocSecurity>
  <Lines>536</Lines>
  <Paragraphs>151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cp:lastModifiedBy/>
  <cp:revision>1</cp:revision>
  <dcterms:created xsi:type="dcterms:W3CDTF">2022-03-19T13:50:00Z</dcterms:created>
  <dcterms:modified xsi:type="dcterms:W3CDTF">2022-05-24T04:49:00Z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