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D8B" w:rsidRPr="008B4B83" w:rsidRDefault="00DD6D8B" w:rsidP="008B4B83">
      <w:pPr>
        <w:spacing w:line="360" w:lineRule="auto"/>
        <w:jc w:val="center"/>
        <w:rPr>
          <w:b/>
          <w:color w:val="002060"/>
          <w:sz w:val="24"/>
          <w:szCs w:val="24"/>
          <w:lang w:val="en-US"/>
        </w:rPr>
      </w:pPr>
      <w:bookmarkStart w:id="0" w:name="_Toc213118549"/>
      <w:bookmarkStart w:id="1" w:name="_Toc213164096"/>
      <w:r w:rsidRPr="008B4B83">
        <w:rPr>
          <w:b/>
          <w:color w:val="002060"/>
          <w:sz w:val="24"/>
          <w:szCs w:val="24"/>
          <w:lang w:val="en-US"/>
        </w:rPr>
        <w:t xml:space="preserve">THE COURSE TITLE </w:t>
      </w:r>
      <w:r w:rsidR="00E46C4D">
        <w:rPr>
          <w:b/>
          <w:color w:val="002060"/>
          <w:sz w:val="24"/>
          <w:szCs w:val="24"/>
          <w:lang w:val="en-US"/>
        </w:rPr>
        <w:t>“</w:t>
      </w:r>
      <w:r w:rsidRPr="008B4B83">
        <w:rPr>
          <w:b/>
          <w:color w:val="002060"/>
          <w:sz w:val="24"/>
          <w:szCs w:val="24"/>
          <w:lang w:val="en-US"/>
        </w:rPr>
        <w:t>ENDOCRINOLOGY: NEW ASPECTS IN DIAGNOSIS AND TREATMENT</w:t>
      </w:r>
      <w:r w:rsidR="00E46C4D">
        <w:rPr>
          <w:b/>
          <w:color w:val="002060"/>
          <w:sz w:val="24"/>
          <w:szCs w:val="24"/>
          <w:lang w:val="en-US"/>
        </w:rPr>
        <w:t>”</w:t>
      </w:r>
    </w:p>
    <w:p w:rsidR="00FA3FA4" w:rsidRPr="008B4B83" w:rsidRDefault="009F7D3C" w:rsidP="008B4B83">
      <w:pPr>
        <w:spacing w:line="360" w:lineRule="auto"/>
        <w:jc w:val="center"/>
        <w:rPr>
          <w:b/>
          <w:bCs/>
          <w:color w:val="002060"/>
          <w:sz w:val="24"/>
          <w:szCs w:val="24"/>
          <w:lang w:val="en-US"/>
        </w:rPr>
      </w:pPr>
      <w:r w:rsidRPr="008B4B83">
        <w:rPr>
          <w:b/>
          <w:color w:val="002060"/>
          <w:sz w:val="24"/>
          <w:szCs w:val="24"/>
          <w:lang w:val="en-US"/>
        </w:rPr>
        <w:t>LECTURE</w:t>
      </w:r>
      <w:r w:rsidR="0062682A" w:rsidRPr="008B4B83">
        <w:rPr>
          <w:b/>
          <w:color w:val="002060"/>
          <w:sz w:val="24"/>
          <w:szCs w:val="24"/>
          <w:lang w:val="en-US"/>
        </w:rPr>
        <w:t>_</w:t>
      </w:r>
      <w:r w:rsidR="00FA08A0" w:rsidRPr="008B4B83">
        <w:rPr>
          <w:b/>
          <w:color w:val="002060"/>
          <w:sz w:val="24"/>
          <w:szCs w:val="24"/>
          <w:lang w:val="uz-Cyrl-UZ"/>
        </w:rPr>
        <w:t>9</w:t>
      </w:r>
      <w:r w:rsidR="00E46C4D">
        <w:rPr>
          <w:b/>
          <w:color w:val="002060"/>
          <w:sz w:val="24"/>
          <w:szCs w:val="24"/>
          <w:lang w:val="uz-Latn-UZ"/>
        </w:rPr>
        <w:t>:</w:t>
      </w:r>
      <w:r w:rsidR="0062682A" w:rsidRPr="008B4B83">
        <w:rPr>
          <w:rFonts w:eastAsiaTheme="minorEastAsia"/>
          <w:b/>
          <w:bCs/>
          <w:color w:val="002060"/>
          <w:kern w:val="24"/>
          <w:sz w:val="24"/>
          <w:szCs w:val="24"/>
          <w:lang w:val="en-US"/>
          <w14:shadow w14:blurRad="38100" w14:dist="38100" w14:dir="2700000" w14:sx="100000" w14:sy="100000" w14:kx="0" w14:ky="0" w14:algn="tl">
            <w14:srgbClr w14:val="000000">
              <w14:alpha w14:val="57000"/>
            </w14:srgbClr>
          </w14:shadow>
        </w:rPr>
        <w:t xml:space="preserve"> </w:t>
      </w:r>
      <w:r w:rsidR="00330439" w:rsidRPr="008B4B83">
        <w:rPr>
          <w:b/>
          <w:bCs/>
          <w:color w:val="002060"/>
          <w:sz w:val="24"/>
          <w:szCs w:val="24"/>
          <w:lang w:val="en-US"/>
        </w:rPr>
        <w:t>DIABETES AND PREGNANCY. COMPLICATIONS OF DIABETES MELLITUS.</w:t>
      </w:r>
    </w:p>
    <w:p w:rsidR="00FA3FA4" w:rsidRPr="008B4B83" w:rsidRDefault="0062682A" w:rsidP="008B4B83">
      <w:pPr>
        <w:spacing w:line="360" w:lineRule="auto"/>
        <w:jc w:val="center"/>
        <w:rPr>
          <w:b/>
          <w:bCs/>
          <w:color w:val="002060"/>
          <w:sz w:val="24"/>
          <w:szCs w:val="24"/>
        </w:rPr>
      </w:pPr>
      <w:r w:rsidRPr="008B4B83">
        <w:rPr>
          <w:b/>
          <w:bCs/>
          <w:color w:val="002060"/>
          <w:sz w:val="24"/>
          <w:szCs w:val="24"/>
        </w:rPr>
        <w:t>ТЕМА-</w:t>
      </w:r>
      <w:r w:rsidR="00FA08A0" w:rsidRPr="008B4B83">
        <w:rPr>
          <w:b/>
          <w:bCs/>
          <w:color w:val="002060"/>
          <w:sz w:val="24"/>
          <w:szCs w:val="24"/>
          <w:lang w:val="uz-Cyrl-UZ"/>
        </w:rPr>
        <w:t>9</w:t>
      </w:r>
      <w:r w:rsidRPr="008B4B83">
        <w:rPr>
          <w:b/>
          <w:bCs/>
          <w:color w:val="002060"/>
          <w:sz w:val="24"/>
          <w:szCs w:val="24"/>
        </w:rPr>
        <w:t xml:space="preserve">: </w:t>
      </w:r>
      <w:r w:rsidR="00330439" w:rsidRPr="008B4B83">
        <w:rPr>
          <w:b/>
          <w:bCs/>
          <w:color w:val="002060"/>
          <w:sz w:val="24"/>
          <w:szCs w:val="24"/>
        </w:rPr>
        <w:t>ДИАБЕТ И БЕРЕМЕННОСТЬ. ОСЛОЖНЕНИЯ САХАРНОГО ДИАБЕТА.</w:t>
      </w:r>
    </w:p>
    <w:p w:rsidR="00E46C4D" w:rsidRDefault="00E46C4D" w:rsidP="008B4B83">
      <w:pPr>
        <w:jc w:val="center"/>
        <w:rPr>
          <w:b/>
          <w:bCs/>
          <w:color w:val="002060"/>
          <w:sz w:val="24"/>
          <w:szCs w:val="24"/>
        </w:rPr>
      </w:pPr>
    </w:p>
    <w:p w:rsidR="005D1C1F" w:rsidRPr="008B4B83" w:rsidRDefault="005D1C1F" w:rsidP="008B4B83">
      <w:pPr>
        <w:jc w:val="center"/>
        <w:rPr>
          <w:b/>
          <w:bCs/>
          <w:color w:val="002060"/>
          <w:sz w:val="24"/>
          <w:szCs w:val="24"/>
          <w:lang w:val="en-US"/>
        </w:rPr>
      </w:pPr>
      <w:r w:rsidRPr="008B4B83">
        <w:rPr>
          <w:b/>
          <w:bCs/>
          <w:color w:val="002060"/>
          <w:sz w:val="24"/>
          <w:szCs w:val="24"/>
        </w:rPr>
        <w:t>План</w:t>
      </w:r>
      <w:r w:rsidRPr="008B4B83">
        <w:rPr>
          <w:b/>
          <w:bCs/>
          <w:color w:val="002060"/>
          <w:sz w:val="24"/>
          <w:szCs w:val="24"/>
          <w:lang w:val="en-US"/>
        </w:rPr>
        <w:t xml:space="preserve"> </w:t>
      </w:r>
      <w:r w:rsidRPr="008B4B83">
        <w:rPr>
          <w:b/>
          <w:bCs/>
          <w:color w:val="002060"/>
          <w:sz w:val="24"/>
          <w:szCs w:val="24"/>
        </w:rPr>
        <w:t>лекции</w:t>
      </w:r>
      <w:r w:rsidRPr="008B4B83">
        <w:rPr>
          <w:b/>
          <w:bCs/>
          <w:color w:val="002060"/>
          <w:sz w:val="24"/>
          <w:szCs w:val="24"/>
          <w:lang w:val="en-US"/>
        </w:rPr>
        <w:t>:</w:t>
      </w:r>
    </w:p>
    <w:p w:rsidR="00FA3FA4" w:rsidRPr="008B4B83" w:rsidRDefault="00FA3FA4" w:rsidP="00B86B91">
      <w:pPr>
        <w:jc w:val="both"/>
        <w:rPr>
          <w:b/>
          <w:color w:val="00B050"/>
          <w:sz w:val="24"/>
          <w:szCs w:val="24"/>
          <w:lang w:val="en-US"/>
        </w:rPr>
      </w:pPr>
    </w:p>
    <w:p w:rsidR="00330439" w:rsidRPr="008B4B83" w:rsidRDefault="00330439" w:rsidP="00B86B91">
      <w:pPr>
        <w:pStyle w:val="af8"/>
        <w:widowControl/>
        <w:numPr>
          <w:ilvl w:val="0"/>
          <w:numId w:val="13"/>
        </w:numPr>
        <w:autoSpaceDE/>
        <w:autoSpaceDN/>
        <w:adjustRightInd/>
        <w:spacing w:after="160" w:line="259" w:lineRule="auto"/>
        <w:jc w:val="both"/>
        <w:rPr>
          <w:sz w:val="24"/>
          <w:szCs w:val="24"/>
        </w:rPr>
      </w:pPr>
      <w:r w:rsidRPr="008B4B83">
        <w:rPr>
          <w:sz w:val="24"/>
          <w:szCs w:val="24"/>
        </w:rPr>
        <w:t>Гестационный диабет</w:t>
      </w:r>
    </w:p>
    <w:p w:rsidR="00330439" w:rsidRPr="008B4B83" w:rsidRDefault="00330439" w:rsidP="00B86B91">
      <w:pPr>
        <w:pStyle w:val="af8"/>
        <w:widowControl/>
        <w:numPr>
          <w:ilvl w:val="0"/>
          <w:numId w:val="13"/>
        </w:numPr>
        <w:autoSpaceDE/>
        <w:autoSpaceDN/>
        <w:adjustRightInd/>
        <w:spacing w:after="160" w:line="259" w:lineRule="auto"/>
        <w:jc w:val="both"/>
        <w:rPr>
          <w:sz w:val="24"/>
          <w:szCs w:val="24"/>
        </w:rPr>
      </w:pPr>
      <w:r w:rsidRPr="008B4B83">
        <w:rPr>
          <w:sz w:val="24"/>
          <w:szCs w:val="24"/>
        </w:rPr>
        <w:t>Определение, Классификация</w:t>
      </w:r>
    </w:p>
    <w:p w:rsidR="00330439" w:rsidRPr="008B4B83" w:rsidRDefault="00330439" w:rsidP="00B86B91">
      <w:pPr>
        <w:pStyle w:val="af8"/>
        <w:widowControl/>
        <w:numPr>
          <w:ilvl w:val="0"/>
          <w:numId w:val="13"/>
        </w:numPr>
        <w:autoSpaceDE/>
        <w:autoSpaceDN/>
        <w:adjustRightInd/>
        <w:spacing w:after="160" w:line="259" w:lineRule="auto"/>
        <w:jc w:val="both"/>
        <w:rPr>
          <w:sz w:val="24"/>
          <w:szCs w:val="24"/>
        </w:rPr>
      </w:pPr>
      <w:r w:rsidRPr="008B4B83">
        <w:rPr>
          <w:sz w:val="24"/>
          <w:szCs w:val="24"/>
        </w:rPr>
        <w:t>Диагностика, Лечение</w:t>
      </w:r>
    </w:p>
    <w:p w:rsidR="00330439" w:rsidRPr="008B4B83" w:rsidRDefault="00330439" w:rsidP="00B86B91">
      <w:pPr>
        <w:pStyle w:val="af8"/>
        <w:widowControl/>
        <w:numPr>
          <w:ilvl w:val="0"/>
          <w:numId w:val="13"/>
        </w:numPr>
        <w:autoSpaceDE/>
        <w:autoSpaceDN/>
        <w:adjustRightInd/>
        <w:spacing w:after="160" w:line="259" w:lineRule="auto"/>
        <w:jc w:val="both"/>
        <w:rPr>
          <w:sz w:val="24"/>
          <w:szCs w:val="24"/>
        </w:rPr>
      </w:pPr>
      <w:r w:rsidRPr="008B4B83">
        <w:rPr>
          <w:sz w:val="24"/>
          <w:szCs w:val="24"/>
        </w:rPr>
        <w:t>Осложения сахарного диабета</w:t>
      </w:r>
    </w:p>
    <w:p w:rsidR="00FA3FA4" w:rsidRPr="008B4B83" w:rsidRDefault="00280C04" w:rsidP="00B86B91">
      <w:pPr>
        <w:pStyle w:val="af8"/>
        <w:widowControl/>
        <w:numPr>
          <w:ilvl w:val="0"/>
          <w:numId w:val="13"/>
        </w:numPr>
        <w:autoSpaceDE/>
        <w:autoSpaceDN/>
        <w:adjustRightInd/>
        <w:spacing w:after="160" w:line="259" w:lineRule="auto"/>
        <w:jc w:val="both"/>
        <w:rPr>
          <w:sz w:val="24"/>
          <w:szCs w:val="24"/>
        </w:rPr>
      </w:pPr>
      <w:r w:rsidRPr="008B4B83">
        <w:rPr>
          <w:sz w:val="24"/>
          <w:szCs w:val="24"/>
        </w:rPr>
        <w:t>Литература</w:t>
      </w:r>
    </w:p>
    <w:p w:rsidR="00FA3FA4" w:rsidRPr="002220C1" w:rsidRDefault="005D1C1F" w:rsidP="00B86B91">
      <w:pPr>
        <w:widowControl/>
        <w:autoSpaceDE/>
        <w:autoSpaceDN/>
        <w:adjustRightInd/>
        <w:spacing w:before="100" w:beforeAutospacing="1" w:after="100" w:afterAutospacing="1"/>
        <w:jc w:val="both"/>
        <w:outlineLvl w:val="1"/>
        <w:rPr>
          <w:sz w:val="32"/>
          <w:szCs w:val="24"/>
        </w:rPr>
      </w:pPr>
      <w:r w:rsidRPr="002220C1">
        <w:rPr>
          <w:bCs/>
          <w:sz w:val="32"/>
          <w:szCs w:val="24"/>
        </w:rPr>
        <w:t>План</w:t>
      </w:r>
      <w:r w:rsidR="00FA3FA4" w:rsidRPr="002220C1">
        <w:rPr>
          <w:bCs/>
          <w:sz w:val="32"/>
          <w:szCs w:val="24"/>
        </w:rPr>
        <w:t xml:space="preserve"> </w:t>
      </w:r>
      <w:r w:rsidRPr="002220C1">
        <w:rPr>
          <w:bCs/>
          <w:sz w:val="32"/>
          <w:szCs w:val="24"/>
          <w:lang w:val="uz-Latn-UZ"/>
        </w:rPr>
        <w:t>1</w:t>
      </w:r>
      <w:r w:rsidR="00FA3FA4" w:rsidRPr="002220C1">
        <w:rPr>
          <w:bCs/>
          <w:sz w:val="32"/>
          <w:szCs w:val="24"/>
        </w:rPr>
        <w:t xml:space="preserve">. </w:t>
      </w:r>
      <w:bookmarkEnd w:id="0"/>
      <w:bookmarkEnd w:id="1"/>
      <w:r w:rsidR="00330439" w:rsidRPr="002220C1">
        <w:rPr>
          <w:bCs/>
          <w:sz w:val="32"/>
          <w:szCs w:val="24"/>
        </w:rPr>
        <w:t>Гестационный диабет</w:t>
      </w:r>
    </w:p>
    <w:p w:rsidR="00652FE0" w:rsidRPr="00652FE0" w:rsidRDefault="00652FE0" w:rsidP="00652FE0">
      <w:pPr>
        <w:widowControl/>
        <w:autoSpaceDE/>
        <w:autoSpaceDN/>
        <w:adjustRightInd/>
        <w:ind w:firstLine="567"/>
        <w:jc w:val="both"/>
        <w:outlineLvl w:val="1"/>
        <w:rPr>
          <w:sz w:val="24"/>
          <w:szCs w:val="24"/>
        </w:rPr>
      </w:pPr>
      <w:bookmarkStart w:id="2" w:name="_Toc213118550"/>
      <w:bookmarkStart w:id="3" w:name="_Toc213164097"/>
      <w:r w:rsidRPr="00652FE0">
        <w:rPr>
          <w:sz w:val="24"/>
          <w:szCs w:val="24"/>
        </w:rPr>
        <w:t>Гестационный сахарный диабет – это заболевание, характеризующееся гипергликемией, впервые выявленной во время беременности, но несоответствующей критериям «манифестного» СД.</w:t>
      </w:r>
      <w:r w:rsidRPr="00652FE0">
        <w:rPr>
          <w:sz w:val="24"/>
          <w:szCs w:val="24"/>
        </w:rPr>
        <w:tab/>
        <w:t xml:space="preserve">ГСД является наиболее частым нарушением обмена веществ у беременных, с которым встречаются эндокринологи и акушеры-гинекологи, и, следовательно, является важной междисциплинарной проблемой. Это обусловлено как увеличением числа беременных с данной патологией, связанного с резким ростом заболеваемости СД в популяции, так и улучшением качества его диагностики.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Несмотря на достижения акушерской диабетологии, общая частота осложнений беременности и заболеваемость новорождённых при ГСД не опускается ниже 80%. Течение беременности при данной патологии осложняется развитием гестоза в 25–65% случаев, а тяжёлые его формы отмечаются в 2,9–3,7% наблюдений. Дистоция плечиков плода при ГСД достигает 6,3%, перелом ключицы у новорождённого — 19%, паралич Эрба — 7,8%, тяжёлая асфиксия — 5,3%. Нарушение мозгового кровообращения травматического генеза имеет место у 20% новорождённых. У этих детей высока вероятность развития гиперинсулинизма и постнатальной гипогликемии, полицитемии и гипербилирубинемии, а также респираторного дистресс-синдрома и неврологических нарушений. Показатели перинатальной смертности новорождённых с массой тела 4 кг и более в 1,5–3 раза выше, чем при рождении детей с нормальными весовыми параметрами 1 , 4 .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Частота ГСД в общей популяции разных стран варьирует от 1 до 20%, составляя в среднем 7% . Указанные вариации обусловлены различиями в способах его диагностики и напрямую связаны с распространённостью СД 2-го типа в отдельных этнических группах. По данным литературы, у 20–50% женщин, перенёсших ГСД, он возникает при последующей беременности, а у 25–75% — через 16–20 лет после родов развивается манифестный СД 1  . В связи с тем, что у большинства беременных заболевание протекает без выраженной гипергликемии и явных клинических симптомов, одной из особенностей ГСД являются трудности его диагностики и поздняя выявляемость. В ряде случаев диагноз ГСД устанавливается ретроспективно после родов </w:t>
      </w:r>
      <w:r w:rsidRPr="00652FE0">
        <w:rPr>
          <w:sz w:val="24"/>
          <w:szCs w:val="24"/>
        </w:rPr>
        <w:lastRenderedPageBreak/>
        <w:t xml:space="preserve">по фенотипическим признакам диабетической фетопатии у новорождённого или вообще пропускается. По данным обращаемости в научноконсультативное отделение Московского областного НИИ акушерства и гинекологии, в 50– 60% случаев диагноз ГСД ставится с опозданием на 4–20 недель. Именно поэтому во многих странах (особенно с высокой частотой СД 2-го типа в популяции) проводится активный скрининг на выявление ГСД, который основывался на стратификации беременных по группам риска и различных модификациях перорального глюкозотолерантного теста (ПГТТ). Однако проведённое в 2000–2006 гг. исследование гипергликемии и неблагоприятных исходов беременности (Hyperglycemia and Adverse Pregnancy Outcomes, HAPO study) показало, что ранее используемые критерии диагностики ГСД требуют пересмотра. Так, среди наблюдаемых женщин неблагоприятные исходы беременности прямо пропорционально возрастали, начиная со значительно более низкого уровня гликемии, чем принятый в настоящее время в качестве критерия ГСД. В 2008 г. в г. Пасадене (США) Международной ассоциацией групп изучения диабета и беременности (International Association of Diabetes and Pregnancy Study Groups (IADPSG)) были предложены для обсуждения новые критерии диагностики ГСД, основанные на результатах исследования НАРО, включавшего более 23 тыс. беременных женщин.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В течение 2010–2011 гг. ряд развитых стран (США, Япония, Германия, Израиль и др.) самостоятельно приняли эти новые критерии, руководствуясь результатами НАРО-исследования и следующими положениями ВОЗ/IDF: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 ГСД представляет серьёзную медико-социальную проблему, т.к. в значительной степени увеличивает частоту нежелательных исходов беременности для матери и для плода (новорождённого).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 ГСД является фактором риска развития ожирения, СД 2-го типа и сердечно-сосудистых заболеваний у матери и у потомства в будущем.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 Беременность — это состояние физиологической инсулинорезистентности, поэтому сама по себе является значимым фактором риска нарушения углеводного обмена.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 Понятия «СД», «манифестный (впервые выявленный) СД во время беременности» и непосредственно «ГСД» требуют чёткой клинико-лабораторной дефиниции. </w:t>
      </w:r>
    </w:p>
    <w:p w:rsidR="00652FE0" w:rsidRPr="00652FE0" w:rsidRDefault="00652FE0" w:rsidP="00652FE0">
      <w:pPr>
        <w:widowControl/>
        <w:autoSpaceDE/>
        <w:autoSpaceDN/>
        <w:adjustRightInd/>
        <w:ind w:firstLine="567"/>
        <w:jc w:val="both"/>
        <w:outlineLvl w:val="1"/>
        <w:rPr>
          <w:sz w:val="24"/>
          <w:szCs w:val="24"/>
        </w:rPr>
      </w:pPr>
      <w:r w:rsidRPr="00652FE0">
        <w:rPr>
          <w:sz w:val="24"/>
          <w:szCs w:val="24"/>
        </w:rPr>
        <w:t xml:space="preserve">• Требуются единые стандарты диагностики и лечения нарушений углеводного обмена во время беременности. </w:t>
      </w:r>
    </w:p>
    <w:p w:rsidR="00652FE0" w:rsidRDefault="00652FE0" w:rsidP="00652FE0">
      <w:pPr>
        <w:widowControl/>
        <w:autoSpaceDE/>
        <w:autoSpaceDN/>
        <w:adjustRightInd/>
        <w:ind w:firstLine="567"/>
        <w:jc w:val="both"/>
        <w:outlineLvl w:val="1"/>
        <w:rPr>
          <w:sz w:val="24"/>
          <w:szCs w:val="24"/>
        </w:rPr>
      </w:pPr>
      <w:r w:rsidRPr="00652FE0">
        <w:rPr>
          <w:sz w:val="24"/>
          <w:szCs w:val="24"/>
        </w:rPr>
        <w:t>Эксперты Российской ассоциации эндокринологов и эксперты Российского общества акушеров-гинекологов в результате многократных обсуждений данного вопроса пришли к выводу о необходимости принятия новых критериев диагностики ГСД и других нарушений углеводного обмена во время беременности в Российской Федерации. На основании согласованного мнения был создан Российский национальный консенсус «Гестационный сахарный диабет: диагностика, лечение, послеродовое наблюдение». Таким образом, внедрение в работу женских консультаций и родильных домов представленного алгоритма обследования и лечения пациенток с ГСД, а также выработка оптимальной тактики родоразрешения позволят улучшить перинатальные исходы, снизить процент детей с макросомией и тяжёлыми формами диабетической фетопатии и, как следствие, привести к снижению количества оперативных родов и родового травматизма у новорождённых.</w:t>
      </w:r>
    </w:p>
    <w:p w:rsidR="00652FE0" w:rsidRDefault="00652FE0" w:rsidP="00652FE0">
      <w:pPr>
        <w:widowControl/>
        <w:autoSpaceDE/>
        <w:autoSpaceDN/>
        <w:adjustRightInd/>
        <w:ind w:firstLine="567"/>
        <w:jc w:val="both"/>
        <w:outlineLvl w:val="1"/>
        <w:rPr>
          <w:sz w:val="24"/>
          <w:szCs w:val="24"/>
        </w:rPr>
      </w:pPr>
    </w:p>
    <w:p w:rsidR="00652FE0" w:rsidRDefault="00652FE0" w:rsidP="00652FE0">
      <w:pPr>
        <w:widowControl/>
        <w:autoSpaceDE/>
        <w:autoSpaceDN/>
        <w:adjustRightInd/>
        <w:ind w:firstLine="567"/>
        <w:jc w:val="both"/>
        <w:outlineLvl w:val="1"/>
        <w:rPr>
          <w:sz w:val="24"/>
          <w:szCs w:val="24"/>
        </w:rPr>
      </w:pPr>
    </w:p>
    <w:p w:rsidR="00652FE0" w:rsidRDefault="00652FE0" w:rsidP="00652FE0">
      <w:pPr>
        <w:widowControl/>
        <w:autoSpaceDE/>
        <w:autoSpaceDN/>
        <w:adjustRightInd/>
        <w:ind w:firstLine="567"/>
        <w:jc w:val="both"/>
        <w:outlineLvl w:val="1"/>
        <w:rPr>
          <w:sz w:val="24"/>
          <w:szCs w:val="24"/>
        </w:rPr>
      </w:pPr>
    </w:p>
    <w:p w:rsidR="00652FE0" w:rsidRDefault="00652FE0" w:rsidP="00652FE0">
      <w:pPr>
        <w:widowControl/>
        <w:autoSpaceDE/>
        <w:autoSpaceDN/>
        <w:adjustRightInd/>
        <w:ind w:firstLine="567"/>
        <w:jc w:val="both"/>
        <w:outlineLvl w:val="1"/>
        <w:rPr>
          <w:sz w:val="24"/>
          <w:szCs w:val="24"/>
        </w:rPr>
      </w:pPr>
    </w:p>
    <w:p w:rsidR="00D92FF2" w:rsidRPr="002220C1" w:rsidRDefault="00D92FF2" w:rsidP="00652FE0">
      <w:pPr>
        <w:widowControl/>
        <w:autoSpaceDE/>
        <w:autoSpaceDN/>
        <w:adjustRightInd/>
        <w:jc w:val="both"/>
        <w:outlineLvl w:val="1"/>
        <w:rPr>
          <w:bCs/>
          <w:sz w:val="32"/>
          <w:szCs w:val="24"/>
        </w:rPr>
      </w:pPr>
      <w:r w:rsidRPr="002220C1">
        <w:rPr>
          <w:bCs/>
          <w:sz w:val="32"/>
          <w:szCs w:val="24"/>
        </w:rPr>
        <w:lastRenderedPageBreak/>
        <w:t xml:space="preserve">План </w:t>
      </w:r>
      <w:r w:rsidRPr="002220C1">
        <w:rPr>
          <w:bCs/>
          <w:sz w:val="32"/>
          <w:szCs w:val="24"/>
          <w:lang w:val="uz-Latn-UZ"/>
        </w:rPr>
        <w:t>2</w:t>
      </w:r>
      <w:r w:rsidRPr="002220C1">
        <w:rPr>
          <w:bCs/>
          <w:sz w:val="32"/>
          <w:szCs w:val="24"/>
        </w:rPr>
        <w:t>. Определение, Классификация</w:t>
      </w:r>
    </w:p>
    <w:p w:rsidR="00652FE0" w:rsidRDefault="00652FE0" w:rsidP="00B86B91">
      <w:pPr>
        <w:widowControl/>
        <w:autoSpaceDE/>
        <w:autoSpaceDN/>
        <w:adjustRightInd/>
        <w:ind w:left="300" w:hanging="300"/>
        <w:jc w:val="both"/>
        <w:rPr>
          <w:b/>
          <w:bCs/>
          <w:sz w:val="24"/>
          <w:szCs w:val="24"/>
        </w:rPr>
      </w:pPr>
    </w:p>
    <w:p w:rsidR="00330439" w:rsidRPr="008B4B83" w:rsidRDefault="00330439" w:rsidP="00B86B91">
      <w:pPr>
        <w:widowControl/>
        <w:autoSpaceDE/>
        <w:autoSpaceDN/>
        <w:adjustRightInd/>
        <w:ind w:left="300" w:hanging="300"/>
        <w:jc w:val="both"/>
        <w:rPr>
          <w:sz w:val="24"/>
          <w:szCs w:val="24"/>
        </w:rPr>
      </w:pPr>
      <w:bookmarkStart w:id="4" w:name="_GoBack"/>
      <w:bookmarkEnd w:id="4"/>
      <w:r w:rsidRPr="008B4B83">
        <w:rPr>
          <w:b/>
          <w:bCs/>
          <w:sz w:val="24"/>
          <w:szCs w:val="24"/>
        </w:rPr>
        <w:t>Классификация и определения</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А. </w:t>
      </w:r>
      <w:r w:rsidRPr="008B4B83">
        <w:rPr>
          <w:sz w:val="24"/>
          <w:szCs w:val="24"/>
        </w:rPr>
        <w:t xml:space="preserve">Согласно рекомендациям ВОЗ, различают следующие типы сахарного диабета у беременных: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1. Инсулинозависимый сахарный диабет,</w:t>
      </w:r>
      <w:r w:rsidRPr="008B4B83">
        <w:rPr>
          <w:sz w:val="24"/>
          <w:szCs w:val="24"/>
        </w:rPr>
        <w:t xml:space="preserve"> выявленный до беременности.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2. Инсулинонезависимый сахарный диабет,</w:t>
      </w:r>
      <w:r w:rsidRPr="008B4B83">
        <w:rPr>
          <w:sz w:val="24"/>
          <w:szCs w:val="24"/>
        </w:rPr>
        <w:t xml:space="preserve"> выявленный до беременности.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3. Диабет беременных. </w:t>
      </w:r>
      <w:r w:rsidRPr="008B4B83">
        <w:rPr>
          <w:sz w:val="24"/>
          <w:szCs w:val="24"/>
        </w:rPr>
        <w:t xml:space="preserve">Под этим названием объединяют любые нарушения толерантности к глюкозе, возникшие во время беременности.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Б. </w:t>
      </w:r>
      <w:r w:rsidRPr="008B4B83">
        <w:rPr>
          <w:sz w:val="24"/>
          <w:szCs w:val="24"/>
        </w:rPr>
        <w:t xml:space="preserve">Как правило, диабет беременных бывает инсулинонезависимым и поддается диетотерапии. Реже он развивается как инсулинозависимый сахарный диабет и тогда требует лечения инсулином.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Хотя в большинстве случаев диабет беременных проходит после родов, он существенно повышает риск инсулинонезависимого сахарного диабета у матери в будущем.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 xml:space="preserve">II. Эпидемиология. </w:t>
      </w:r>
      <w:r w:rsidRPr="008B4B83">
        <w:rPr>
          <w:sz w:val="24"/>
          <w:szCs w:val="24"/>
        </w:rPr>
        <w:t xml:space="preserve">Распространенность всех форм сахарного диабета среди беременных достигает 3,5%. Распространенность инсулинозависимого и инсулинонезависимого сахарного диабета составляет 0,5%, а распространенность диабета беременных составляет 1—3%. Перинатальная смертность при беременностях, осложненных сахарным диабетом (все формы), составляет 3—5%, а при беременностях, не осложненных сахарным диабетом, — 1—2%.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III. Обмен веществ и состояние эндокринной системы при нормальной</w:t>
      </w:r>
      <w:r w:rsidRPr="008B4B83">
        <w:rPr>
          <w:sz w:val="24"/>
          <w:szCs w:val="24"/>
        </w:rPr>
        <w:t xml:space="preserve"> </w:t>
      </w:r>
      <w:r w:rsidRPr="008B4B83">
        <w:rPr>
          <w:b/>
          <w:bCs/>
          <w:sz w:val="24"/>
          <w:szCs w:val="24"/>
        </w:rPr>
        <w:t xml:space="preserve">беременности. </w:t>
      </w:r>
      <w:r w:rsidRPr="008B4B83">
        <w:rPr>
          <w:sz w:val="24"/>
          <w:szCs w:val="24"/>
        </w:rPr>
        <w:t xml:space="preserve">Энергетические потребности плаценты и плода обеспечиваются главным образом за счет глюкозы, которая поступает в фетоплацентарную систему из организма матери. Беременность сопровождается существенными сдвигами в метаболизме глюкозы и прочих источников энергии, а также изменениями секреции инсулина и других гормонов, участвующих в регуляции обмена веществ.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А. Уровень глюкозы в плазме натощак</w:t>
      </w:r>
      <w:r w:rsidRPr="008B4B83">
        <w:rPr>
          <w:sz w:val="24"/>
          <w:szCs w:val="24"/>
        </w:rPr>
        <w:t xml:space="preserve"> </w:t>
      </w:r>
      <w:r w:rsidRPr="008B4B83">
        <w:rPr>
          <w:b/>
          <w:bCs/>
          <w:sz w:val="24"/>
          <w:szCs w:val="24"/>
        </w:rPr>
        <w:t>снижается</w:t>
      </w:r>
      <w:r w:rsidRPr="008B4B83">
        <w:rPr>
          <w:sz w:val="24"/>
          <w:szCs w:val="24"/>
        </w:rPr>
        <w:t xml:space="preserve"> по мере увеличения срока беременности. Причины: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1. </w:t>
      </w:r>
      <w:r w:rsidRPr="008B4B83">
        <w:rPr>
          <w:sz w:val="24"/>
          <w:szCs w:val="24"/>
        </w:rPr>
        <w:t xml:space="preserve">Усиление поглощения глюкозы плацентой.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2. </w:t>
      </w:r>
      <w:r w:rsidRPr="008B4B83">
        <w:rPr>
          <w:sz w:val="24"/>
          <w:szCs w:val="24"/>
        </w:rPr>
        <w:t xml:space="preserve">Торможение глюконеогенеза из-за падения уровня аминокислот в крови.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Б. </w:t>
      </w:r>
      <w:r w:rsidRPr="008B4B83">
        <w:rPr>
          <w:sz w:val="24"/>
          <w:szCs w:val="24"/>
        </w:rPr>
        <w:t xml:space="preserve">На поздних стадиях беременности под действием </w:t>
      </w:r>
      <w:r w:rsidRPr="008B4B83">
        <w:rPr>
          <w:b/>
          <w:bCs/>
          <w:sz w:val="24"/>
          <w:szCs w:val="24"/>
        </w:rPr>
        <w:t>плацентарного лактогена</w:t>
      </w:r>
      <w:r w:rsidRPr="008B4B83">
        <w:rPr>
          <w:sz w:val="24"/>
          <w:szCs w:val="24"/>
        </w:rPr>
        <w:t xml:space="preserve"> усиливается липолиз, что приводит к повышению уровня глицерина и свободных жирных кислот в плазме. Из-за этого </w:t>
      </w:r>
      <w:r w:rsidRPr="008B4B83">
        <w:rPr>
          <w:b/>
          <w:bCs/>
          <w:sz w:val="24"/>
          <w:szCs w:val="24"/>
        </w:rPr>
        <w:t>усиливается кетогенез.</w:t>
      </w:r>
      <w:r w:rsidRPr="008B4B83">
        <w:rPr>
          <w:sz w:val="24"/>
          <w:szCs w:val="24"/>
        </w:rPr>
        <w:t xml:space="preserve"> Другая причина усиления кетогенеза — действие плацентарных гормонов</w:t>
      </w:r>
      <w:r w:rsidRPr="008B4B83">
        <w:rPr>
          <w:b/>
          <w:bCs/>
          <w:sz w:val="24"/>
          <w:szCs w:val="24"/>
        </w:rPr>
        <w:t xml:space="preserve"> </w:t>
      </w:r>
      <w:r w:rsidRPr="008B4B83">
        <w:rPr>
          <w:sz w:val="24"/>
          <w:szCs w:val="24"/>
        </w:rPr>
        <w:t xml:space="preserve">на гепатоциты матери. Кетоновые тела (бета-оксимасляная и ацетоуксусная кислоты) свободно проходят через плаценту и используются печенью и мозгом плода как источники энергии.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В первой половине беременности из-за снижения уровня глюкозы натощак чувствительность тканей материнского организма к инсулину повышается. Во второй половине беременности значительно возрастает уровень плацентарных гормонов, которые подавляют утилизацию глюкозы тканями матери (что обеспечивает поступление достаточного количества глюкозы в фетоплацентарную систему). Поэтому </w:t>
      </w:r>
      <w:r w:rsidRPr="008B4B83">
        <w:rPr>
          <w:b/>
          <w:bCs/>
          <w:sz w:val="24"/>
          <w:szCs w:val="24"/>
        </w:rPr>
        <w:t>у беременных уровень глюкозы в крови после приема пищи выше, чем у небеременных.</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Г. </w:t>
      </w:r>
      <w:r w:rsidRPr="008B4B83">
        <w:rPr>
          <w:sz w:val="24"/>
          <w:szCs w:val="24"/>
        </w:rPr>
        <w:t xml:space="preserve">Постоянная легкая гипергликемия приводит к физиологической гиперинсулинемии. Во второй половине беременности возникает </w:t>
      </w:r>
      <w:r w:rsidRPr="008B4B83">
        <w:rPr>
          <w:b/>
          <w:bCs/>
          <w:sz w:val="24"/>
          <w:szCs w:val="24"/>
        </w:rPr>
        <w:t>физиологическая инсулинорезистентность,</w:t>
      </w:r>
      <w:r w:rsidRPr="008B4B83">
        <w:rPr>
          <w:sz w:val="24"/>
          <w:szCs w:val="24"/>
        </w:rPr>
        <w:t xml:space="preserve"> обусловленная плацентарными гормонами — прогестероном, эстрогенами, пролактином и </w:t>
      </w:r>
      <w:r w:rsidRPr="008B4B83">
        <w:rPr>
          <w:sz w:val="24"/>
          <w:szCs w:val="24"/>
        </w:rPr>
        <w:lastRenderedPageBreak/>
        <w:t xml:space="preserve">плацентарным лактогеном. Инсулинорезистентность также способствует гиперинсулинемии.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Д. </w:t>
      </w:r>
      <w:r w:rsidRPr="008B4B83">
        <w:rPr>
          <w:sz w:val="24"/>
          <w:szCs w:val="24"/>
        </w:rPr>
        <w:t xml:space="preserve">Гипергликемия тормозит секрецию глюкагона. В результате значительная часть глюкозы превращается в триглицериды (механизм запасания жира).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Е. </w:t>
      </w:r>
      <w:r w:rsidRPr="008B4B83">
        <w:rPr>
          <w:sz w:val="24"/>
          <w:szCs w:val="24"/>
        </w:rPr>
        <w:t xml:space="preserve">Материнский инсулин не проникает через плаценту. К 10—12-й неделе беременности в поджелудочной железе плода появляются дифференцированные бета-клетки, способные секретировать инсулин. Легкая гипергликемия у матери вызывает повышение уровня глюкозы в крови плода, что и стимулирует секрецию инсулина.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IV. Опасность сахарного диабета для беременной</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А. </w:t>
      </w:r>
      <w:r w:rsidRPr="008B4B83">
        <w:rPr>
          <w:sz w:val="24"/>
          <w:szCs w:val="24"/>
        </w:rPr>
        <w:t xml:space="preserve">Беременность утяжеляет течение сахарного диабета (особенно инсулинозависимого) и способствует раннему развитию осложнений — ретинопатии, нефропатии и нейропатии.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Б. </w:t>
      </w:r>
      <w:r w:rsidRPr="008B4B83">
        <w:rPr>
          <w:sz w:val="24"/>
          <w:szCs w:val="24"/>
        </w:rPr>
        <w:t xml:space="preserve">Поскольку уровень кетоновых тел в плазме натощак значительно возрастает даже в отсутствие выраженной гипергликемии, при любой форме сахарного диабета повышен риск диабетического кетоацидоза.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При лабильном течении инсулинозависимого сахарного диабета у беременной вероятны тяжелые приступы гипогликемии. Кроме того, гипогликемия может быть осложнением интенсивной инсулинотерапии.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Г. </w:t>
      </w:r>
      <w:r w:rsidRPr="008B4B83">
        <w:rPr>
          <w:sz w:val="24"/>
          <w:szCs w:val="24"/>
        </w:rPr>
        <w:t xml:space="preserve">У беременных с сахарным диабетом и ИБС смертность достигает 50%.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Д. </w:t>
      </w:r>
      <w:r w:rsidRPr="008B4B83">
        <w:rPr>
          <w:sz w:val="24"/>
          <w:szCs w:val="24"/>
        </w:rPr>
        <w:t xml:space="preserve">Любые тяжелые макро- и микроангиопатические осложнения сахарного диабета считаются противопоказанием к беременности.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V. Опасность сахарного диабета у беременной для плода</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А. Пороки развития</w:t>
      </w:r>
      <w:r w:rsidRPr="008B4B83">
        <w:rPr>
          <w:sz w:val="24"/>
          <w:szCs w:val="24"/>
        </w:rPr>
        <w:t xml:space="preserve"> — самое частое осложнение беременности и самая частая причина перинатальной смертности. Обычно поражаются ЦНС, сердце, скелет, ЖКТ и мочевые пути. Риск пороков развития особенно велик при гипергликемии у матери в первые недели беременности. Поэтому перед зачатием необходимо нормализовать уровень глюкозы в крови.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Б. </w:t>
      </w:r>
      <w:r w:rsidRPr="008B4B83">
        <w:rPr>
          <w:sz w:val="24"/>
          <w:szCs w:val="24"/>
        </w:rPr>
        <w:t xml:space="preserve">Выраженная гипергликемия на ранних сроках беременности может быть причиной </w:t>
      </w:r>
      <w:r w:rsidRPr="008B4B83">
        <w:rPr>
          <w:b/>
          <w:bCs/>
          <w:sz w:val="24"/>
          <w:szCs w:val="24"/>
        </w:rPr>
        <w:t>самопроизвольного аборта.</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На более поздних стадиях беременности нередко развивается </w:t>
      </w:r>
      <w:r w:rsidRPr="008B4B83">
        <w:rPr>
          <w:b/>
          <w:bCs/>
          <w:sz w:val="24"/>
          <w:szCs w:val="24"/>
        </w:rPr>
        <w:t>многоводие,</w:t>
      </w:r>
      <w:r w:rsidRPr="008B4B83">
        <w:rPr>
          <w:sz w:val="24"/>
          <w:szCs w:val="24"/>
        </w:rPr>
        <w:t xml:space="preserve"> которое может вызвать </w:t>
      </w:r>
      <w:r w:rsidRPr="008B4B83">
        <w:rPr>
          <w:b/>
          <w:bCs/>
          <w:sz w:val="24"/>
          <w:szCs w:val="24"/>
        </w:rPr>
        <w:t>преждевременные роды.</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Г. </w:t>
      </w:r>
      <w:r w:rsidRPr="008B4B83">
        <w:rPr>
          <w:sz w:val="24"/>
          <w:szCs w:val="24"/>
        </w:rPr>
        <w:t xml:space="preserve">Гипергликемия у матери и плода в III триместре беременности может быть причиной </w:t>
      </w:r>
      <w:r w:rsidRPr="008B4B83">
        <w:rPr>
          <w:b/>
          <w:bCs/>
          <w:sz w:val="24"/>
          <w:szCs w:val="24"/>
        </w:rPr>
        <w:t>гипоксии или внутриутробной гибели плода.</w:t>
      </w:r>
      <w:r w:rsidRPr="008B4B83">
        <w:rPr>
          <w:sz w:val="24"/>
          <w:szCs w:val="24"/>
        </w:rPr>
        <w:t xml:space="preserve"> Если в III триместре уровень глюкозы в крови беременной натощак &gt; 8,3 ммоль/л, необходимо непрерывно следить за состоянием плода, чтобы предотвратить его гибель.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Д. </w:t>
      </w:r>
      <w:r w:rsidRPr="008B4B83">
        <w:rPr>
          <w:sz w:val="24"/>
          <w:szCs w:val="24"/>
        </w:rPr>
        <w:t xml:space="preserve">Гипергликемия у плода в III триместре приводит к </w:t>
      </w:r>
      <w:r w:rsidRPr="008B4B83">
        <w:rPr>
          <w:b/>
          <w:bCs/>
          <w:sz w:val="24"/>
          <w:szCs w:val="24"/>
        </w:rPr>
        <w:t>макросомии.</w:t>
      </w:r>
      <w:r w:rsidRPr="008B4B83">
        <w:rPr>
          <w:sz w:val="24"/>
          <w:szCs w:val="24"/>
        </w:rPr>
        <w:t xml:space="preserve"> Причины: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1. </w:t>
      </w:r>
      <w:r w:rsidRPr="008B4B83">
        <w:rPr>
          <w:sz w:val="24"/>
          <w:szCs w:val="24"/>
        </w:rPr>
        <w:t xml:space="preserve">Усиливается секреция инсулина, который является фактором роста.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2. </w:t>
      </w:r>
      <w:r w:rsidRPr="008B4B83">
        <w:rPr>
          <w:sz w:val="24"/>
          <w:szCs w:val="24"/>
        </w:rPr>
        <w:t xml:space="preserve">Усиливается отложение подкожного жира.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3. </w:t>
      </w:r>
      <w:r w:rsidRPr="008B4B83">
        <w:rPr>
          <w:sz w:val="24"/>
          <w:szCs w:val="24"/>
        </w:rPr>
        <w:t xml:space="preserve">Увеличивается печень. </w:t>
      </w:r>
    </w:p>
    <w:p w:rsidR="00330439" w:rsidRPr="008B4B83" w:rsidRDefault="00330439" w:rsidP="00B86B91">
      <w:pPr>
        <w:widowControl/>
        <w:autoSpaceDE/>
        <w:autoSpaceDN/>
        <w:adjustRightInd/>
        <w:ind w:left="600"/>
        <w:jc w:val="both"/>
        <w:rPr>
          <w:sz w:val="24"/>
          <w:szCs w:val="24"/>
        </w:rPr>
      </w:pPr>
      <w:r w:rsidRPr="008B4B83">
        <w:rPr>
          <w:sz w:val="24"/>
          <w:szCs w:val="24"/>
        </w:rPr>
        <w:t xml:space="preserve">Макросомия затрудняет прохождение плода по родовым путям, поэтому часто возникает родовая травма плода и матери и даже гибель плода. Нередко приходится прибегать к кесареву сечению.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Е. Внутриутробная задержка развития</w:t>
      </w:r>
      <w:r w:rsidRPr="008B4B83">
        <w:rPr>
          <w:sz w:val="24"/>
          <w:szCs w:val="24"/>
        </w:rPr>
        <w:t xml:space="preserve"> наблюдается редко и может быть обусловлена микроангиопатией у беременных с сахарным диабетом либо хронической гипогликемией при передозировке инсулина.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lastRenderedPageBreak/>
        <w:t>Ж. Нарушения у новорожденных:</w:t>
      </w:r>
      <w:r w:rsidRPr="008B4B83">
        <w:rPr>
          <w:sz w:val="24"/>
          <w:szCs w:val="24"/>
        </w:rPr>
        <w:t xml:space="preserve"> болезнь гиалиновых мембран, гипогликемия, гипербилирубинемия, гипокальциемия и гипотрофия (ребенок плохо сосет грудь).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VI. Принципы ведения беременных с сахарным диабетом</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А. </w:t>
      </w:r>
      <w:r w:rsidRPr="008B4B83">
        <w:rPr>
          <w:sz w:val="24"/>
          <w:szCs w:val="24"/>
        </w:rPr>
        <w:t xml:space="preserve">Если лечение правильное и беременная выполняет все указания врача, </w:t>
      </w:r>
      <w:r w:rsidRPr="008B4B83">
        <w:rPr>
          <w:b/>
          <w:bCs/>
          <w:sz w:val="24"/>
          <w:szCs w:val="24"/>
        </w:rPr>
        <w:t>вероятность рождения здорового ребенка составляет 97—98%.</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Б. </w:t>
      </w:r>
      <w:r w:rsidRPr="008B4B83">
        <w:rPr>
          <w:sz w:val="24"/>
          <w:szCs w:val="24"/>
        </w:rPr>
        <w:t xml:space="preserve">Если больная сахарным диабетом хочет иметь ребенка, ее предупреждают о возможных опасностях. Если больная твердо решила забеременеть, нужно оценить и при необходимости нормализовать уровень глюкозы в крови. Больные инсулинонезависимым сахарным диабетом должны прекратить прием пероральных сахаропонижающих средств.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После установления беременности все больные сахарным диабетом должны быть госпитализированы. Цели госпитализации: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1. </w:t>
      </w:r>
      <w:r w:rsidRPr="008B4B83">
        <w:rPr>
          <w:sz w:val="24"/>
          <w:szCs w:val="24"/>
        </w:rPr>
        <w:t xml:space="preserve">Оценка и нормализация уровня глюкозы в крови; коррекция диетотерапии или инсулинотерапии.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2. </w:t>
      </w:r>
      <w:r w:rsidRPr="008B4B83">
        <w:rPr>
          <w:sz w:val="24"/>
          <w:szCs w:val="24"/>
        </w:rPr>
        <w:t xml:space="preserve">Выявление и устранение сопутствующих инфекций и осложнений (нефропатии, ретинопатии).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Г. Диагностика сахарного диабета у беременных. </w:t>
      </w:r>
      <w:r w:rsidRPr="008B4B83">
        <w:rPr>
          <w:sz w:val="24"/>
          <w:szCs w:val="24"/>
        </w:rPr>
        <w:t xml:space="preserve">Диабет беременных обычно возникает в начале III триместра, но может выявляться и раньше. Американская диабетическая ассоциация рекомендует обследовать всех беременных между 24-й и 28-й неделями. При подозрении на скрытый сахарный диабет, а также у женщин с высоким риском сахарного диабета обследование проводят сразу после установления беременности. Показанием для обследования служит также уровень глюкозы в плазме натощак </w:t>
      </w:r>
      <w:r w:rsidRPr="008B4B83">
        <w:rPr>
          <w:sz w:val="24"/>
          <w:szCs w:val="24"/>
        </w:rPr>
        <w:t xml:space="preserve"> 5,83 ммоль/л (в капиллярной крови </w:t>
      </w:r>
      <w:r w:rsidRPr="008B4B83">
        <w:rPr>
          <w:sz w:val="24"/>
          <w:szCs w:val="24"/>
        </w:rPr>
        <w:t xml:space="preserve"> 5 ммоль/л). Обследование проводят в два этапа. На первом этапе выявляют нарушение толерантности к глюкозе с помощью часового перорального теста на толерантность к глюкозе; на втором этапе подтверждают диагноз с помощью трехчасового теста.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1. Часовой пероральный тест на толерантность к глюкозе с 50 г глюкозы </w:t>
      </w:r>
      <w:r w:rsidRPr="008B4B83">
        <w:rPr>
          <w:sz w:val="24"/>
          <w:szCs w:val="24"/>
        </w:rPr>
        <w:t xml:space="preserve">(см. также приложение А, п. X.А) </w:t>
      </w:r>
    </w:p>
    <w:p w:rsidR="00330439" w:rsidRPr="008B4B83" w:rsidRDefault="00330439" w:rsidP="00B86B91">
      <w:pPr>
        <w:widowControl/>
        <w:autoSpaceDE/>
        <w:autoSpaceDN/>
        <w:adjustRightInd/>
        <w:ind w:left="1200" w:hanging="300"/>
        <w:jc w:val="both"/>
        <w:rPr>
          <w:sz w:val="24"/>
          <w:szCs w:val="24"/>
        </w:rPr>
      </w:pPr>
      <w:r w:rsidRPr="008B4B83">
        <w:rPr>
          <w:b/>
          <w:bCs/>
          <w:sz w:val="24"/>
          <w:szCs w:val="24"/>
        </w:rPr>
        <w:t xml:space="preserve">а. Методика. </w:t>
      </w:r>
      <w:r w:rsidRPr="008B4B83">
        <w:rPr>
          <w:sz w:val="24"/>
          <w:szCs w:val="24"/>
        </w:rPr>
        <w:t xml:space="preserve">Пробу проводят в любое время (необязательно натощак). Беременная должна принять 50 г глюкозы внутрь в виде раствора. Через 1 ч берут кровь из вены и определяют уровень глюкозы в плазме. </w:t>
      </w:r>
    </w:p>
    <w:p w:rsidR="00330439" w:rsidRPr="008B4B83" w:rsidRDefault="00330439" w:rsidP="00B86B91">
      <w:pPr>
        <w:widowControl/>
        <w:autoSpaceDE/>
        <w:autoSpaceDN/>
        <w:adjustRightInd/>
        <w:ind w:left="1200" w:hanging="300"/>
        <w:jc w:val="both"/>
        <w:rPr>
          <w:sz w:val="24"/>
          <w:szCs w:val="24"/>
        </w:rPr>
      </w:pPr>
      <w:r w:rsidRPr="008B4B83">
        <w:rPr>
          <w:b/>
          <w:bCs/>
          <w:sz w:val="24"/>
          <w:szCs w:val="24"/>
        </w:rPr>
        <w:t>б. Оценка результата</w:t>
      </w:r>
      <w:r w:rsidRPr="008B4B83">
        <w:rPr>
          <w:sz w:val="24"/>
          <w:szCs w:val="24"/>
        </w:rPr>
        <w:t xml:space="preserve"> </w:t>
      </w:r>
    </w:p>
    <w:p w:rsidR="00330439" w:rsidRPr="008B4B83" w:rsidRDefault="00330439" w:rsidP="00B86B91">
      <w:pPr>
        <w:widowControl/>
        <w:autoSpaceDE/>
        <w:autoSpaceDN/>
        <w:adjustRightInd/>
        <w:ind w:left="1500" w:hanging="300"/>
        <w:jc w:val="both"/>
        <w:rPr>
          <w:sz w:val="24"/>
          <w:szCs w:val="24"/>
        </w:rPr>
      </w:pPr>
      <w:bookmarkStart w:id="5" w:name="VI.Г.1.б.1)"/>
      <w:r w:rsidRPr="008B4B83">
        <w:rPr>
          <w:b/>
          <w:bCs/>
          <w:sz w:val="24"/>
          <w:szCs w:val="24"/>
        </w:rPr>
        <w:t>1)</w:t>
      </w:r>
      <w:bookmarkEnd w:id="5"/>
      <w:r w:rsidRPr="008B4B83">
        <w:rPr>
          <w:b/>
          <w:bCs/>
          <w:sz w:val="24"/>
          <w:szCs w:val="24"/>
        </w:rPr>
        <w:t xml:space="preserve"> </w:t>
      </w:r>
      <w:r w:rsidRPr="008B4B83">
        <w:rPr>
          <w:sz w:val="24"/>
          <w:szCs w:val="24"/>
        </w:rPr>
        <w:t>Уровень глюкозы</w:t>
      </w:r>
      <w:r w:rsidRPr="008B4B83">
        <w:rPr>
          <w:b/>
          <w:bCs/>
          <w:sz w:val="24"/>
          <w:szCs w:val="24"/>
        </w:rPr>
        <w:t xml:space="preserve"> </w:t>
      </w:r>
      <w:r w:rsidRPr="008B4B83">
        <w:rPr>
          <w:sz w:val="24"/>
          <w:szCs w:val="24"/>
        </w:rPr>
        <w:t xml:space="preserve">&lt; 7,8 ммоль/л: нарушения толерантности к глюкозе нет; при наличии факторов риска сахарного диабета повторить тест через 4 нед; в отсутствие факторов риска дальнейшее обследование не нужно. </w:t>
      </w:r>
    </w:p>
    <w:p w:rsidR="00330439" w:rsidRPr="008B4B83" w:rsidRDefault="00330439" w:rsidP="00B86B91">
      <w:pPr>
        <w:widowControl/>
        <w:autoSpaceDE/>
        <w:autoSpaceDN/>
        <w:adjustRightInd/>
        <w:ind w:left="1500" w:hanging="300"/>
        <w:jc w:val="both"/>
        <w:rPr>
          <w:sz w:val="24"/>
          <w:szCs w:val="24"/>
        </w:rPr>
      </w:pPr>
      <w:bookmarkStart w:id="6" w:name="VI.Г.1.б.2)"/>
      <w:r w:rsidRPr="008B4B83">
        <w:rPr>
          <w:b/>
          <w:bCs/>
          <w:sz w:val="24"/>
          <w:szCs w:val="24"/>
        </w:rPr>
        <w:t>2)</w:t>
      </w:r>
      <w:bookmarkEnd w:id="6"/>
      <w:r w:rsidRPr="008B4B83">
        <w:rPr>
          <w:b/>
          <w:bCs/>
          <w:sz w:val="24"/>
          <w:szCs w:val="24"/>
        </w:rPr>
        <w:t xml:space="preserve"> </w:t>
      </w:r>
      <w:r w:rsidRPr="008B4B83">
        <w:rPr>
          <w:sz w:val="24"/>
          <w:szCs w:val="24"/>
        </w:rPr>
        <w:t xml:space="preserve">Уровень глюкозы 7,8—10,6 ммоль/л: показан трехчасовой тест. </w:t>
      </w:r>
    </w:p>
    <w:p w:rsidR="00330439" w:rsidRPr="008B4B83" w:rsidRDefault="00330439" w:rsidP="00B86B91">
      <w:pPr>
        <w:widowControl/>
        <w:autoSpaceDE/>
        <w:autoSpaceDN/>
        <w:adjustRightInd/>
        <w:ind w:left="1500" w:hanging="300"/>
        <w:jc w:val="both"/>
        <w:rPr>
          <w:sz w:val="24"/>
          <w:szCs w:val="24"/>
        </w:rPr>
      </w:pPr>
      <w:bookmarkStart w:id="7" w:name="VI.Г.1.б.3)"/>
      <w:r w:rsidRPr="008B4B83">
        <w:rPr>
          <w:b/>
          <w:bCs/>
          <w:sz w:val="24"/>
          <w:szCs w:val="24"/>
        </w:rPr>
        <w:t>3)</w:t>
      </w:r>
      <w:bookmarkEnd w:id="7"/>
      <w:r w:rsidRPr="008B4B83">
        <w:rPr>
          <w:b/>
          <w:bCs/>
          <w:sz w:val="24"/>
          <w:szCs w:val="24"/>
        </w:rPr>
        <w:t xml:space="preserve"> </w:t>
      </w:r>
      <w:r w:rsidRPr="008B4B83">
        <w:rPr>
          <w:sz w:val="24"/>
          <w:szCs w:val="24"/>
        </w:rPr>
        <w:t xml:space="preserve">Уровень глюкозы &gt; 10,6 ммоль/л: предварительный диагноз — диабет беременных; показан трехчасовой тест.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2. Трехчасовой пероральный тест на толерантность к глюкозе со 100 г глюкозы </w:t>
      </w:r>
      <w:r w:rsidRPr="008B4B83">
        <w:rPr>
          <w:sz w:val="24"/>
          <w:szCs w:val="24"/>
        </w:rPr>
        <w:t xml:space="preserve">(см. также приложение А, п. X.Б) </w:t>
      </w:r>
    </w:p>
    <w:p w:rsidR="00330439" w:rsidRPr="008B4B83" w:rsidRDefault="00330439" w:rsidP="00B86B91">
      <w:pPr>
        <w:widowControl/>
        <w:autoSpaceDE/>
        <w:autoSpaceDN/>
        <w:adjustRightInd/>
        <w:ind w:left="1200" w:hanging="300"/>
        <w:jc w:val="both"/>
        <w:rPr>
          <w:sz w:val="24"/>
          <w:szCs w:val="24"/>
        </w:rPr>
      </w:pPr>
      <w:bookmarkStart w:id="8" w:name="VI.Г.2.а."/>
      <w:r w:rsidRPr="008B4B83">
        <w:rPr>
          <w:b/>
          <w:bCs/>
          <w:sz w:val="24"/>
          <w:szCs w:val="24"/>
        </w:rPr>
        <w:t>а.</w:t>
      </w:r>
      <w:bookmarkEnd w:id="8"/>
      <w:r w:rsidRPr="008B4B83">
        <w:rPr>
          <w:b/>
          <w:bCs/>
          <w:sz w:val="24"/>
          <w:szCs w:val="24"/>
        </w:rPr>
        <w:t xml:space="preserve"> Методика. </w:t>
      </w:r>
      <w:r w:rsidRPr="008B4B83">
        <w:rPr>
          <w:sz w:val="24"/>
          <w:szCs w:val="24"/>
        </w:rPr>
        <w:t xml:space="preserve">Последний прием пищи за 12 ч до обследования. Утром натощак беременная должна принять 100 г глюкозы внутрь (в виде раствора). Через 1, 2 и 3 ч берут кровь из вены и определяют уровень глюкозы в плазме. </w:t>
      </w:r>
    </w:p>
    <w:p w:rsidR="00330439" w:rsidRPr="008B4B83" w:rsidRDefault="00330439" w:rsidP="00B86B91">
      <w:pPr>
        <w:widowControl/>
        <w:autoSpaceDE/>
        <w:autoSpaceDN/>
        <w:adjustRightInd/>
        <w:ind w:left="1200" w:hanging="300"/>
        <w:jc w:val="both"/>
        <w:rPr>
          <w:sz w:val="24"/>
          <w:szCs w:val="24"/>
        </w:rPr>
      </w:pPr>
      <w:bookmarkStart w:id="9" w:name="VI.Г.2.б."/>
      <w:r w:rsidRPr="008B4B83">
        <w:rPr>
          <w:b/>
          <w:bCs/>
          <w:sz w:val="24"/>
          <w:szCs w:val="24"/>
        </w:rPr>
        <w:t>б.</w:t>
      </w:r>
      <w:bookmarkEnd w:id="9"/>
      <w:r w:rsidRPr="008B4B83">
        <w:rPr>
          <w:b/>
          <w:bCs/>
          <w:sz w:val="24"/>
          <w:szCs w:val="24"/>
        </w:rPr>
        <w:t xml:space="preserve"> Оценка результата. </w:t>
      </w:r>
      <w:r w:rsidRPr="008B4B83">
        <w:rPr>
          <w:sz w:val="24"/>
          <w:szCs w:val="24"/>
        </w:rPr>
        <w:t xml:space="preserve">Если в любых двух пробах концентрация глюкозы превышает норму (см. табл. 42.1), диагноз диабета беременных не вызывает сомнений.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Д. Принципы лечения</w:t>
      </w:r>
      <w:r w:rsidRPr="008B4B83">
        <w:rPr>
          <w:sz w:val="24"/>
          <w:szCs w:val="24"/>
        </w:rPr>
        <w:t xml:space="preserve">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lastRenderedPageBreak/>
        <w:t>1. При инсулинонезависимом сахарном диабете</w:t>
      </w:r>
      <w:r w:rsidRPr="008B4B83">
        <w:rPr>
          <w:sz w:val="24"/>
          <w:szCs w:val="24"/>
        </w:rPr>
        <w:t xml:space="preserve"> отменяют пероральные сахаропонижающие препараты (производные сульфанилмочевины). Предпочтительный способ лечения — диетотерапия. Если она неэффективна, назначают инсулин.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2. При инсулинозависимом сахарном диабете </w:t>
      </w:r>
      <w:r w:rsidRPr="008B4B83">
        <w:rPr>
          <w:sz w:val="24"/>
          <w:szCs w:val="24"/>
        </w:rPr>
        <w:t xml:space="preserve">продолжают лечение инсулином. При коррекции режима лечения ориентируются на уровень глюкозы в крови.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3. При диабете беременных</w:t>
      </w:r>
      <w:r w:rsidRPr="008B4B83">
        <w:rPr>
          <w:sz w:val="24"/>
          <w:szCs w:val="24"/>
        </w:rPr>
        <w:t xml:space="preserve"> начинают с диетотерапии. Если уровень глюкозы в плазме натощак &gt; 6,7 ммоль/л, назначают инсулин.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 xml:space="preserve">VII. Диетотерапия. </w:t>
      </w:r>
      <w:r w:rsidRPr="008B4B83">
        <w:rPr>
          <w:sz w:val="24"/>
          <w:szCs w:val="24"/>
        </w:rPr>
        <w:t xml:space="preserve">Диета — краеугольный камень успешного лечения сахарного диабета беременных.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А. Калорийность и состав диеты</w:t>
      </w:r>
      <w:r w:rsidRPr="008B4B83">
        <w:rPr>
          <w:sz w:val="24"/>
          <w:szCs w:val="24"/>
        </w:rPr>
        <w:t xml:space="preserve"> должны быть рассчитаны так, чтобы у беременной не было ни потери, ни чрезмерной прибавки веса (чрезмерной считается прибавка &gt; 1 кг в месяц в I триместре и &gt; 2 кг в месяц во II и в III триместрах). Исходная калорийность диеты должна составлять 30—35 ккал/кг идеального веса. Мы рекомендуем диету, содержащую 45—50% углеводов, 20—30% белка и 15—20% жиров. Из диеты должны быть исключены продукты, содержащие большое количество моносахаридов (кондитерские изделия). Суточное потребление белка должно составлять 75—100 г. Желательно, чтобы пища включала клетчатку.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Б. Борьба с гипогликемией</w:t>
      </w:r>
      <w:r w:rsidRPr="008B4B83">
        <w:rPr>
          <w:sz w:val="24"/>
          <w:szCs w:val="24"/>
        </w:rPr>
        <w:t xml:space="preserve">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1. </w:t>
      </w:r>
      <w:r w:rsidRPr="008B4B83">
        <w:rPr>
          <w:sz w:val="24"/>
          <w:szCs w:val="24"/>
        </w:rPr>
        <w:t xml:space="preserve">Чтобы предупредить гипогликемию натощак и в ночные часы, нужно принимать пищу 6 раз в сутки (завтрак, второй завтрак, обед, полдник, ужин, закуска перед сном).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2. </w:t>
      </w:r>
      <w:r w:rsidRPr="008B4B83">
        <w:rPr>
          <w:sz w:val="24"/>
          <w:szCs w:val="24"/>
        </w:rPr>
        <w:t xml:space="preserve">Гипогликемия сменяется рикошетной гипергликемией. Прием слишком большого количества углеводов при появлении предвестников гипогликемии может усилить рикошетную гипергликемию. Поэтому при первых признаках гипогликемии достаточно выпить стакан молока (230 мл) и измерить уровень глюкозы в крови. Если уровень глюкозы &lt; 3,3 ммоль/л, нужно принять 10 г глюкозы. Можно также выпить 100 мл апельсинового сока и съесть несколько крекеров либо выпить 350 мл молока.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3. </w:t>
      </w:r>
      <w:r w:rsidRPr="008B4B83">
        <w:rPr>
          <w:sz w:val="24"/>
          <w:szCs w:val="24"/>
        </w:rPr>
        <w:t xml:space="preserve">На случай тяжелой гипогликемии больные должны иметь при себе глюкагон. Родственники больной должны уметь вводить глюкагон п/к.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Необходимы регулярные консультации диетолога. Чтобы эти консультации действительно были полезными, больная должна записывать результаты определения глюкозы в крови и сведения о потреблении пищи в дневник.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 xml:space="preserve">VIII. Инсулинотерапия. </w:t>
      </w:r>
      <w:r w:rsidRPr="008B4B83">
        <w:rPr>
          <w:sz w:val="24"/>
          <w:szCs w:val="24"/>
        </w:rPr>
        <w:t xml:space="preserve">На разных сроках беременности нужно поддерживать разные уровни глюкозы в крови натощак (см. табл. 42.2).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А. </w:t>
      </w:r>
      <w:r w:rsidRPr="008B4B83">
        <w:rPr>
          <w:sz w:val="24"/>
          <w:szCs w:val="24"/>
        </w:rPr>
        <w:t xml:space="preserve">В нашей клинике принято поддерживать уровень глюкозы в плазме натощак в пределах 3,3—5,6 ммоль/л, а после еды — в пределах 5,6—7,2 ммоль/л. По нашим наблюдениям, эти уровни глюкозы обеспечивают нормальное развитие плода. Обязательное условие успешного ведения беременности — ежедневный самостоятельный контроль уровня глюкозы в капиллярной крови с помощью тест-полосок или глюкометра. Чтобы оценить эффективность лечения за 1—2 мес, определяют гликозилированный гемоглобин A. Поскольку обмен веществ во время беременности неустойчив, требуется частая коррекция режима инсулинотерапии. Поэтому уровень глюкозы в крови нужно определять несколько раз в сутки. При коррекции доз инсулина ориентируются на уровни глюкозы в крови натощак. Кроме того, необходимо следить за уровнем глюкозы в крови после приема пищи: это позволяет предупредить макросомию плода.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lastRenderedPageBreak/>
        <w:t xml:space="preserve">Б. </w:t>
      </w:r>
      <w:r w:rsidRPr="008B4B83">
        <w:rPr>
          <w:sz w:val="24"/>
          <w:szCs w:val="24"/>
        </w:rPr>
        <w:t xml:space="preserve">Беременным с инсулинозависимым сахарным диабетом требуется не менее двух инъекций инсулина в сутки для предотвращения гипергликемии натощак и после приема пищи. Перед завтраком и перед ужином вводят инсулин короткого действия и инсулин средней длительности действия (либо используют комбинированные препараты инсулина). 2/3 общей суточной дозы вводят перед завтраком; 1/3 — перед ужином (см. табл. 42.3). Чтобы предотвратить ночную гипогликемию и рассветную гипергликемию (см. гл. 39, п. XV.Г), вечернюю дозу инсулина средней длительности действия лучше вводить не перед ужином, а перед сном.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Некоторые беременные с инсулинозависимым сахарным диабетом нуждаются в более интенсивном лечении. В таких случаях используют режимы многократных инъекций (3—5 инъекций в сутки) либо носимые дозаторы инсулина.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IX. Профилактика осложнений беременности</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А. Профилактика пороков развития</w:t>
      </w:r>
      <w:r w:rsidRPr="008B4B83">
        <w:rPr>
          <w:sz w:val="24"/>
          <w:szCs w:val="24"/>
        </w:rPr>
        <w:t xml:space="preserve">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1. </w:t>
      </w:r>
      <w:r w:rsidRPr="008B4B83">
        <w:rPr>
          <w:sz w:val="24"/>
          <w:szCs w:val="24"/>
        </w:rPr>
        <w:t xml:space="preserve">При сахарном диабете у беременных риск пороков развития у новорожденных составляет 6—12%, тогда как при неосложненных беременностях он не превышает 3%. За последние годы перинатальная смертность от болезни гиалиновых мембран значительно снизилась, и потому пороки развития вышли на первое место среди причин перинатальной смертности при беременностях, осложненных сахарным диабетом. Наиболее часто встречающиеся пороки развития перечислены в табл. 42.4.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2. </w:t>
      </w:r>
      <w:r w:rsidRPr="008B4B83">
        <w:rPr>
          <w:sz w:val="24"/>
          <w:szCs w:val="24"/>
        </w:rPr>
        <w:t xml:space="preserve">Эпидемиологические исследования показали, что риск пороков развития существенно возрастает, если на ранних стадиях беременности повышено содержание гликозилированного гемоглобина A. Следовательно, риск пороков развития прямо пропорционален степени гипергликемии. Любые мероприятия, направленные на предупреждение пороков развития, должны проводиться на самых ранних сроках беременности (начиная с 5—8 нед после последней менструации). Практически это означает, что </w:t>
      </w:r>
      <w:r w:rsidRPr="008B4B83">
        <w:rPr>
          <w:b/>
          <w:bCs/>
          <w:sz w:val="24"/>
          <w:szCs w:val="24"/>
        </w:rPr>
        <w:t>уровень глюкозы в крови должен быть нормализован до зачатия</w:t>
      </w:r>
      <w:r w:rsidRPr="008B4B83">
        <w:rPr>
          <w:sz w:val="24"/>
          <w:szCs w:val="24"/>
        </w:rPr>
        <w:t xml:space="preserve"> (желаемый уровень глюкозы в крови натощак &lt; 7,8 ммоль/л). В табл. 42.5 представлены результаты нескольких исследований, убедительно подтверждающие это правило.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3. </w:t>
      </w:r>
      <w:r w:rsidRPr="008B4B83">
        <w:rPr>
          <w:sz w:val="24"/>
          <w:szCs w:val="24"/>
        </w:rPr>
        <w:t xml:space="preserve">Всех женщин детородного возраста, больных инсулинозависимым или инсулинонезависимым сахарным диабетом, нужно предупредить о возможных осложнениях беременности и рекомендовать подходящие способы контрацепции.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4. </w:t>
      </w:r>
      <w:r w:rsidRPr="008B4B83">
        <w:rPr>
          <w:sz w:val="24"/>
          <w:szCs w:val="24"/>
        </w:rPr>
        <w:t xml:space="preserve">На 16—18-й неделе беременности определяют альфа-фетопротеин в сыворотке матери; на 20-й неделе проводят УЗИ плода для выявления дефектов нервной трубки и других анатомических дефектов; на 22-й неделе проводят ЭхоКГ плода (по крайней мере, в тех случаях, когда на ранних сроках беременности был повышен уровень гликозилированного гемоглобина A). </w:t>
      </w:r>
    </w:p>
    <w:p w:rsidR="00330439" w:rsidRPr="008B4B83" w:rsidRDefault="00330439" w:rsidP="00B86B91">
      <w:pPr>
        <w:widowControl/>
        <w:autoSpaceDE/>
        <w:autoSpaceDN/>
        <w:adjustRightInd/>
        <w:ind w:left="900" w:hanging="300"/>
        <w:jc w:val="both"/>
        <w:rPr>
          <w:sz w:val="24"/>
          <w:szCs w:val="24"/>
        </w:rPr>
      </w:pPr>
      <w:r w:rsidRPr="008B4B83">
        <w:rPr>
          <w:b/>
          <w:bCs/>
          <w:sz w:val="24"/>
          <w:szCs w:val="24"/>
        </w:rPr>
        <w:t xml:space="preserve">5. </w:t>
      </w:r>
      <w:r w:rsidRPr="008B4B83">
        <w:rPr>
          <w:sz w:val="24"/>
          <w:szCs w:val="24"/>
        </w:rPr>
        <w:t xml:space="preserve">УЗИ полезно не только для выявления анатомических аномалий. Оно позволяет точно установить срок беременности и оценивать рост плода (путем повторных УЗИ с интервалом 6—10 нед).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Б. Профилактика макросомии. </w:t>
      </w:r>
      <w:r w:rsidRPr="008B4B83">
        <w:rPr>
          <w:sz w:val="24"/>
          <w:szCs w:val="24"/>
        </w:rPr>
        <w:t xml:space="preserve">Гипергликемия натощак (уровень глюкозы в крови &gt; 7,2 ммоль/л) приводит к макросомии. Механизм: гипергликемия у плода </w:t>
      </w:r>
      <w:r w:rsidRPr="008B4B83">
        <w:rPr>
          <w:sz w:val="24"/>
          <w:szCs w:val="24"/>
        </w:rPr>
        <w:t xml:space="preserve"> гиперинсулинемия у плода </w:t>
      </w:r>
      <w:r w:rsidRPr="008B4B83">
        <w:rPr>
          <w:sz w:val="24"/>
          <w:szCs w:val="24"/>
        </w:rPr>
        <w:t xml:space="preserve"> ускоренный рост и отложение жира. Предотвращение гипергликемии у матери на протяжении всей беременности снижает риск макросомии. Макросомия может быть обусловлена и другими причинами, например избыточной калорийностью диеты или избыточной продукцией СТГ и факторов роста у плода.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lastRenderedPageBreak/>
        <w:t xml:space="preserve">В. </w:t>
      </w:r>
      <w:r w:rsidRPr="008B4B83">
        <w:rPr>
          <w:sz w:val="24"/>
          <w:szCs w:val="24"/>
        </w:rPr>
        <w:t xml:space="preserve">Если у беременной имеются макро- или микроангиопатические осложнения сахарного диабета, может наблюдаться </w:t>
      </w:r>
      <w:r w:rsidRPr="008B4B83">
        <w:rPr>
          <w:b/>
          <w:bCs/>
          <w:sz w:val="24"/>
          <w:szCs w:val="24"/>
        </w:rPr>
        <w:t>внутриутробная задержка развития.</w:t>
      </w:r>
      <w:r w:rsidRPr="008B4B83">
        <w:rPr>
          <w:sz w:val="24"/>
          <w:szCs w:val="24"/>
        </w:rPr>
        <w:t xml:space="preserve"> Она объясняется недостаточной перфузией фетоплацентарной системы. Внутриутробная задержка развития диагностируется с помощью УЗИ. При этом нередко выявляется маловодие.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X. Перинатальный период</w:t>
      </w:r>
      <w:r w:rsidRPr="008B4B83">
        <w:rPr>
          <w:sz w:val="24"/>
          <w:szCs w:val="24"/>
        </w:rPr>
        <w:t xml:space="preserve">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А. </w:t>
      </w:r>
      <w:r w:rsidRPr="008B4B83">
        <w:rPr>
          <w:sz w:val="24"/>
          <w:szCs w:val="24"/>
        </w:rPr>
        <w:t xml:space="preserve">С 26-й недели беременности внимательно наблюдают за плодом, чтобы снизить риск мертворождения.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Б. Плановая госпитализация</w:t>
      </w:r>
      <w:r w:rsidRPr="008B4B83">
        <w:rPr>
          <w:sz w:val="24"/>
          <w:szCs w:val="24"/>
        </w:rPr>
        <w:t xml:space="preserve"> обычно производится на 32—34-й неделе (по показаниям — раньше). До госпитализации беременная должна регистрировать движения плода в дневнике. В стационаре периодически измеряют ЧСС плода (нестрессовая проба или проба с окситоцином), определяют мышечный тонус и двигательную активность плода и объем околоплодных вод с помощью УЗИ. При высоком риске перинатальных осложнений (не поддающаяся лечению гипергликемия у беременной после 36-й недели; тяжелые сосудистые нарушения) такие исследования проводят ежедневно. Если уровень глюкозы в крови беременной находится в желаемых пределах, исследования проводят 1 раз в неделю.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В. </w:t>
      </w:r>
      <w:r w:rsidRPr="008B4B83">
        <w:rPr>
          <w:sz w:val="24"/>
          <w:szCs w:val="24"/>
        </w:rPr>
        <w:t xml:space="preserve">Если нет осложнений, надо стараться, чтобы роды произошли на 38-й неделе или позже; это снижает заболеваемость новорожденных, связанную с преждевременными родами. Если на протяжении III триместра сохранялась значительная гипергликемия, то незадолго до родов нужно оценить </w:t>
      </w:r>
      <w:r w:rsidRPr="008B4B83">
        <w:rPr>
          <w:b/>
          <w:bCs/>
          <w:sz w:val="24"/>
          <w:szCs w:val="24"/>
        </w:rPr>
        <w:t>зрелость легких плода.</w:t>
      </w:r>
      <w:r w:rsidRPr="008B4B83">
        <w:rPr>
          <w:sz w:val="24"/>
          <w:szCs w:val="24"/>
        </w:rPr>
        <w:t xml:space="preserve"> Для этого определяют отношение лецитин/сфингомиелин или содержание фосфатидилглицерина в околоплодных водах. Если отношение лецитин/сфингомиелин &gt; 3,5 или если выявляется фосфатидилглицерин, то риск болезни гиалиновых мембран у новорожденного невелик.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Г. Способ родоразрешения</w:t>
      </w:r>
      <w:r w:rsidRPr="008B4B83">
        <w:rPr>
          <w:sz w:val="24"/>
          <w:szCs w:val="24"/>
        </w:rPr>
        <w:t xml:space="preserve"> выбирают, исходя в первую очередь из акушерских показаний. Если клинические признаки и данные УЗИ свидетельствуют о крупных размерах плода (&gt; 4200 г), показано кесарево сечение. В других случаях проводят родовозбуждение под непрерывным контролем ЧСС. Во время родов уровень глюкозы в крови должен быть в пределах 4,4—5,6 ммоль/л. Чтобы поддерживать этот уровень глюкозы, проводят в/в инфузию 5% глюкозы и инсулина короткого действия. Скорость инфузии глюкозы — 7,5—10 г/ч; скорость инфузии инсулина — 0,5—2 ед/ч (см. табл. 42.6). Надо помнить, что </w:t>
      </w:r>
      <w:r w:rsidRPr="008B4B83">
        <w:rPr>
          <w:b/>
          <w:bCs/>
          <w:sz w:val="24"/>
          <w:szCs w:val="24"/>
        </w:rPr>
        <w:t>во время родов чувствительность к инсулину резко повышается.</w:t>
      </w:r>
      <w:r w:rsidRPr="008B4B83">
        <w:rPr>
          <w:sz w:val="24"/>
          <w:szCs w:val="24"/>
        </w:rPr>
        <w:t xml:space="preserve"> Поэтому в раннем послеродовом периоде нельзя вводить большие дозы инсулина. Причины повышения чувствительности к инсулину не выяснены. </w:t>
      </w:r>
    </w:p>
    <w:p w:rsidR="00330439" w:rsidRPr="008B4B83" w:rsidRDefault="00330439" w:rsidP="00B86B91">
      <w:pPr>
        <w:widowControl/>
        <w:autoSpaceDE/>
        <w:autoSpaceDN/>
        <w:adjustRightInd/>
        <w:ind w:left="600" w:hanging="300"/>
        <w:jc w:val="both"/>
        <w:rPr>
          <w:sz w:val="24"/>
          <w:szCs w:val="24"/>
        </w:rPr>
      </w:pPr>
      <w:r w:rsidRPr="008B4B83">
        <w:rPr>
          <w:b/>
          <w:bCs/>
          <w:sz w:val="24"/>
          <w:szCs w:val="24"/>
        </w:rPr>
        <w:t xml:space="preserve">Д. </w:t>
      </w:r>
      <w:r w:rsidRPr="008B4B83">
        <w:rPr>
          <w:sz w:val="24"/>
          <w:szCs w:val="24"/>
        </w:rPr>
        <w:t xml:space="preserve">Если количество молока достаточное, то лучше вскармливать ребенка грудью. Внезапное прекращение грудного вскармливания может временно повысить чувствительность к инсулину. </w:t>
      </w:r>
    </w:p>
    <w:p w:rsidR="00330439" w:rsidRPr="008B4B83" w:rsidRDefault="00330439" w:rsidP="00B86B91">
      <w:pPr>
        <w:widowControl/>
        <w:autoSpaceDE/>
        <w:autoSpaceDN/>
        <w:adjustRightInd/>
        <w:ind w:left="300" w:hanging="300"/>
        <w:jc w:val="both"/>
        <w:rPr>
          <w:sz w:val="24"/>
          <w:szCs w:val="24"/>
        </w:rPr>
      </w:pPr>
      <w:r w:rsidRPr="008B4B83">
        <w:rPr>
          <w:b/>
          <w:bCs/>
          <w:sz w:val="24"/>
          <w:szCs w:val="24"/>
        </w:rPr>
        <w:t xml:space="preserve">XI. Контрацепция. </w:t>
      </w:r>
      <w:r w:rsidRPr="008B4B83">
        <w:rPr>
          <w:sz w:val="24"/>
          <w:szCs w:val="24"/>
        </w:rPr>
        <w:t xml:space="preserve">Большинство женщин, больных сахарным диабетом, используют барьерные методы контрацепции. Исследования последних лет показали, что внутриматочные и пероральные контрацептивы не менее эффективны и безопасны для больных сахарным диабетом. Установлено, что низкодозовые пероральные контрацептивы не оказывают вредного влияния на обмен углеводов и липидов, по крайней мере, у некурящих женщин моложе 35 лет. </w:t>
      </w:r>
    </w:p>
    <w:p w:rsidR="00C916B2" w:rsidRPr="008B4B83" w:rsidRDefault="00C916B2" w:rsidP="00B86B91">
      <w:pPr>
        <w:widowControl/>
        <w:autoSpaceDE/>
        <w:autoSpaceDN/>
        <w:adjustRightInd/>
        <w:spacing w:before="30"/>
        <w:jc w:val="both"/>
        <w:rPr>
          <w:sz w:val="24"/>
          <w:szCs w:val="24"/>
        </w:rPr>
      </w:pPr>
    </w:p>
    <w:p w:rsidR="00330439" w:rsidRPr="002220C1" w:rsidRDefault="008B4B83" w:rsidP="00B86B91">
      <w:pPr>
        <w:widowControl/>
        <w:autoSpaceDE/>
        <w:autoSpaceDN/>
        <w:adjustRightInd/>
        <w:spacing w:before="100" w:beforeAutospacing="1" w:after="100" w:afterAutospacing="1"/>
        <w:jc w:val="both"/>
        <w:outlineLvl w:val="1"/>
        <w:rPr>
          <w:bCs/>
          <w:sz w:val="32"/>
          <w:szCs w:val="24"/>
        </w:rPr>
      </w:pPr>
      <w:bookmarkStart w:id="10" w:name="_Toc213118551"/>
      <w:bookmarkStart w:id="11" w:name="_Toc213164098"/>
      <w:bookmarkEnd w:id="2"/>
      <w:bookmarkEnd w:id="3"/>
      <w:r w:rsidRPr="002220C1">
        <w:rPr>
          <w:bCs/>
          <w:sz w:val="32"/>
          <w:szCs w:val="24"/>
        </w:rPr>
        <w:t xml:space="preserve">План </w:t>
      </w:r>
      <w:r w:rsidR="00B86B91" w:rsidRPr="002220C1">
        <w:rPr>
          <w:bCs/>
          <w:sz w:val="32"/>
          <w:szCs w:val="24"/>
          <w:lang w:val="uz-Cyrl-UZ"/>
        </w:rPr>
        <w:t>3</w:t>
      </w:r>
      <w:r w:rsidRPr="002220C1">
        <w:rPr>
          <w:bCs/>
          <w:sz w:val="32"/>
          <w:szCs w:val="24"/>
        </w:rPr>
        <w:t>. Диагностика, лечение</w:t>
      </w:r>
    </w:p>
    <w:p w:rsidR="008B4B83" w:rsidRDefault="00B86B91" w:rsidP="008B4B83">
      <w:pPr>
        <w:widowControl/>
        <w:autoSpaceDE/>
        <w:autoSpaceDN/>
        <w:adjustRightInd/>
        <w:ind w:firstLine="567"/>
        <w:jc w:val="both"/>
        <w:outlineLvl w:val="1"/>
        <w:rPr>
          <w:bCs/>
          <w:sz w:val="24"/>
          <w:szCs w:val="24"/>
          <w:lang w:val="uz-Cyrl-UZ"/>
        </w:rPr>
      </w:pPr>
      <w:r w:rsidRPr="008B4B83">
        <w:rPr>
          <w:bCs/>
          <w:sz w:val="24"/>
          <w:szCs w:val="24"/>
        </w:rPr>
        <w:lastRenderedPageBreak/>
        <w:t xml:space="preserve">В 2008 г. в г. Пасадене (США) Международной ассоциацией групп изучения диабета и беременности были предложены для обсуждения новые критерии диагностики, основанные на результатах НАРО, включающего более 23 тысяч беременных женщин. 26 октября 2009 года на двадцатом всемирном конгрессе по сахарному диабету Международная диабетическая федерация (The International Diabetes Federation, IDF) объявила о принятии новых рекомендаций относительно диагностики и лечения диабета у беременных. Эксперты Российской Ассоциации эндокринологов и эксперты Российской Ассоциации акушеров-гинеколов в результате многократных обсуждений данного вопроса пришли к выводу о необходимости принятия новых критериев диагностики гестационного сахарного диабета и других нарушений углеводного обмена во время беременности. Ключевые слова: гестационный сахарный диабет, диагностические критерии гестационного сахарного диабета. </w:t>
      </w:r>
      <w:r w:rsidRPr="008B4B83">
        <w:rPr>
          <w:bCs/>
          <w:sz w:val="24"/>
          <w:szCs w:val="24"/>
          <w:lang w:val="en-US"/>
        </w:rPr>
        <w:t xml:space="preserve">Ushakova O.V. Gestational diabetes: diagnosis and treatment. Department of General practice and preventive medicine at the state educational institution of additional professional education “Institute of qualification improvement of specialists of the health Ministry of health of the Khabarovsk Kray. Summary Study NARO (Hyperglycemia and Adverse Pregnancy Outcomes-Hyperglycemia and Adverse </w:t>
      </w:r>
      <w:r w:rsidR="008B4B83">
        <w:rPr>
          <w:bCs/>
          <w:sz w:val="24"/>
          <w:szCs w:val="24"/>
          <w:lang w:val="en-US"/>
        </w:rPr>
        <w:t>Pregnancy Outcomes)conducted in</w:t>
      </w:r>
      <w:r w:rsidRPr="008B4B83">
        <w:rPr>
          <w:bCs/>
          <w:sz w:val="24"/>
          <w:szCs w:val="24"/>
          <w:lang w:val="en-US"/>
        </w:rPr>
        <w:t>, showed that the criteria used for diagnostics, require revision because, among women observed adverse outcomes of pregnancy is directly proportional to grow up, starting with a significantly lower level of glycemia, than exists up to the present time as a criterion of gestational diabetes. In 2008, Pasadena (USA) International Association of groups for the study of diabetes and pregnancy were proposed for the discussion of new criteria diagnosis based on the results of NARO, which includes more than 23 thousand pregnant women. on 26 October 2009 at the twentieth world Congress on diabetes, the international diabetes Federation (The International Diabetes Federation (IDF) today announced the adoption of new recommendations on diagnosis and treatment of diabetes in pregnant women. Experts of the Russian Association of endocrinologists and experts of the Russian Association of obstetricians-</w:t>
      </w:r>
      <w:r w:rsidRPr="008B4B83">
        <w:rPr>
          <w:bCs/>
          <w:sz w:val="24"/>
          <w:szCs w:val="24"/>
        </w:rPr>
        <w:t>гинеколов</w:t>
      </w:r>
      <w:r w:rsidRPr="008B4B83">
        <w:rPr>
          <w:bCs/>
          <w:sz w:val="24"/>
          <w:szCs w:val="24"/>
          <w:lang w:val="en-US"/>
        </w:rPr>
        <w:t xml:space="preserve"> through multiple discussions of this matter came to the conclusion about the necessity of the adoption of new criteria for the diagnosis of gestational diabetes and other disorders of carbohydrate metabolism during pregnancy. </w:t>
      </w:r>
      <w:r w:rsidRPr="008B4B83">
        <w:rPr>
          <w:bCs/>
          <w:sz w:val="24"/>
          <w:szCs w:val="24"/>
        </w:rPr>
        <w:t>Keywords: gestational diabetes, diagnostic criteria for gestational diabetes. Основные гормонально-метаболические изменения у женщин во время беременности связаны с формированием плаценты, секретирующей в кровоток матери хорионический гонадотропин, плацентарный лактогенный гормон, прогестерон и эстрогены. Перечисленные гормоны вызывают инсулинорезистентность или пониженную чувствительность клеток к инсулину, способствуя развитию гестационного сахарного диабета</w:t>
      </w:r>
      <w:r w:rsidR="008B4B83">
        <w:rPr>
          <w:bCs/>
          <w:sz w:val="24"/>
          <w:szCs w:val="24"/>
          <w:lang w:val="uz-Cyrl-UZ"/>
        </w:rPr>
        <w:t>.</w:t>
      </w:r>
    </w:p>
    <w:p w:rsidR="008B4B83" w:rsidRDefault="00B86B91" w:rsidP="008B4B83">
      <w:pPr>
        <w:widowControl/>
        <w:autoSpaceDE/>
        <w:autoSpaceDN/>
        <w:adjustRightInd/>
        <w:ind w:firstLine="567"/>
        <w:jc w:val="both"/>
        <w:outlineLvl w:val="1"/>
        <w:rPr>
          <w:bCs/>
          <w:sz w:val="24"/>
          <w:szCs w:val="24"/>
        </w:rPr>
      </w:pPr>
      <w:r w:rsidRPr="008B4B83">
        <w:rPr>
          <w:bCs/>
          <w:sz w:val="24"/>
          <w:szCs w:val="24"/>
        </w:rPr>
        <w:t xml:space="preserve"> Распространенность гестационного сахарного диабета неуклонно растет. Частота его в общей популяции в разных странах варьирует от 1% до 14%. Указанные вариации обусловлены различиями в способах его диагностики и напрямую связаны с распространенностью сахарного диабета 2 типа в отдельных этнических группах [1]. Гестационный диабет в большинстве клинических ситуациях развива-ется в интервале от 16 до 32 недель беременности. Заболевание нередко протекает бессимптомно и выявляется только при лабораторном исследовании. Повышение уровня глюкозы в I триместре беременности чаще всего свидетельствует о манифестировании истинного сахарного диабета, начавшегося до беременности. Повышение уровня гликемии во время беременности является боль-шим риском для матери и ребенка. Для женщины с гестационным диабетом возможны развитие и преждевременных родов, и гестоза, и гидрамниона, и инфекции половых путей, развитие кетоацидоза. Особенности углеводного обмена между матерью и ребенком таковы, что плод получает от матери глюкозу, в результате чего у плода развивается гиперинсулинемия. Гиперинсулинемия грозит развитием асфиксии и </w:t>
      </w:r>
      <w:r w:rsidRPr="008B4B83">
        <w:rPr>
          <w:bCs/>
          <w:sz w:val="24"/>
          <w:szCs w:val="24"/>
        </w:rPr>
        <w:lastRenderedPageBreak/>
        <w:t>травматизмом в родах, дыхательными расстройствами (респираторный дистресс-синдром) и гипогликемическими состояниями новорожденных. Предупредить перечисленные риски для матери и ребенка возможно при своевременной диагностике гестационного диабета. В соответствии с классификацией сахарного диабета ВОЗ (1999 г. с дополнениями) гестационный сахарный диабет определен как любое нарушение углеводного обмена, возникающее во время беременности. Диагностическими критериями гестационного сахарного диабета определены уровень гликемии натощак в цельной капиллярной крови ≥ 6,1 ммоль/л, в венозной плазме - ≥ 7,1 ммоль/л; или через 2 часа после проведения глюкозотолерантного теста с 75 гр глюкозы в цельной капиллярной крови и венозной плазме ≥ 7,8 ммоль/л или случайное определение уровня глюкозы в цельной капиллярной крови или в венозной плазме ≥ 11,1. Исследование НАРО (Hyperglycemia and Adverse Pregnancy Outcomes -Гипергликемии и Неблагоприятных Исходов Беременности), проведенное в  гг., показало, что используемые критерии диагностики, требуют пересмотра, так как, среди наблюдаемых женщин неблагоприятные исходы беременности прямо пропорционально возрастали, начиная со значительно более низкого уровня гликемии, чем принятый до настоящего времени в качестве критерия гестационного сахарного диабета. В 2008 г. в г.</w:t>
      </w:r>
    </w:p>
    <w:p w:rsidR="00B86B91" w:rsidRPr="008B4B83" w:rsidRDefault="00B86B91" w:rsidP="008B4B83">
      <w:pPr>
        <w:widowControl/>
        <w:autoSpaceDE/>
        <w:autoSpaceDN/>
        <w:adjustRightInd/>
        <w:ind w:firstLine="567"/>
        <w:jc w:val="both"/>
        <w:outlineLvl w:val="1"/>
        <w:rPr>
          <w:bCs/>
          <w:sz w:val="24"/>
          <w:szCs w:val="24"/>
        </w:rPr>
      </w:pPr>
      <w:r w:rsidRPr="008B4B83">
        <w:rPr>
          <w:bCs/>
          <w:sz w:val="24"/>
          <w:szCs w:val="24"/>
        </w:rPr>
        <w:t xml:space="preserve"> Пасадене (США) Международной ассоциацией групп изучения диабета и беременности были предложены для обсуждения новые критерии диагностики, основанные на результатах НАРО, включающего более 23 тысяч беременных женщин. 26 октября 2009 года на двадцатом всемирном конгрессе по сахарному диабету Международная диабетическая федерация (The International Diabetes Federation, IDF) объявила о принятии новых рекомендаций относительно диагностики и лечения диабета у беременных: - глюкоза крови, взятой из пальца натощак больше 5,1 ммоль/л или - глюкоза крови, взятой из вены натощак (плазма) больше 6,1 ммоль/л или - глюкоза крови, взятой из пальца или из вены через 2 часа после нагрузки 75 г глюкозы больше 7,8 ммоль/л. В период беременности 24-28 недель пороговым уровнем глюкозы в плазме крови натощак для диагностики гестационного сахарного диабета обозначено 4,8 ммоль/л. В течение 2008-2011 гг. ряд развитых стран (США, Япония, Германия, Израиль и др.) самостоятельно приняли эти новые критерии. Эксперты Российской Ассоциации эндокринологов и эксперты Российской Ассоциации акушеров-гинеколов в результате многократных обсуждений данного вопроса пришли к выводу о необходимости принятия новых критериев диагностики гестационного сахарного диабета и других нарушений углеводного обмена во время беременности. На основании согласованного мнения был создан проект Российского консенсуса по диагностике и лечению гестационного сахарного диабета, вынесенный на обсуждение. В течение 2012 г. прошли неоднократные заседания рабочих групп акушеров и эндокринологов, на которых обсуждались диагностичсекие критерии гестационного сахарного диабета, порядок проведения глюкозотолерантного теста. Результатом проведенной работы стал нормативный документ «Российский национальный консенсус «Гестационный сахарный диабет: диагностика, лечение, послеродовое наблюдение». Согласно данному документу гестационный сахарный диабет – это заболевание, характеризующееся гипергликемией, впервые выявленной во время беременности, но не соответствующей критериям «манифестного» сахарного диабета. Таким образом, в определение появилось еще одно ключевое словосочетание «не соответствующей критериям «манифестного» сахарного диабета», и появилась необходимость различать диагностические критерии гестационного сахарного диабета и «манифестного» сахарного диабета во время беременности </w:t>
      </w:r>
    </w:p>
    <w:p w:rsidR="00B86B91" w:rsidRPr="008B4B83" w:rsidRDefault="00B86B91" w:rsidP="00B86B91">
      <w:pPr>
        <w:widowControl/>
        <w:autoSpaceDE/>
        <w:autoSpaceDN/>
        <w:adjustRightInd/>
        <w:spacing w:before="100" w:beforeAutospacing="1" w:after="100" w:afterAutospacing="1"/>
        <w:jc w:val="both"/>
        <w:outlineLvl w:val="1"/>
        <w:rPr>
          <w:bCs/>
          <w:sz w:val="24"/>
          <w:szCs w:val="24"/>
        </w:rPr>
      </w:pPr>
      <w:r w:rsidRPr="008B4B83">
        <w:rPr>
          <w:bCs/>
          <w:sz w:val="24"/>
          <w:szCs w:val="24"/>
        </w:rPr>
        <w:lastRenderedPageBreak/>
        <w:t> </w:t>
      </w:r>
      <w:r w:rsidRPr="008B4B83">
        <w:rPr>
          <w:b/>
          <w:bCs/>
          <w:sz w:val="24"/>
          <w:szCs w:val="24"/>
        </w:rPr>
        <w:t>Пороговые значения глюкозы венозной плазмы для диагностики гестационного сахарного диабета (при первичном обращении в учреждение здравоохранения) Таблица 1</w:t>
      </w:r>
    </w:p>
    <w:tbl>
      <w:tblPr>
        <w:tblW w:w="10066" w:type="dxa"/>
        <w:shd w:val="clear" w:color="auto" w:fill="FFFFFF"/>
        <w:tblCellMar>
          <w:left w:w="0" w:type="dxa"/>
          <w:right w:w="0" w:type="dxa"/>
        </w:tblCellMar>
        <w:tblLook w:val="04A0" w:firstRow="1" w:lastRow="0" w:firstColumn="1" w:lastColumn="0" w:noHBand="0" w:noVBand="1"/>
      </w:tblPr>
      <w:tblGrid>
        <w:gridCol w:w="5340"/>
        <w:gridCol w:w="2198"/>
        <w:gridCol w:w="2528"/>
      </w:tblGrid>
      <w:tr w:rsidR="00B86B91" w:rsidRPr="008B4B83" w:rsidTr="008B4B83">
        <w:trPr>
          <w:trHeight w:val="269"/>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autoSpaceDE/>
              <w:autoSpaceDN/>
              <w:adjustRightInd/>
              <w:rPr>
                <w:color w:val="363636"/>
                <w:sz w:val="24"/>
                <w:szCs w:val="24"/>
              </w:rPr>
            </w:pPr>
            <w:r w:rsidRPr="008B4B83">
              <w:rPr>
                <w:b/>
                <w:bCs/>
                <w:color w:val="363636"/>
                <w:sz w:val="24"/>
                <w:szCs w:val="24"/>
              </w:rPr>
              <w:t>Глюкоза венозной плазмы</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autoSpaceDE/>
              <w:autoSpaceDN/>
              <w:adjustRightInd/>
              <w:rPr>
                <w:color w:val="363636"/>
                <w:sz w:val="24"/>
                <w:szCs w:val="24"/>
              </w:rPr>
            </w:pPr>
            <w:r w:rsidRPr="008B4B83">
              <w:rPr>
                <w:b/>
                <w:bCs/>
                <w:color w:val="363636"/>
                <w:sz w:val="24"/>
                <w:szCs w:val="24"/>
              </w:rPr>
              <w:t>ммоль/л</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autoSpaceDE/>
              <w:autoSpaceDN/>
              <w:adjustRightInd/>
              <w:rPr>
                <w:color w:val="363636"/>
                <w:sz w:val="24"/>
                <w:szCs w:val="24"/>
              </w:rPr>
            </w:pPr>
            <w:r w:rsidRPr="008B4B83">
              <w:rPr>
                <w:b/>
                <w:bCs/>
                <w:color w:val="363636"/>
                <w:sz w:val="24"/>
                <w:szCs w:val="24"/>
              </w:rPr>
              <w:t>мг/дл</w:t>
            </w:r>
          </w:p>
        </w:tc>
      </w:tr>
      <w:tr w:rsidR="00B86B91" w:rsidRPr="008B4B83" w:rsidTr="008B4B83">
        <w:trPr>
          <w:trHeight w:val="250"/>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autoSpaceDE/>
              <w:autoSpaceDN/>
              <w:adjustRightInd/>
              <w:rPr>
                <w:color w:val="363636"/>
                <w:sz w:val="24"/>
                <w:szCs w:val="24"/>
              </w:rPr>
            </w:pPr>
            <w:r w:rsidRPr="008B4B83">
              <w:rPr>
                <w:b/>
                <w:bCs/>
                <w:color w:val="363636"/>
                <w:sz w:val="24"/>
                <w:szCs w:val="24"/>
              </w:rPr>
              <w:t>натощак</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autoSpaceDE/>
              <w:autoSpaceDN/>
              <w:adjustRightInd/>
              <w:rPr>
                <w:color w:val="363636"/>
                <w:sz w:val="24"/>
                <w:szCs w:val="24"/>
              </w:rPr>
            </w:pPr>
            <w:r w:rsidRPr="008B4B83">
              <w:rPr>
                <w:b/>
                <w:bCs/>
                <w:color w:val="363636"/>
                <w:sz w:val="24"/>
                <w:szCs w:val="24"/>
              </w:rPr>
              <w:t>≥ 5,1 но ≤ 7</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autoSpaceDE/>
              <w:autoSpaceDN/>
              <w:adjustRightInd/>
              <w:rPr>
                <w:color w:val="363636"/>
                <w:sz w:val="24"/>
                <w:szCs w:val="24"/>
              </w:rPr>
            </w:pPr>
            <w:r w:rsidRPr="008B4B83">
              <w:rPr>
                <w:b/>
                <w:bCs/>
                <w:color w:val="363636"/>
                <w:sz w:val="24"/>
                <w:szCs w:val="24"/>
              </w:rPr>
              <w:t>≥ 92 но ≤ 126</w:t>
            </w:r>
          </w:p>
        </w:tc>
      </w:tr>
    </w:tbl>
    <w:p w:rsidR="00B86B91" w:rsidRPr="008B4B83" w:rsidRDefault="00B86B91" w:rsidP="00B86B91">
      <w:pPr>
        <w:widowControl/>
        <w:autoSpaceDE/>
        <w:autoSpaceDN/>
        <w:adjustRightInd/>
        <w:spacing w:before="100" w:beforeAutospacing="1" w:after="100" w:afterAutospacing="1"/>
        <w:jc w:val="both"/>
        <w:outlineLvl w:val="1"/>
        <w:rPr>
          <w:bCs/>
          <w:sz w:val="24"/>
          <w:szCs w:val="24"/>
        </w:rPr>
      </w:pPr>
      <w:r w:rsidRPr="008B4B83">
        <w:rPr>
          <w:bCs/>
          <w:sz w:val="24"/>
          <w:szCs w:val="24"/>
        </w:rPr>
        <w:t> </w:t>
      </w:r>
      <w:r w:rsidRPr="008B4B83">
        <w:rPr>
          <w:b/>
          <w:bCs/>
          <w:sz w:val="24"/>
          <w:szCs w:val="24"/>
        </w:rPr>
        <w:t>Гестационный сахарный диабет, пероральный глюкозотолерантный тест с 75 гр глюкозы</w:t>
      </w:r>
    </w:p>
    <w:tbl>
      <w:tblPr>
        <w:tblpPr w:leftFromText="36" w:rightFromText="36" w:vertAnchor="text" w:horzAnchor="margin" w:tblpY="-14"/>
        <w:tblW w:w="10045" w:type="dxa"/>
        <w:shd w:val="clear" w:color="auto" w:fill="FFFFFF"/>
        <w:tblCellMar>
          <w:left w:w="0" w:type="dxa"/>
          <w:right w:w="0" w:type="dxa"/>
        </w:tblCellMar>
        <w:tblLook w:val="04A0" w:firstRow="1" w:lastRow="0" w:firstColumn="1" w:lastColumn="0" w:noHBand="0" w:noVBand="1"/>
      </w:tblPr>
      <w:tblGrid>
        <w:gridCol w:w="6237"/>
        <w:gridCol w:w="2222"/>
        <w:gridCol w:w="1586"/>
      </w:tblGrid>
      <w:tr w:rsidR="008B4B83" w:rsidRPr="008B4B83" w:rsidTr="008B4B83">
        <w:trPr>
          <w:trHeight w:val="406"/>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Глюкоза венозной плазмы</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ммоль/л</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мг/дл</w:t>
            </w:r>
          </w:p>
        </w:tc>
      </w:tr>
      <w:tr w:rsidR="008B4B83" w:rsidRPr="008B4B83" w:rsidTr="008B4B83">
        <w:trPr>
          <w:trHeight w:val="445"/>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Через 1 час</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 10</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 180</w:t>
            </w:r>
          </w:p>
        </w:tc>
      </w:tr>
      <w:tr w:rsidR="008B4B83" w:rsidRPr="008B4B83" w:rsidTr="008B4B83">
        <w:trPr>
          <w:trHeight w:val="408"/>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Через 2 часа</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≥8,5</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8B4B83" w:rsidRPr="008B4B83" w:rsidRDefault="008B4B83" w:rsidP="008B4B83">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≥153</w:t>
            </w:r>
          </w:p>
        </w:tc>
      </w:tr>
    </w:tbl>
    <w:p w:rsidR="00B86B91" w:rsidRPr="008B4B83" w:rsidRDefault="00B86B91" w:rsidP="00B86B91">
      <w:pPr>
        <w:widowControl/>
        <w:autoSpaceDE/>
        <w:autoSpaceDN/>
        <w:adjustRightInd/>
        <w:spacing w:before="100" w:beforeAutospacing="1" w:after="100" w:afterAutospacing="1"/>
        <w:jc w:val="both"/>
        <w:outlineLvl w:val="1"/>
        <w:rPr>
          <w:bCs/>
          <w:sz w:val="24"/>
          <w:szCs w:val="24"/>
        </w:rPr>
      </w:pPr>
      <w:r w:rsidRPr="008B4B83">
        <w:rPr>
          <w:bCs/>
          <w:sz w:val="24"/>
          <w:szCs w:val="24"/>
        </w:rPr>
        <w:t> </w:t>
      </w:r>
    </w:p>
    <w:p w:rsidR="00B86B91" w:rsidRPr="008B4B83" w:rsidRDefault="00B86B91" w:rsidP="008B4B83">
      <w:pPr>
        <w:widowControl/>
        <w:autoSpaceDE/>
        <w:autoSpaceDN/>
        <w:adjustRightInd/>
        <w:spacing w:before="100" w:beforeAutospacing="1" w:after="100" w:afterAutospacing="1"/>
        <w:ind w:firstLine="567"/>
        <w:jc w:val="both"/>
        <w:outlineLvl w:val="1"/>
        <w:rPr>
          <w:bCs/>
          <w:sz w:val="24"/>
          <w:szCs w:val="24"/>
        </w:rPr>
      </w:pPr>
      <w:r w:rsidRPr="008B4B83">
        <w:rPr>
          <w:bCs/>
          <w:sz w:val="24"/>
          <w:szCs w:val="24"/>
        </w:rPr>
        <w:t> Для постановки диагноза гестационного сахарного диабета достаточно одного анамольного значения измерения уровня глюкозы венозной плазмы. По результатм глюкозотолератного теста с 75 гр глюкозы достаточно хотя бы одного значения уровня глюкозы венозной плазмы из трех, которое было бы равным или выше порогового значения. При получении аномальных значений при обращении в учреждении здравоохранения проба с нагрузкой 75 гр глюкозы не проводится. Интерпритацию анализов должны уметь проводить не только эндокринологи, но и врачи любой специализации, включая акушеров-гинекологов.</w:t>
      </w:r>
    </w:p>
    <w:p w:rsidR="00B86B91" w:rsidRPr="008B4B83" w:rsidRDefault="00B86B91" w:rsidP="00B86B91">
      <w:pPr>
        <w:widowControl/>
        <w:autoSpaceDE/>
        <w:autoSpaceDN/>
        <w:adjustRightInd/>
        <w:spacing w:before="100" w:beforeAutospacing="1" w:after="100" w:afterAutospacing="1"/>
        <w:jc w:val="both"/>
        <w:outlineLvl w:val="1"/>
        <w:rPr>
          <w:bCs/>
          <w:sz w:val="24"/>
          <w:szCs w:val="24"/>
        </w:rPr>
      </w:pPr>
      <w:r w:rsidRPr="008B4B83">
        <w:rPr>
          <w:bCs/>
          <w:sz w:val="24"/>
          <w:szCs w:val="24"/>
        </w:rPr>
        <w:t> </w:t>
      </w:r>
      <w:r w:rsidRPr="008B4B83">
        <w:rPr>
          <w:b/>
          <w:bCs/>
          <w:sz w:val="24"/>
          <w:szCs w:val="24"/>
        </w:rPr>
        <w:t>Пороговые значения глюкозы венозной плазмы для диагностики манифестного (впервые выявленного) сахарного диабета во время беременности</w:t>
      </w:r>
      <w:r w:rsidRPr="008B4B83">
        <w:rPr>
          <w:bCs/>
          <w:sz w:val="24"/>
          <w:szCs w:val="24"/>
        </w:rPr>
        <w:t> (таблица 2)</w:t>
      </w:r>
    </w:p>
    <w:tbl>
      <w:tblPr>
        <w:tblpPr w:leftFromText="36" w:rightFromText="36" w:vertAnchor="text"/>
        <w:tblW w:w="0" w:type="auto"/>
        <w:shd w:val="clear" w:color="auto" w:fill="FFFFFF"/>
        <w:tblCellMar>
          <w:left w:w="0" w:type="dxa"/>
          <w:right w:w="0" w:type="dxa"/>
        </w:tblCellMar>
        <w:tblLook w:val="04A0" w:firstRow="1" w:lastRow="0" w:firstColumn="1" w:lastColumn="0" w:noHBand="0" w:noVBand="1"/>
      </w:tblPr>
      <w:tblGrid>
        <w:gridCol w:w="5701"/>
        <w:gridCol w:w="1098"/>
      </w:tblGrid>
      <w:tr w:rsidR="00B86B91" w:rsidRPr="008B4B83" w:rsidTr="00B86B91">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Глюкоза венозной плазмы</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ммоль/л</w:t>
            </w:r>
          </w:p>
        </w:tc>
      </w:tr>
      <w:tr w:rsidR="00B86B91" w:rsidRPr="008B4B83" w:rsidTr="00B86B91">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Натощак</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 7,0</w:t>
            </w:r>
          </w:p>
        </w:tc>
      </w:tr>
      <w:tr w:rsidR="00B86B91" w:rsidRPr="008B4B83" w:rsidTr="00B86B91">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HbA1c</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 6,5%</w:t>
            </w:r>
          </w:p>
        </w:tc>
      </w:tr>
      <w:tr w:rsidR="00B86B91" w:rsidRPr="008B4B83" w:rsidTr="00B86B91">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Вне зависимости от времени суток и приема пищи</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 11,1</w:t>
            </w:r>
          </w:p>
        </w:tc>
      </w:tr>
    </w:tbl>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Cs/>
          <w:sz w:val="24"/>
          <w:szCs w:val="24"/>
        </w:rPr>
        <w:t xml:space="preserve">В случае выявления манифестного сахарного диабета он должен быть квалифицирован в какую-либо диагностическую категорию согласно действующей классификации сахарного диабета: сахарный диабет 1 типа или сахарный диабет 2 типа [2]. Определение уровня гликированного гемоглобина должно быть использовано в соответствии с National Glicohemoglobin Standartization Рrogramm. Диагностика нарушений углеводного обмена проводится в 2 этапа [3]. Первый этап определяется при первом обращении беременной женщины к врачу любой специальности на сроке до 24 недель. В обязательном порядке необходимо провести следующие исследования: определение глюкозы в венозной плазме натощак (на фоне предварительного голодания в течение не менее 8 ч. и не более 14 ч.), гликированного гемоглобина HbA1c, опредление глюкозы в венозной плазме в любое время дня вне зависимости от приема пищи. Если результат исследования соответствует категории манифестного сахарного диабета, устанавливается его тип: сахарный диабет 1 типа или </w:t>
      </w:r>
      <w:r w:rsidRPr="008B4B83">
        <w:rPr>
          <w:bCs/>
          <w:sz w:val="24"/>
          <w:szCs w:val="24"/>
        </w:rPr>
        <w:lastRenderedPageBreak/>
        <w:t>сахарный диабет 2 типа. Если уровень гликированного гемоглобина HbA1c &lt; 6,5% или случайное определенный уровень гликемии венозной плазмы &lt;11,1 ммоль/л, то проводится определение уровня гликемии в венозной плазме натощак. Если уровень гликемии в венозной плазме натощак ≥5,1 ммоль/л, но &lt;7,0 ммоль/л, то устанавливается гестационный сахарный диабет. Второй этап проводится на сроке 24-28 недели всем женщинам, у которых не на первом этапе не был выявлено нарушение углеводного обмена. Оптимальным является проведение глюкозотолерантного теста с 75 гр сухой глюкозы на сроке 24-26 недель. Установлены следующие правила проведения глюкозотолерантного теста [2]: 1. За 3 дня до обследования женщина находится на обычном для себя питании (не менее 150 гр углеводов в день) и придерживается обычной для себя физической активности. 2. Тест необходимо проводить утром натощак (после ночного голодания не менее 8 и не более 14 часов). Лекарственные препараты (поливитамины, препараты железа и другие, назначаемые во время беременности принимаются после проведения теста). Тест не проводится при токсикозе, на фоне острого воспалительного или инфекционного заболевания. Для проведения теста не используются портативные глюкометры. После забора венозной крови натощак проводится немедленное измерение глюкозы. Если выявлено повышение уровня гликемии натощак, то в даль-нейшем тест не проводится. Если уровень гликемии натощак находится в пределах нормальных значений, то беременная женщина в течение 5 минут должна выпить раствор, состоящий из 75 гр глюкозы и 250-300 мл воды, температура которой 37 С ? . Повторная проба крови для определения уровня сахара крови берется через 1 и 2 часа после нагрузки глюкозой. Рис. Алгоритм диагностики нарушений углеводного обмена во время беременности. Лечение гестационного сахарного диабета включает несколько составляющих: рациональное питание, физические нагрузки, самоконтроль, инсулинотерапия. При гестационном диабете на первом этапе назначается диета, умеренная физическая нагрузка. Обязательным также является мониторирование уровня глюкозы в крови, целевые значения которого представлены в таблице 3. Рациональное питание: основами диетотерапии беременных женщин с гестационным диабетом являются: калорийность 25-30 ккал на 1 кг идеальной массы тела; углеводы составляют 45-50%, белки – 20-25%. Режим питания состоит из 3-х основных приемов пищи и 3-х перекусов. Нельзя забывать о том, что резкое снижение калорийности (более чем на 50%) может привести к кетонемии у женщин с гестационным диабетом. Физические нагрузки: женщинам с гестационным диабетом необходима дозированная физическая нагрузка – 8-10 тыс. шагов день. В дополнение программа включает физические упражнения для беременных по 20 минут ежедневно. При неэффективности данного режима назначается инсулинотерапия. Самоконтроль является рутинной процедурой для беременных женщин с нарушением углеводного обмена и включает в себя определение: - гликемии с помощью портативных глюкометров натощак, перед и через 1 час после основных приемов пищи; - кетонурии с помощью специальных тест полосок; - артериального давления; - шевеление плода; - массы тела. Самоконтроль включает ведение дневника самоконтроля гликемии и пищевого.</w:t>
      </w:r>
    </w:p>
    <w:p w:rsidR="00B86B91" w:rsidRPr="008B4B83" w:rsidRDefault="00B86B91" w:rsidP="00B86B91">
      <w:pPr>
        <w:widowControl/>
        <w:autoSpaceDE/>
        <w:autoSpaceDN/>
        <w:adjustRightInd/>
        <w:spacing w:before="100" w:beforeAutospacing="1" w:after="100" w:afterAutospacing="1"/>
        <w:ind w:left="173"/>
        <w:jc w:val="both"/>
        <w:outlineLvl w:val="1"/>
        <w:rPr>
          <w:bCs/>
          <w:sz w:val="24"/>
          <w:szCs w:val="24"/>
        </w:rPr>
      </w:pPr>
      <w:r w:rsidRPr="008B4B83">
        <w:rPr>
          <w:bCs/>
          <w:sz w:val="24"/>
          <w:szCs w:val="24"/>
        </w:rPr>
        <w:t>Таблица 3 </w:t>
      </w:r>
      <w:r w:rsidRPr="008B4B83">
        <w:rPr>
          <w:b/>
          <w:bCs/>
          <w:sz w:val="24"/>
          <w:szCs w:val="24"/>
        </w:rPr>
        <w:t>Целевые показатели самоконтроля</w:t>
      </w:r>
    </w:p>
    <w:tbl>
      <w:tblPr>
        <w:tblW w:w="9878" w:type="dxa"/>
        <w:shd w:val="clear" w:color="auto" w:fill="FFFFFF"/>
        <w:tblCellMar>
          <w:left w:w="0" w:type="dxa"/>
          <w:right w:w="0" w:type="dxa"/>
        </w:tblCellMar>
        <w:tblLook w:val="04A0" w:firstRow="1" w:lastRow="0" w:firstColumn="1" w:lastColumn="0" w:noHBand="0" w:noVBand="1"/>
      </w:tblPr>
      <w:tblGrid>
        <w:gridCol w:w="5879"/>
        <w:gridCol w:w="3999"/>
      </w:tblGrid>
      <w:tr w:rsidR="00B86B91" w:rsidRPr="008B4B83" w:rsidTr="003852BF">
        <w:trPr>
          <w:trHeight w:val="493"/>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Натощак</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5,1 ммоль/л</w:t>
            </w:r>
          </w:p>
        </w:tc>
      </w:tr>
      <w:tr w:rsidR="00B86B91" w:rsidRPr="008B4B83" w:rsidTr="003852BF">
        <w:trPr>
          <w:trHeight w:val="476"/>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Перед едой</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5,1 ммоль/л</w:t>
            </w:r>
          </w:p>
        </w:tc>
      </w:tr>
      <w:tr w:rsidR="00B86B91" w:rsidRPr="008B4B83" w:rsidTr="003852BF">
        <w:trPr>
          <w:trHeight w:val="493"/>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lastRenderedPageBreak/>
              <w:t>Через час после еды</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5,1 ммоль/л</w:t>
            </w:r>
          </w:p>
        </w:tc>
      </w:tr>
      <w:tr w:rsidR="00B86B91" w:rsidRPr="008B4B83" w:rsidTr="003852BF">
        <w:trPr>
          <w:trHeight w:val="476"/>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Перед сном</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5,1 ммоль/л</w:t>
            </w:r>
          </w:p>
        </w:tc>
      </w:tr>
      <w:tr w:rsidR="00B86B91" w:rsidRPr="008B4B83" w:rsidTr="003852BF">
        <w:trPr>
          <w:trHeight w:val="493"/>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03.00</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5,1 ммоль/л</w:t>
            </w:r>
          </w:p>
        </w:tc>
      </w:tr>
      <w:tr w:rsidR="00B86B91" w:rsidRPr="008B4B83" w:rsidTr="003852BF">
        <w:trPr>
          <w:trHeight w:val="493"/>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Гипогликемия</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Отсутствуют</w:t>
            </w:r>
          </w:p>
        </w:tc>
      </w:tr>
      <w:tr w:rsidR="00B86B91" w:rsidRPr="008B4B83" w:rsidTr="003852BF">
        <w:trPr>
          <w:trHeight w:val="476"/>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Кетоновые тела</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Отсутствуют</w:t>
            </w:r>
          </w:p>
        </w:tc>
      </w:tr>
      <w:tr w:rsidR="00B86B91" w:rsidRPr="008B4B83" w:rsidTr="003852BF">
        <w:trPr>
          <w:trHeight w:val="493"/>
        </w:trPr>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АД</w:t>
            </w:r>
          </w:p>
        </w:tc>
        <w:tc>
          <w:tcPr>
            <w:tcW w:w="0" w:type="auto"/>
            <w:tcBorders>
              <w:top w:val="single" w:sz="6" w:space="0" w:color="CCCCCC"/>
              <w:left w:val="single" w:sz="6" w:space="0" w:color="CCCCCC"/>
              <w:bottom w:val="single" w:sz="6" w:space="0" w:color="CCCCCC"/>
              <w:right w:val="single" w:sz="6" w:space="0" w:color="CCCCCC"/>
            </w:tcBorders>
            <w:shd w:val="clear" w:color="auto" w:fill="FFFFFF"/>
            <w:vAlign w:val="center"/>
            <w:hideMark/>
          </w:tcPr>
          <w:p w:rsidR="00B86B91" w:rsidRPr="008B4B83" w:rsidRDefault="00B86B91" w:rsidP="00B86B91">
            <w:pPr>
              <w:widowControl/>
              <w:numPr>
                <w:ilvl w:val="0"/>
                <w:numId w:val="9"/>
              </w:numPr>
              <w:autoSpaceDE/>
              <w:autoSpaceDN/>
              <w:adjustRightInd/>
              <w:spacing w:before="100" w:beforeAutospacing="1" w:after="100" w:afterAutospacing="1"/>
              <w:jc w:val="both"/>
              <w:outlineLvl w:val="1"/>
              <w:rPr>
                <w:bCs/>
                <w:sz w:val="24"/>
                <w:szCs w:val="24"/>
              </w:rPr>
            </w:pPr>
            <w:r w:rsidRPr="008B4B83">
              <w:rPr>
                <w:b/>
                <w:bCs/>
                <w:sz w:val="24"/>
                <w:szCs w:val="24"/>
              </w:rPr>
              <w:t>130/80</w:t>
            </w:r>
          </w:p>
        </w:tc>
      </w:tr>
    </w:tbl>
    <w:p w:rsidR="00B86B91" w:rsidRPr="008B4B83" w:rsidRDefault="00B86B91" w:rsidP="00B86B91">
      <w:pPr>
        <w:widowControl/>
        <w:autoSpaceDE/>
        <w:autoSpaceDN/>
        <w:adjustRightInd/>
        <w:spacing w:before="100" w:beforeAutospacing="1" w:after="100" w:afterAutospacing="1"/>
        <w:ind w:left="173"/>
        <w:jc w:val="both"/>
        <w:outlineLvl w:val="1"/>
        <w:rPr>
          <w:bCs/>
          <w:sz w:val="24"/>
          <w:szCs w:val="24"/>
        </w:rPr>
      </w:pPr>
      <w:r w:rsidRPr="008B4B83">
        <w:rPr>
          <w:bCs/>
          <w:sz w:val="24"/>
          <w:szCs w:val="24"/>
        </w:rPr>
        <w:t>Показаниями к назначению инсулинотерапии являются: - невозможность достижения целевых уровней гликемии в течение 1-2 недель самоконтроля; - наличие признаков диабетической фетопатии по данным УЗИ, которая является косвенным свидетельством хронической гипергликемии; - манифестный сахарный диабет. В зависимости от выраженности нарушений углеводного обмена в лечении гестационного сахарного диабета, манифестного сахарного диабета используются генноинженерные инсулины или инсулиновые аналоги короткого (перед приемами пищи) в случае повышения уровня гликемии после приема пищи; инсулины средней продолжительности действия или инсулиновые аналоги продленного действия (вводятся 1 или 2 раза в сутки) при повышении уровня гликемии натощак и перед приемом пищи; при необходимости назначается интенсивная инсулинотерапия инсулиновыми препаратми короткого действия + продленного действия или комбинации инсулинов или инсулиновых аналогов короткого и средней продолжительности действия [4]. Из инсулиновых аналогов для использования у беременных женщин разрешены следующие: Аспарт (Новорапид), Лизпро (Хумалог), Детемир (Левемир), Аспарт-30 (Новомикс – 30). Запрещается во время беременности и грудного вскармливания использование пероральных сахароснижающих препаратов и биоподобных инсулинов. Гестационный сахарный диабет, манифестный сахарный диабет сами по себе не являются показанием для досрочного родоразрешения или плановому кесаревому сечению. Необходимо помнить, что если женщина перенесла гестационный диабет, риск развития истинного сахарного диабета увеличивается в 3-6 раз. Поэтому важно наблюдение за женщиной и после родов. Через 6 недель после родов обязательно проведение исследования состояния углеводного обмена женщины. Если изменений не обнаружено, назначается контроль 1 раз в 2-3 года, а при нарушении толерантности к глюкозе — выдача рекомендаций по питанию и наблюдение 1 раз в год. В этом случае все последующие беременности должны строго планироваться.</w:t>
      </w:r>
    </w:p>
    <w:p w:rsidR="00330439" w:rsidRPr="002220C1" w:rsidRDefault="002220C1" w:rsidP="00B86B91">
      <w:pPr>
        <w:widowControl/>
        <w:autoSpaceDE/>
        <w:autoSpaceDN/>
        <w:adjustRightInd/>
        <w:spacing w:before="100" w:beforeAutospacing="1" w:after="100" w:afterAutospacing="1"/>
        <w:jc w:val="both"/>
        <w:outlineLvl w:val="1"/>
        <w:rPr>
          <w:bCs/>
          <w:sz w:val="32"/>
          <w:szCs w:val="24"/>
        </w:rPr>
      </w:pPr>
      <w:r w:rsidRPr="002220C1">
        <w:rPr>
          <w:bCs/>
          <w:sz w:val="32"/>
          <w:szCs w:val="24"/>
        </w:rPr>
        <w:t xml:space="preserve">План </w:t>
      </w:r>
      <w:r w:rsidR="00B86B91" w:rsidRPr="002220C1">
        <w:rPr>
          <w:bCs/>
          <w:sz w:val="32"/>
          <w:szCs w:val="24"/>
          <w:lang w:val="uz-Cyrl-UZ"/>
        </w:rPr>
        <w:t>4</w:t>
      </w:r>
      <w:r w:rsidRPr="002220C1">
        <w:rPr>
          <w:bCs/>
          <w:sz w:val="32"/>
          <w:szCs w:val="24"/>
        </w:rPr>
        <w:t>. Осложения сахарного диабета</w:t>
      </w:r>
    </w:p>
    <w:bookmarkEnd w:id="10"/>
    <w:bookmarkEnd w:id="11"/>
    <w:p w:rsidR="00B86B91" w:rsidRPr="008B4B83" w:rsidRDefault="00B86B91" w:rsidP="00B86B91">
      <w:pPr>
        <w:ind w:firstLine="720"/>
        <w:jc w:val="both"/>
        <w:rPr>
          <w:sz w:val="24"/>
          <w:szCs w:val="24"/>
        </w:rPr>
      </w:pPr>
      <w:r w:rsidRPr="008B4B83">
        <w:rPr>
          <w:sz w:val="24"/>
          <w:szCs w:val="24"/>
        </w:rPr>
        <w:t xml:space="preserve">Хронические осложнения сахарного диабета можно подразделить на микрососудистые, свойственные исключительно состоянию нарушения углеводного обмена и макрососудистые, которые могут быть и у лиц без диабета. К микрососудистым осложнениям относят диабетическую ретинопатию, нефропатию и нейропатию. Микрососудистые осложнения развиваются с одинаковой частотой как при сахарном диабете типа 1, так и типа 2, являясь </w:t>
      </w:r>
      <w:r w:rsidRPr="008B4B83">
        <w:rPr>
          <w:sz w:val="24"/>
          <w:szCs w:val="24"/>
        </w:rPr>
        <w:lastRenderedPageBreak/>
        <w:t>результатом взаимодействия ряда метаболических, генетических и других факторов, среди которых наибольшее значение имеет фактор гипергликемии. Эпидемиологические и проспективные исследования свидетельствуют о наличии прямой зависимости между уровнем гликемии и степенью прогрессирования микрососудистых осложнений. Свидетельством того, что в основе различных проявлений микрососудистых осложнений лежит фактор гипергликемии, являются данные о сочетанном поражении глазного дна и почек, периферической нервной системы. Так, риск развития пролиферативной стадии диабетической ретинопатии в 5–10 раз выше у пациентов с протеинурической стадией нефропатии.</w:t>
      </w:r>
    </w:p>
    <w:p w:rsidR="00B86B91" w:rsidRPr="008B4B83" w:rsidRDefault="00B86B91" w:rsidP="00147CD9">
      <w:pPr>
        <w:ind w:firstLine="567"/>
        <w:jc w:val="both"/>
        <w:rPr>
          <w:sz w:val="24"/>
          <w:szCs w:val="24"/>
        </w:rPr>
      </w:pPr>
      <w:r w:rsidRPr="008B4B83">
        <w:rPr>
          <w:sz w:val="24"/>
          <w:szCs w:val="24"/>
        </w:rPr>
        <w:t>Каково влияние таких факторов, как возраст, пол, длительность заболевания? Пациенты с сахарным диабетом 1 типа, у которых дебют заболевания приходится на возраст до пубертата, имеют более высокий риск развития диабетической нефропатии и сопряженной с этим ранней летальности [1]. У пациентов с сахарным диабетом типа 2, с учетом пожилого возраста, (когда, как правило, развивается диабет) имеет место ряд дополнительных факторов, определяющих скорость прогрессирования микрососудистых осложнений диабета. Например, артериальная гипертония и дислипидемия часто могут предшествовать нарушению толерантности к углеводам, что значительно повышает риск ранних микроциркуляторных изменений. Влияние пола на частоту и степень микрососудистых нарушений являлось предметом интереса многих исследований, однако следует отметить, что существует ассоциация лишь в отношении более высокого риска развития диабетической полинейропатии у мужчин. Наряду со степенью компенсации длительность сахарного диабета является наиболее важным фактором, влияющим на частоту развития микроангиопатии. Данную ассоциацию было бы ошибочно упрощать до постулата – чем больше длительность, тем больше вероятность развития осложнений. Так, у больных с сахарным диабетом 2 типа уже в дебюте в 20–24% случаев выявляются клинически значимые проявления микрососудистых осложнений. Вместе с этим прослеживается очевидная зависимость развития сосудистых осложнений от длительности заболевания. Так, у пациентов с сахарным диабетом типа 1 с длительностью заболевания свыше 15–20 лет в 95% случаев регистрируются изменения глазного дна.</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Патофизиология микрососудистых осложнений при сахарном диабете</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Изменения в системе мелких сосудов, объединяемые термином микроангиопатии, носят функциональный и структурный характер. Характерной особенностью структурных изменений является утолщение базальной мембраны капилляров. Наиболее значительными функциональными нарушениями являются повышение проницаемости сосудистой стенки, гемодинамические нарушения, изменение вязкости крови, нарушение функции тромбоцитов. Толщина базальной мембраны коррелирует с давлением внутри капиллярной системы. У больных с сахарным диабетом происходит накопление коллагена типа IV, снижение сульфат протеингликана, хондроитин и дерматан сульфата, а также таких гликопротеинов, как ламинин, фибронектин и энактин [2]. Гипергликемия приводит к повышению внутриклеточных запасов протеинкиназы С путем синтеза de novo диацилглицерола из глюкозы [3]. Протеинкиназа С играет важную роль в обеспечении функции клеток в целом ряде ключевых направлений, включая передачу сигнала от гормонов, факторов роста, нейротрансмиттеров, лекарственных препаратов на внутриклеточные структуры. В гладкомышечных клетках сосудистой стенки протеинкиназа С модулирует синтез ДНК, гормон–рецепторную активность.</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lastRenderedPageBreak/>
        <w:t>Повышение проницаемости капилляров и гемодинамические нарушения предшествуют структурным изменениям стенки капилляров. Наиболее показательным являются повышение внутриклубочкового давления и экскреция альбумина с мочой в ответ на гипергликемию при плохом метаболическом контроле заболевания. Тщательный контроль гликемии в течение 12 месяцев может нормализовать клубочковую фильтрацию. Повышение кровотока отмечается также и в сетчатке. Подтверждением того, что гемодинамические нарушения, приводящие к повышению внутрикапиллярного давления, могут способствовать развитию и прогрессированию диабетической ретинопатии, является тот факт, что диабетическая ретинопатия у лиц с повышенным систолическим давлением встречается в 2 и более раз чаще, чем у нормотоников . Более того, в ряде наблюдений показано, что снижение ретинального кровотока, имеющего место у лиц с повышением внутриглазного давления, замедляет развитие диабетической ретинопатии на стороне внутриорбитальной гипертензии.</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Повышение проницаемости капилляров</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Роль повышенной клубочковой проницаемости в патогенезе диабетической нефропатии не вызывает сомнения. При сахарном диабете как 1, так и 2 типа субклиническая микроальбуминурия является предиктором последующей протеинурии и развития почечной недостаточности. Источником избыточной экскреции альбумина и IgG являются почечные клубочки, в то время как экскреция b2–микроглобулина, индикатора функции канальцевого аппарата почек, остается нормальной. Повышение экскреции альбумина с мочой является не только показателем высокого риска развития нефропатии, ретинопатии, нейропатии, но и летальности от сердечно–сосудистых катастроф. Таким образом, повышенная экскреция альбумина с мочой является отражением сосудистой дисфункции в широком смысле, включая как капилляры клубочков, сетчатки, так и интимы крупных сосудов.</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Реологические нарушения</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Важными составляющими микроангиопатии при сахарном диабете являются нарушение вязкости крови и дисфункция тромбоцитов. В основе нарушения функции тромбоцитов лежит нарушение баланса между системой простагландинов и простациклином, а также нарушение синтеза тканевого активатора плазминогена. У пациентов с проявлениями микроангиопатии выявлено также повышение фактора Вилленбрандта, гликопротеина, синтезируемого эндотелиальными клетками, определяющего степень адгезивности тромбоцитов к эндотелиоцитам.</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Этиопатогенетические подходы к профилактике и лечению сосудистых осложнений сахарного диабета</w:t>
      </w:r>
    </w:p>
    <w:p w:rsidR="00B86B91" w:rsidRPr="008B4B83" w:rsidRDefault="00B86B91" w:rsidP="00147CD9">
      <w:pPr>
        <w:ind w:firstLine="567"/>
        <w:jc w:val="both"/>
        <w:rPr>
          <w:sz w:val="24"/>
          <w:szCs w:val="24"/>
        </w:rPr>
      </w:pPr>
      <w:r w:rsidRPr="008B4B83">
        <w:rPr>
          <w:sz w:val="24"/>
          <w:szCs w:val="24"/>
        </w:rPr>
        <w:t xml:space="preserve">На основе представлений о нарушениях метаболизма глюкозы – как важнейшего этиологического фактора диабетической макро– и микроангиопатии, а также с учетом результатов проспективных исследований по влиянию контроля диабета на предотвращение развития хронических осложнений диабета (DCCT, UKPDS), сложилась стратегия лечения, в том числе с определением целевых значений гликемии, уровня гликированного гемоглобина, артериального давления и показателей липидного спектра для больных с сахарным диабетом 1 и 2 типа, а также у детей и подростков с сахарным диабетом 1 типа (таблица 1, 2, 3). Применение </w:t>
      </w:r>
      <w:r w:rsidRPr="008B4B83">
        <w:rPr>
          <w:sz w:val="24"/>
          <w:szCs w:val="24"/>
        </w:rPr>
        <w:lastRenderedPageBreak/>
        <w:t xml:space="preserve">данной тактики ведения пациентов действительно позволило заметно снизить частоту, скорость прогрессирования и тяжесть сосудистых осложнений. Однако, к сожалению, в реальной клинической практике мы вынуждены констатировать факт, что близких к нормальным показателей гликемии, артериального давления удается достичь лишь у небольшого процента больных. Следует напомнить также о возможных рисках, связанных с жестким контролем диабета. Прежде всего это риск гипогликемических ком, частота которых, при достижении больными состояния нормогликемии, может возрасти в 2–3 раза. Другим важным аспектом в связи со стремлением быстрой нормализации гликемии является вероятность ухудшения состояния глазного дна. Анализ работ, посвященных данному вопросу, позволяет сделать вывод, что так называемое раннее ухудшение состояния глазного дна имеет место у пациентов с исходно имеющимися изменениями на глазном дне, у которых снижение гликемии происходило достаточно быстро (в течение нескольких дней/недель) с исходно высоких показателей гликемии (свыше 13 ммоль/л). Обратимость изменений зависела от исходного состояния глазного дна. Если у пациентов имели место признаки начальной стадии диабетической ретинопатии, то ухудшения носили обратимый характер, более того, поддержание хорошего уровня гликемии в длительной перспективе позволяло замедлить последующее прогрессирование диабетической ретинопатии. В тех случаях, когда у пациентов имели место признаки препролиферативной или пролиферативной стадии ретинопатии, быстрое и значительное снижение гликемии приводило к необратимому ухудшению состояния глазного дна, вплоть до потери остроты зрения. </w:t>
      </w:r>
      <w:r w:rsidR="00CC496B" w:rsidRPr="008B4B83">
        <w:rPr>
          <w:sz w:val="24"/>
          <w:szCs w:val="24"/>
        </w:rPr>
        <w:t xml:space="preserve"> </w:t>
      </w:r>
      <w:r w:rsidRPr="008B4B83">
        <w:rPr>
          <w:sz w:val="24"/>
          <w:szCs w:val="24"/>
        </w:rPr>
        <w:t>Существуют гипотетические теории, объясняющие патофизиологические механизмы отрицательной динамики на глазном дне. Е. Kohner cчитает, что быстрое снижение гликемии сопровождается значительными изменениями гемодинамики в сосудистой системе сетчатки, что приводит к существенному снижению кровотока, а следовательно, к развитию ишемии сетчатки, последующей стимуляции ангиогенеза (рис. 1). По наблюдениям E. Chantelau, у пациентов с резким снижением уровня гликированного гемоглобина имело место повышение уровня инсулинподобного фактора роста (IGF–1), который, как известно, стимулирует процессы пролиферации сосудов глазного дна (рис. 2). На основании вышесказанного следует сделать следующие выводы: нормализация или компенсация углеводного обмена у больных сахарным диабетом является абсолютным условием профилактики и замедления прогрессирования сосудистой патологии. Вместе с тем, у пациентов, имеющих достаточно высокие показатели гликированного гемоглобина (HbA1c &gt;10%), снижение гликемии должно осуществляться постепенно, в течение нескольких месяцев. Планируемой интенсификации лечения диабета должен предшествовать осмотр глазного дна офтальмологом. При наличии выраженных изменений глазного дна лазерфотокоагуляция должна предшествовать нормализации гликемии (а не наоборот).</w:t>
      </w:r>
    </w:p>
    <w:p w:rsidR="00B86B91" w:rsidRPr="008B4B83" w:rsidRDefault="00B86B91" w:rsidP="00147CD9">
      <w:pPr>
        <w:ind w:firstLine="567"/>
        <w:jc w:val="both"/>
        <w:rPr>
          <w:sz w:val="24"/>
          <w:szCs w:val="24"/>
        </w:rPr>
      </w:pPr>
    </w:p>
    <w:p w:rsidR="00B86B91" w:rsidRPr="008B4B83" w:rsidRDefault="00B86B91" w:rsidP="00147CD9">
      <w:pPr>
        <w:ind w:firstLine="567"/>
        <w:jc w:val="both"/>
        <w:rPr>
          <w:sz w:val="24"/>
          <w:szCs w:val="24"/>
        </w:rPr>
      </w:pPr>
      <w:r w:rsidRPr="008B4B83">
        <w:rPr>
          <w:sz w:val="24"/>
          <w:szCs w:val="24"/>
        </w:rPr>
        <w:t xml:space="preserve">На основе представлений о нарушениях метаболизма глюкозы – как важнейшего этиологического фактора диабетической макро– и микроангиопатии, а также с учетом результатов проспективных исследований по влиянию контроля диабета на предотвращение развития хронических осложнений диабета (DCCT, UKPDS), сложилась стратегия лечения, в том числе с определением целевых значений гликемии, уровня гликированного гемоглобина, артериального давления и показателей липидного спектра для больных с сахарным диабетом 1 и 2 типа, а также у детей и подростков с сахарным диабетом 1 типа (таблица 1, 2, 3). Применение данной тактики ведения пациентов действительно позволило заметно снизить частоту, скорость прогрессирования и тяжесть сосудистых осложнений. Однако, к сожалению, в реальной </w:t>
      </w:r>
      <w:r w:rsidRPr="008B4B83">
        <w:rPr>
          <w:sz w:val="24"/>
          <w:szCs w:val="24"/>
        </w:rPr>
        <w:lastRenderedPageBreak/>
        <w:t>клинической практике мы вынуждены констатировать факт, что близких к нормальным показателей гликемии, артериального давления удается достичь лишь у небольшого процента больных. Следует напомнить также о возможных рисках, связанных с жестким контролем диабета. Прежде всего это риск гипогликемических ком, частота которых, при достижении больными состояния нормогликемии, может возрасти в 2–3 раза. Другим важным аспектом в связи со стремлением быстрой нормализации гликемии является вероятность ухудшения состояния глазного дна. Анализ работ, посвященных данному вопросу, позволяет сделать вывод, что так называемое раннее ухудшение состояния глазного дна имеет место у пациентов с исходно имеющимися изменениями на глазном дне, у которых снижение гликемии происходило достаточно быстро (в течение нескольких дней/недель) с исходно высоких показателей гликемии (свыше 13 ммоль/л). Обратимость изменений зависела от исходного состояния глазного дна. Если у пациентов имели место признаки начальной стадии диабетической ретинопатии, то ухудшения носили обратимый характер, более того, поддержание хорошего уровня гликемии в длительной перспективе позволяло замедлить последующее прогрессирование диабетической ретинопатии. В тех случаях, когда у пациентов имели место признаки препролиферативной или пролиферативной стадии ретинопатии, быстрое и значительное снижение гликемии приводило к необратимому ухудшению состояния глазного дна, вплоть до потери остроты зрения. Существуют гипотетические теории, объясняющие патофизиологические механизмы отрицательной динамики на глазном дне. Е. Kohner cчитает, что быстрое снижение гликемии сопровождается значительными изменениями гемодинамики в сосудистой системе сетчатки, что приводит к существенному снижению кровотока, а следовательно, к развитию ишемии сетчатки, последующей стимуляции ангиогенеза (рис. 1). По наблюдениям E. Chantelau, у пациентов с резким снижением уровня гликированного гемоглобина имело место (IGF–1), который, как известно, стимулирует процессы пролиферации сосудов глазного дна (рис. 2). На основании вышесказанного следует сделать следующие нормализация или компенсация углеводного обмена у больных сахарным диабетом является абсолютным условием профилактики и замедления прогрессирования сосудистой патологии. Вместе с тем, у пациентов, имеющих достаточно высокие показатели гликированного гемоглобина (HbA &gt;10%), снижение гликемии должно осуществляться постепенно, в течение нескольких месяцев. Планируемой интенсификации лечения диабета должен предшествовать осмотр глазного дна офтальмологом. При наличии выраженных изменений глазного дна лазерфотокоагуляция должна предшествовать нормализации гликемии (а не наоборот).</w:t>
      </w:r>
    </w:p>
    <w:p w:rsidR="00B86B91" w:rsidRPr="008B4B83" w:rsidRDefault="00B86B91" w:rsidP="00147CD9">
      <w:pPr>
        <w:ind w:firstLine="567"/>
        <w:jc w:val="both"/>
        <w:rPr>
          <w:sz w:val="24"/>
          <w:szCs w:val="24"/>
        </w:rPr>
      </w:pPr>
      <w:r w:rsidRPr="008B4B83">
        <w:rPr>
          <w:sz w:val="24"/>
          <w:szCs w:val="24"/>
        </w:rPr>
        <w:t xml:space="preserve">Проблема диабетических ангиопатий требует новых подходов к диагностике, лечению и профилактике, включая выявление генетического риска и прогнозирование развития диабетической ангиопатии. Согласно теоретической модели соотношения между генетической предрасположенностью и метаболическими факторами развития сосудистых осложнений, приблизительно у 20% пациентов генетическая предрасположенность к развитию осложнений достаточно низка. Это означает, что несмотря на уровень гликемии, осложнения диабета развиваются крайне редко или в достаточно отдаленные сроки от момента начала заболевания. Идентификация таких пациентов позволила бы ставить более конкретные цели лечения, то есть главным в лечении данной категории больных было бы устранение симптомов гипергликемии, профилактика кетоацидотической и гипогликемической комы. Эти пациенты не нуждаются в интенсивном лечении, требующем больших затрат и усилий. У 5% пациентов, к сожалению, развитие сосудистых осложнений носит прогрессирующий характер вне зависимости от степени компенсации заболевания. Скорее всего, что именно в этой группе пациентов необходимо </w:t>
      </w:r>
      <w:r w:rsidRPr="008B4B83">
        <w:rPr>
          <w:sz w:val="24"/>
          <w:szCs w:val="24"/>
        </w:rPr>
        <w:lastRenderedPageBreak/>
        <w:t>применение всего арсенала патогенетически оправданной терапии, направленной на устранение негативного влияния гипергликемии, других факторов, способствующих развитию ангиопатий. В этом ряду следует отметить препараты, уже применяемые в клинической практике: ингибиторы альдозоредуктазы, использование которых в связи с неоднозначными данными по эффективности и безопасности было временно ограничено. К другой группе препаратов относятся препараты a–липоевой кислоты. Липоевая кислота относится к группе нативных антиоксидантов. a-липоевая кислота способствует восстановлению интраневрального кровообращения путем восстановления запасов NO–синтазы, а значит, повышения продукции NO, регулирующего тонус сосудов в системе интраневрального кровообращения. Окислительный стресс, как известно, активирует ядерный фактор транскрипции NF–kB, который, в свою очередь, повышает продукцию эндотелина–1 и тканевого эндотелиального фактора, участвующих в формировании и прогрессировании ангиопатий. a-липоевая кислота, обладая способностью нейтрализовать свободные радикалы, в значительной мере может снизить их негативное влияние на клетки эндотелия, а также воспрепятствовать развитию необратимых структурных изменений сосудистой стенки капилляра, снизить вероятность окклюзионной микроангиопатии.</w:t>
      </w:r>
    </w:p>
    <w:p w:rsidR="00B86B91" w:rsidRPr="008B4B83" w:rsidRDefault="00B86B91" w:rsidP="00147CD9">
      <w:pPr>
        <w:ind w:firstLine="567"/>
        <w:jc w:val="both"/>
        <w:rPr>
          <w:sz w:val="24"/>
          <w:szCs w:val="24"/>
        </w:rPr>
      </w:pPr>
      <w:r w:rsidRPr="008B4B83">
        <w:rPr>
          <w:sz w:val="24"/>
          <w:szCs w:val="24"/>
        </w:rPr>
        <w:t>Наконец, оставшееся большинство пациентов (около 75%) имеют разную степень генетической предрасположенности. В каждом конкретном случае следует учитывать индивидуальные особенности пациента, в том числе обращая особое внимание на психосоциальный статус больного.</w:t>
      </w:r>
    </w:p>
    <w:p w:rsidR="00B86B91" w:rsidRPr="008B4B83" w:rsidRDefault="00B86B91" w:rsidP="00147CD9">
      <w:pPr>
        <w:ind w:firstLine="567"/>
        <w:jc w:val="both"/>
        <w:rPr>
          <w:sz w:val="24"/>
          <w:szCs w:val="24"/>
        </w:rPr>
      </w:pPr>
      <w:r w:rsidRPr="008B4B83">
        <w:rPr>
          <w:sz w:val="24"/>
          <w:szCs w:val="24"/>
        </w:rPr>
        <w:t>Острые осложнения при сахарном диабете</w:t>
      </w:r>
    </w:p>
    <w:p w:rsidR="00B86B91" w:rsidRPr="008B4B83" w:rsidRDefault="00B86B91" w:rsidP="00147CD9">
      <w:pPr>
        <w:ind w:firstLine="567"/>
        <w:jc w:val="both"/>
        <w:rPr>
          <w:sz w:val="24"/>
          <w:szCs w:val="24"/>
        </w:rPr>
      </w:pPr>
      <w:r w:rsidRPr="008B4B83">
        <w:rPr>
          <w:sz w:val="24"/>
          <w:szCs w:val="24"/>
        </w:rPr>
        <w:t>При сахарном диабете, причем любом типе диабета, наиболее часто встречаются такие острые осложнения как гипогликемия (гипогликемическая кома) и кетоацидотическая кома или состояние.</w:t>
      </w:r>
    </w:p>
    <w:p w:rsidR="00B86B91" w:rsidRPr="008B4B83" w:rsidRDefault="00B86B91" w:rsidP="00147CD9">
      <w:pPr>
        <w:ind w:firstLine="567"/>
        <w:jc w:val="both"/>
        <w:rPr>
          <w:sz w:val="24"/>
          <w:szCs w:val="24"/>
        </w:rPr>
      </w:pPr>
      <w:r w:rsidRPr="008B4B83">
        <w:rPr>
          <w:b/>
          <w:bCs/>
          <w:i/>
          <w:iCs/>
          <w:sz w:val="24"/>
          <w:szCs w:val="24"/>
        </w:rPr>
        <w:t>Гипогликемия (гипогликемическая кома) </w:t>
      </w:r>
    </w:p>
    <w:p w:rsidR="00B86B91" w:rsidRPr="008B4B83" w:rsidRDefault="00B86B91" w:rsidP="002220C1">
      <w:pPr>
        <w:ind w:firstLine="567"/>
        <w:jc w:val="both"/>
        <w:rPr>
          <w:sz w:val="24"/>
          <w:szCs w:val="24"/>
        </w:rPr>
      </w:pPr>
      <w:r w:rsidRPr="008B4B83">
        <w:rPr>
          <w:sz w:val="24"/>
          <w:szCs w:val="24"/>
        </w:rPr>
        <w:t>Гипогликемия (снижение глюкозы в крови менее 3 ммоль/л) развивается быстро, иногда практически внезапно. Характеризуется следующими симптомами:</w:t>
      </w:r>
    </w:p>
    <w:p w:rsidR="00B86B91" w:rsidRPr="008B4B83" w:rsidRDefault="00B86B91" w:rsidP="002220C1">
      <w:pPr>
        <w:widowControl/>
        <w:numPr>
          <w:ilvl w:val="0"/>
          <w:numId w:val="16"/>
        </w:numPr>
        <w:autoSpaceDE/>
        <w:autoSpaceDN/>
        <w:adjustRightInd/>
        <w:ind w:left="0" w:firstLine="567"/>
        <w:jc w:val="both"/>
        <w:rPr>
          <w:sz w:val="24"/>
          <w:szCs w:val="24"/>
        </w:rPr>
      </w:pPr>
      <w:r w:rsidRPr="008B4B83">
        <w:rPr>
          <w:sz w:val="24"/>
          <w:szCs w:val="24"/>
        </w:rPr>
        <w:t>Повышенное потоотделение</w:t>
      </w:r>
    </w:p>
    <w:p w:rsidR="00B86B91" w:rsidRPr="008B4B83" w:rsidRDefault="00B86B91" w:rsidP="002220C1">
      <w:pPr>
        <w:widowControl/>
        <w:numPr>
          <w:ilvl w:val="0"/>
          <w:numId w:val="16"/>
        </w:numPr>
        <w:autoSpaceDE/>
        <w:autoSpaceDN/>
        <w:adjustRightInd/>
        <w:ind w:left="0" w:firstLine="567"/>
        <w:jc w:val="both"/>
        <w:rPr>
          <w:sz w:val="24"/>
          <w:szCs w:val="24"/>
        </w:rPr>
      </w:pPr>
      <w:r w:rsidRPr="008B4B83">
        <w:rPr>
          <w:sz w:val="24"/>
          <w:szCs w:val="24"/>
        </w:rPr>
        <w:t>Выраженная слабость, причем возникает резко</w:t>
      </w:r>
    </w:p>
    <w:p w:rsidR="00B86B91" w:rsidRPr="008B4B83" w:rsidRDefault="00B86B91" w:rsidP="002220C1">
      <w:pPr>
        <w:widowControl/>
        <w:numPr>
          <w:ilvl w:val="0"/>
          <w:numId w:val="16"/>
        </w:numPr>
        <w:autoSpaceDE/>
        <w:autoSpaceDN/>
        <w:adjustRightInd/>
        <w:ind w:left="0" w:firstLine="567"/>
        <w:jc w:val="both"/>
        <w:rPr>
          <w:sz w:val="24"/>
          <w:szCs w:val="24"/>
        </w:rPr>
      </w:pPr>
      <w:r w:rsidRPr="008B4B83">
        <w:rPr>
          <w:sz w:val="24"/>
          <w:szCs w:val="24"/>
        </w:rPr>
        <w:t>Дрожь в теле</w:t>
      </w:r>
    </w:p>
    <w:p w:rsidR="00B86B91" w:rsidRPr="008B4B83" w:rsidRDefault="00B86B91" w:rsidP="002220C1">
      <w:pPr>
        <w:widowControl/>
        <w:numPr>
          <w:ilvl w:val="0"/>
          <w:numId w:val="16"/>
        </w:numPr>
        <w:autoSpaceDE/>
        <w:autoSpaceDN/>
        <w:adjustRightInd/>
        <w:ind w:left="0" w:firstLine="567"/>
        <w:jc w:val="both"/>
        <w:rPr>
          <w:sz w:val="24"/>
          <w:szCs w:val="24"/>
        </w:rPr>
      </w:pPr>
      <w:r w:rsidRPr="008B4B83">
        <w:rPr>
          <w:sz w:val="24"/>
          <w:szCs w:val="24"/>
        </w:rPr>
        <w:t>Учащенное сердцебиение</w:t>
      </w:r>
    </w:p>
    <w:p w:rsidR="00B86B91" w:rsidRPr="008B4B83" w:rsidRDefault="00B86B91" w:rsidP="002220C1">
      <w:pPr>
        <w:widowControl/>
        <w:numPr>
          <w:ilvl w:val="0"/>
          <w:numId w:val="16"/>
        </w:numPr>
        <w:autoSpaceDE/>
        <w:autoSpaceDN/>
        <w:adjustRightInd/>
        <w:ind w:left="0" w:firstLine="567"/>
        <w:jc w:val="both"/>
        <w:rPr>
          <w:sz w:val="24"/>
          <w:szCs w:val="24"/>
        </w:rPr>
      </w:pPr>
      <w:r w:rsidRPr="008B4B83">
        <w:rPr>
          <w:sz w:val="24"/>
          <w:szCs w:val="24"/>
        </w:rPr>
        <w:t>Голод</w:t>
      </w:r>
    </w:p>
    <w:p w:rsidR="00B86B91" w:rsidRPr="008B4B83" w:rsidRDefault="00B86B91" w:rsidP="002220C1">
      <w:pPr>
        <w:ind w:firstLine="567"/>
        <w:jc w:val="both"/>
        <w:rPr>
          <w:sz w:val="24"/>
          <w:szCs w:val="24"/>
        </w:rPr>
      </w:pPr>
      <w:r w:rsidRPr="008B4B83">
        <w:rPr>
          <w:sz w:val="24"/>
          <w:szCs w:val="24"/>
        </w:rPr>
        <w:t>Стоит отметить, что не все эти симптомы могут быть сразу вместе. Также могут быть какие-либо “свои” ощущения, которые на протяжении болезни пациент отмечает сам для себя. Например, покалывание и онемение в области носа, языка или верхней губы. Иногда, гипогликемия может не сразу проявляться какими либо симптомами, особенно у пациентов с длительным текущим диабетом, и это опасно. Если гипогликемию не купировать, то может развиться гипогликемическая кома, когда пациент не может самостоятельно предпринять нужные действия по лечению гипогликемии.   Итак, гипогликемию нужно снять как можно быстрее и сделать это нужно правильно. Чтоб быстро повысить сахар крови нужно принять быстроусвояемые углеводы: сахар 4-5 кусочков, мед, варенье, сладкие напитки фруктовые или лимонад в количестве 200мл. </w:t>
      </w:r>
      <w:r w:rsidRPr="008B4B83">
        <w:rPr>
          <w:b/>
          <w:bCs/>
          <w:sz w:val="24"/>
          <w:szCs w:val="24"/>
        </w:rPr>
        <w:t>Важное правило</w:t>
      </w:r>
      <w:r w:rsidRPr="008B4B83">
        <w:rPr>
          <w:sz w:val="24"/>
          <w:szCs w:val="24"/>
        </w:rPr>
        <w:t xml:space="preserve">: больной диабетом, получающий лечение сахароснижающими препаратами должен всегда носить легко усваиваемые углеводы с собой. Надо отметить, что в таких ситуациях наиболее удобнее именно кусочковый сахар или сок, лимонад. Мед – неудобно дозировать, с собой трудно носить, конфеты трудно жевать (карамель), </w:t>
      </w:r>
      <w:r w:rsidRPr="008B4B83">
        <w:rPr>
          <w:sz w:val="24"/>
          <w:szCs w:val="24"/>
        </w:rPr>
        <w:lastRenderedPageBreak/>
        <w:t>либо в них могут содержатся вещества, замедляющие усвоение углеводов (шоколадные, соевые конфеты).</w:t>
      </w:r>
    </w:p>
    <w:p w:rsidR="00B86B91" w:rsidRPr="008B4B83" w:rsidRDefault="00B86B91" w:rsidP="002220C1">
      <w:pPr>
        <w:ind w:firstLine="567"/>
        <w:jc w:val="both"/>
        <w:rPr>
          <w:sz w:val="24"/>
          <w:szCs w:val="24"/>
        </w:rPr>
      </w:pPr>
      <w:r w:rsidRPr="008B4B83">
        <w:rPr>
          <w:sz w:val="24"/>
          <w:szCs w:val="24"/>
        </w:rPr>
        <w:t>При тяжелой гипогликемии (оцепенение с невозможностью самостоятельных адекватных действий или полная потеря сознания – гипогликемическая кома) сам себе больной помочь не может. Если сознание еще сохранено, нужно напоить или накормить сладким (см.выше). В случае комы – вызвать скорую помощь.</w:t>
      </w:r>
    </w:p>
    <w:p w:rsidR="00B86B91" w:rsidRPr="008B4B83" w:rsidRDefault="00B86B91" w:rsidP="002220C1">
      <w:pPr>
        <w:ind w:firstLine="567"/>
        <w:jc w:val="both"/>
        <w:rPr>
          <w:sz w:val="24"/>
          <w:szCs w:val="24"/>
        </w:rPr>
      </w:pPr>
      <w:r w:rsidRPr="008B4B83">
        <w:rPr>
          <w:sz w:val="24"/>
          <w:szCs w:val="24"/>
        </w:rPr>
        <w:t>Повторяющиеся гипогликемии требуют обязательного обращения к врачу.</w:t>
      </w:r>
    </w:p>
    <w:p w:rsidR="00B86B91" w:rsidRPr="008B4B83" w:rsidRDefault="00B86B91" w:rsidP="002220C1">
      <w:pPr>
        <w:ind w:firstLine="567"/>
        <w:jc w:val="both"/>
        <w:rPr>
          <w:sz w:val="24"/>
          <w:szCs w:val="24"/>
        </w:rPr>
      </w:pPr>
      <w:r w:rsidRPr="008B4B83">
        <w:rPr>
          <w:b/>
          <w:bCs/>
          <w:i/>
          <w:iCs/>
          <w:sz w:val="24"/>
          <w:szCs w:val="24"/>
        </w:rPr>
        <w:t>Кетоацидотическая кома или состояние</w:t>
      </w:r>
    </w:p>
    <w:p w:rsidR="00B86B91" w:rsidRPr="008B4B83" w:rsidRDefault="00B86B91" w:rsidP="002220C1">
      <w:pPr>
        <w:ind w:firstLine="567"/>
        <w:jc w:val="both"/>
        <w:rPr>
          <w:sz w:val="24"/>
          <w:szCs w:val="24"/>
        </w:rPr>
      </w:pPr>
      <w:r w:rsidRPr="008B4B83">
        <w:rPr>
          <w:sz w:val="24"/>
          <w:szCs w:val="24"/>
        </w:rPr>
        <w:t>Данное состояние, наоборот, возникает при повышенном сахаре. Это острое осложнение заболевания, обусловленное абсолютным или резко выраженным относительным дефицитом инсулина вследствие неадекватной инсулиновой терапии или повышения в нем потребности. </w:t>
      </w:r>
    </w:p>
    <w:p w:rsidR="00B86B91" w:rsidRPr="008B4B83" w:rsidRDefault="00B86B91" w:rsidP="002220C1">
      <w:pPr>
        <w:ind w:firstLine="567"/>
        <w:jc w:val="both"/>
        <w:rPr>
          <w:sz w:val="24"/>
          <w:szCs w:val="24"/>
        </w:rPr>
      </w:pPr>
      <w:r w:rsidRPr="008B4B83">
        <w:rPr>
          <w:b/>
          <w:bCs/>
          <w:sz w:val="24"/>
          <w:szCs w:val="24"/>
        </w:rPr>
        <w:t>Факторы, провоцирующие развитие кетоацидотическую кому:</w:t>
      </w:r>
    </w:p>
    <w:p w:rsidR="00B86B91" w:rsidRPr="008B4B83" w:rsidRDefault="00B86B91" w:rsidP="002220C1">
      <w:pPr>
        <w:widowControl/>
        <w:numPr>
          <w:ilvl w:val="0"/>
          <w:numId w:val="17"/>
        </w:numPr>
        <w:autoSpaceDE/>
        <w:autoSpaceDN/>
        <w:adjustRightInd/>
        <w:ind w:left="0" w:firstLine="567"/>
        <w:jc w:val="both"/>
        <w:rPr>
          <w:sz w:val="24"/>
          <w:szCs w:val="24"/>
        </w:rPr>
      </w:pPr>
      <w:r w:rsidRPr="008B4B83">
        <w:rPr>
          <w:sz w:val="24"/>
          <w:szCs w:val="24"/>
        </w:rPr>
        <w:t>Недостаточная доза или пропуск инъекции инсулина (или приема таблетированных сахароснижающих средств)</w:t>
      </w:r>
    </w:p>
    <w:p w:rsidR="00B86B91" w:rsidRPr="008B4B83" w:rsidRDefault="00B86B91" w:rsidP="002220C1">
      <w:pPr>
        <w:widowControl/>
        <w:numPr>
          <w:ilvl w:val="0"/>
          <w:numId w:val="17"/>
        </w:numPr>
        <w:autoSpaceDE/>
        <w:autoSpaceDN/>
        <w:adjustRightInd/>
        <w:ind w:left="0" w:firstLine="567"/>
        <w:jc w:val="both"/>
        <w:rPr>
          <w:sz w:val="24"/>
          <w:szCs w:val="24"/>
        </w:rPr>
      </w:pPr>
      <w:r w:rsidRPr="008B4B83">
        <w:rPr>
          <w:sz w:val="24"/>
          <w:szCs w:val="24"/>
        </w:rPr>
        <w:t>Отмена сахароснижающей терапии самовольно</w:t>
      </w:r>
    </w:p>
    <w:p w:rsidR="00B86B91" w:rsidRPr="008B4B83" w:rsidRDefault="00B86B91" w:rsidP="002220C1">
      <w:pPr>
        <w:widowControl/>
        <w:numPr>
          <w:ilvl w:val="0"/>
          <w:numId w:val="17"/>
        </w:numPr>
        <w:autoSpaceDE/>
        <w:autoSpaceDN/>
        <w:adjustRightInd/>
        <w:ind w:left="0" w:firstLine="567"/>
        <w:jc w:val="both"/>
        <w:rPr>
          <w:sz w:val="24"/>
          <w:szCs w:val="24"/>
        </w:rPr>
      </w:pPr>
      <w:r w:rsidRPr="008B4B83">
        <w:rPr>
          <w:sz w:val="24"/>
          <w:szCs w:val="24"/>
        </w:rPr>
        <w:t>Нарушение техники введения инсулина</w:t>
      </w:r>
    </w:p>
    <w:p w:rsidR="00B86B91" w:rsidRPr="008B4B83" w:rsidRDefault="00B86B91" w:rsidP="002220C1">
      <w:pPr>
        <w:widowControl/>
        <w:numPr>
          <w:ilvl w:val="0"/>
          <w:numId w:val="17"/>
        </w:numPr>
        <w:autoSpaceDE/>
        <w:autoSpaceDN/>
        <w:adjustRightInd/>
        <w:ind w:left="0" w:firstLine="567"/>
        <w:jc w:val="both"/>
        <w:rPr>
          <w:sz w:val="24"/>
          <w:szCs w:val="24"/>
        </w:rPr>
      </w:pPr>
      <w:r w:rsidRPr="008B4B83">
        <w:rPr>
          <w:sz w:val="24"/>
          <w:szCs w:val="24"/>
        </w:rPr>
        <w:t>Присоединение других заболеваний (инфекции, травмы, операции, беременность, инфаркт миокарда, инсульт, стресс и др.)</w:t>
      </w:r>
    </w:p>
    <w:p w:rsidR="00B86B91" w:rsidRPr="008B4B83" w:rsidRDefault="00B86B91" w:rsidP="002220C1">
      <w:pPr>
        <w:widowControl/>
        <w:numPr>
          <w:ilvl w:val="0"/>
          <w:numId w:val="17"/>
        </w:numPr>
        <w:autoSpaceDE/>
        <w:autoSpaceDN/>
        <w:adjustRightInd/>
        <w:ind w:left="0" w:firstLine="567"/>
        <w:jc w:val="both"/>
        <w:rPr>
          <w:sz w:val="24"/>
          <w:szCs w:val="24"/>
        </w:rPr>
      </w:pPr>
      <w:r w:rsidRPr="008B4B83">
        <w:rPr>
          <w:sz w:val="24"/>
          <w:szCs w:val="24"/>
        </w:rPr>
        <w:t>Злоупотребление алкоголем</w:t>
      </w:r>
    </w:p>
    <w:p w:rsidR="00B86B91" w:rsidRPr="008B4B83" w:rsidRDefault="00B86B91" w:rsidP="002220C1">
      <w:pPr>
        <w:widowControl/>
        <w:numPr>
          <w:ilvl w:val="0"/>
          <w:numId w:val="17"/>
        </w:numPr>
        <w:autoSpaceDE/>
        <w:autoSpaceDN/>
        <w:adjustRightInd/>
        <w:ind w:left="0" w:firstLine="567"/>
        <w:jc w:val="both"/>
        <w:rPr>
          <w:sz w:val="24"/>
          <w:szCs w:val="24"/>
        </w:rPr>
      </w:pPr>
      <w:r w:rsidRPr="008B4B83">
        <w:rPr>
          <w:sz w:val="24"/>
          <w:szCs w:val="24"/>
        </w:rPr>
        <w:t>Прием некоторых лекарственных препаратов – глюкокортикостероиды и т.п.</w:t>
      </w:r>
    </w:p>
    <w:p w:rsidR="00B86B91" w:rsidRPr="008B4B83" w:rsidRDefault="00B86B91" w:rsidP="002220C1">
      <w:pPr>
        <w:ind w:firstLine="567"/>
        <w:jc w:val="both"/>
        <w:rPr>
          <w:sz w:val="24"/>
          <w:szCs w:val="24"/>
        </w:rPr>
      </w:pPr>
      <w:r w:rsidRPr="008B4B83">
        <w:rPr>
          <w:sz w:val="24"/>
          <w:szCs w:val="24"/>
        </w:rPr>
        <w:t>Кетоацидотическое состояние и в дальнейшем кома развивается постепенно, от нескольких часов до нескольких дней. Беспокоит выраженные сухость во рту, жажда, учащенное мочеиспускание, свидетельствующие о нарастании декомпенсации диабета. Может регистрироваться потеря массы тела, также обусловленная некомпенсированным течением заболевания на протяжении определенного времени. По мере прогрессирования кетоацидоза появляются такие симптомы, как тошнота и рвота, которые у пациента с СД диктуют необходимость обязательного исследования содержания ацетона в моче. Больные могут жаловаться на сильную боль в животе. Типичным клиническим симптомом развивающейся комы является частое глубокое дыхание (дыхание Куссмауля), нередко с запахом ацетона в выдыхаемом воздухе. В анализах повышение сахара, как правило более 15-17 ммоль/л.</w:t>
      </w:r>
    </w:p>
    <w:p w:rsidR="00B86B91" w:rsidRPr="008B4B83" w:rsidRDefault="00B86B91" w:rsidP="002220C1">
      <w:pPr>
        <w:ind w:firstLine="567"/>
        <w:jc w:val="both"/>
        <w:rPr>
          <w:sz w:val="24"/>
          <w:szCs w:val="24"/>
        </w:rPr>
      </w:pPr>
      <w:r w:rsidRPr="008B4B83">
        <w:rPr>
          <w:sz w:val="24"/>
          <w:szCs w:val="24"/>
        </w:rPr>
        <w:t>В лечении данного состояния выделяют четыре главные позиции:</w:t>
      </w:r>
    </w:p>
    <w:p w:rsidR="00B86B91" w:rsidRPr="008B4B83" w:rsidRDefault="00B86B91" w:rsidP="002220C1">
      <w:pPr>
        <w:widowControl/>
        <w:numPr>
          <w:ilvl w:val="0"/>
          <w:numId w:val="18"/>
        </w:numPr>
        <w:autoSpaceDE/>
        <w:autoSpaceDN/>
        <w:adjustRightInd/>
        <w:ind w:left="0" w:firstLine="567"/>
        <w:jc w:val="both"/>
        <w:rPr>
          <w:sz w:val="24"/>
          <w:szCs w:val="24"/>
        </w:rPr>
      </w:pPr>
      <w:r w:rsidRPr="008B4B83">
        <w:rPr>
          <w:sz w:val="24"/>
          <w:szCs w:val="24"/>
        </w:rPr>
        <w:t>инсулинотерапия;</w:t>
      </w:r>
    </w:p>
    <w:p w:rsidR="00B86B91" w:rsidRPr="008B4B83" w:rsidRDefault="00B86B91" w:rsidP="002220C1">
      <w:pPr>
        <w:widowControl/>
        <w:numPr>
          <w:ilvl w:val="0"/>
          <w:numId w:val="18"/>
        </w:numPr>
        <w:autoSpaceDE/>
        <w:autoSpaceDN/>
        <w:adjustRightInd/>
        <w:ind w:left="0" w:firstLine="567"/>
        <w:jc w:val="both"/>
        <w:rPr>
          <w:sz w:val="24"/>
          <w:szCs w:val="24"/>
        </w:rPr>
      </w:pPr>
      <w:r w:rsidRPr="008B4B83">
        <w:rPr>
          <w:sz w:val="24"/>
          <w:szCs w:val="24"/>
        </w:rPr>
        <w:t>восстановление потерянной жидкости;</w:t>
      </w:r>
    </w:p>
    <w:p w:rsidR="00B86B91" w:rsidRPr="008B4B83" w:rsidRDefault="00B86B91" w:rsidP="002220C1">
      <w:pPr>
        <w:widowControl/>
        <w:numPr>
          <w:ilvl w:val="0"/>
          <w:numId w:val="18"/>
        </w:numPr>
        <w:autoSpaceDE/>
        <w:autoSpaceDN/>
        <w:adjustRightInd/>
        <w:ind w:left="0" w:firstLine="567"/>
        <w:jc w:val="both"/>
        <w:rPr>
          <w:sz w:val="24"/>
          <w:szCs w:val="24"/>
        </w:rPr>
      </w:pPr>
      <w:r w:rsidRPr="008B4B83">
        <w:rPr>
          <w:sz w:val="24"/>
          <w:szCs w:val="24"/>
        </w:rPr>
        <w:t>коррекцию минерального и электролитного обмена;</w:t>
      </w:r>
    </w:p>
    <w:p w:rsidR="00B86B91" w:rsidRPr="008B4B83" w:rsidRDefault="00B86B91" w:rsidP="002220C1">
      <w:pPr>
        <w:widowControl/>
        <w:numPr>
          <w:ilvl w:val="0"/>
          <w:numId w:val="18"/>
        </w:numPr>
        <w:autoSpaceDE/>
        <w:autoSpaceDN/>
        <w:adjustRightInd/>
        <w:ind w:left="0" w:firstLine="567"/>
        <w:jc w:val="both"/>
        <w:rPr>
          <w:sz w:val="24"/>
          <w:szCs w:val="24"/>
        </w:rPr>
      </w:pPr>
      <w:r w:rsidRPr="008B4B83">
        <w:rPr>
          <w:sz w:val="24"/>
          <w:szCs w:val="24"/>
        </w:rPr>
        <w:t>лечение провоцирующих кому заболеваний и осложнений кетоацидоза.</w:t>
      </w:r>
    </w:p>
    <w:p w:rsidR="00B86B91" w:rsidRPr="008B4B83" w:rsidRDefault="00B86B91" w:rsidP="002220C1">
      <w:pPr>
        <w:ind w:firstLine="567"/>
        <w:jc w:val="both"/>
        <w:rPr>
          <w:sz w:val="24"/>
          <w:szCs w:val="24"/>
        </w:rPr>
      </w:pPr>
      <w:r w:rsidRPr="008B4B83">
        <w:rPr>
          <w:sz w:val="24"/>
          <w:szCs w:val="24"/>
        </w:rPr>
        <w:t>В любом случае, пациенту важно знать, что нельзя допускать длительную декомпенсацию диабета и во время обращаться к лечащему врачу.</w:t>
      </w:r>
    </w:p>
    <w:p w:rsidR="005D1C1F" w:rsidRPr="008B4B83" w:rsidRDefault="005D1C1F" w:rsidP="00B86B91">
      <w:pPr>
        <w:widowControl/>
        <w:autoSpaceDE/>
        <w:autoSpaceDN/>
        <w:adjustRightInd/>
        <w:spacing w:before="100" w:beforeAutospacing="1" w:after="100" w:afterAutospacing="1"/>
        <w:jc w:val="both"/>
        <w:rPr>
          <w:sz w:val="24"/>
          <w:szCs w:val="24"/>
        </w:rPr>
      </w:pPr>
      <w:r w:rsidRPr="008B4B83">
        <w:rPr>
          <w:b/>
          <w:bCs/>
          <w:sz w:val="24"/>
          <w:szCs w:val="24"/>
        </w:rPr>
        <w:t xml:space="preserve">Литература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Allgrove J, et al. Familial glucocorticoid deficiency with achalasia of the cardia and deficient tear production. Lancet 8077:1284, 1978.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Arai K, Chrousos GP. Syndromes of glucocorticoid and mineralocorticoid resistance. Steroids 60:173, 1995.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Bichet DG. Nephrogenic diabetes insipidus. Am J Med 105:431, 1998.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lastRenderedPageBreak/>
        <w:t xml:space="preserve">Bolander FF. Molecular Endocrinology. San Diego: Academic Press, Inc., 1989. P. 78.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Clark AJ, et al. Familial glucocorticoid deficiency: one syndrome, but more than one gene. J Mol Med 75:394, 1997.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Dufau ML. The luteinizing hormone receptor. Annu Rev Physiol 60:461, 1998.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Feldman D, Malloy PJ. Hereditary 1,25-dihydroxyvitamin D-resistant rickets Molecular basis and implications for the role of 1,25(OH)</w:t>
      </w:r>
      <w:r w:rsidRPr="008B4B83">
        <w:rPr>
          <w:sz w:val="24"/>
          <w:szCs w:val="24"/>
          <w:vertAlign w:val="subscript"/>
          <w:lang w:val="en-US"/>
        </w:rPr>
        <w:t>2</w:t>
      </w:r>
      <w:r w:rsidRPr="008B4B83">
        <w:rPr>
          <w:sz w:val="24"/>
          <w:szCs w:val="24"/>
          <w:lang w:val="en-US"/>
        </w:rPr>
        <w:t>D</w:t>
      </w:r>
      <w:r w:rsidRPr="008B4B83">
        <w:rPr>
          <w:sz w:val="24"/>
          <w:szCs w:val="24"/>
          <w:vertAlign w:val="subscript"/>
          <w:lang w:val="en-US"/>
        </w:rPr>
        <w:t>3</w:t>
      </w:r>
      <w:r w:rsidRPr="008B4B83">
        <w:rPr>
          <w:sz w:val="24"/>
          <w:szCs w:val="24"/>
          <w:lang w:val="en-US"/>
        </w:rPr>
        <w:t xml:space="preserve"> in normal physiology. Mol Cell Endocrinol 72:C57—C62, 1990.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Geffner ME, Golde DW. Selective insulin action on skin, ovary, and heart in insulin-resistant states. Diabetes Care 11:500, 1988.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Gelbert L, et al. Chromosomal localization of the parathyroid hormone/parathyroid hormone-related protein receptor gene to human chromosome 3p21.1-p24.2. J Clin Endocrinol Metab 79:1046, 1994.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LeRoith D, et al. Insulinlike growth factors and their receptors as growth regulators in normal physiology and pathologic states. Trends Endocrinol Metab 2:134, 1991.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McKusick VA. Mapping the genes for hormones and growth factors and the mutations causing disorders of growth. Growth Genet Horm 5:1, 1989.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Michell RH. Post-receptor signalling pathways. Lancet 1:765, 1989.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Okusa MD, Bia MJ. Bartter's syndrome. In MP Cohen, PP Foa (eds), Hormone resistance and other endocrine paradoxes. New York: Springer, 1987. Pp. 231.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Stavrou SS, et al. A novel mutation of the human luteinizing hormone receptor in 46XY and 46XX sisters. J Clin Endocrinol Metab 83:2091, 1998.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Taylor SI. Molecular mechanisms of insulin resistance: Lesson from patients with mutations in the insulin receptor gene. Diabetes 41:1473, 1992.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Theriault A, et al. Regional chromosomal assignment of the human glucocorticoid receptor gene to 5q31. Hum Genet 83:289, 1989.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Tsai-Morris CH, et al. A novel human luteinizing hormone receptor gene. J Clin Endocrinol Metab 83:288, 1998.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Usala SJ, Weintraub BD. Thyroid hormone resistance syndromes. Trends Endocrinol Metab 2:140, 1991.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Usdin TB, et al. Assignment of the human PTH2 receptor gene (PTHR2) to chromosome 2q33 by fluorescence in situ hybridization. Genomics 37:140, 1996.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Van Dop C. Pseudohypoparathyroidism: Clinical and molecular aspects. Semin Nephrol 9:168, 1989. </w:t>
      </w:r>
    </w:p>
    <w:p w:rsidR="005D1C1F" w:rsidRPr="008B4B83" w:rsidRDefault="005D1C1F"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Wu SM, et al. Genetic heterogeneity of adrenocorticotropin (ACTH) resistance syndromes: identification of a novel mutation of the ACTH receptor gene in hereditary glucocorticoid deficiency. Mol Genet Metab 64:256, 1998.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Berkowitz BA. Vascular relaxation and aging. In P Vanhoutte, I Leusen (eds), Mechanisms of Vasodilation. New York: Karger, 1978.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Brown AM. A cellular logic for G-protein coupled ion channel pathways. FASEB J 5:2175, 1991.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Brown J, et al. Evidence for cardiac beta</w:t>
      </w:r>
      <w:r w:rsidRPr="008B4B83">
        <w:rPr>
          <w:sz w:val="24"/>
          <w:szCs w:val="24"/>
          <w:vertAlign w:val="subscript"/>
          <w:lang w:val="en-US"/>
        </w:rPr>
        <w:t>2</w:t>
      </w:r>
      <w:r w:rsidRPr="008B4B83">
        <w:rPr>
          <w:sz w:val="24"/>
          <w:szCs w:val="24"/>
          <w:lang w:val="en-US"/>
        </w:rPr>
        <w:t xml:space="preserve">-adrenoceptors in man. Clin Pharmacol Ther 33:424, 1983.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Caron M, Lefkowitz R. beta-Adrenergic receptors: Basic studies and clinical implications. In M Stein (ed.), New Directions in Asthma. Park Ridge, IL: American College of Chest Physicians, 1975.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lastRenderedPageBreak/>
        <w:t>Elliott HL, Reid JL. Evidence for post-junctional vascular alpha</w:t>
      </w:r>
      <w:r w:rsidRPr="008B4B83">
        <w:rPr>
          <w:sz w:val="24"/>
          <w:szCs w:val="24"/>
          <w:vertAlign w:val="subscript"/>
          <w:lang w:val="en-US"/>
        </w:rPr>
        <w:t>2</w:t>
      </w:r>
      <w:r w:rsidRPr="008B4B83">
        <w:rPr>
          <w:sz w:val="24"/>
          <w:szCs w:val="24"/>
          <w:lang w:val="en-US"/>
        </w:rPr>
        <w:t xml:space="preserve">-adrenoceptors in peripheral vascular regulation in man. Clin Sci 65:237, 1983.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Ford GA, et al. Age-related changes in adenosine and beta adrenoceptor responsiveness of vascular smooth muscle in men. Br J Clin Pharmacol 33:83, 1992.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Gilman AG. G-Proteins and regulation of adenylyl cyclase. JAMA 262:1819, 1989.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Glaubiger G, Lefkowitz R. Elevated beta-adrenergic receptor number after chronic propranolol treatment. Biochem Biophys Res Commun 78:720, 1977.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Langer SZ. Presynaptic receptors and their role in the regulation of transmitter release. Br J Pharmacol 60:481, 1977.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Lefkowitz R, et al. Hormones, receptors, and cyclic AMP: Their role in target cell refractoriness. Curr Top Cell Regul 17:205, 1980.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Levy JV. beta-adrenergic blocking drugs in spontaneous hypertension. Am J Med 61:779, 1976.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Plummer AL. Development of drug tolerance to beta</w:t>
      </w:r>
      <w:r w:rsidRPr="008B4B83">
        <w:rPr>
          <w:sz w:val="24"/>
          <w:szCs w:val="24"/>
          <w:vertAlign w:val="subscript"/>
          <w:lang w:val="en-US"/>
        </w:rPr>
        <w:t>2</w:t>
      </w:r>
      <w:r w:rsidRPr="008B4B83">
        <w:rPr>
          <w:sz w:val="24"/>
          <w:szCs w:val="24"/>
          <w:lang w:val="en-US"/>
        </w:rPr>
        <w:t xml:space="preserve">-adrenergic agents. Chest 73(Suppl):949, 1978.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Pool P, et al. Metabolic consequences of treating hypertension. Am J Hyperten 4:4945, 1991.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Prichard BN. alpha- and beta-blocking agents: Pharmacology and properties. Cleve Clin J Med 58:337, 1991.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Ruffulo RR, et al. Structure and function of alpha adrenoceptors. Pharmacol Rev 43:475, 1991. </w:t>
      </w:r>
    </w:p>
    <w:p w:rsidR="00800BDB" w:rsidRPr="008B4B83" w:rsidRDefault="00800BDB" w:rsidP="00B86B91">
      <w:pPr>
        <w:pStyle w:val="af8"/>
        <w:widowControl/>
        <w:numPr>
          <w:ilvl w:val="0"/>
          <w:numId w:val="14"/>
        </w:numPr>
        <w:autoSpaceDE/>
        <w:autoSpaceDN/>
        <w:adjustRightInd/>
        <w:spacing w:before="30"/>
        <w:jc w:val="both"/>
        <w:rPr>
          <w:sz w:val="24"/>
          <w:szCs w:val="24"/>
        </w:rPr>
      </w:pPr>
      <w:r w:rsidRPr="008B4B83">
        <w:rPr>
          <w:sz w:val="24"/>
          <w:szCs w:val="24"/>
          <w:lang w:val="en-US"/>
        </w:rPr>
        <w:t xml:space="preserve">Tota MR, et al. Biophysical and genetic analysis of the ligand-binding site of the beta-adrenoceptor. </w:t>
      </w:r>
      <w:r w:rsidRPr="008B4B83">
        <w:rPr>
          <w:sz w:val="24"/>
          <w:szCs w:val="24"/>
        </w:rPr>
        <w:t xml:space="preserve">Trends Pharmacol Sci 12:4, 1991.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Buyse ML. Birth Defects Encyclopedia. Cambridge: Blackwell, 1990.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Emery A, Rimoin D. Principles and Practice of Medical Genetics (2nd ed). New York: Churchill Livingstone, 1990.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Gorlin RJ, et al. Syndromes of the Head and Neck (3rd ed). New York: Oxford University Press, 1990.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Hall JG, et al. Handbook of Normal Physical Measurements. New York: Oxford University Press, 1989.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Jones KL. Smith's Recognizable Patterns of Human Malformation (4th ed). In M Markowitz (ed.), Major Problems in Clinical Pediatrics (vol VII). Philadelphia: Saunders, 1988.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McKusick V. Mendelian Inheritance in Man (10th ed.). Baltimore: Johns Hopkins University Press, 1992.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Rimoin DL. Disorders of the Endocrine Glands. In AA Dietz (ed.), Genetic Disease: Diagnosis and Treatment. Proceedings of the Fifth Arnold O. Beckman Conference in Clinical Chemistry. Monterey, CA: The Association for Clinical Chemistry, 1983.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Taybi H, Lachman RS. Radiology of Syndromes, Metabolic Disorders, and Skeletal Dysplasias (3rd ed). Chicago: Yearbook, 1990.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Vogel F, Motulsky AG. Human Genetics: Problems and Approaches (2nd ed). New York: Springer, 1986.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Wiedmann H-R, et al. Atlas of Clinical Syndromes—A Visual Aid to Diagnosis (2nd ed). St. Louis: Mosby, 1989.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Wynne-Davis R, Hall CM, Apley AG. Atlas of Skeletal Dysplasias. Edinburgh: Churchill Livingstone, 1985.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Antonarakis SE. Diagnosis of genetic disorders at the DNA level. New Engl J Med 320:153, 1989.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Beato M. Gene regulation by steroid hormones. Cell 56:335, 1989.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lastRenderedPageBreak/>
        <w:t xml:space="preserve">Chin WW. Biosynthesis and secretion of peptide hormones. In KL Becker (ed.), Principles and Practice of Endocrinology and Metabolism. Philadelphia: Lippincott, 1990. P. 14.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Evans RM. The steroid and thyroid hormone receptor superfamily. Science 240:889, 1988.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Habener JF. Genetic control of hormone formation. In JD Wilson, DW Foster (eds), Williams Textbook of Endocrinology. Philadelphia: Saunders, 1992. P. 9.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Kahn CR, et al. Mechanism of action of hormones that act at the cell surface. In JD Wilson, DW Foster (eds), Williams Textbook of Endocrinology. Philadelphia: Saunders, 1992. Pp. 91.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Lazar MA, Chin WW. Nuclear thyroid hormone receptors. J Clin Invest 86:1777, 1990.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Lewin BM. Gene IV. New York: Wiley, 1990.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Maniatis T, et al. Regulation of inducible and tissue-specific gene expression. Science 236:1227, 1987. </w:t>
      </w:r>
    </w:p>
    <w:p w:rsidR="00800BDB" w:rsidRPr="008B4B83" w:rsidRDefault="00800BDB" w:rsidP="00B86B91">
      <w:pPr>
        <w:pStyle w:val="af8"/>
        <w:widowControl/>
        <w:numPr>
          <w:ilvl w:val="0"/>
          <w:numId w:val="14"/>
        </w:numPr>
        <w:autoSpaceDE/>
        <w:autoSpaceDN/>
        <w:adjustRightInd/>
        <w:spacing w:before="30"/>
        <w:jc w:val="both"/>
        <w:rPr>
          <w:sz w:val="24"/>
          <w:szCs w:val="24"/>
          <w:lang w:val="en-US"/>
        </w:rPr>
      </w:pPr>
      <w:r w:rsidRPr="008B4B83">
        <w:rPr>
          <w:sz w:val="24"/>
          <w:szCs w:val="24"/>
          <w:lang w:val="en-US"/>
        </w:rPr>
        <w:t xml:space="preserve">Mitchell PJ, Tjian R. Transcriptional regulation in mammalian cells by sequence-specific DNA binding proteins. Science 245:371, 1989. </w:t>
      </w:r>
    </w:p>
    <w:p w:rsidR="001A76E2" w:rsidRPr="008B4B83" w:rsidRDefault="001A76E2" w:rsidP="00B86B91">
      <w:pPr>
        <w:pStyle w:val="literature"/>
        <w:numPr>
          <w:ilvl w:val="0"/>
          <w:numId w:val="14"/>
        </w:numPr>
        <w:jc w:val="both"/>
        <w:rPr>
          <w:lang w:val="en-US"/>
        </w:rPr>
      </w:pPr>
      <w:r w:rsidRPr="008B4B83">
        <w:rPr>
          <w:lang w:val="en-US"/>
        </w:rPr>
        <w:t xml:space="preserve">Fernandes J, Saudubray J-M, Tada K (eds), Inborn Metabolic Diseases: Diagnosis and Treatment. Heidelberg: Springer, 1990. </w:t>
      </w:r>
    </w:p>
    <w:p w:rsidR="001A76E2" w:rsidRPr="008B4B83" w:rsidRDefault="001A76E2" w:rsidP="00B86B91">
      <w:pPr>
        <w:pStyle w:val="literature"/>
        <w:numPr>
          <w:ilvl w:val="0"/>
          <w:numId w:val="14"/>
        </w:numPr>
        <w:jc w:val="both"/>
        <w:rPr>
          <w:lang w:val="en-US"/>
        </w:rPr>
      </w:pPr>
      <w:r w:rsidRPr="008B4B83">
        <w:rPr>
          <w:lang w:val="en-US"/>
        </w:rPr>
        <w:t xml:space="preserve">McKusick VA. Mendelian Inheritance in Man (10th ed). Baltimore: Johns Hopkins Press, 1992. </w:t>
      </w:r>
    </w:p>
    <w:p w:rsidR="006D0C8C" w:rsidRPr="008B4B83" w:rsidRDefault="001A76E2" w:rsidP="00B86B91">
      <w:pPr>
        <w:pStyle w:val="literature"/>
        <w:numPr>
          <w:ilvl w:val="0"/>
          <w:numId w:val="14"/>
        </w:numPr>
        <w:spacing w:after="160" w:line="259" w:lineRule="auto"/>
        <w:jc w:val="both"/>
        <w:rPr>
          <w:lang w:val="en-US"/>
        </w:rPr>
      </w:pPr>
      <w:r w:rsidRPr="008B4B83">
        <w:rPr>
          <w:lang w:val="en-US"/>
        </w:rPr>
        <w:t xml:space="preserve">Scriver CR, et al (eds). The Metabolic Basis of Inherited Disease (6th ed). New York: McGraw-Hill, 1989. </w:t>
      </w:r>
    </w:p>
    <w:sectPr w:rsidR="006D0C8C" w:rsidRPr="008B4B83" w:rsidSect="006D0C8C">
      <w:headerReference w:type="default" r:id="rId12"/>
      <w:headerReference w:type="first" r:id="rId13"/>
      <w:pgSz w:w="11906" w:h="16838" w:code="9"/>
      <w:pgMar w:top="2591" w:right="851" w:bottom="1559" w:left="1134" w:header="142" w:footer="115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862" w:rsidRDefault="002B1862" w:rsidP="001E7D29">
      <w:r>
        <w:separator/>
      </w:r>
    </w:p>
  </w:endnote>
  <w:endnote w:type="continuationSeparator" w:id="0">
    <w:p w:rsidR="002B1862" w:rsidRDefault="002B1862" w:rsidP="001E7D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altName w:val="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2FF" w:usb1="0000FCFF" w:usb2="00000001" w:usb3="00000000" w:csb0="0000019F" w:csb1="00000000"/>
  </w:font>
  <w:font w:name="Cambria">
    <w:altName w:val="Palatino Linotype"/>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862" w:rsidRDefault="002B1862" w:rsidP="001E7D29">
      <w:r>
        <w:separator/>
      </w:r>
    </w:p>
  </w:footnote>
  <w:footnote w:type="continuationSeparator" w:id="0">
    <w:p w:rsidR="002B1862" w:rsidRDefault="002B1862" w:rsidP="001E7D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F42" w:rsidRDefault="00FE777E" w:rsidP="005F25B0">
    <w:pPr>
      <w:pStyle w:val="afff1"/>
    </w:pPr>
    <w:r w:rsidRPr="00FE777E">
      <w:rPr>
        <w:noProof/>
      </w:rPr>
      <mc:AlternateContent>
        <mc:Choice Requires="wps">
          <w:drawing>
            <wp:anchor distT="0" distB="0" distL="114300" distR="114300" simplePos="0" relativeHeight="251665408" behindDoc="1" locked="0" layoutInCell="1" allowOverlap="1" wp14:anchorId="74BFE3E3" wp14:editId="0096759A">
              <wp:simplePos x="0" y="0"/>
              <wp:positionH relativeFrom="column">
                <wp:posOffset>-554355</wp:posOffset>
              </wp:positionH>
              <wp:positionV relativeFrom="paragraph">
                <wp:posOffset>563880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74BFE3E3" id="Фигура 61" o:spid="_x0000_s1026" style="position:absolute;margin-left:-43.65pt;margin-top:44.4pt;width:223.1pt;height:56.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Pr="00FE777E">
      <w:rPr>
        <w:noProof/>
      </w:rPr>
      <w:drawing>
        <wp:anchor distT="0" distB="0" distL="114300" distR="114300" simplePos="0" relativeHeight="251666432" behindDoc="1" locked="0" layoutInCell="1" allowOverlap="1" wp14:anchorId="272A4B6C" wp14:editId="1C9C23BD">
          <wp:simplePos x="0" y="0"/>
          <wp:positionH relativeFrom="margin">
            <wp:posOffset>4912721</wp:posOffset>
          </wp:positionH>
          <wp:positionV relativeFrom="paragraph">
            <wp:posOffset>82018</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6" name="Рисунок 36"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002E4F42" w:rsidRPr="00084752">
      <w:rPr>
        <w:noProof/>
      </w:rPr>
      <mc:AlternateContent>
        <mc:Choice Requires="wpg">
          <w:drawing>
            <wp:anchor distT="0" distB="0" distL="114300" distR="114300" simplePos="0" relativeHeight="251659264" behindDoc="1" locked="0" layoutInCell="1" allowOverlap="1" wp14:anchorId="3E98740C" wp14:editId="79A8CA45">
              <wp:simplePos x="0" y="0"/>
              <wp:positionH relativeFrom="page">
                <wp:align>center</wp:align>
              </wp:positionH>
              <wp:positionV relativeFrom="page">
                <wp:align>center</wp:align>
              </wp:positionV>
              <wp:extent cx="7556500" cy="10865485"/>
              <wp:effectExtent l="0" t="0" r="2540" b="14605"/>
              <wp:wrapNone/>
              <wp:docPr id="29" name="Группа 29">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8" name="Полилиния: Фигура 8"/>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Полилиния: Фигура 9"/>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Полилиния: Фигура 12"/>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Полилиния: Фигура 13"/>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Полилиния: фигура 14"/>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3E98740C" id="Группа 29" o:spid="_x0000_s1027" style="position:absolute;margin-left:0;margin-top:0;width:595pt;height:855.55pt;z-index:-251657216;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">
              <v:shape id="Полилиния: Фигура 8" o:spid="_x0000_s1028"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3+SL0A&#10;AADaAAAADwAAAGRycy9kb3ducmV2LnhtbERPy4rCMBTdD/gP4QpuBk0VRrQaRQSl2/EBLi/J7QOb&#10;m9JEW//eLASXh/Neb3tbiye1vnKsYDpJQBBrZyouFFzOh/EChA/IBmvHpOBFHrabwc8aU+M6/qfn&#10;KRQihrBPUUEZQpNK6XVJFv3ENcSRy11rMUTYFtK02MVwW8tZksylxYpjQ4kN7UvS99PDKjh2v/k9&#10;84frX3btMr3Uy9sxN0qNhv1uBSJQH77ijzszCuLWeCXeALl5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Oe3+SL0AAADaAAAADwAAAAAAAAAAAAAAAACYAgAAZHJzL2Rvd25yZXYu&#10;eG1sUEsFBgAAAAAEAAQA9QAAAIIDAAAAAA==&#10;" path="m3429208,12451r,876575l497239,889026,12452,12451r3416756,xe" fillcolor="#373545 [3215]" stroked="f">
                <v:stroke joinstyle="miter"/>
                <v:path arrowok="t" o:connecttype="custom" o:connectlocs="3429209,12451;3429209,889027;497239,889027;12452,12451" o:connectangles="0,0,0,0"/>
              </v:shape>
              <v:shape id="Полилиния: Фигура 9" o:spid="_x0000_s1029"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3+78MA&#10;AADaAAAADwAAAGRycy9kb3ducmV2LnhtbESPQYvCMBSE74L/ITzBi2i6gotWo4gg6MHDqojHR/Ns&#10;q81LabJt9debhQWPw8x8wyxWrSlETZXLLSv4GkUgiBOrc04VnE/b4RSE88gaC8uk4EkOVstuZ4Gx&#10;tg3/UH30qQgQdjEqyLwvYyldkpFBN7IlcfButjLog6xSqStsAtwUchxF39JgzmEhw5I2GSWP468J&#10;lKbdpoP6Wu4v4/OuOT3vk8fhpVS/167nIDy1/hP+b++0ghn8XQk3QC7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R3+78MAAADaAAAADwAAAAAAAAAAAAAAAACYAgAAZHJzL2Rv&#10;d25yZXYueG1sUEsFBgAAAAAEAAQA9QAAAIgDAAAAAA==&#10;" path="m12452,890686r,-878235l3030752,12451r484788,878235l12452,890686xe" fillcolor="#373545 [3215]" stroked="f">
                <v:stroke joinstyle="miter"/>
                <v:path arrowok="t" o:connecttype="custom" o:connectlocs="12452,890687;12452,12451;3030752,12451;3515540,890687" o:connectangles="0,0,0,0"/>
              </v:shape>
              <v:shape id="Полилиния: Фигура 12" o:spid="_x0000_s1030"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vnF8IA&#10;AADbAAAADwAAAGRycy9kb3ducmV2LnhtbESPQYvCMBCF74L/IYzgRTTVw7JUo4iieBFWLXgdk7Et&#10;NpPSpFr//WZB2NsM771v3ixWna3EkxpfOlYwnSQgiLUzJecKsstu/A3CB2SDlWNS8CYPq2W/t8DU&#10;uBef6HkOuYgQ9ikqKEKoUym9Lsiin7iaOGp311gMcW1yaRp8Rbit5CxJvqTFkuOFAmvaFKQf59Yq&#10;GN0e7+tetrrd+GNEbLPtj86UGg669RxEoC78mz/pg4n1Z/D3SxxAL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cXwgAAANsAAAAPAAAAAAAAAAAAAAAAAJgCAABkcnMvZG93&#10;bnJldi54bWxQSwUGAAAAAAQABAD1AAAAhwMAAAAA&#10;" path="m12452,981997l575270,12451r330386,l342838,981997r-330386,xe" fillcolor="#58b6c0 [3205]" stroked="f">
                <v:stroke joinstyle="miter"/>
                <v:path arrowok="t" o:connecttype="custom" o:connectlocs="12443,981661;574872,12447;905029,12447;342601,981661" o:connectangles="0,0,0,0"/>
              </v:shape>
              <v:shape id="Полилиния: Фигура 13" o:spid="_x0000_s1031"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dCjMQA&#10;AADbAAAADwAAAGRycy9kb3ducmV2LnhtbESPzWrDMBCE74W8g9hALyWR00IJTpQQbFp6KbSJIdeN&#10;tLFNrJWx5J+8fVUo9LbLzHw7u91PthEDdb52rGC1TEAQa2dqLhUUp7fFGoQPyAYbx6TgTh72u9nD&#10;FlPjRv6m4RhKESHsU1RQhdCmUnpdkUW/dC1x1K6usxji2pXSdDhGuG3kc5K8Sos1xwsVtpRVpG/H&#10;3ip4utzu53fZ6z7znxGRF/mXLpR6nE+HDYhAU/g3/6U/TKz/Ar+/xAH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HQozEAAAA2wAAAA8AAAAAAAAAAAAAAAAAmAIAAGRycy9k&#10;b3ducmV2LnhtbFBLBQYAAAAABAAEAPUAAACJAwAAAAA=&#10;" path="m12452,981997l570289,12451r330386,l342838,981997r-330386,xe" fillcolor="#58b6c0 [3205]" stroked="f">
                <v:stroke joinstyle="miter"/>
                <v:path arrowok="t" o:connecttype="custom" o:connectlocs="12452,981998;570289,12451;900675,12451;342838,981998" o:connectangles="0,0,0,0"/>
              </v:shape>
              <v:shape id="Полилиния: фигура 14" o:spid="_x0000_s1032"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H8DcEA&#10;AADbAAAADwAAAGRycy9kb3ducmV2LnhtbERPTWvCQBC9F/wPywje6kYtpURXUUugUHpo0oPHYXfM&#10;BrOzIbtN4r/vFgq9zeN9zu4wuVYM1IfGs4LVMgNBrL1puFbwVRWPLyBCRDbYeiYFdwpw2M8edpgb&#10;P/InDWWsRQrhkKMCG2OXSxm0JYdh6TvixF197zAm2NfS9DimcNfKdZY9S4cNpwaLHZ0t6Vv57RQc&#10;3zN9GSq+nezmdfqwfrMuNCu1mE/HLYhIU/wX/7nfTJr/BL+/pAPk/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Ax/A3BAAAA2wAAAA8AAAAAAAAAAAAAAAAAmAIAAGRycy9kb3du&#10;cmV2LnhtbFBLBQYAAAAABAAEAPUAAACGAw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33"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ZTw8UA&#10;AADbAAAADwAAAGRycy9kb3ducmV2LnhtbESPQWvCQBSE7wX/w/IKvRTdNIcq0VWKILQKgtGDx0f2&#10;maTNexuyq8b+erdQ8DjMzDfMbNFzoy7U+dqJgbdRAoqkcLaW0sBhvxpOQPmAYrFxQgZu5GExHzzN&#10;MLPuKju65KFUESI+QwNVCG2mtS8qYvQj15JE7+Q6xhBlV2rb4TXCudFpkrxrxlriQoUtLSsqfvIz&#10;Gyh4sz1vXpf8e+M1TvJj+r3+So15ee4/pqAC9eER/m9/WgPpGP6+xB+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NlPD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34"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tq9MIA&#10;AADbAAAADwAAAGRycy9kb3ducmV2LnhtbERPy2qDQBTdF/IPww10E+IYFyVYJ6EUBLElpbab7i7O&#10;9UGcO+JM1P59ZlHo8nDe2Xk1g5hpcr1lBYcoBkFcW91zq+D7K98fQTiPrHGwTAp+ycH5tHnIMNV2&#10;4U+aK9+KEMIuRQWd92Mqpas7MugiOxIHrrGTQR/g1Eo94RLCzSCTOH6SBnsODR2O9NpRfa1uRsHH&#10;T182c1m+vddjPq9U7EyyXJR63K4vzyA8rf5f/OcutIIkjA1fwg+Qp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C2r0wgAAANsAAAAPAAAAAAAAAAAAAAAAAJgCAABkcnMvZG93&#10;bnJldi54bWxQSwUGAAAAAAQABAD1AAAAhwM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25B0" w:rsidRDefault="00FE777E">
    <w:pPr>
      <w:pStyle w:val="afff1"/>
    </w:pPr>
    <w:r w:rsidRPr="00FE777E">
      <w:rPr>
        <w:b/>
        <w:noProof/>
        <w:sz w:val="28"/>
        <w:szCs w:val="28"/>
      </w:rPr>
      <w:drawing>
        <wp:anchor distT="0" distB="0" distL="114300" distR="114300" simplePos="0" relativeHeight="251663360" behindDoc="1" locked="0" layoutInCell="1" allowOverlap="1" wp14:anchorId="43E87FA0" wp14:editId="4974EDF9">
          <wp:simplePos x="0" y="0"/>
          <wp:positionH relativeFrom="margin">
            <wp:align>right</wp:align>
          </wp:positionH>
          <wp:positionV relativeFrom="paragraph">
            <wp:posOffset>89192</wp:posOffset>
          </wp:positionV>
          <wp:extent cx="1266825" cy="1243330"/>
          <wp:effectExtent l="0" t="0" r="9525" b="0"/>
          <wp:wrapTight wrapText="bothSides">
            <wp:wrapPolygon edited="0">
              <wp:start x="8445" y="0"/>
              <wp:lineTo x="6821" y="331"/>
              <wp:lineTo x="1624" y="4302"/>
              <wp:lineTo x="0" y="9598"/>
              <wp:lineTo x="1624" y="15886"/>
              <wp:lineTo x="1624" y="17540"/>
              <wp:lineTo x="5847" y="21181"/>
              <wp:lineTo x="7795" y="21181"/>
              <wp:lineTo x="14292" y="21181"/>
              <wp:lineTo x="16241" y="21181"/>
              <wp:lineTo x="20788" y="17540"/>
              <wp:lineTo x="21438" y="9928"/>
              <wp:lineTo x="20463" y="4633"/>
              <wp:lineTo x="15591" y="662"/>
              <wp:lineTo x="13642" y="0"/>
              <wp:lineTo x="8445" y="0"/>
            </wp:wrapPolygon>
          </wp:wrapTight>
          <wp:docPr id="37" name="Рисунок 37" descr="C:\Users\User\Desktop\Без-имени-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Без-имени-1-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1243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76DA">
      <w:rPr>
        <w:noProof/>
      </w:rPr>
      <mc:AlternateContent>
        <mc:Choice Requires="wps">
          <w:drawing>
            <wp:anchor distT="0" distB="0" distL="114300" distR="114300" simplePos="0" relativeHeight="251662336" behindDoc="1" locked="0" layoutInCell="1" allowOverlap="1" wp14:anchorId="25DA42EC" wp14:editId="41462CEE">
              <wp:simplePos x="0" y="0"/>
              <wp:positionH relativeFrom="column">
                <wp:posOffset>-554973</wp:posOffset>
              </wp:positionH>
              <wp:positionV relativeFrom="paragraph">
                <wp:posOffset>571500</wp:posOffset>
              </wp:positionV>
              <wp:extent cx="2833370" cy="722630"/>
              <wp:effectExtent l="19050" t="19050" r="24130" b="20320"/>
              <wp:wrapTight wrapText="bothSides">
                <wp:wrapPolygon edited="0">
                  <wp:start x="-145" y="-569"/>
                  <wp:lineTo x="-145" y="21638"/>
                  <wp:lineTo x="21639" y="21638"/>
                  <wp:lineTo x="21639" y="-569"/>
                  <wp:lineTo x="-145" y="-569"/>
                </wp:wrapPolygon>
              </wp:wrapTight>
              <wp:docPr id="21" name="Фигура 61">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2833370" cy="722630"/>
                      </a:xfrm>
                      <a:prstGeom prst="rect">
                        <a:avLst/>
                      </a:prstGeom>
                      <a:ln w="38100">
                        <a:solidFill>
                          <a:schemeClr val="bg1"/>
                        </a:solidFill>
                        <a:miter lim="400000"/>
                      </a:ln>
                      <a:extLst>
                        <a:ext uri="{C572A759-6A51-4108-AA02-DFA0A04FC94B}">
                          <ma14:wrappingTextBoxFlag xmlns:cx="http://schemas.microsoft.com/office/drawing/2014/chartex" xmlns:w16se="http://schemas.microsoft.com/office/word/2015/wordml/sym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p="http://schemas.openxmlformats.org/presentationml/2006/main" xmlns:lc="http://schemas.openxmlformats.org/drawingml/2006/lockedCanvas" xmlns:ma14="http://schemas.microsoft.com/office/mac/drawingml/2011/main" xmlns:w10="urn:schemas-microsoft-com:office:word" xmlns:v="urn:schemas-microsoft-com:vml" xmlns:o="urn:schemas-microsoft-com:office:office" xmlns:w="http://schemas.openxmlformats.org/wordprocessingml/2006/main" xmlns="" val="1"/>
                        </a:ext>
                      </a:extLst>
                    </wps:spPr>
                    <wps:txbx>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wps:txbx>
                    <wps:bodyPr wrap="square" lIns="19050" tIns="19050" rIns="19050" bIns="19050" anchor="ctr">
                      <a:noAutofit/>
                    </wps:bodyPr>
                  </wps:wsp>
                </a:graphicData>
              </a:graphic>
              <wp14:sizeRelH relativeFrom="page">
                <wp14:pctWidth>0</wp14:pctWidth>
              </wp14:sizeRelH>
              <wp14:sizeRelV relativeFrom="page">
                <wp14:pctHeight>0</wp14:pctHeight>
              </wp14:sizeRelV>
            </wp:anchor>
          </w:drawing>
        </mc:Choice>
        <mc:Fallback>
          <w:pict>
            <v:rect w14:anchorId="25DA42EC" id="_x0000_s1035" style="position:absolute;margin-left:-43.7pt;margin-top:45pt;width:223.1pt;height:56.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" filled="f" strokecolor="white [3212]" strokeweight="3pt">
              <v:stroke miterlimit="4"/>
              <v:textbox inset="1.5pt,1.5pt,1.5pt,1.5pt">
                <w:txbxContent>
                  <w:p w:rsidR="00FE777E" w:rsidRPr="00FA3FA4" w:rsidRDefault="006F36A7" w:rsidP="00FA3FA4">
                    <w:pPr>
                      <w:pStyle w:val="afffff4"/>
                      <w:shd w:val="clear" w:color="auto" w:fill="44546A"/>
                      <w:jc w:val="center"/>
                      <w:rPr>
                        <w:color w:val="FFFFFF"/>
                        <w:sz w:val="21"/>
                        <w:lang w:val="en-US"/>
                      </w:rPr>
                    </w:pPr>
                    <w:r w:rsidRPr="00FA3FA4">
                      <w:rPr>
                        <w:b/>
                        <w:color w:val="FFFFFF"/>
                        <w:sz w:val="26"/>
                        <w:szCs w:val="26"/>
                      </w:rPr>
                      <w:t>АНДИЖАНСКИЙ ГОСУДАРСТВЕННЫЙ МЕДИЦИНСКИЙ ИНСТИТУТ</w:t>
                    </w:r>
                  </w:p>
                </w:txbxContent>
              </v:textbox>
              <w10:wrap type="tight"/>
            </v:rect>
          </w:pict>
        </mc:Fallback>
      </mc:AlternateContent>
    </w:r>
    <w:r w:rsidR="005F25B0" w:rsidRPr="00084752">
      <w:rPr>
        <w:noProof/>
      </w:rPr>
      <mc:AlternateContent>
        <mc:Choice Requires="wpg">
          <w:drawing>
            <wp:anchor distT="0" distB="0" distL="114300" distR="114300" simplePos="0" relativeHeight="251661312" behindDoc="1" locked="0" layoutInCell="1" allowOverlap="1" wp14:anchorId="53E599E5" wp14:editId="2A4DC607">
              <wp:simplePos x="0" y="0"/>
              <wp:positionH relativeFrom="page">
                <wp:align>center</wp:align>
              </wp:positionH>
              <wp:positionV relativeFrom="page">
                <wp:align>center</wp:align>
              </wp:positionV>
              <wp:extent cx="7556500" cy="10865485"/>
              <wp:effectExtent l="0" t="0" r="2540" b="14605"/>
              <wp:wrapNone/>
              <wp:docPr id="22" name="Группа 22">
                <a:extLst xmlns:a="http://schemas.openxmlformats.org/drawingml/2006/main">
                  <a:ext uri="{C183D7F6-B498-43B3-948B-1728B52AA6E4}">
                    <adec:decorative xmlns:cx="http://schemas.microsoft.com/office/drawing/2014/chartex" xmlns:w16se="http://schemas.microsoft.com/office/word/2015/wordml/symex"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556500" cy="10865485"/>
                        <a:chOff x="0" y="0"/>
                        <a:chExt cx="7556858" cy="10865783"/>
                      </a:xfrm>
                    </wpg:grpSpPr>
                    <wps:wsp>
                      <wps:cNvPr id="23" name="Полилиния: Фигура 23"/>
                      <wps:cNvSpPr/>
                      <wps:spPr>
                        <a:xfrm>
                          <a:off x="4120179" y="0"/>
                          <a:ext cx="3436679" cy="896497"/>
                        </a:xfrm>
                        <a:custGeom>
                          <a:avLst/>
                          <a:gdLst>
                            <a:gd name="connsiteX0" fmla="*/ 3429208 w 3436678"/>
                            <a:gd name="connsiteY0" fmla="*/ 12451 h 896496"/>
                            <a:gd name="connsiteX1" fmla="*/ 3429208 w 3436678"/>
                            <a:gd name="connsiteY1" fmla="*/ 889026 h 896496"/>
                            <a:gd name="connsiteX2" fmla="*/ 497239 w 3436678"/>
                            <a:gd name="connsiteY2" fmla="*/ 889026 h 896496"/>
                            <a:gd name="connsiteX3" fmla="*/ 12452 w 3436678"/>
                            <a:gd name="connsiteY3" fmla="*/ 12451 h 896496"/>
                          </a:gdLst>
                          <a:ahLst/>
                          <a:cxnLst>
                            <a:cxn ang="0">
                              <a:pos x="connsiteX0" y="connsiteY0"/>
                            </a:cxn>
                            <a:cxn ang="0">
                              <a:pos x="connsiteX1" y="connsiteY1"/>
                            </a:cxn>
                            <a:cxn ang="0">
                              <a:pos x="connsiteX2" y="connsiteY2"/>
                            </a:cxn>
                            <a:cxn ang="0">
                              <a:pos x="connsiteX3" y="connsiteY3"/>
                            </a:cxn>
                          </a:cxnLst>
                          <a:rect l="l" t="t" r="r" b="b"/>
                          <a:pathLst>
                            <a:path w="3436678" h="896496">
                              <a:moveTo>
                                <a:pt x="3429208" y="12451"/>
                              </a:moveTo>
                              <a:lnTo>
                                <a:pt x="3429208" y="889026"/>
                              </a:lnTo>
                              <a:lnTo>
                                <a:pt x="497239" y="889026"/>
                              </a:lnTo>
                              <a:lnTo>
                                <a:pt x="12452" y="12451"/>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Полилиния: Форма 24"/>
                      <wps:cNvSpPr/>
                      <wps:spPr>
                        <a:xfrm>
                          <a:off x="0" y="656216"/>
                          <a:ext cx="3519690" cy="896497"/>
                        </a:xfrm>
                        <a:custGeom>
                          <a:avLst/>
                          <a:gdLst>
                            <a:gd name="connsiteX0" fmla="*/ 12452 w 3519690"/>
                            <a:gd name="connsiteY0" fmla="*/ 890686 h 896496"/>
                            <a:gd name="connsiteX1" fmla="*/ 12452 w 3519690"/>
                            <a:gd name="connsiteY1" fmla="*/ 12451 h 896496"/>
                            <a:gd name="connsiteX2" fmla="*/ 3030752 w 3519690"/>
                            <a:gd name="connsiteY2" fmla="*/ 12451 h 896496"/>
                            <a:gd name="connsiteX3" fmla="*/ 3515540 w 3519690"/>
                            <a:gd name="connsiteY3" fmla="*/ 89068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12452" y="890686"/>
                              </a:moveTo>
                              <a:lnTo>
                                <a:pt x="12452" y="12451"/>
                              </a:lnTo>
                              <a:lnTo>
                                <a:pt x="3030752" y="12451"/>
                              </a:lnTo>
                              <a:lnTo>
                                <a:pt x="3515540" y="890686"/>
                              </a:lnTo>
                              <a:close/>
                            </a:path>
                          </a:pathLst>
                        </a:custGeom>
                        <a:solidFill>
                          <a:schemeClr val="tx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Полилиния: Форма 25"/>
                      <wps:cNvSpPr/>
                      <wps:spPr>
                        <a:xfrm>
                          <a:off x="3399416" y="9886277"/>
                          <a:ext cx="912495" cy="979170"/>
                        </a:xfrm>
                        <a:custGeom>
                          <a:avLst/>
                          <a:gdLst>
                            <a:gd name="connsiteX0" fmla="*/ 12452 w 913127"/>
                            <a:gd name="connsiteY0" fmla="*/ 981997 h 979505"/>
                            <a:gd name="connsiteX1" fmla="*/ 575270 w 913127"/>
                            <a:gd name="connsiteY1" fmla="*/ 12451 h 979505"/>
                            <a:gd name="connsiteX2" fmla="*/ 905656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5270" y="12451"/>
                              </a:lnTo>
                              <a:lnTo>
                                <a:pt x="905656"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Полилиния: Форма 26"/>
                      <wps:cNvSpPr/>
                      <wps:spPr>
                        <a:xfrm>
                          <a:off x="2829261" y="9886277"/>
                          <a:ext cx="913127" cy="979506"/>
                        </a:xfrm>
                        <a:custGeom>
                          <a:avLst/>
                          <a:gdLst>
                            <a:gd name="connsiteX0" fmla="*/ 12452 w 913127"/>
                            <a:gd name="connsiteY0" fmla="*/ 981997 h 979505"/>
                            <a:gd name="connsiteX1" fmla="*/ 570289 w 913127"/>
                            <a:gd name="connsiteY1" fmla="*/ 12451 h 979505"/>
                            <a:gd name="connsiteX2" fmla="*/ 900675 w 913127"/>
                            <a:gd name="connsiteY2" fmla="*/ 12451 h 979505"/>
                            <a:gd name="connsiteX3" fmla="*/ 342838 w 913127"/>
                            <a:gd name="connsiteY3" fmla="*/ 981997 h 979505"/>
                          </a:gdLst>
                          <a:ahLst/>
                          <a:cxnLst>
                            <a:cxn ang="0">
                              <a:pos x="connsiteX0" y="connsiteY0"/>
                            </a:cxn>
                            <a:cxn ang="0">
                              <a:pos x="connsiteX1" y="connsiteY1"/>
                            </a:cxn>
                            <a:cxn ang="0">
                              <a:pos x="connsiteX2" y="connsiteY2"/>
                            </a:cxn>
                            <a:cxn ang="0">
                              <a:pos x="connsiteX3" y="connsiteY3"/>
                            </a:cxn>
                          </a:cxnLst>
                          <a:rect l="l" t="t" r="r" b="b"/>
                          <a:pathLst>
                            <a:path w="913127" h="979505">
                              <a:moveTo>
                                <a:pt x="12452" y="981997"/>
                              </a:moveTo>
                              <a:lnTo>
                                <a:pt x="570289" y="12451"/>
                              </a:lnTo>
                              <a:lnTo>
                                <a:pt x="900675" y="12451"/>
                              </a:lnTo>
                              <a:lnTo>
                                <a:pt x="342838" y="981997"/>
                              </a:lnTo>
                              <a:close/>
                            </a:path>
                          </a:pathLst>
                        </a:custGeom>
                        <a:solidFill>
                          <a:schemeClr val="accent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Полилиния: Форма 30"/>
                      <wps:cNvSpPr/>
                      <wps:spPr>
                        <a:xfrm>
                          <a:off x="4034118" y="9886277"/>
                          <a:ext cx="3519690" cy="896497"/>
                        </a:xfrm>
                        <a:custGeom>
                          <a:avLst/>
                          <a:gdLst>
                            <a:gd name="connsiteX0" fmla="*/ 3515540 w 3519690"/>
                            <a:gd name="connsiteY0" fmla="*/ 889026 h 896496"/>
                            <a:gd name="connsiteX1" fmla="*/ 3515540 w 3519690"/>
                            <a:gd name="connsiteY1" fmla="*/ 12451 h 896496"/>
                            <a:gd name="connsiteX2" fmla="*/ 497239 w 3519690"/>
                            <a:gd name="connsiteY2" fmla="*/ 12451 h 896496"/>
                            <a:gd name="connsiteX3" fmla="*/ 12452 w 3519690"/>
                            <a:gd name="connsiteY3" fmla="*/ 889026 h 896496"/>
                          </a:gdLst>
                          <a:ahLst/>
                          <a:cxnLst>
                            <a:cxn ang="0">
                              <a:pos x="connsiteX0" y="connsiteY0"/>
                            </a:cxn>
                            <a:cxn ang="0">
                              <a:pos x="connsiteX1" y="connsiteY1"/>
                            </a:cxn>
                            <a:cxn ang="0">
                              <a:pos x="connsiteX2" y="connsiteY2"/>
                            </a:cxn>
                            <a:cxn ang="0">
                              <a:pos x="connsiteX3" y="connsiteY3"/>
                            </a:cxn>
                          </a:cxnLst>
                          <a:rect l="l" t="t" r="r" b="b"/>
                          <a:pathLst>
                            <a:path w="3519690" h="896496">
                              <a:moveTo>
                                <a:pt x="3515540" y="889026"/>
                              </a:moveTo>
                              <a:lnTo>
                                <a:pt x="3515540" y="12451"/>
                              </a:lnTo>
                              <a:lnTo>
                                <a:pt x="497239" y="12451"/>
                              </a:lnTo>
                              <a:lnTo>
                                <a:pt x="12452" y="889026"/>
                              </a:lnTo>
                              <a:close/>
                            </a:path>
                          </a:pathLst>
                        </a:custGeom>
                        <a:solidFill>
                          <a:schemeClr val="tx2"/>
                        </a:solidFill>
                        <a:ln w="9525" cap="flat">
                          <a:noFill/>
                          <a:prstDash val="solid"/>
                          <a:miter/>
                        </a:ln>
                      </wps:spPr>
                      <wps:txbx>
                        <w:txbxContent>
                          <w:p w:rsidR="002273DF" w:rsidRDefault="002273DF" w:rsidP="002273DF">
                            <w:pPr>
                              <w:jc w:val="center"/>
                            </w:pPr>
                            <w:r w:rsidRPr="002273DF">
                              <w:t>Лектор: Айсачева Мафтунабону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Полилиния: Фигура 8"/>
                      <wps:cNvSpPr/>
                      <wps:spPr>
                        <a:xfrm>
                          <a:off x="2872292" y="0"/>
                          <a:ext cx="1217295" cy="1542415"/>
                        </a:xfrm>
                        <a:custGeom>
                          <a:avLst/>
                          <a:gdLst>
                            <a:gd name="connsiteX0" fmla="*/ 0 w 1217675"/>
                            <a:gd name="connsiteY0" fmla="*/ 0 h 1542668"/>
                            <a:gd name="connsiteX1" fmla="*/ 330287 w 1217675"/>
                            <a:gd name="connsiteY1" fmla="*/ 0 h 1542668"/>
                            <a:gd name="connsiteX2" fmla="*/ 1217675 w 1217675"/>
                            <a:gd name="connsiteY2" fmla="*/ 1542668 h 1542668"/>
                            <a:gd name="connsiteX3" fmla="*/ 888533 w 1217675"/>
                            <a:gd name="connsiteY3" fmla="*/ 1542668 h 1542668"/>
                            <a:gd name="connsiteX4" fmla="*/ 0 w 1217675"/>
                            <a:gd name="connsiteY4" fmla="*/ 0 h 154266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17675" h="1542668">
                              <a:moveTo>
                                <a:pt x="0" y="0"/>
                              </a:moveTo>
                              <a:lnTo>
                                <a:pt x="330287" y="0"/>
                              </a:lnTo>
                              <a:lnTo>
                                <a:pt x="1217675" y="1542668"/>
                              </a:lnTo>
                              <a:lnTo>
                                <a:pt x="888533" y="1542668"/>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2" name="Полилиния: фигура 7"/>
                      <wps:cNvSpPr/>
                      <wps:spPr>
                        <a:xfrm>
                          <a:off x="3474720" y="0"/>
                          <a:ext cx="1225138" cy="1542664"/>
                        </a:xfrm>
                        <a:custGeom>
                          <a:avLst/>
                          <a:gdLst>
                            <a:gd name="connsiteX0" fmla="*/ 0 w 1225138"/>
                            <a:gd name="connsiteY0" fmla="*/ 0 h 1542664"/>
                            <a:gd name="connsiteX1" fmla="*/ 330265 w 1225138"/>
                            <a:gd name="connsiteY1" fmla="*/ 0 h 1542664"/>
                            <a:gd name="connsiteX2" fmla="*/ 1225138 w 1225138"/>
                            <a:gd name="connsiteY2" fmla="*/ 1542664 h 1542664"/>
                            <a:gd name="connsiteX3" fmla="*/ 895208 w 1225138"/>
                            <a:gd name="connsiteY3" fmla="*/ 1542664 h 1542664"/>
                            <a:gd name="connsiteX4" fmla="*/ 0 w 1225138"/>
                            <a:gd name="connsiteY4" fmla="*/ 0 h 154266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225138" h="1542664">
                              <a:moveTo>
                                <a:pt x="0" y="0"/>
                              </a:moveTo>
                              <a:lnTo>
                                <a:pt x="330265" y="0"/>
                              </a:lnTo>
                              <a:lnTo>
                                <a:pt x="1225138" y="1542664"/>
                              </a:lnTo>
                              <a:lnTo>
                                <a:pt x="895208" y="1542664"/>
                              </a:lnTo>
                              <a:lnTo>
                                <a:pt x="0" y="0"/>
                              </a:lnTo>
                              <a:close/>
                            </a:path>
                          </a:pathLst>
                        </a:custGeom>
                        <a:solidFill>
                          <a:schemeClr val="accent2"/>
                        </a:solidFill>
                        <a:ln w="952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100000</wp14:pctWidth>
              </wp14:sizeRelH>
              <wp14:sizeRelV relativeFrom="page">
                <wp14:pctHeight>101600</wp14:pctHeight>
              </wp14:sizeRelV>
            </wp:anchor>
          </w:drawing>
        </mc:Choice>
        <mc:Fallback>
          <w:pict>
            <v:group w14:anchorId="53E599E5" id="Группа 22" o:spid="_x0000_s1036" style="position:absolute;margin-left:0;margin-top:0;width:595pt;height:855.55pt;z-index:-251655168;mso-width-percent:1000;mso-height-percent:1016;mso-position-horizontal:center;mso-position-horizontal-relative:page;mso-position-vertical:center;mso-position-vertical-relative:page;mso-width-percent:1000;mso-height-percent:1016" coordsize="75568,108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">
              <v:shape id="Полилиния: Фигура 23" o:spid="_x0000_s1037" style="position:absolute;left:41201;width:34367;height:8964;visibility:visible;mso-wrap-style:square;v-text-anchor:middle" coordsize="3436678,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q3kMIA&#10;AADbAAAADwAAAGRycy9kb3ducmV2LnhtbESPS4sCMRCE7wv+h9ALXpY1o7KyzhpFBGWuvsBjk/Q8&#10;cNIZJtEZ/70RhD0WVfUVtVj1thZ3an3lWMF4lIAg1s5UXCg4HbffvyB8QDZYOyYFD/KwWg4+Fpga&#10;1/Ge7odQiAhhn6KCMoQmldLrkiz6kWuIo5e71mKIsi2kabGLcFvLSZLMpMWK40KJDW1K0tfDzSrY&#10;dV/5NfPb80927jI91/PLLjdKDT/79R+IQH34D7/bmVEwmcLrS/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WreQwgAAANsAAAAPAAAAAAAAAAAAAAAAAJgCAABkcnMvZG93&#10;bnJldi54bWxQSwUGAAAAAAQABAD1AAAAhwMAAAAA&#10;" path="m3429208,12451r,876575l497239,889026,12452,12451r3416756,xe" fillcolor="#373545 [3215]" stroked="f">
                <v:stroke joinstyle="miter"/>
                <v:path arrowok="t" o:connecttype="custom" o:connectlocs="3429209,12451;3429209,889027;497239,889027;12452,12451" o:connectangles="0,0,0,0"/>
              </v:shape>
              <v:shape id="Полилиния: Форма 24" o:spid="_x0000_s1038" style="position:absolute;top:6562;width:35196;height:8965;visibility:visible;mso-wrap-style:square;v-text-anchor:middle" coordsize="3519690,896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eOcQA&#10;AADbAAAADwAAAGRycy9kb3ducmV2LnhtbESPQYvCMBSE7wv+h/AEL4umW1yRahQRBD14WBXx+Gie&#10;bbV5KU22rf56s7DgcZiZb5j5sjOlaKh2hWUFX6MIBHFqdcGZgtNxM5yCcB5ZY2mZFDzIwXLR+5hj&#10;om3LP9QcfCYChF2CCnLvq0RKl+Zk0I1sRRy8q60N+iDrTOoa2wA3pYyjaCINFhwWcqxonVN6P/ya&#10;QGm7TfbZXKrdOT5t2+Pj9n3fP5Ua9LvVDISnzr/D/+2tVhCP4e9L+AFy8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qHjnEAAAA2wAAAA8AAAAAAAAAAAAAAAAAmAIAAGRycy9k&#10;b3ducmV2LnhtbFBLBQYAAAAABAAEAPUAAACJAwAAAAA=&#10;" path="m12452,890686r,-878235l3030752,12451r484788,878235l12452,890686xe" fillcolor="#373545 [3215]" stroked="f">
                <v:stroke joinstyle="miter"/>
                <v:path arrowok="t" o:connecttype="custom" o:connectlocs="12452,890687;12452,12451;3030752,12451;3515540,890687" o:connectangles="0,0,0,0"/>
              </v:shape>
              <v:shape id="Полилиния: Форма 25" o:spid="_x0000_s1039" style="position:absolute;left:33994;top:98862;width:9125;height:9792;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13sMA&#10;AADbAAAADwAAAGRycy9kb3ducmV2LnhtbESPT4vCMBTE78J+h/AW9iKarqBINYoou+xF8E/B6zN5&#10;tsXmpTSp1m+/EQSPw8z8hpkvO1uJGzW+dKzge5iAINbOlJwryI4/gykIH5ANVo5JwYM8LBcfvTmm&#10;xt15T7dDyEWEsE9RQRFCnUrpdUEW/dDVxNG7uMZiiLLJpWnwHuG2kqMkmUiLJceFAmtaF6Svh9Yq&#10;6J+vj9OvbHW79tuI2GSbnc6U+vrsVjMQgbrwDr/af0bBaAzPL/EH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613sMAAADbAAAADwAAAAAAAAAAAAAAAACYAgAAZHJzL2Rv&#10;d25yZXYueG1sUEsFBgAAAAAEAAQA9QAAAIgDAAAAAA==&#10;" path="m12452,981997l575270,12451r330386,l342838,981997r-330386,xe" fillcolor="#58b6c0 [3205]" stroked="f">
                <v:stroke joinstyle="miter"/>
                <v:path arrowok="t" o:connecttype="custom" o:connectlocs="12443,981661;574872,12447;905029,12447;342601,981661" o:connectangles="0,0,0,0"/>
              </v:shape>
              <v:shape id="Полилиния: Форма 26" o:spid="_x0000_s1040" style="position:absolute;left:28292;top:98862;width:9131;height:9795;visibility:visible;mso-wrap-style:square;v-text-anchor:middle" coordsize="913127,9795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wrqcEA&#10;AADbAAAADwAAAGRycy9kb3ducmV2LnhtbESPQYvCMBSE7wv+h/AEL4umepClGkUUxYuwasHrM3m2&#10;xealNKnWf28WhD0OM/MNM192thIPanzpWMF4lIAg1s6UnCvIztvhDwgfkA1WjknBizwsF72vOabG&#10;PflIj1PIRYSwT1FBEUKdSul1QRb9yNXE0bu5xmKIssmlafAZ4baSkySZSoslx4UCa1oXpO+n1ir4&#10;vt5fl51sdbv2h4jYZJtfnSk16HerGYhAXfgPf9p7o2Ayhb8v8QfIx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cK6nBAAAA2wAAAA8AAAAAAAAAAAAAAAAAmAIAAGRycy9kb3du&#10;cmV2LnhtbFBLBQYAAAAABAAEAPUAAACGAwAAAAA=&#10;" path="m12452,981997l570289,12451r330386,l342838,981997r-330386,xe" fillcolor="#58b6c0 [3205]" stroked="f">
                <v:stroke joinstyle="miter"/>
                <v:path arrowok="t" o:connecttype="custom" o:connectlocs="12452,981998;570289,12451;900675,12451;342838,981998" o:connectangles="0,0,0,0"/>
              </v:shape>
              <v:shape id="Полилиния: Форма 30" o:spid="_x0000_s1041" style="position:absolute;left:40341;top:98862;width:35197;height:8965;visibility:visible;mso-wrap-style:square;v-text-anchor:middle" coordsize="3519690,896496"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mbr8A&#10;AADbAAAADwAAAGRycy9kb3ducmV2LnhtbERPy4rCMBTdD/gP4QruxlQLw1CN4gNBkFn4WLi8JNem&#10;2NyUJtb692Yx4PJw3vNl72rRURsqzwom4wwEsfam4lLB5bz7/gURIrLB2jMpeFGA5WLwNcfC+Ccf&#10;qTvFUqQQDgUqsDE2hZRBW3IYxr4hTtzNtw5jgm0pTYvPFO5qOc2yH+mw4tRgsaGNJX0/PZyC1SHT&#10;1+7M97XNt/2f9fl0p1mp0bBfzUBE6uNH/O/eGwV5Wp++pB8gF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0v6ZuvwAAANsAAAAPAAAAAAAAAAAAAAAAAJgCAABkcnMvZG93bnJl&#10;di54bWxQSwUGAAAAAAQABAD1AAAAhAMAAAAA&#10;" adj="-11796480,,5400" path="m3515540,889026r,-876575l497239,12451,12452,889026r3503088,xe" fillcolor="#373545 [3215]" stroked="f">
                <v:stroke joinstyle="miter"/>
                <v:formulas/>
                <v:path arrowok="t" o:connecttype="custom" o:connectlocs="3515540,889027;3515540,12451;497239,12451;12452,889027" o:connectangles="0,0,0,0" textboxrect="0,0,3519690,896496"/>
                <v:textbox>
                  <w:txbxContent>
                    <w:p w:rsidR="002273DF" w:rsidRDefault="002273DF" w:rsidP="002273DF">
                      <w:pPr>
                        <w:jc w:val="center"/>
                      </w:pPr>
                      <w:r w:rsidRPr="002273DF">
                        <w:t xml:space="preserve">Лектор: </w:t>
                      </w:r>
                      <w:proofErr w:type="spellStart"/>
                      <w:r w:rsidRPr="002273DF">
                        <w:t>Айсачева</w:t>
                      </w:r>
                      <w:proofErr w:type="spellEnd"/>
                      <w:r w:rsidRPr="002273DF">
                        <w:t xml:space="preserve"> </w:t>
                      </w:r>
                      <w:proofErr w:type="spellStart"/>
                      <w:r w:rsidRPr="002273DF">
                        <w:t>Мафтунабону</w:t>
                      </w:r>
                      <w:proofErr w:type="spellEnd"/>
                    </w:p>
                  </w:txbxContent>
                </v:textbox>
              </v:shape>
              <v:shape id="Полилиния: Фигура 8" o:spid="_x0000_s1042" style="position:absolute;left:28722;width:12173;height:15424;visibility:visible;mso-wrap-style:square;v-text-anchor:middle" coordsize="1217675,15426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r48cUA&#10;AADbAAAADwAAAGRycy9kb3ducmV2LnhtbESPQWvCQBSE7wX/w/KEXopujCASXaUIglUQTHvo8ZF9&#10;TdLmvQ3ZVaO/3i0Uehxm5htmue65URfqfO3EwGScgCIpnK2lNPDxvh3NQfmAYrFxQgZu5GG9Gjwt&#10;MbPuKie65KFUESI+QwNVCG2mtS8qYvRj15JE78t1jCHKrtS2w2uEc6PTJJlpxlriQoUtbSoqfvIz&#10;Gyj4cDwfXjZ8v/Ee5/ln+r1/S415HvavC1CB+vAf/mvvrIHpBH6/xB+gV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SvjxxQAAANsAAAAPAAAAAAAAAAAAAAAAAJgCAABkcnMv&#10;ZG93bnJldi54bWxQSwUGAAAAAAQABAD1AAAAigMAAAAA&#10;" path="m,l330287,r887388,1542668l888533,1542668,,xe" fillcolor="#58b6c0 [3205]" stroked="f">
                <v:stroke joinstyle="miter"/>
                <v:path arrowok="t" o:connecttype="custom" o:connectlocs="0,0;330184,0;1217295,1542415;888256,1542415;0,0" o:connectangles="0,0,0,0,0"/>
              </v:shape>
              <v:shape id="Полилиния: фигура 7" o:spid="_x0000_s1043" style="position:absolute;left:34747;width:12251;height:15426;visibility:visible;mso-wrap-style:square;v-text-anchor:middle" coordsize="1225138,1542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rLw8QA&#10;AADbAAAADwAAAGRycy9kb3ducmV2LnhtbESPT4vCMBTE74LfITzBi6ypXRDpGkUEQeqy4p/L3h7N&#10;sy3bvJQmtvXbmwXB4zAzv2GW695UoqXGlZYVzKYRCOLM6pJzBdfL7mMBwnlkjZVlUvAgB+vVcLDE&#10;RNuOT9SefS4ChF2CCgrv60RKlxVk0E1tTRy8m20M+iCbXOoGuwA3lYyjaC4NlhwWCqxpW1D2d74b&#10;BcffMr21aXr4zupd29N+YuLuR6nxqN98gfDU+3f41d5rBZ8x/H8JP0Cun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6y8PEAAAA2wAAAA8AAAAAAAAAAAAAAAAAmAIAAGRycy9k&#10;b3ducmV2LnhtbFBLBQYAAAAABAAEAPUAAACJAwAAAAA=&#10;" path="m,l330265,r894873,1542664l895208,1542664,,xe" fillcolor="#58b6c0 [3205]" stroked="f">
                <v:stroke joinstyle="miter"/>
                <v:path arrowok="t" o:connecttype="custom" o:connectlocs="0,0;330265,0;1225138,1542664;895208,1542664;0,0" o:connectangles="0,0,0,0,0"/>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E48C5E2A"/>
    <w:lvl w:ilvl="0">
      <w:start w:val="1"/>
      <w:numFmt w:val="decimal"/>
      <w:pStyle w:val="5"/>
      <w:lvlText w:val="%1."/>
      <w:lvlJc w:val="left"/>
      <w:pPr>
        <w:tabs>
          <w:tab w:val="num" w:pos="1800"/>
        </w:tabs>
        <w:ind w:left="1800" w:hanging="360"/>
      </w:pPr>
    </w:lvl>
  </w:abstractNum>
  <w:abstractNum w:abstractNumId="1" w15:restartNumberingAfterBreak="0">
    <w:nsid w:val="FFFFFF7D"/>
    <w:multiLevelType w:val="singleLevel"/>
    <w:tmpl w:val="933AA1FC"/>
    <w:lvl w:ilvl="0">
      <w:start w:val="1"/>
      <w:numFmt w:val="decimal"/>
      <w:pStyle w:val="4"/>
      <w:lvlText w:val="%1."/>
      <w:lvlJc w:val="left"/>
      <w:pPr>
        <w:tabs>
          <w:tab w:val="num" w:pos="1440"/>
        </w:tabs>
        <w:ind w:left="1440" w:hanging="360"/>
      </w:pPr>
    </w:lvl>
  </w:abstractNum>
  <w:abstractNum w:abstractNumId="2" w15:restartNumberingAfterBreak="0">
    <w:nsid w:val="FFFFFF7E"/>
    <w:multiLevelType w:val="singleLevel"/>
    <w:tmpl w:val="5C26B77C"/>
    <w:lvl w:ilvl="0">
      <w:start w:val="1"/>
      <w:numFmt w:val="lowerLetter"/>
      <w:pStyle w:val="3"/>
      <w:lvlText w:val="%1)"/>
      <w:lvlJc w:val="left"/>
      <w:pPr>
        <w:tabs>
          <w:tab w:val="num" w:pos="1080"/>
        </w:tabs>
        <w:ind w:left="1080" w:hanging="360"/>
      </w:pPr>
      <w:rPr>
        <w:rFonts w:hint="default"/>
      </w:rPr>
    </w:lvl>
  </w:abstractNum>
  <w:abstractNum w:abstractNumId="3" w15:restartNumberingAfterBreak="0">
    <w:nsid w:val="FFFFFF80"/>
    <w:multiLevelType w:val="singleLevel"/>
    <w:tmpl w:val="6314739A"/>
    <w:lvl w:ilvl="0">
      <w:start w:val="1"/>
      <w:numFmt w:val="bullet"/>
      <w:pStyle w:val="50"/>
      <w:lvlText w:val=""/>
      <w:lvlJc w:val="left"/>
      <w:pPr>
        <w:tabs>
          <w:tab w:val="num" w:pos="1800"/>
        </w:tabs>
        <w:ind w:left="1800" w:hanging="360"/>
      </w:pPr>
      <w:rPr>
        <w:rFonts w:ascii="Symbol" w:hAnsi="Symbol" w:hint="default"/>
      </w:rPr>
    </w:lvl>
  </w:abstractNum>
  <w:abstractNum w:abstractNumId="4" w15:restartNumberingAfterBreak="0">
    <w:nsid w:val="FFFFFF81"/>
    <w:multiLevelType w:val="singleLevel"/>
    <w:tmpl w:val="55DEA4B6"/>
    <w:lvl w:ilvl="0">
      <w:start w:val="1"/>
      <w:numFmt w:val="bullet"/>
      <w:pStyle w:val="40"/>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760AC8EA"/>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8A38F804"/>
    <w:lvl w:ilvl="0">
      <w:start w:val="1"/>
      <w:numFmt w:val="bullet"/>
      <w:pStyle w:val="2"/>
      <w:lvlText w:val=""/>
      <w:lvlJc w:val="left"/>
      <w:pPr>
        <w:tabs>
          <w:tab w:val="num" w:pos="720"/>
        </w:tabs>
        <w:ind w:left="720" w:hanging="360"/>
      </w:pPr>
      <w:rPr>
        <w:rFonts w:ascii="Symbol" w:hAnsi="Symbol" w:hint="default"/>
      </w:rPr>
    </w:lvl>
  </w:abstractNum>
  <w:abstractNum w:abstractNumId="7" w15:restartNumberingAfterBreak="0">
    <w:nsid w:val="FFFFFF89"/>
    <w:multiLevelType w:val="singleLevel"/>
    <w:tmpl w:val="0C6E2CDC"/>
    <w:lvl w:ilvl="0">
      <w:start w:val="1"/>
      <w:numFmt w:val="bullet"/>
      <w:pStyle w:val="a"/>
      <w:lvlText w:val=""/>
      <w:lvlJc w:val="left"/>
      <w:pPr>
        <w:tabs>
          <w:tab w:val="num" w:pos="360"/>
        </w:tabs>
        <w:ind w:left="360" w:hanging="360"/>
      </w:pPr>
      <w:rPr>
        <w:rFonts w:ascii="Symbol" w:hAnsi="Symbol" w:hint="default"/>
      </w:rPr>
    </w:lvl>
  </w:abstractNum>
  <w:abstractNum w:abstractNumId="8" w15:restartNumberingAfterBreak="0">
    <w:nsid w:val="152B4F13"/>
    <w:multiLevelType w:val="multilevel"/>
    <w:tmpl w:val="A37C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F32D2"/>
    <w:multiLevelType w:val="hybridMultilevel"/>
    <w:tmpl w:val="DFBCE4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1020ACA"/>
    <w:multiLevelType w:val="multilevel"/>
    <w:tmpl w:val="559CB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8675C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202067"/>
    <w:multiLevelType w:val="hybridMultilevel"/>
    <w:tmpl w:val="70D051C4"/>
    <w:lvl w:ilvl="0" w:tplc="2E00FC76">
      <w:start w:val="1"/>
      <w:numFmt w:val="bullet"/>
      <w:lvlText w:val=""/>
      <w:lvlJc w:val="left"/>
      <w:pPr>
        <w:tabs>
          <w:tab w:val="num" w:pos="720"/>
        </w:tabs>
        <w:ind w:left="720" w:hanging="360"/>
      </w:pPr>
      <w:rPr>
        <w:rFonts w:ascii="Wingdings" w:hAnsi="Wingdings" w:hint="default"/>
      </w:rPr>
    </w:lvl>
    <w:lvl w:ilvl="1" w:tplc="D116D5FE" w:tentative="1">
      <w:start w:val="1"/>
      <w:numFmt w:val="bullet"/>
      <w:lvlText w:val=""/>
      <w:lvlJc w:val="left"/>
      <w:pPr>
        <w:tabs>
          <w:tab w:val="num" w:pos="1440"/>
        </w:tabs>
        <w:ind w:left="1440" w:hanging="360"/>
      </w:pPr>
      <w:rPr>
        <w:rFonts w:ascii="Wingdings" w:hAnsi="Wingdings" w:hint="default"/>
      </w:rPr>
    </w:lvl>
    <w:lvl w:ilvl="2" w:tplc="24449EC8" w:tentative="1">
      <w:start w:val="1"/>
      <w:numFmt w:val="bullet"/>
      <w:lvlText w:val=""/>
      <w:lvlJc w:val="left"/>
      <w:pPr>
        <w:tabs>
          <w:tab w:val="num" w:pos="2160"/>
        </w:tabs>
        <w:ind w:left="2160" w:hanging="360"/>
      </w:pPr>
      <w:rPr>
        <w:rFonts w:ascii="Wingdings" w:hAnsi="Wingdings" w:hint="default"/>
      </w:rPr>
    </w:lvl>
    <w:lvl w:ilvl="3" w:tplc="017E9808" w:tentative="1">
      <w:start w:val="1"/>
      <w:numFmt w:val="bullet"/>
      <w:lvlText w:val=""/>
      <w:lvlJc w:val="left"/>
      <w:pPr>
        <w:tabs>
          <w:tab w:val="num" w:pos="2880"/>
        </w:tabs>
        <w:ind w:left="2880" w:hanging="360"/>
      </w:pPr>
      <w:rPr>
        <w:rFonts w:ascii="Wingdings" w:hAnsi="Wingdings" w:hint="default"/>
      </w:rPr>
    </w:lvl>
    <w:lvl w:ilvl="4" w:tplc="17789D80" w:tentative="1">
      <w:start w:val="1"/>
      <w:numFmt w:val="bullet"/>
      <w:lvlText w:val=""/>
      <w:lvlJc w:val="left"/>
      <w:pPr>
        <w:tabs>
          <w:tab w:val="num" w:pos="3600"/>
        </w:tabs>
        <w:ind w:left="3600" w:hanging="360"/>
      </w:pPr>
      <w:rPr>
        <w:rFonts w:ascii="Wingdings" w:hAnsi="Wingdings" w:hint="default"/>
      </w:rPr>
    </w:lvl>
    <w:lvl w:ilvl="5" w:tplc="B1B049DA" w:tentative="1">
      <w:start w:val="1"/>
      <w:numFmt w:val="bullet"/>
      <w:lvlText w:val=""/>
      <w:lvlJc w:val="left"/>
      <w:pPr>
        <w:tabs>
          <w:tab w:val="num" w:pos="4320"/>
        </w:tabs>
        <w:ind w:left="4320" w:hanging="360"/>
      </w:pPr>
      <w:rPr>
        <w:rFonts w:ascii="Wingdings" w:hAnsi="Wingdings" w:hint="default"/>
      </w:rPr>
    </w:lvl>
    <w:lvl w:ilvl="6" w:tplc="C640069A" w:tentative="1">
      <w:start w:val="1"/>
      <w:numFmt w:val="bullet"/>
      <w:lvlText w:val=""/>
      <w:lvlJc w:val="left"/>
      <w:pPr>
        <w:tabs>
          <w:tab w:val="num" w:pos="5040"/>
        </w:tabs>
        <w:ind w:left="5040" w:hanging="360"/>
      </w:pPr>
      <w:rPr>
        <w:rFonts w:ascii="Wingdings" w:hAnsi="Wingdings" w:hint="default"/>
      </w:rPr>
    </w:lvl>
    <w:lvl w:ilvl="7" w:tplc="C46ABE60" w:tentative="1">
      <w:start w:val="1"/>
      <w:numFmt w:val="bullet"/>
      <w:lvlText w:val=""/>
      <w:lvlJc w:val="left"/>
      <w:pPr>
        <w:tabs>
          <w:tab w:val="num" w:pos="5760"/>
        </w:tabs>
        <w:ind w:left="5760" w:hanging="360"/>
      </w:pPr>
      <w:rPr>
        <w:rFonts w:ascii="Wingdings" w:hAnsi="Wingdings" w:hint="default"/>
      </w:rPr>
    </w:lvl>
    <w:lvl w:ilvl="8" w:tplc="E7CE5F7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0856772"/>
    <w:multiLevelType w:val="multilevel"/>
    <w:tmpl w:val="4E88364C"/>
    <w:lvl w:ilvl="0">
      <w:start w:val="1"/>
      <w:numFmt w:val="upperRoman"/>
      <w:pStyle w:val="a0"/>
      <w:lvlText w:val="%1."/>
      <w:lvlJc w:val="right"/>
      <w:pPr>
        <w:ind w:left="173" w:hanging="173"/>
      </w:pPr>
      <w:rPr>
        <w:rFonts w:asciiTheme="minorHAnsi" w:hAnsiTheme="minorHAnsi" w:hint="default"/>
        <w:b/>
        <w:i w:val="0"/>
        <w:sz w:val="24"/>
      </w:rPr>
    </w:lvl>
    <w:lvl w:ilvl="1">
      <w:start w:val="1"/>
      <w:numFmt w:val="lowerLetter"/>
      <w:pStyle w:val="20"/>
      <w:lvlText w:val="%2)"/>
      <w:lvlJc w:val="left"/>
      <w:pPr>
        <w:ind w:left="720" w:hanging="588"/>
      </w:pPr>
      <w:rPr>
        <w:rFonts w:asciiTheme="minorHAnsi" w:hAnsiTheme="minorHAnsi" w:hint="default"/>
        <w:b w:val="0"/>
        <w:i w:val="0"/>
        <w:sz w:val="24"/>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4" w15:restartNumberingAfterBreak="0">
    <w:nsid w:val="45F20E54"/>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8C10718"/>
    <w:multiLevelType w:val="multilevel"/>
    <w:tmpl w:val="04090023"/>
    <w:styleLink w:val="a1"/>
    <w:lvl w:ilvl="0">
      <w:start w:val="1"/>
      <w:numFmt w:val="upperRoman"/>
      <w:lvlText w:val="Статья %1."/>
      <w:lvlJc w:val="left"/>
      <w:pPr>
        <w:ind w:left="0" w:firstLine="0"/>
      </w:pPr>
      <w:rPr>
        <w:rFonts w:ascii="Times New Roman" w:hAnsi="Times New Roman" w:cs="Times New Roman"/>
      </w:rPr>
    </w:lvl>
    <w:lvl w:ilvl="1">
      <w:start w:val="1"/>
      <w:numFmt w:val="decimalZero"/>
      <w:isLgl/>
      <w:lvlText w:val="Раздел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6" w15:restartNumberingAfterBreak="0">
    <w:nsid w:val="6B670E20"/>
    <w:multiLevelType w:val="multilevel"/>
    <w:tmpl w:val="370A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CD25EA"/>
    <w:multiLevelType w:val="hybridMultilevel"/>
    <w:tmpl w:val="5FEA0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13"/>
  </w:num>
  <w:num w:numId="10">
    <w:abstractNumId w:val="11"/>
  </w:num>
  <w:num w:numId="11">
    <w:abstractNumId w:val="14"/>
  </w:num>
  <w:num w:numId="12">
    <w:abstractNumId w:val="15"/>
  </w:num>
  <w:num w:numId="13">
    <w:abstractNumId w:val="17"/>
  </w:num>
  <w:num w:numId="14">
    <w:abstractNumId w:val="9"/>
  </w:num>
  <w:num w:numId="15">
    <w:abstractNumId w:val="12"/>
  </w:num>
  <w:num w:numId="16">
    <w:abstractNumId w:val="8"/>
  </w:num>
  <w:num w:numId="17">
    <w:abstractNumId w:val="16"/>
  </w:num>
  <w:num w:numId="18">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removePersonalInformation/>
  <w:removeDateAndTime/>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77E"/>
    <w:rsid w:val="0000418E"/>
    <w:rsid w:val="00016839"/>
    <w:rsid w:val="00042528"/>
    <w:rsid w:val="00042FB3"/>
    <w:rsid w:val="00057671"/>
    <w:rsid w:val="00084752"/>
    <w:rsid w:val="00086540"/>
    <w:rsid w:val="000D445D"/>
    <w:rsid w:val="000E0B00"/>
    <w:rsid w:val="000E46E6"/>
    <w:rsid w:val="000F4987"/>
    <w:rsid w:val="000F65EC"/>
    <w:rsid w:val="00103670"/>
    <w:rsid w:val="0010487E"/>
    <w:rsid w:val="00110BBD"/>
    <w:rsid w:val="001112C7"/>
    <w:rsid w:val="0011573E"/>
    <w:rsid w:val="00125E33"/>
    <w:rsid w:val="0012634B"/>
    <w:rsid w:val="001269DE"/>
    <w:rsid w:val="001351F7"/>
    <w:rsid w:val="00140DAE"/>
    <w:rsid w:val="00147CD9"/>
    <w:rsid w:val="0015180F"/>
    <w:rsid w:val="001574C3"/>
    <w:rsid w:val="001746FC"/>
    <w:rsid w:val="00193653"/>
    <w:rsid w:val="001A6AC0"/>
    <w:rsid w:val="001A76E2"/>
    <w:rsid w:val="001B0576"/>
    <w:rsid w:val="001C329C"/>
    <w:rsid w:val="001D1758"/>
    <w:rsid w:val="001E7D29"/>
    <w:rsid w:val="002142C8"/>
    <w:rsid w:val="00215269"/>
    <w:rsid w:val="002207BD"/>
    <w:rsid w:val="002220C1"/>
    <w:rsid w:val="00222713"/>
    <w:rsid w:val="0022366B"/>
    <w:rsid w:val="002273DF"/>
    <w:rsid w:val="00230B3D"/>
    <w:rsid w:val="002404F5"/>
    <w:rsid w:val="0025449B"/>
    <w:rsid w:val="00275260"/>
    <w:rsid w:val="00276FA1"/>
    <w:rsid w:val="00280C04"/>
    <w:rsid w:val="00285B87"/>
    <w:rsid w:val="00291B4A"/>
    <w:rsid w:val="002B1862"/>
    <w:rsid w:val="002C3D7E"/>
    <w:rsid w:val="002D0AAD"/>
    <w:rsid w:val="002E4F42"/>
    <w:rsid w:val="002F234B"/>
    <w:rsid w:val="002F76DA"/>
    <w:rsid w:val="00303179"/>
    <w:rsid w:val="0032131A"/>
    <w:rsid w:val="00330439"/>
    <w:rsid w:val="003310BF"/>
    <w:rsid w:val="00333DF8"/>
    <w:rsid w:val="003377F9"/>
    <w:rsid w:val="00352B99"/>
    <w:rsid w:val="00357641"/>
    <w:rsid w:val="003603AA"/>
    <w:rsid w:val="00360B6E"/>
    <w:rsid w:val="00361DEE"/>
    <w:rsid w:val="003852BF"/>
    <w:rsid w:val="00394EF4"/>
    <w:rsid w:val="003A1CB3"/>
    <w:rsid w:val="003B7F92"/>
    <w:rsid w:val="003D1740"/>
    <w:rsid w:val="003E5EB5"/>
    <w:rsid w:val="00410612"/>
    <w:rsid w:val="00411F8B"/>
    <w:rsid w:val="004203B0"/>
    <w:rsid w:val="004230D9"/>
    <w:rsid w:val="00450670"/>
    <w:rsid w:val="004527B8"/>
    <w:rsid w:val="004701E1"/>
    <w:rsid w:val="004724BD"/>
    <w:rsid w:val="00477352"/>
    <w:rsid w:val="00491C23"/>
    <w:rsid w:val="004B5C09"/>
    <w:rsid w:val="004C733F"/>
    <w:rsid w:val="004D454D"/>
    <w:rsid w:val="004E227E"/>
    <w:rsid w:val="004F7FED"/>
    <w:rsid w:val="00500DD1"/>
    <w:rsid w:val="00507378"/>
    <w:rsid w:val="00521AE3"/>
    <w:rsid w:val="00535B54"/>
    <w:rsid w:val="00554276"/>
    <w:rsid w:val="0056094A"/>
    <w:rsid w:val="00564D17"/>
    <w:rsid w:val="00570173"/>
    <w:rsid w:val="005762AB"/>
    <w:rsid w:val="00587101"/>
    <w:rsid w:val="005A72D4"/>
    <w:rsid w:val="005B3A9C"/>
    <w:rsid w:val="005D1C1F"/>
    <w:rsid w:val="005D3902"/>
    <w:rsid w:val="005E0ED9"/>
    <w:rsid w:val="005E2C92"/>
    <w:rsid w:val="005F25B0"/>
    <w:rsid w:val="00616B41"/>
    <w:rsid w:val="00620AE8"/>
    <w:rsid w:val="00622B83"/>
    <w:rsid w:val="0062682A"/>
    <w:rsid w:val="0064628C"/>
    <w:rsid w:val="0065214E"/>
    <w:rsid w:val="00652FE0"/>
    <w:rsid w:val="00655EE2"/>
    <w:rsid w:val="00680296"/>
    <w:rsid w:val="00683EA4"/>
    <w:rsid w:val="006853BC"/>
    <w:rsid w:val="00687389"/>
    <w:rsid w:val="006928C1"/>
    <w:rsid w:val="006D0C8C"/>
    <w:rsid w:val="006D5463"/>
    <w:rsid w:val="006E015E"/>
    <w:rsid w:val="006F03D4"/>
    <w:rsid w:val="006F36A7"/>
    <w:rsid w:val="00700B1F"/>
    <w:rsid w:val="0072228D"/>
    <w:rsid w:val="007257E9"/>
    <w:rsid w:val="00740105"/>
    <w:rsid w:val="00744B1E"/>
    <w:rsid w:val="00756AD4"/>
    <w:rsid w:val="00756D9C"/>
    <w:rsid w:val="007619BD"/>
    <w:rsid w:val="00771C24"/>
    <w:rsid w:val="00781863"/>
    <w:rsid w:val="00792701"/>
    <w:rsid w:val="007D0BC1"/>
    <w:rsid w:val="007D5836"/>
    <w:rsid w:val="007F34A4"/>
    <w:rsid w:val="00800BDB"/>
    <w:rsid w:val="00815563"/>
    <w:rsid w:val="008240DA"/>
    <w:rsid w:val="008429E5"/>
    <w:rsid w:val="00867EA4"/>
    <w:rsid w:val="0088077C"/>
    <w:rsid w:val="00880C14"/>
    <w:rsid w:val="00890EFA"/>
    <w:rsid w:val="00897D88"/>
    <w:rsid w:val="008A0319"/>
    <w:rsid w:val="008A059E"/>
    <w:rsid w:val="008B1122"/>
    <w:rsid w:val="008B4B83"/>
    <w:rsid w:val="008D0732"/>
    <w:rsid w:val="008D43E9"/>
    <w:rsid w:val="008E3C0E"/>
    <w:rsid w:val="008E421A"/>
    <w:rsid w:val="008E476B"/>
    <w:rsid w:val="008F0672"/>
    <w:rsid w:val="008F0F63"/>
    <w:rsid w:val="00927C63"/>
    <w:rsid w:val="00932F50"/>
    <w:rsid w:val="0093563E"/>
    <w:rsid w:val="0094637B"/>
    <w:rsid w:val="00955A78"/>
    <w:rsid w:val="00956233"/>
    <w:rsid w:val="009602EE"/>
    <w:rsid w:val="009921B8"/>
    <w:rsid w:val="0099313D"/>
    <w:rsid w:val="009D4984"/>
    <w:rsid w:val="009D6901"/>
    <w:rsid w:val="009F4E19"/>
    <w:rsid w:val="009F7D3C"/>
    <w:rsid w:val="00A02E28"/>
    <w:rsid w:val="00A07662"/>
    <w:rsid w:val="00A1006B"/>
    <w:rsid w:val="00A207BA"/>
    <w:rsid w:val="00A21B71"/>
    <w:rsid w:val="00A25111"/>
    <w:rsid w:val="00A3439E"/>
    <w:rsid w:val="00A37F9E"/>
    <w:rsid w:val="00A40085"/>
    <w:rsid w:val="00A426DC"/>
    <w:rsid w:val="00A47DF6"/>
    <w:rsid w:val="00A60E11"/>
    <w:rsid w:val="00A63D35"/>
    <w:rsid w:val="00A9231C"/>
    <w:rsid w:val="00AA2532"/>
    <w:rsid w:val="00AA4144"/>
    <w:rsid w:val="00AA46B7"/>
    <w:rsid w:val="00AB33D5"/>
    <w:rsid w:val="00AC72FB"/>
    <w:rsid w:val="00AD589B"/>
    <w:rsid w:val="00AE1F88"/>
    <w:rsid w:val="00AE361F"/>
    <w:rsid w:val="00AE5370"/>
    <w:rsid w:val="00B247A9"/>
    <w:rsid w:val="00B435B5"/>
    <w:rsid w:val="00B50C2F"/>
    <w:rsid w:val="00B54E12"/>
    <w:rsid w:val="00B565D8"/>
    <w:rsid w:val="00B5779A"/>
    <w:rsid w:val="00B60818"/>
    <w:rsid w:val="00B64D24"/>
    <w:rsid w:val="00B7147D"/>
    <w:rsid w:val="00B75CFC"/>
    <w:rsid w:val="00B853F9"/>
    <w:rsid w:val="00B86B91"/>
    <w:rsid w:val="00B92231"/>
    <w:rsid w:val="00B9319F"/>
    <w:rsid w:val="00BA2CE6"/>
    <w:rsid w:val="00BB018B"/>
    <w:rsid w:val="00BB231B"/>
    <w:rsid w:val="00BD1747"/>
    <w:rsid w:val="00BD2B06"/>
    <w:rsid w:val="00BE367F"/>
    <w:rsid w:val="00BF01F4"/>
    <w:rsid w:val="00BF363B"/>
    <w:rsid w:val="00BF49DD"/>
    <w:rsid w:val="00C05872"/>
    <w:rsid w:val="00C078AF"/>
    <w:rsid w:val="00C14973"/>
    <w:rsid w:val="00C1643D"/>
    <w:rsid w:val="00C16505"/>
    <w:rsid w:val="00C261A9"/>
    <w:rsid w:val="00C37607"/>
    <w:rsid w:val="00C42793"/>
    <w:rsid w:val="00C47362"/>
    <w:rsid w:val="00C601ED"/>
    <w:rsid w:val="00C63F12"/>
    <w:rsid w:val="00C916B2"/>
    <w:rsid w:val="00CA3D88"/>
    <w:rsid w:val="00CA4B57"/>
    <w:rsid w:val="00CC496B"/>
    <w:rsid w:val="00CD246E"/>
    <w:rsid w:val="00CE4271"/>
    <w:rsid w:val="00CE5A5C"/>
    <w:rsid w:val="00CF0EC4"/>
    <w:rsid w:val="00CF2DF9"/>
    <w:rsid w:val="00D14CC6"/>
    <w:rsid w:val="00D21E3F"/>
    <w:rsid w:val="00D31AB7"/>
    <w:rsid w:val="00D50D23"/>
    <w:rsid w:val="00D512BB"/>
    <w:rsid w:val="00D53571"/>
    <w:rsid w:val="00D92FF2"/>
    <w:rsid w:val="00DA3B1A"/>
    <w:rsid w:val="00DC6078"/>
    <w:rsid w:val="00DC79AD"/>
    <w:rsid w:val="00DD2075"/>
    <w:rsid w:val="00DD6D8B"/>
    <w:rsid w:val="00DE700F"/>
    <w:rsid w:val="00DF2868"/>
    <w:rsid w:val="00E3437B"/>
    <w:rsid w:val="00E46C4D"/>
    <w:rsid w:val="00E553ED"/>
    <w:rsid w:val="00E557A0"/>
    <w:rsid w:val="00E907BC"/>
    <w:rsid w:val="00EA3AA9"/>
    <w:rsid w:val="00EE4283"/>
    <w:rsid w:val="00EF6435"/>
    <w:rsid w:val="00F062BA"/>
    <w:rsid w:val="00F10F6B"/>
    <w:rsid w:val="00F12121"/>
    <w:rsid w:val="00F23697"/>
    <w:rsid w:val="00F34140"/>
    <w:rsid w:val="00F36BB7"/>
    <w:rsid w:val="00F414E4"/>
    <w:rsid w:val="00F41B1F"/>
    <w:rsid w:val="00F50B79"/>
    <w:rsid w:val="00F86699"/>
    <w:rsid w:val="00F87EAA"/>
    <w:rsid w:val="00F92B25"/>
    <w:rsid w:val="00F93D79"/>
    <w:rsid w:val="00FA08A0"/>
    <w:rsid w:val="00FA3FA4"/>
    <w:rsid w:val="00FB3809"/>
    <w:rsid w:val="00FD6CAB"/>
    <w:rsid w:val="00FE4063"/>
    <w:rsid w:val="00FE6B6C"/>
    <w:rsid w:val="00FE77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imes New Roman"/>
        <w:sz w:val="24"/>
        <w:szCs w:val="24"/>
        <w:lang w:val="ru-RU" w:eastAsia="en-US" w:bidi="ar-SA"/>
      </w:rPr>
    </w:rPrDefault>
    <w:pPrDefault>
      <w:pPr>
        <w:spacing w:after="200" w:line="276" w:lineRule="auto"/>
        <w:ind w:left="173"/>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3"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2"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1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FE777E"/>
    <w:pPr>
      <w:widowControl w:val="0"/>
      <w:autoSpaceDE w:val="0"/>
      <w:autoSpaceDN w:val="0"/>
      <w:adjustRightInd w:val="0"/>
      <w:spacing w:after="0" w:line="240" w:lineRule="auto"/>
      <w:ind w:left="0"/>
    </w:pPr>
    <w:rPr>
      <w:rFonts w:ascii="Times New Roman" w:hAnsi="Times New Roman"/>
      <w:sz w:val="20"/>
      <w:szCs w:val="20"/>
      <w:lang w:eastAsia="ru-RU"/>
    </w:rPr>
  </w:style>
  <w:style w:type="paragraph" w:styleId="1">
    <w:name w:val="heading 1"/>
    <w:basedOn w:val="a2"/>
    <w:link w:val="10"/>
    <w:uiPriority w:val="9"/>
    <w:qFormat/>
    <w:rsid w:val="005F25B0"/>
    <w:pPr>
      <w:keepNext/>
      <w:spacing w:before="480" w:after="60"/>
      <w:contextualSpacing/>
      <w:jc w:val="center"/>
      <w:outlineLvl w:val="0"/>
    </w:pPr>
    <w:rPr>
      <w:rFonts w:asciiTheme="majorHAnsi" w:hAnsiTheme="majorHAnsi" w:cs="Arial"/>
      <w:b/>
      <w:bCs/>
      <w:kern w:val="32"/>
      <w:sz w:val="32"/>
      <w:szCs w:val="32"/>
    </w:rPr>
  </w:style>
  <w:style w:type="paragraph" w:styleId="21">
    <w:name w:val="heading 2"/>
    <w:basedOn w:val="a2"/>
    <w:link w:val="22"/>
    <w:uiPriority w:val="9"/>
    <w:unhideWhenUsed/>
    <w:qFormat/>
    <w:rsid w:val="004230D9"/>
    <w:pPr>
      <w:keepNext/>
      <w:spacing w:before="240" w:after="60"/>
      <w:contextualSpacing/>
      <w:outlineLvl w:val="1"/>
    </w:pPr>
    <w:rPr>
      <w:rFonts w:ascii="Arial" w:hAnsi="Arial" w:cs="Arial"/>
      <w:b/>
      <w:bCs/>
      <w:iCs/>
      <w:szCs w:val="28"/>
    </w:rPr>
  </w:style>
  <w:style w:type="paragraph" w:styleId="31">
    <w:name w:val="heading 3"/>
    <w:basedOn w:val="a2"/>
    <w:uiPriority w:val="9"/>
    <w:semiHidden/>
    <w:unhideWhenUsed/>
    <w:qFormat/>
    <w:rsid w:val="004230D9"/>
    <w:pPr>
      <w:keepNext/>
      <w:spacing w:before="240" w:after="60"/>
      <w:contextualSpacing/>
      <w:outlineLvl w:val="2"/>
    </w:pPr>
    <w:rPr>
      <w:rFonts w:ascii="Arial" w:hAnsi="Arial" w:cs="Arial"/>
      <w:b/>
      <w:bCs/>
      <w:szCs w:val="26"/>
    </w:rPr>
  </w:style>
  <w:style w:type="paragraph" w:styleId="41">
    <w:name w:val="heading 4"/>
    <w:basedOn w:val="a2"/>
    <w:link w:val="42"/>
    <w:uiPriority w:val="9"/>
    <w:semiHidden/>
    <w:unhideWhenUsed/>
    <w:qFormat/>
    <w:rsid w:val="004230D9"/>
    <w:pPr>
      <w:keepNext/>
      <w:keepLines/>
      <w:spacing w:before="40"/>
      <w:contextualSpacing/>
      <w:outlineLvl w:val="3"/>
    </w:pPr>
    <w:rPr>
      <w:rFonts w:ascii="Arial" w:eastAsiaTheme="majorEastAsia" w:hAnsi="Arial" w:cs="Arial"/>
      <w:i/>
      <w:iCs/>
      <w:color w:val="276E8B" w:themeColor="accent1" w:themeShade="BF"/>
    </w:rPr>
  </w:style>
  <w:style w:type="paragraph" w:styleId="51">
    <w:name w:val="heading 5"/>
    <w:basedOn w:val="a2"/>
    <w:link w:val="52"/>
    <w:uiPriority w:val="9"/>
    <w:semiHidden/>
    <w:unhideWhenUsed/>
    <w:qFormat/>
    <w:rsid w:val="004230D9"/>
    <w:pPr>
      <w:keepNext/>
      <w:keepLines/>
      <w:spacing w:before="40"/>
      <w:contextualSpacing/>
      <w:outlineLvl w:val="4"/>
    </w:pPr>
    <w:rPr>
      <w:rFonts w:ascii="Arial" w:eastAsiaTheme="majorEastAsia" w:hAnsi="Arial" w:cs="Arial"/>
      <w:color w:val="276E8B" w:themeColor="accent1" w:themeShade="BF"/>
    </w:rPr>
  </w:style>
  <w:style w:type="paragraph" w:styleId="6">
    <w:name w:val="heading 6"/>
    <w:basedOn w:val="a2"/>
    <w:link w:val="60"/>
    <w:uiPriority w:val="9"/>
    <w:semiHidden/>
    <w:unhideWhenUsed/>
    <w:qFormat/>
    <w:rsid w:val="004230D9"/>
    <w:pPr>
      <w:keepNext/>
      <w:keepLines/>
      <w:spacing w:before="40"/>
      <w:contextualSpacing/>
      <w:outlineLvl w:val="5"/>
    </w:pPr>
    <w:rPr>
      <w:rFonts w:ascii="Arial" w:eastAsiaTheme="majorEastAsia" w:hAnsi="Arial" w:cs="Arial"/>
      <w:color w:val="1A495C" w:themeColor="accent1" w:themeShade="7F"/>
    </w:rPr>
  </w:style>
  <w:style w:type="paragraph" w:styleId="7">
    <w:name w:val="heading 7"/>
    <w:basedOn w:val="a2"/>
    <w:link w:val="70"/>
    <w:uiPriority w:val="9"/>
    <w:semiHidden/>
    <w:unhideWhenUsed/>
    <w:qFormat/>
    <w:rsid w:val="004230D9"/>
    <w:pPr>
      <w:keepNext/>
      <w:keepLines/>
      <w:spacing w:before="40"/>
      <w:contextualSpacing/>
      <w:outlineLvl w:val="6"/>
    </w:pPr>
    <w:rPr>
      <w:rFonts w:ascii="Arial" w:eastAsiaTheme="majorEastAsia" w:hAnsi="Arial" w:cs="Arial"/>
      <w:i/>
      <w:iCs/>
      <w:color w:val="1A495C" w:themeColor="accent1" w:themeShade="7F"/>
    </w:rPr>
  </w:style>
  <w:style w:type="paragraph" w:styleId="8">
    <w:name w:val="heading 8"/>
    <w:basedOn w:val="a2"/>
    <w:link w:val="80"/>
    <w:uiPriority w:val="9"/>
    <w:semiHidden/>
    <w:unhideWhenUsed/>
    <w:qFormat/>
    <w:rsid w:val="004230D9"/>
    <w:pPr>
      <w:keepNext/>
      <w:keepLines/>
      <w:spacing w:before="40"/>
      <w:contextualSpacing/>
      <w:outlineLvl w:val="7"/>
    </w:pPr>
    <w:rPr>
      <w:rFonts w:ascii="Arial" w:eastAsiaTheme="majorEastAsia" w:hAnsi="Arial" w:cs="Arial"/>
      <w:color w:val="272727" w:themeColor="text1" w:themeTint="D8"/>
      <w:sz w:val="22"/>
      <w:szCs w:val="21"/>
    </w:rPr>
  </w:style>
  <w:style w:type="paragraph" w:styleId="9">
    <w:name w:val="heading 9"/>
    <w:basedOn w:val="a2"/>
    <w:link w:val="90"/>
    <w:uiPriority w:val="9"/>
    <w:semiHidden/>
    <w:unhideWhenUsed/>
    <w:qFormat/>
    <w:rsid w:val="004230D9"/>
    <w:pPr>
      <w:keepNext/>
      <w:keepLines/>
      <w:spacing w:before="40"/>
      <w:contextualSpacing/>
      <w:outlineLvl w:val="8"/>
    </w:pPr>
    <w:rPr>
      <w:rFonts w:ascii="Arial" w:eastAsiaTheme="majorEastAsia" w:hAnsi="Arial" w:cs="Arial"/>
      <w:i/>
      <w:iCs/>
      <w:color w:val="272727" w:themeColor="text1" w:themeTint="D8"/>
      <w:sz w:val="22"/>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0">
    <w:name w:val="List Number"/>
    <w:basedOn w:val="a2"/>
    <w:uiPriority w:val="12"/>
    <w:qFormat/>
    <w:rsid w:val="002F76DA"/>
    <w:pPr>
      <w:numPr>
        <w:numId w:val="9"/>
      </w:numPr>
    </w:pPr>
    <w:rPr>
      <w:b/>
    </w:rPr>
  </w:style>
  <w:style w:type="character" w:styleId="a6">
    <w:name w:val="Placeholder Text"/>
    <w:basedOn w:val="a3"/>
    <w:uiPriority w:val="99"/>
    <w:semiHidden/>
    <w:rsid w:val="004230D9"/>
    <w:rPr>
      <w:rFonts w:ascii="Times New Roman" w:hAnsi="Times New Roman" w:cs="Times New Roman"/>
      <w:color w:val="595959" w:themeColor="text1" w:themeTint="A6"/>
    </w:rPr>
  </w:style>
  <w:style w:type="paragraph" w:styleId="a7">
    <w:name w:val="Date"/>
    <w:basedOn w:val="a2"/>
    <w:next w:val="a2"/>
    <w:link w:val="a8"/>
    <w:uiPriority w:val="10"/>
    <w:qFormat/>
    <w:rsid w:val="004230D9"/>
    <w:pPr>
      <w:spacing w:after="480"/>
      <w:jc w:val="center"/>
    </w:pPr>
  </w:style>
  <w:style w:type="paragraph" w:styleId="a9">
    <w:name w:val="Balloon Text"/>
    <w:basedOn w:val="a2"/>
    <w:link w:val="aa"/>
    <w:uiPriority w:val="99"/>
    <w:semiHidden/>
    <w:unhideWhenUsed/>
    <w:rsid w:val="004230D9"/>
    <w:rPr>
      <w:rFonts w:ascii="Tahoma" w:hAnsi="Tahoma" w:cs="Tahoma"/>
      <w:sz w:val="22"/>
      <w:szCs w:val="16"/>
    </w:rPr>
  </w:style>
  <w:style w:type="character" w:customStyle="1" w:styleId="aa">
    <w:name w:val="Текст выноски Знак"/>
    <w:basedOn w:val="a3"/>
    <w:link w:val="a9"/>
    <w:uiPriority w:val="99"/>
    <w:semiHidden/>
    <w:rsid w:val="004230D9"/>
    <w:rPr>
      <w:rFonts w:ascii="Tahoma" w:hAnsi="Tahoma" w:cs="Tahoma"/>
      <w:sz w:val="22"/>
      <w:szCs w:val="16"/>
    </w:rPr>
  </w:style>
  <w:style w:type="paragraph" w:styleId="a">
    <w:name w:val="List Bullet"/>
    <w:basedOn w:val="a2"/>
    <w:uiPriority w:val="13"/>
    <w:qFormat/>
    <w:rsid w:val="004230D9"/>
    <w:pPr>
      <w:numPr>
        <w:numId w:val="1"/>
      </w:numPr>
      <w:contextualSpacing/>
    </w:pPr>
    <w:rPr>
      <w:b/>
    </w:rPr>
  </w:style>
  <w:style w:type="character" w:customStyle="1" w:styleId="42">
    <w:name w:val="Заголовок 4 Знак"/>
    <w:basedOn w:val="a3"/>
    <w:link w:val="41"/>
    <w:uiPriority w:val="9"/>
    <w:semiHidden/>
    <w:rsid w:val="004230D9"/>
    <w:rPr>
      <w:rFonts w:ascii="Arial" w:eastAsiaTheme="majorEastAsia" w:hAnsi="Arial" w:cs="Arial"/>
      <w:i/>
      <w:iCs/>
      <w:color w:val="276E8B" w:themeColor="accent1" w:themeShade="BF"/>
    </w:rPr>
  </w:style>
  <w:style w:type="character" w:styleId="ab">
    <w:name w:val="Emphasis"/>
    <w:basedOn w:val="a3"/>
    <w:uiPriority w:val="20"/>
    <w:qFormat/>
    <w:rsid w:val="005F25B0"/>
    <w:rPr>
      <w:rFonts w:asciiTheme="minorHAnsi" w:hAnsiTheme="minorHAnsi" w:cs="Times New Roman"/>
      <w:b/>
      <w:i w:val="0"/>
      <w:iCs/>
      <w:color w:val="FFFFFF" w:themeColor="background1"/>
    </w:rPr>
  </w:style>
  <w:style w:type="character" w:customStyle="1" w:styleId="52">
    <w:name w:val="Заголовок 5 Знак"/>
    <w:basedOn w:val="a3"/>
    <w:link w:val="51"/>
    <w:uiPriority w:val="9"/>
    <w:semiHidden/>
    <w:rsid w:val="004230D9"/>
    <w:rPr>
      <w:rFonts w:ascii="Arial" w:eastAsiaTheme="majorEastAsia" w:hAnsi="Arial" w:cs="Arial"/>
      <w:color w:val="276E8B" w:themeColor="accent1" w:themeShade="BF"/>
    </w:rPr>
  </w:style>
  <w:style w:type="character" w:customStyle="1" w:styleId="60">
    <w:name w:val="Заголовок 6 Знак"/>
    <w:basedOn w:val="a3"/>
    <w:link w:val="6"/>
    <w:uiPriority w:val="9"/>
    <w:semiHidden/>
    <w:rsid w:val="004230D9"/>
    <w:rPr>
      <w:rFonts w:ascii="Arial" w:eastAsiaTheme="majorEastAsia" w:hAnsi="Arial" w:cs="Arial"/>
      <w:color w:val="1A495C" w:themeColor="accent1" w:themeShade="7F"/>
    </w:rPr>
  </w:style>
  <w:style w:type="character" w:customStyle="1" w:styleId="70">
    <w:name w:val="Заголовок 7 Знак"/>
    <w:basedOn w:val="a3"/>
    <w:link w:val="7"/>
    <w:uiPriority w:val="9"/>
    <w:semiHidden/>
    <w:rsid w:val="004230D9"/>
    <w:rPr>
      <w:rFonts w:ascii="Arial" w:eastAsiaTheme="majorEastAsia" w:hAnsi="Arial" w:cs="Arial"/>
      <w:i/>
      <w:iCs/>
      <w:color w:val="1A495C" w:themeColor="accent1" w:themeShade="7F"/>
    </w:rPr>
  </w:style>
  <w:style w:type="character" w:customStyle="1" w:styleId="80">
    <w:name w:val="Заголовок 8 Знак"/>
    <w:basedOn w:val="a3"/>
    <w:link w:val="8"/>
    <w:uiPriority w:val="9"/>
    <w:semiHidden/>
    <w:rsid w:val="004230D9"/>
    <w:rPr>
      <w:rFonts w:ascii="Arial" w:eastAsiaTheme="majorEastAsia" w:hAnsi="Arial" w:cs="Arial"/>
      <w:color w:val="272727" w:themeColor="text1" w:themeTint="D8"/>
      <w:sz w:val="22"/>
      <w:szCs w:val="21"/>
    </w:rPr>
  </w:style>
  <w:style w:type="character" w:customStyle="1" w:styleId="90">
    <w:name w:val="Заголовок 9 Знак"/>
    <w:basedOn w:val="a3"/>
    <w:link w:val="9"/>
    <w:uiPriority w:val="9"/>
    <w:semiHidden/>
    <w:rsid w:val="004230D9"/>
    <w:rPr>
      <w:rFonts w:ascii="Arial" w:eastAsiaTheme="majorEastAsia" w:hAnsi="Arial" w:cs="Arial"/>
      <w:i/>
      <w:iCs/>
      <w:color w:val="272727" w:themeColor="text1" w:themeTint="D8"/>
      <w:sz w:val="22"/>
      <w:szCs w:val="21"/>
    </w:rPr>
  </w:style>
  <w:style w:type="paragraph" w:styleId="ac">
    <w:name w:val="Title"/>
    <w:basedOn w:val="a2"/>
    <w:link w:val="ad"/>
    <w:uiPriority w:val="10"/>
    <w:semiHidden/>
    <w:unhideWhenUsed/>
    <w:qFormat/>
    <w:rsid w:val="004230D9"/>
    <w:pPr>
      <w:contextualSpacing/>
    </w:pPr>
    <w:rPr>
      <w:rFonts w:ascii="Arial" w:eastAsiaTheme="majorEastAsia" w:hAnsi="Arial" w:cs="Arial"/>
      <w:spacing w:val="-10"/>
      <w:kern w:val="28"/>
      <w:sz w:val="56"/>
      <w:szCs w:val="56"/>
    </w:rPr>
  </w:style>
  <w:style w:type="character" w:customStyle="1" w:styleId="ad">
    <w:name w:val="Название Знак"/>
    <w:basedOn w:val="a3"/>
    <w:link w:val="ac"/>
    <w:uiPriority w:val="10"/>
    <w:semiHidden/>
    <w:rsid w:val="004230D9"/>
    <w:rPr>
      <w:rFonts w:ascii="Arial" w:eastAsiaTheme="majorEastAsia" w:hAnsi="Arial" w:cs="Arial"/>
      <w:spacing w:val="-10"/>
      <w:kern w:val="28"/>
      <w:sz w:val="56"/>
      <w:szCs w:val="56"/>
    </w:rPr>
  </w:style>
  <w:style w:type="paragraph" w:styleId="ae">
    <w:name w:val="Subtitle"/>
    <w:basedOn w:val="a2"/>
    <w:link w:val="af"/>
    <w:uiPriority w:val="11"/>
    <w:semiHidden/>
    <w:unhideWhenUsed/>
    <w:qFormat/>
    <w:rsid w:val="004230D9"/>
    <w:pPr>
      <w:numPr>
        <w:ilvl w:val="1"/>
      </w:numPr>
      <w:spacing w:after="160"/>
      <w:ind w:left="187"/>
      <w:contextualSpacing/>
    </w:pPr>
    <w:rPr>
      <w:rFonts w:eastAsiaTheme="minorEastAsia"/>
      <w:color w:val="5A5A5A" w:themeColor="text1" w:themeTint="A5"/>
      <w:spacing w:val="15"/>
      <w:sz w:val="22"/>
      <w:szCs w:val="22"/>
    </w:rPr>
  </w:style>
  <w:style w:type="character" w:customStyle="1" w:styleId="af">
    <w:name w:val="Подзаголовок Знак"/>
    <w:basedOn w:val="a3"/>
    <w:link w:val="ae"/>
    <w:uiPriority w:val="11"/>
    <w:semiHidden/>
    <w:rsid w:val="004230D9"/>
    <w:rPr>
      <w:rFonts w:ascii="Times New Roman" w:eastAsiaTheme="minorEastAsia" w:hAnsi="Times New Roman" w:cs="Times New Roman"/>
      <w:color w:val="5A5A5A" w:themeColor="text1" w:themeTint="A5"/>
      <w:spacing w:val="15"/>
      <w:sz w:val="22"/>
      <w:szCs w:val="22"/>
    </w:rPr>
  </w:style>
  <w:style w:type="character" w:styleId="af0">
    <w:name w:val="Subtle Emphasis"/>
    <w:basedOn w:val="a3"/>
    <w:uiPriority w:val="19"/>
    <w:semiHidden/>
    <w:unhideWhenUsed/>
    <w:qFormat/>
    <w:rsid w:val="004230D9"/>
    <w:rPr>
      <w:rFonts w:ascii="Times New Roman" w:hAnsi="Times New Roman" w:cs="Times New Roman"/>
      <w:i/>
      <w:iCs/>
      <w:color w:val="404040" w:themeColor="text1" w:themeTint="BF"/>
    </w:rPr>
  </w:style>
  <w:style w:type="character" w:styleId="af1">
    <w:name w:val="Intense Emphasis"/>
    <w:basedOn w:val="a3"/>
    <w:uiPriority w:val="21"/>
    <w:semiHidden/>
    <w:unhideWhenUsed/>
    <w:qFormat/>
    <w:rsid w:val="004230D9"/>
    <w:rPr>
      <w:rFonts w:ascii="Times New Roman" w:hAnsi="Times New Roman" w:cs="Times New Roman"/>
      <w:i/>
      <w:iCs/>
      <w:color w:val="276E8B" w:themeColor="accent1" w:themeShade="BF"/>
    </w:rPr>
  </w:style>
  <w:style w:type="character" w:styleId="af2">
    <w:name w:val="Strong"/>
    <w:basedOn w:val="a3"/>
    <w:uiPriority w:val="22"/>
    <w:unhideWhenUsed/>
    <w:qFormat/>
    <w:rsid w:val="004230D9"/>
    <w:rPr>
      <w:rFonts w:ascii="Times New Roman" w:hAnsi="Times New Roman" w:cs="Times New Roman"/>
      <w:b/>
      <w:bCs/>
    </w:rPr>
  </w:style>
  <w:style w:type="paragraph" w:styleId="23">
    <w:name w:val="Quote"/>
    <w:basedOn w:val="a2"/>
    <w:link w:val="24"/>
    <w:uiPriority w:val="29"/>
    <w:semiHidden/>
    <w:unhideWhenUsed/>
    <w:qFormat/>
    <w:rsid w:val="004230D9"/>
    <w:pPr>
      <w:spacing w:before="200" w:after="160"/>
      <w:jc w:val="center"/>
    </w:pPr>
    <w:rPr>
      <w:i/>
      <w:iCs/>
      <w:color w:val="404040" w:themeColor="text1" w:themeTint="BF"/>
    </w:rPr>
  </w:style>
  <w:style w:type="character" w:customStyle="1" w:styleId="24">
    <w:name w:val="Цитата 2 Знак"/>
    <w:basedOn w:val="a3"/>
    <w:link w:val="23"/>
    <w:uiPriority w:val="29"/>
    <w:semiHidden/>
    <w:rsid w:val="004230D9"/>
    <w:rPr>
      <w:rFonts w:ascii="Times New Roman" w:hAnsi="Times New Roman" w:cs="Times New Roman"/>
      <w:i/>
      <w:iCs/>
      <w:color w:val="404040" w:themeColor="text1" w:themeTint="BF"/>
    </w:rPr>
  </w:style>
  <w:style w:type="paragraph" w:styleId="af3">
    <w:name w:val="Intense Quote"/>
    <w:basedOn w:val="a2"/>
    <w:next w:val="a2"/>
    <w:link w:val="af4"/>
    <w:uiPriority w:val="30"/>
    <w:semiHidden/>
    <w:unhideWhenUsed/>
    <w:qFormat/>
    <w:rsid w:val="004230D9"/>
    <w:pPr>
      <w:pBdr>
        <w:top w:val="single" w:sz="4" w:space="10" w:color="3494BA" w:themeColor="accent1"/>
        <w:bottom w:val="single" w:sz="4" w:space="10" w:color="3494BA" w:themeColor="accent1"/>
      </w:pBdr>
      <w:spacing w:before="360" w:after="360"/>
      <w:jc w:val="center"/>
    </w:pPr>
    <w:rPr>
      <w:i/>
      <w:iCs/>
      <w:color w:val="276E8B" w:themeColor="accent1" w:themeShade="BF"/>
    </w:rPr>
  </w:style>
  <w:style w:type="character" w:customStyle="1" w:styleId="af4">
    <w:name w:val="Выделенная цитата Знак"/>
    <w:basedOn w:val="a3"/>
    <w:link w:val="af3"/>
    <w:uiPriority w:val="30"/>
    <w:semiHidden/>
    <w:rsid w:val="004230D9"/>
    <w:rPr>
      <w:rFonts w:ascii="Times New Roman" w:hAnsi="Times New Roman" w:cs="Times New Roman"/>
      <w:i/>
      <w:iCs/>
      <w:color w:val="276E8B" w:themeColor="accent1" w:themeShade="BF"/>
    </w:rPr>
  </w:style>
  <w:style w:type="character" w:styleId="af5">
    <w:name w:val="Subtle Reference"/>
    <w:basedOn w:val="a3"/>
    <w:uiPriority w:val="31"/>
    <w:semiHidden/>
    <w:unhideWhenUsed/>
    <w:qFormat/>
    <w:rsid w:val="004230D9"/>
    <w:rPr>
      <w:rFonts w:ascii="Times New Roman" w:hAnsi="Times New Roman" w:cs="Times New Roman"/>
      <w:caps w:val="0"/>
      <w:smallCaps/>
      <w:color w:val="5A5A5A" w:themeColor="text1" w:themeTint="A5"/>
    </w:rPr>
  </w:style>
  <w:style w:type="character" w:styleId="af6">
    <w:name w:val="Intense Reference"/>
    <w:basedOn w:val="a3"/>
    <w:uiPriority w:val="32"/>
    <w:semiHidden/>
    <w:unhideWhenUsed/>
    <w:qFormat/>
    <w:rsid w:val="004230D9"/>
    <w:rPr>
      <w:rFonts w:ascii="Times New Roman" w:hAnsi="Times New Roman" w:cs="Times New Roman"/>
      <w:b/>
      <w:bCs/>
      <w:caps w:val="0"/>
      <w:smallCaps/>
      <w:color w:val="276E8B" w:themeColor="accent1" w:themeShade="BF"/>
      <w:spacing w:val="0"/>
    </w:rPr>
  </w:style>
  <w:style w:type="character" w:styleId="af7">
    <w:name w:val="Book Title"/>
    <w:basedOn w:val="a3"/>
    <w:uiPriority w:val="33"/>
    <w:semiHidden/>
    <w:unhideWhenUsed/>
    <w:qFormat/>
    <w:rsid w:val="004230D9"/>
    <w:rPr>
      <w:rFonts w:ascii="Times New Roman" w:hAnsi="Times New Roman" w:cs="Times New Roman"/>
      <w:b/>
      <w:bCs/>
      <w:i/>
      <w:iCs/>
      <w:spacing w:val="0"/>
    </w:rPr>
  </w:style>
  <w:style w:type="paragraph" w:styleId="af8">
    <w:name w:val="List Paragraph"/>
    <w:basedOn w:val="a2"/>
    <w:uiPriority w:val="34"/>
    <w:unhideWhenUsed/>
    <w:qFormat/>
    <w:rsid w:val="004230D9"/>
    <w:pPr>
      <w:ind w:left="720"/>
      <w:contextualSpacing/>
    </w:pPr>
  </w:style>
  <w:style w:type="paragraph" w:styleId="af9">
    <w:name w:val="caption"/>
    <w:basedOn w:val="a2"/>
    <w:next w:val="a2"/>
    <w:uiPriority w:val="35"/>
    <w:semiHidden/>
    <w:unhideWhenUsed/>
    <w:qFormat/>
    <w:rsid w:val="004230D9"/>
    <w:rPr>
      <w:i/>
      <w:iCs/>
      <w:color w:val="373545" w:themeColor="text2"/>
      <w:sz w:val="22"/>
      <w:szCs w:val="18"/>
    </w:rPr>
  </w:style>
  <w:style w:type="paragraph" w:styleId="afa">
    <w:name w:val="Bibliography"/>
    <w:basedOn w:val="a2"/>
    <w:next w:val="a2"/>
    <w:uiPriority w:val="37"/>
    <w:semiHidden/>
    <w:unhideWhenUsed/>
    <w:rsid w:val="004230D9"/>
  </w:style>
  <w:style w:type="paragraph" w:styleId="11">
    <w:name w:val="toc 1"/>
    <w:basedOn w:val="a2"/>
    <w:next w:val="a2"/>
    <w:autoRedefine/>
    <w:uiPriority w:val="39"/>
    <w:unhideWhenUsed/>
    <w:rsid w:val="004230D9"/>
    <w:pPr>
      <w:spacing w:after="100"/>
    </w:pPr>
  </w:style>
  <w:style w:type="paragraph" w:styleId="91">
    <w:name w:val="toc 9"/>
    <w:basedOn w:val="a2"/>
    <w:next w:val="a2"/>
    <w:autoRedefine/>
    <w:uiPriority w:val="39"/>
    <w:unhideWhenUsed/>
    <w:rsid w:val="004230D9"/>
    <w:pPr>
      <w:spacing w:after="100"/>
      <w:ind w:left="1920"/>
    </w:pPr>
  </w:style>
  <w:style w:type="paragraph" w:styleId="afb">
    <w:name w:val="TOC Heading"/>
    <w:basedOn w:val="1"/>
    <w:next w:val="1"/>
    <w:link w:val="afc"/>
    <w:uiPriority w:val="39"/>
    <w:unhideWhenUsed/>
    <w:qFormat/>
    <w:rsid w:val="004230D9"/>
    <w:pPr>
      <w:framePr w:wrap="around" w:vAnchor="text" w:hAnchor="text" w:y="1"/>
    </w:pPr>
    <w:rPr>
      <w:rFonts w:eastAsiaTheme="majorEastAsia"/>
      <w:bCs w:val="0"/>
    </w:rPr>
  </w:style>
  <w:style w:type="paragraph" w:styleId="afd">
    <w:name w:val="Block Text"/>
    <w:basedOn w:val="a2"/>
    <w:uiPriority w:val="99"/>
    <w:semiHidden/>
    <w:unhideWhenUsed/>
    <w:rsid w:val="004230D9"/>
    <w:pPr>
      <w:pBdr>
        <w:top w:val="single" w:sz="2" w:space="10" w:color="276E8B" w:themeColor="accent1" w:themeShade="BF"/>
        <w:left w:val="single" w:sz="2" w:space="10" w:color="276E8B" w:themeColor="accent1" w:themeShade="BF"/>
        <w:bottom w:val="single" w:sz="2" w:space="10" w:color="276E8B" w:themeColor="accent1" w:themeShade="BF"/>
        <w:right w:val="single" w:sz="2" w:space="10" w:color="276E8B" w:themeColor="accent1" w:themeShade="BF"/>
      </w:pBdr>
      <w:ind w:left="1152" w:right="1152"/>
    </w:pPr>
    <w:rPr>
      <w:rFonts w:eastAsiaTheme="minorEastAsia"/>
      <w:i/>
      <w:iCs/>
      <w:color w:val="276E8B" w:themeColor="accent1" w:themeShade="BF"/>
    </w:rPr>
  </w:style>
  <w:style w:type="paragraph" w:styleId="afe">
    <w:name w:val="Body Text"/>
    <w:basedOn w:val="a2"/>
    <w:link w:val="aff"/>
    <w:uiPriority w:val="99"/>
    <w:semiHidden/>
    <w:unhideWhenUsed/>
    <w:rsid w:val="004230D9"/>
    <w:pPr>
      <w:spacing w:after="120"/>
    </w:pPr>
  </w:style>
  <w:style w:type="character" w:customStyle="1" w:styleId="aff">
    <w:name w:val="Основной текст Знак"/>
    <w:basedOn w:val="a3"/>
    <w:link w:val="afe"/>
    <w:uiPriority w:val="99"/>
    <w:semiHidden/>
    <w:rsid w:val="004230D9"/>
    <w:rPr>
      <w:rFonts w:ascii="Times New Roman" w:hAnsi="Times New Roman" w:cs="Times New Roman"/>
    </w:rPr>
  </w:style>
  <w:style w:type="paragraph" w:styleId="25">
    <w:name w:val="Body Text 2"/>
    <w:basedOn w:val="a2"/>
    <w:link w:val="26"/>
    <w:uiPriority w:val="99"/>
    <w:semiHidden/>
    <w:unhideWhenUsed/>
    <w:rsid w:val="004230D9"/>
    <w:pPr>
      <w:spacing w:after="120" w:line="480" w:lineRule="auto"/>
    </w:pPr>
  </w:style>
  <w:style w:type="character" w:customStyle="1" w:styleId="26">
    <w:name w:val="Основной текст 2 Знак"/>
    <w:basedOn w:val="a3"/>
    <w:link w:val="25"/>
    <w:uiPriority w:val="99"/>
    <w:semiHidden/>
    <w:rsid w:val="004230D9"/>
    <w:rPr>
      <w:rFonts w:ascii="Times New Roman" w:hAnsi="Times New Roman" w:cs="Times New Roman"/>
    </w:rPr>
  </w:style>
  <w:style w:type="paragraph" w:styleId="32">
    <w:name w:val="Body Text 3"/>
    <w:basedOn w:val="a2"/>
    <w:link w:val="33"/>
    <w:uiPriority w:val="99"/>
    <w:semiHidden/>
    <w:unhideWhenUsed/>
    <w:rsid w:val="004230D9"/>
    <w:pPr>
      <w:spacing w:after="120"/>
    </w:pPr>
    <w:rPr>
      <w:sz w:val="22"/>
      <w:szCs w:val="16"/>
    </w:rPr>
  </w:style>
  <w:style w:type="character" w:customStyle="1" w:styleId="33">
    <w:name w:val="Основной текст 3 Знак"/>
    <w:basedOn w:val="a3"/>
    <w:link w:val="32"/>
    <w:uiPriority w:val="99"/>
    <w:semiHidden/>
    <w:rsid w:val="004230D9"/>
    <w:rPr>
      <w:rFonts w:ascii="Times New Roman" w:hAnsi="Times New Roman" w:cs="Times New Roman"/>
      <w:sz w:val="22"/>
      <w:szCs w:val="16"/>
    </w:rPr>
  </w:style>
  <w:style w:type="paragraph" w:styleId="34">
    <w:name w:val="Body Text Indent 3"/>
    <w:basedOn w:val="a2"/>
    <w:link w:val="35"/>
    <w:uiPriority w:val="99"/>
    <w:semiHidden/>
    <w:unhideWhenUsed/>
    <w:rsid w:val="004230D9"/>
    <w:pPr>
      <w:spacing w:after="120"/>
      <w:ind w:left="283"/>
    </w:pPr>
    <w:rPr>
      <w:sz w:val="22"/>
      <w:szCs w:val="16"/>
    </w:rPr>
  </w:style>
  <w:style w:type="character" w:customStyle="1" w:styleId="35">
    <w:name w:val="Основной текст с отступом 3 Знак"/>
    <w:basedOn w:val="a3"/>
    <w:link w:val="34"/>
    <w:uiPriority w:val="99"/>
    <w:semiHidden/>
    <w:rsid w:val="004230D9"/>
    <w:rPr>
      <w:rFonts w:ascii="Times New Roman" w:hAnsi="Times New Roman" w:cs="Times New Roman"/>
      <w:sz w:val="22"/>
      <w:szCs w:val="16"/>
    </w:rPr>
  </w:style>
  <w:style w:type="character" w:styleId="aff0">
    <w:name w:val="annotation reference"/>
    <w:basedOn w:val="a3"/>
    <w:uiPriority w:val="99"/>
    <w:semiHidden/>
    <w:unhideWhenUsed/>
    <w:rsid w:val="004230D9"/>
    <w:rPr>
      <w:rFonts w:ascii="Times New Roman" w:hAnsi="Times New Roman" w:cs="Times New Roman"/>
      <w:szCs w:val="16"/>
    </w:rPr>
  </w:style>
  <w:style w:type="paragraph" w:styleId="aff1">
    <w:name w:val="annotation text"/>
    <w:basedOn w:val="a2"/>
    <w:link w:val="aff2"/>
    <w:uiPriority w:val="99"/>
    <w:semiHidden/>
    <w:unhideWhenUsed/>
    <w:rsid w:val="004230D9"/>
    <w:rPr>
      <w:sz w:val="22"/>
    </w:rPr>
  </w:style>
  <w:style w:type="character" w:customStyle="1" w:styleId="aff2">
    <w:name w:val="Текст примечания Знак"/>
    <w:basedOn w:val="a3"/>
    <w:link w:val="aff1"/>
    <w:uiPriority w:val="99"/>
    <w:semiHidden/>
    <w:rsid w:val="004230D9"/>
    <w:rPr>
      <w:rFonts w:ascii="Times New Roman" w:hAnsi="Times New Roman" w:cs="Times New Roman"/>
      <w:sz w:val="22"/>
      <w:szCs w:val="20"/>
    </w:rPr>
  </w:style>
  <w:style w:type="paragraph" w:styleId="aff3">
    <w:name w:val="annotation subject"/>
    <w:basedOn w:val="aff1"/>
    <w:next w:val="aff1"/>
    <w:link w:val="aff4"/>
    <w:uiPriority w:val="99"/>
    <w:semiHidden/>
    <w:unhideWhenUsed/>
    <w:rsid w:val="004230D9"/>
    <w:rPr>
      <w:b/>
      <w:bCs/>
    </w:rPr>
  </w:style>
  <w:style w:type="character" w:customStyle="1" w:styleId="aff4">
    <w:name w:val="Тема примечания Знак"/>
    <w:basedOn w:val="aff2"/>
    <w:link w:val="aff3"/>
    <w:uiPriority w:val="99"/>
    <w:semiHidden/>
    <w:rsid w:val="004230D9"/>
    <w:rPr>
      <w:rFonts w:ascii="Times New Roman" w:hAnsi="Times New Roman" w:cs="Times New Roman"/>
      <w:b/>
      <w:bCs/>
      <w:sz w:val="22"/>
      <w:szCs w:val="20"/>
    </w:rPr>
  </w:style>
  <w:style w:type="paragraph" w:styleId="aff5">
    <w:name w:val="Document Map"/>
    <w:basedOn w:val="a2"/>
    <w:link w:val="aff6"/>
    <w:uiPriority w:val="99"/>
    <w:semiHidden/>
    <w:unhideWhenUsed/>
    <w:rsid w:val="004230D9"/>
    <w:rPr>
      <w:rFonts w:ascii="Segoe UI" w:hAnsi="Segoe UI" w:cs="Segoe UI"/>
      <w:sz w:val="22"/>
      <w:szCs w:val="16"/>
    </w:rPr>
  </w:style>
  <w:style w:type="character" w:customStyle="1" w:styleId="aff6">
    <w:name w:val="Схема документа Знак"/>
    <w:basedOn w:val="a3"/>
    <w:link w:val="aff5"/>
    <w:uiPriority w:val="99"/>
    <w:semiHidden/>
    <w:rsid w:val="004230D9"/>
    <w:rPr>
      <w:rFonts w:ascii="Segoe UI" w:hAnsi="Segoe UI" w:cs="Segoe UI"/>
      <w:sz w:val="22"/>
      <w:szCs w:val="16"/>
    </w:rPr>
  </w:style>
  <w:style w:type="character" w:styleId="aff7">
    <w:name w:val="endnote reference"/>
    <w:basedOn w:val="a3"/>
    <w:uiPriority w:val="99"/>
    <w:semiHidden/>
    <w:unhideWhenUsed/>
    <w:rsid w:val="004230D9"/>
    <w:rPr>
      <w:rFonts w:ascii="Times New Roman" w:hAnsi="Times New Roman" w:cs="Times New Roman"/>
      <w:vertAlign w:val="superscript"/>
    </w:rPr>
  </w:style>
  <w:style w:type="paragraph" w:styleId="aff8">
    <w:name w:val="endnote text"/>
    <w:basedOn w:val="a2"/>
    <w:link w:val="aff9"/>
    <w:uiPriority w:val="99"/>
    <w:semiHidden/>
    <w:unhideWhenUsed/>
    <w:rsid w:val="004230D9"/>
    <w:rPr>
      <w:sz w:val="22"/>
    </w:rPr>
  </w:style>
  <w:style w:type="character" w:customStyle="1" w:styleId="aff9">
    <w:name w:val="Текст концевой сноски Знак"/>
    <w:basedOn w:val="a3"/>
    <w:link w:val="aff8"/>
    <w:uiPriority w:val="99"/>
    <w:semiHidden/>
    <w:rsid w:val="004230D9"/>
    <w:rPr>
      <w:rFonts w:ascii="Times New Roman" w:hAnsi="Times New Roman" w:cs="Times New Roman"/>
      <w:sz w:val="22"/>
      <w:szCs w:val="20"/>
    </w:rPr>
  </w:style>
  <w:style w:type="paragraph" w:styleId="27">
    <w:name w:val="envelope return"/>
    <w:basedOn w:val="a2"/>
    <w:uiPriority w:val="99"/>
    <w:semiHidden/>
    <w:unhideWhenUsed/>
    <w:rsid w:val="004230D9"/>
    <w:rPr>
      <w:rFonts w:ascii="Arial" w:eastAsiaTheme="majorEastAsia" w:hAnsi="Arial" w:cs="Arial"/>
      <w:sz w:val="22"/>
    </w:rPr>
  </w:style>
  <w:style w:type="paragraph" w:styleId="affa">
    <w:name w:val="envelope address"/>
    <w:basedOn w:val="a2"/>
    <w:uiPriority w:val="99"/>
    <w:semiHidden/>
    <w:unhideWhenUsed/>
    <w:rsid w:val="004230D9"/>
    <w:pPr>
      <w:framePr w:w="7920" w:h="1980" w:hRule="exact" w:hSpace="180" w:wrap="auto" w:hAnchor="page" w:xAlign="center" w:yAlign="bottom"/>
      <w:ind w:left="2880"/>
    </w:pPr>
    <w:rPr>
      <w:rFonts w:ascii="Arial" w:eastAsiaTheme="majorEastAsia" w:hAnsi="Arial" w:cs="Arial"/>
    </w:rPr>
  </w:style>
  <w:style w:type="character" w:styleId="affb">
    <w:name w:val="FollowedHyperlink"/>
    <w:basedOn w:val="a3"/>
    <w:uiPriority w:val="99"/>
    <w:semiHidden/>
    <w:unhideWhenUsed/>
    <w:rsid w:val="004230D9"/>
    <w:rPr>
      <w:rFonts w:ascii="Times New Roman" w:hAnsi="Times New Roman" w:cs="Times New Roman"/>
      <w:color w:val="9F6715" w:themeColor="followedHyperlink"/>
      <w:u w:val="single"/>
    </w:rPr>
  </w:style>
  <w:style w:type="paragraph" w:styleId="affc">
    <w:name w:val="footer"/>
    <w:basedOn w:val="a2"/>
    <w:link w:val="affd"/>
    <w:uiPriority w:val="99"/>
    <w:rsid w:val="004230D9"/>
  </w:style>
  <w:style w:type="character" w:customStyle="1" w:styleId="affd">
    <w:name w:val="Нижний колонтитул Знак"/>
    <w:basedOn w:val="a3"/>
    <w:link w:val="affc"/>
    <w:uiPriority w:val="99"/>
    <w:rsid w:val="004701E1"/>
  </w:style>
  <w:style w:type="character" w:styleId="affe">
    <w:name w:val="footnote reference"/>
    <w:basedOn w:val="a3"/>
    <w:uiPriority w:val="99"/>
    <w:semiHidden/>
    <w:unhideWhenUsed/>
    <w:rsid w:val="004230D9"/>
    <w:rPr>
      <w:rFonts w:ascii="Times New Roman" w:hAnsi="Times New Roman" w:cs="Times New Roman"/>
      <w:vertAlign w:val="superscript"/>
    </w:rPr>
  </w:style>
  <w:style w:type="paragraph" w:styleId="afff">
    <w:name w:val="footnote text"/>
    <w:basedOn w:val="a2"/>
    <w:link w:val="afff0"/>
    <w:uiPriority w:val="99"/>
    <w:semiHidden/>
    <w:unhideWhenUsed/>
    <w:rsid w:val="004230D9"/>
    <w:rPr>
      <w:sz w:val="22"/>
    </w:rPr>
  </w:style>
  <w:style w:type="character" w:customStyle="1" w:styleId="afff0">
    <w:name w:val="Текст сноски Знак"/>
    <w:basedOn w:val="a3"/>
    <w:link w:val="afff"/>
    <w:uiPriority w:val="99"/>
    <w:semiHidden/>
    <w:rsid w:val="004230D9"/>
    <w:rPr>
      <w:rFonts w:ascii="Times New Roman" w:hAnsi="Times New Roman" w:cs="Times New Roman"/>
      <w:sz w:val="22"/>
      <w:szCs w:val="20"/>
    </w:rPr>
  </w:style>
  <w:style w:type="character" w:customStyle="1" w:styleId="Hashtag">
    <w:name w:val="Hashtag"/>
    <w:basedOn w:val="a3"/>
    <w:uiPriority w:val="99"/>
    <w:semiHidden/>
    <w:unhideWhenUsed/>
    <w:rsid w:val="004230D9"/>
    <w:rPr>
      <w:rFonts w:ascii="Times New Roman" w:hAnsi="Times New Roman" w:cs="Times New Roman"/>
      <w:color w:val="2B579A"/>
      <w:shd w:val="clear" w:color="auto" w:fill="E6E6E6"/>
    </w:rPr>
  </w:style>
  <w:style w:type="paragraph" w:styleId="afff1">
    <w:name w:val="header"/>
    <w:basedOn w:val="a2"/>
    <w:link w:val="afff2"/>
    <w:uiPriority w:val="99"/>
    <w:unhideWhenUsed/>
    <w:rsid w:val="00222713"/>
    <w:rPr>
      <w:sz w:val="16"/>
    </w:rPr>
  </w:style>
  <w:style w:type="character" w:customStyle="1" w:styleId="afff2">
    <w:name w:val="Верхний колонтитул Знак"/>
    <w:basedOn w:val="a3"/>
    <w:link w:val="afff1"/>
    <w:uiPriority w:val="99"/>
    <w:rsid w:val="00222713"/>
    <w:rPr>
      <w:sz w:val="16"/>
    </w:rPr>
  </w:style>
  <w:style w:type="character" w:styleId="HTML">
    <w:name w:val="HTML Acronym"/>
    <w:basedOn w:val="a3"/>
    <w:uiPriority w:val="99"/>
    <w:semiHidden/>
    <w:unhideWhenUsed/>
    <w:rsid w:val="004230D9"/>
    <w:rPr>
      <w:rFonts w:ascii="Times New Roman" w:hAnsi="Times New Roman" w:cs="Times New Roman"/>
    </w:rPr>
  </w:style>
  <w:style w:type="paragraph" w:styleId="HTML0">
    <w:name w:val="HTML Address"/>
    <w:basedOn w:val="a2"/>
    <w:link w:val="HTML1"/>
    <w:uiPriority w:val="99"/>
    <w:semiHidden/>
    <w:unhideWhenUsed/>
    <w:rsid w:val="004230D9"/>
    <w:rPr>
      <w:i/>
      <w:iCs/>
    </w:rPr>
  </w:style>
  <w:style w:type="character" w:customStyle="1" w:styleId="HTML1">
    <w:name w:val="Адрес HTML Знак"/>
    <w:basedOn w:val="a3"/>
    <w:link w:val="HTML0"/>
    <w:uiPriority w:val="99"/>
    <w:semiHidden/>
    <w:rsid w:val="004230D9"/>
    <w:rPr>
      <w:rFonts w:ascii="Times New Roman" w:hAnsi="Times New Roman" w:cs="Times New Roman"/>
      <w:i/>
      <w:iCs/>
    </w:rPr>
  </w:style>
  <w:style w:type="character" w:styleId="HTML2">
    <w:name w:val="HTML Cite"/>
    <w:basedOn w:val="a3"/>
    <w:uiPriority w:val="99"/>
    <w:semiHidden/>
    <w:unhideWhenUsed/>
    <w:rsid w:val="004230D9"/>
    <w:rPr>
      <w:rFonts w:ascii="Times New Roman" w:hAnsi="Times New Roman" w:cs="Times New Roman"/>
      <w:i/>
      <w:iCs/>
    </w:rPr>
  </w:style>
  <w:style w:type="character" w:styleId="HTML3">
    <w:name w:val="HTML Code"/>
    <w:basedOn w:val="a3"/>
    <w:uiPriority w:val="99"/>
    <w:semiHidden/>
    <w:unhideWhenUsed/>
    <w:rsid w:val="004230D9"/>
    <w:rPr>
      <w:rFonts w:ascii="Consolas" w:hAnsi="Consolas" w:cs="Times New Roman"/>
      <w:szCs w:val="20"/>
    </w:rPr>
  </w:style>
  <w:style w:type="character" w:styleId="HTML4">
    <w:name w:val="HTML Definition"/>
    <w:basedOn w:val="a3"/>
    <w:uiPriority w:val="99"/>
    <w:semiHidden/>
    <w:unhideWhenUsed/>
    <w:rsid w:val="004230D9"/>
    <w:rPr>
      <w:rFonts w:ascii="Times New Roman" w:hAnsi="Times New Roman" w:cs="Times New Roman"/>
      <w:i/>
      <w:iCs/>
    </w:rPr>
  </w:style>
  <w:style w:type="character" w:styleId="HTML5">
    <w:name w:val="HTML Keyboard"/>
    <w:basedOn w:val="a3"/>
    <w:uiPriority w:val="99"/>
    <w:semiHidden/>
    <w:unhideWhenUsed/>
    <w:rsid w:val="004230D9"/>
    <w:rPr>
      <w:rFonts w:ascii="Consolas" w:hAnsi="Consolas" w:cs="Times New Roman"/>
      <w:szCs w:val="20"/>
    </w:rPr>
  </w:style>
  <w:style w:type="paragraph" w:styleId="HTML6">
    <w:name w:val="HTML Preformatted"/>
    <w:basedOn w:val="a2"/>
    <w:link w:val="HTML7"/>
    <w:uiPriority w:val="99"/>
    <w:semiHidden/>
    <w:unhideWhenUsed/>
    <w:rsid w:val="004230D9"/>
    <w:rPr>
      <w:rFonts w:ascii="Consolas" w:hAnsi="Consolas"/>
      <w:sz w:val="22"/>
    </w:rPr>
  </w:style>
  <w:style w:type="character" w:customStyle="1" w:styleId="HTML7">
    <w:name w:val="Стандартный HTML Знак"/>
    <w:basedOn w:val="a3"/>
    <w:link w:val="HTML6"/>
    <w:uiPriority w:val="99"/>
    <w:semiHidden/>
    <w:rsid w:val="004230D9"/>
    <w:rPr>
      <w:rFonts w:ascii="Consolas" w:hAnsi="Consolas" w:cs="Times New Roman"/>
      <w:sz w:val="22"/>
      <w:szCs w:val="20"/>
    </w:rPr>
  </w:style>
  <w:style w:type="character" w:styleId="HTML8">
    <w:name w:val="HTML Typewriter"/>
    <w:basedOn w:val="a3"/>
    <w:uiPriority w:val="99"/>
    <w:semiHidden/>
    <w:unhideWhenUsed/>
    <w:rsid w:val="004230D9"/>
    <w:rPr>
      <w:rFonts w:ascii="Consolas" w:hAnsi="Consolas" w:cs="Times New Roman"/>
      <w:szCs w:val="20"/>
    </w:rPr>
  </w:style>
  <w:style w:type="character" w:styleId="HTML9">
    <w:name w:val="HTML Variable"/>
    <w:basedOn w:val="a3"/>
    <w:uiPriority w:val="99"/>
    <w:semiHidden/>
    <w:unhideWhenUsed/>
    <w:rsid w:val="004230D9"/>
    <w:rPr>
      <w:rFonts w:ascii="Times New Roman" w:hAnsi="Times New Roman" w:cs="Times New Roman"/>
      <w:i/>
      <w:iCs/>
    </w:rPr>
  </w:style>
  <w:style w:type="character" w:styleId="afff3">
    <w:name w:val="Hyperlink"/>
    <w:basedOn w:val="a3"/>
    <w:uiPriority w:val="99"/>
    <w:unhideWhenUsed/>
    <w:rsid w:val="004230D9"/>
    <w:rPr>
      <w:rFonts w:ascii="Times New Roman" w:hAnsi="Times New Roman" w:cs="Times New Roman"/>
      <w:color w:val="6B9F25" w:themeColor="hyperlink"/>
      <w:u w:val="single"/>
    </w:rPr>
  </w:style>
  <w:style w:type="paragraph" w:styleId="12">
    <w:name w:val="index 1"/>
    <w:basedOn w:val="a2"/>
    <w:next w:val="a2"/>
    <w:autoRedefine/>
    <w:uiPriority w:val="99"/>
    <w:semiHidden/>
    <w:unhideWhenUsed/>
    <w:rsid w:val="004230D9"/>
    <w:pPr>
      <w:ind w:left="240" w:hanging="240"/>
    </w:pPr>
  </w:style>
  <w:style w:type="paragraph" w:styleId="afff4">
    <w:name w:val="index heading"/>
    <w:basedOn w:val="a2"/>
    <w:next w:val="12"/>
    <w:uiPriority w:val="99"/>
    <w:semiHidden/>
    <w:unhideWhenUsed/>
    <w:rsid w:val="004230D9"/>
    <w:rPr>
      <w:rFonts w:ascii="Arial" w:eastAsiaTheme="majorEastAsia" w:hAnsi="Arial" w:cs="Arial"/>
      <w:b/>
      <w:bCs/>
    </w:rPr>
  </w:style>
  <w:style w:type="character" w:styleId="afff5">
    <w:name w:val="line number"/>
    <w:basedOn w:val="a3"/>
    <w:uiPriority w:val="99"/>
    <w:semiHidden/>
    <w:unhideWhenUsed/>
    <w:rsid w:val="004230D9"/>
    <w:rPr>
      <w:rFonts w:ascii="Times New Roman" w:hAnsi="Times New Roman" w:cs="Times New Roman"/>
    </w:rPr>
  </w:style>
  <w:style w:type="paragraph" w:styleId="afff6">
    <w:name w:val="macro"/>
    <w:link w:val="afff7"/>
    <w:uiPriority w:val="99"/>
    <w:semiHidden/>
    <w:unhideWhenUsed/>
    <w:rsid w:val="004230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afff7">
    <w:name w:val="Текст макроса Знак"/>
    <w:basedOn w:val="a3"/>
    <w:link w:val="afff6"/>
    <w:uiPriority w:val="99"/>
    <w:semiHidden/>
    <w:rsid w:val="004230D9"/>
    <w:rPr>
      <w:rFonts w:ascii="Consolas" w:hAnsi="Consolas" w:cs="Times New Roman"/>
      <w:sz w:val="22"/>
      <w:szCs w:val="20"/>
    </w:rPr>
  </w:style>
  <w:style w:type="character" w:customStyle="1" w:styleId="Mention">
    <w:name w:val="Mention"/>
    <w:basedOn w:val="a3"/>
    <w:uiPriority w:val="99"/>
    <w:semiHidden/>
    <w:unhideWhenUsed/>
    <w:rsid w:val="004230D9"/>
    <w:rPr>
      <w:rFonts w:ascii="Times New Roman" w:hAnsi="Times New Roman" w:cs="Times New Roman"/>
      <w:color w:val="2B579A"/>
      <w:shd w:val="clear" w:color="auto" w:fill="E6E6E6"/>
    </w:rPr>
  </w:style>
  <w:style w:type="paragraph" w:styleId="afff8">
    <w:name w:val="Message Header"/>
    <w:basedOn w:val="a2"/>
    <w:link w:val="afff9"/>
    <w:uiPriority w:val="99"/>
    <w:semiHidden/>
    <w:unhideWhenUsed/>
    <w:rsid w:val="004230D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heme="majorEastAsia" w:hAnsi="Arial" w:cs="Arial"/>
    </w:rPr>
  </w:style>
  <w:style w:type="character" w:customStyle="1" w:styleId="afff9">
    <w:name w:val="Шапка Знак"/>
    <w:basedOn w:val="a3"/>
    <w:link w:val="afff8"/>
    <w:uiPriority w:val="99"/>
    <w:semiHidden/>
    <w:rsid w:val="004230D9"/>
    <w:rPr>
      <w:rFonts w:ascii="Arial" w:eastAsiaTheme="majorEastAsia" w:hAnsi="Arial" w:cs="Arial"/>
      <w:shd w:val="pct20" w:color="auto" w:fill="auto"/>
    </w:rPr>
  </w:style>
  <w:style w:type="paragraph" w:styleId="afffa">
    <w:name w:val="Note Heading"/>
    <w:basedOn w:val="a2"/>
    <w:next w:val="a2"/>
    <w:link w:val="afffb"/>
    <w:uiPriority w:val="99"/>
    <w:semiHidden/>
    <w:unhideWhenUsed/>
    <w:rsid w:val="004230D9"/>
  </w:style>
  <w:style w:type="character" w:customStyle="1" w:styleId="afffb">
    <w:name w:val="Заголовок записки Знак"/>
    <w:basedOn w:val="a3"/>
    <w:link w:val="afffa"/>
    <w:uiPriority w:val="99"/>
    <w:semiHidden/>
    <w:rsid w:val="004230D9"/>
    <w:rPr>
      <w:rFonts w:ascii="Times New Roman" w:hAnsi="Times New Roman" w:cs="Times New Roman"/>
    </w:rPr>
  </w:style>
  <w:style w:type="paragraph" w:styleId="afffc">
    <w:name w:val="Plain Text"/>
    <w:basedOn w:val="a2"/>
    <w:link w:val="afffd"/>
    <w:uiPriority w:val="99"/>
    <w:semiHidden/>
    <w:unhideWhenUsed/>
    <w:rsid w:val="004230D9"/>
    <w:rPr>
      <w:rFonts w:ascii="Consolas" w:hAnsi="Consolas"/>
      <w:sz w:val="22"/>
      <w:szCs w:val="21"/>
    </w:rPr>
  </w:style>
  <w:style w:type="character" w:customStyle="1" w:styleId="afffd">
    <w:name w:val="Текст Знак"/>
    <w:basedOn w:val="a3"/>
    <w:link w:val="afffc"/>
    <w:uiPriority w:val="99"/>
    <w:semiHidden/>
    <w:rsid w:val="004230D9"/>
    <w:rPr>
      <w:rFonts w:ascii="Consolas" w:hAnsi="Consolas" w:cs="Times New Roman"/>
      <w:sz w:val="22"/>
      <w:szCs w:val="21"/>
    </w:rPr>
  </w:style>
  <w:style w:type="paragraph" w:styleId="afffe">
    <w:name w:val="Salutation"/>
    <w:basedOn w:val="a2"/>
    <w:next w:val="a2"/>
    <w:link w:val="affff"/>
    <w:uiPriority w:val="99"/>
    <w:semiHidden/>
    <w:unhideWhenUsed/>
    <w:rsid w:val="004230D9"/>
  </w:style>
  <w:style w:type="character" w:customStyle="1" w:styleId="affff">
    <w:name w:val="Приветствие Знак"/>
    <w:basedOn w:val="a3"/>
    <w:link w:val="afffe"/>
    <w:uiPriority w:val="99"/>
    <w:semiHidden/>
    <w:rsid w:val="004230D9"/>
    <w:rPr>
      <w:rFonts w:ascii="Times New Roman" w:hAnsi="Times New Roman" w:cs="Times New Roman"/>
    </w:rPr>
  </w:style>
  <w:style w:type="paragraph" w:styleId="affff0">
    <w:name w:val="Signature"/>
    <w:basedOn w:val="a2"/>
    <w:link w:val="affff1"/>
    <w:uiPriority w:val="99"/>
    <w:semiHidden/>
    <w:unhideWhenUsed/>
    <w:rsid w:val="004230D9"/>
    <w:pPr>
      <w:ind w:left="4252"/>
    </w:pPr>
  </w:style>
  <w:style w:type="character" w:customStyle="1" w:styleId="affff1">
    <w:name w:val="Подпись Знак"/>
    <w:basedOn w:val="a3"/>
    <w:link w:val="affff0"/>
    <w:uiPriority w:val="99"/>
    <w:semiHidden/>
    <w:rsid w:val="004230D9"/>
    <w:rPr>
      <w:rFonts w:ascii="Times New Roman" w:hAnsi="Times New Roman" w:cs="Times New Roman"/>
    </w:rPr>
  </w:style>
  <w:style w:type="character" w:customStyle="1" w:styleId="SmartHyperlink">
    <w:name w:val="Smart Hyperlink"/>
    <w:basedOn w:val="a3"/>
    <w:uiPriority w:val="99"/>
    <w:semiHidden/>
    <w:unhideWhenUsed/>
    <w:rsid w:val="004230D9"/>
    <w:rPr>
      <w:rFonts w:ascii="Times New Roman" w:hAnsi="Times New Roman" w:cs="Times New Roman"/>
      <w:u w:val="dotted"/>
    </w:rPr>
  </w:style>
  <w:style w:type="character" w:customStyle="1" w:styleId="UnresolvedMention">
    <w:name w:val="Unresolved Mention"/>
    <w:basedOn w:val="a3"/>
    <w:uiPriority w:val="99"/>
    <w:semiHidden/>
    <w:unhideWhenUsed/>
    <w:rsid w:val="004230D9"/>
    <w:rPr>
      <w:rFonts w:ascii="Times New Roman" w:hAnsi="Times New Roman" w:cs="Times New Roman"/>
      <w:color w:val="595959" w:themeColor="text1" w:themeTint="A6"/>
      <w:shd w:val="clear" w:color="auto" w:fill="E6E6E6"/>
    </w:rPr>
  </w:style>
  <w:style w:type="paragraph" w:styleId="20">
    <w:name w:val="List Number 2"/>
    <w:basedOn w:val="a2"/>
    <w:uiPriority w:val="12"/>
    <w:unhideWhenUsed/>
    <w:qFormat/>
    <w:rsid w:val="002E4F42"/>
    <w:pPr>
      <w:numPr>
        <w:ilvl w:val="1"/>
        <w:numId w:val="9"/>
      </w:numPr>
    </w:pPr>
  </w:style>
  <w:style w:type="numbering" w:styleId="111111">
    <w:name w:val="Outline List 2"/>
    <w:basedOn w:val="a5"/>
    <w:uiPriority w:val="99"/>
    <w:semiHidden/>
    <w:unhideWhenUsed/>
    <w:rsid w:val="004230D9"/>
    <w:pPr>
      <w:numPr>
        <w:numId w:val="10"/>
      </w:numPr>
    </w:pPr>
  </w:style>
  <w:style w:type="numbering" w:styleId="1ai">
    <w:name w:val="Outline List 1"/>
    <w:basedOn w:val="a5"/>
    <w:uiPriority w:val="99"/>
    <w:semiHidden/>
    <w:unhideWhenUsed/>
    <w:rsid w:val="004230D9"/>
    <w:pPr>
      <w:numPr>
        <w:numId w:val="11"/>
      </w:numPr>
    </w:pPr>
  </w:style>
  <w:style w:type="numbering" w:styleId="a1">
    <w:name w:val="Outline List 3"/>
    <w:basedOn w:val="a5"/>
    <w:uiPriority w:val="99"/>
    <w:semiHidden/>
    <w:unhideWhenUsed/>
    <w:rsid w:val="004230D9"/>
    <w:pPr>
      <w:numPr>
        <w:numId w:val="12"/>
      </w:numPr>
    </w:pPr>
  </w:style>
  <w:style w:type="paragraph" w:styleId="affff2">
    <w:name w:val="Body Text First Indent"/>
    <w:basedOn w:val="afe"/>
    <w:link w:val="affff3"/>
    <w:uiPriority w:val="99"/>
    <w:semiHidden/>
    <w:unhideWhenUsed/>
    <w:rsid w:val="004230D9"/>
    <w:pPr>
      <w:spacing w:after="200"/>
      <w:ind w:firstLine="360"/>
    </w:pPr>
  </w:style>
  <w:style w:type="character" w:customStyle="1" w:styleId="affff3">
    <w:name w:val="Красная строка Знак"/>
    <w:basedOn w:val="aff"/>
    <w:link w:val="affff2"/>
    <w:uiPriority w:val="99"/>
    <w:semiHidden/>
    <w:rsid w:val="004230D9"/>
    <w:rPr>
      <w:rFonts w:ascii="Times New Roman" w:hAnsi="Times New Roman" w:cs="Times New Roman"/>
    </w:rPr>
  </w:style>
  <w:style w:type="paragraph" w:styleId="affff4">
    <w:name w:val="Body Text Indent"/>
    <w:basedOn w:val="a2"/>
    <w:link w:val="affff5"/>
    <w:uiPriority w:val="99"/>
    <w:semiHidden/>
    <w:unhideWhenUsed/>
    <w:rsid w:val="004230D9"/>
    <w:pPr>
      <w:spacing w:after="120"/>
      <w:ind w:left="360"/>
    </w:pPr>
  </w:style>
  <w:style w:type="character" w:customStyle="1" w:styleId="affff5">
    <w:name w:val="Основной текст с отступом Знак"/>
    <w:basedOn w:val="a3"/>
    <w:link w:val="affff4"/>
    <w:uiPriority w:val="99"/>
    <w:semiHidden/>
    <w:rsid w:val="004230D9"/>
    <w:rPr>
      <w:rFonts w:ascii="Times New Roman" w:hAnsi="Times New Roman" w:cs="Times New Roman"/>
    </w:rPr>
  </w:style>
  <w:style w:type="paragraph" w:styleId="28">
    <w:name w:val="Body Text First Indent 2"/>
    <w:basedOn w:val="affff4"/>
    <w:link w:val="29"/>
    <w:uiPriority w:val="99"/>
    <w:semiHidden/>
    <w:unhideWhenUsed/>
    <w:rsid w:val="004230D9"/>
    <w:pPr>
      <w:spacing w:after="200"/>
      <w:ind w:firstLine="360"/>
    </w:pPr>
  </w:style>
  <w:style w:type="character" w:customStyle="1" w:styleId="29">
    <w:name w:val="Красная строка 2 Знак"/>
    <w:basedOn w:val="affff5"/>
    <w:link w:val="28"/>
    <w:uiPriority w:val="99"/>
    <w:semiHidden/>
    <w:rsid w:val="004230D9"/>
    <w:rPr>
      <w:rFonts w:ascii="Times New Roman" w:hAnsi="Times New Roman" w:cs="Times New Roman"/>
    </w:rPr>
  </w:style>
  <w:style w:type="paragraph" w:styleId="2a">
    <w:name w:val="Body Text Indent 2"/>
    <w:basedOn w:val="a2"/>
    <w:link w:val="2b"/>
    <w:uiPriority w:val="99"/>
    <w:semiHidden/>
    <w:unhideWhenUsed/>
    <w:rsid w:val="004230D9"/>
    <w:pPr>
      <w:spacing w:after="120" w:line="480" w:lineRule="auto"/>
      <w:ind w:left="360"/>
    </w:pPr>
  </w:style>
  <w:style w:type="character" w:customStyle="1" w:styleId="2b">
    <w:name w:val="Основной текст с отступом 2 Знак"/>
    <w:basedOn w:val="a3"/>
    <w:link w:val="2a"/>
    <w:uiPriority w:val="99"/>
    <w:semiHidden/>
    <w:rsid w:val="004230D9"/>
    <w:rPr>
      <w:rFonts w:ascii="Times New Roman" w:hAnsi="Times New Roman" w:cs="Times New Roman"/>
    </w:rPr>
  </w:style>
  <w:style w:type="paragraph" w:styleId="affff6">
    <w:name w:val="Closing"/>
    <w:basedOn w:val="a2"/>
    <w:link w:val="affff7"/>
    <w:uiPriority w:val="99"/>
    <w:semiHidden/>
    <w:unhideWhenUsed/>
    <w:rsid w:val="004230D9"/>
    <w:pPr>
      <w:ind w:left="4320"/>
    </w:pPr>
  </w:style>
  <w:style w:type="character" w:customStyle="1" w:styleId="affff7">
    <w:name w:val="Прощание Знак"/>
    <w:basedOn w:val="a3"/>
    <w:link w:val="affff6"/>
    <w:uiPriority w:val="99"/>
    <w:semiHidden/>
    <w:rsid w:val="004230D9"/>
    <w:rPr>
      <w:rFonts w:ascii="Times New Roman" w:hAnsi="Times New Roman" w:cs="Times New Roman"/>
    </w:rPr>
  </w:style>
  <w:style w:type="table" w:styleId="affff8">
    <w:name w:val="Colorful Grid"/>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
    <w:name w:val="Colorful Grid Accent 1"/>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4EAF3" w:themeFill="accent1" w:themeFillTint="33"/>
    </w:tcPr>
    <w:tblStylePr w:type="firstRow">
      <w:rPr>
        <w:b/>
        <w:bCs/>
      </w:rPr>
      <w:tblPr/>
      <w:tcPr>
        <w:shd w:val="clear" w:color="auto" w:fill="A9D5E7" w:themeFill="accent1" w:themeFillTint="66"/>
      </w:tcPr>
    </w:tblStylePr>
    <w:tblStylePr w:type="lastRow">
      <w:rPr>
        <w:b/>
        <w:bCs/>
        <w:color w:val="000000" w:themeColor="text1"/>
      </w:rPr>
      <w:tblPr/>
      <w:tcPr>
        <w:shd w:val="clear" w:color="auto" w:fill="A9D5E7" w:themeFill="accent1" w:themeFillTint="66"/>
      </w:tcPr>
    </w:tblStylePr>
    <w:tblStylePr w:type="firstCol">
      <w:rPr>
        <w:color w:val="FFFFFF" w:themeColor="background1"/>
      </w:rPr>
      <w:tblPr/>
      <w:tcPr>
        <w:shd w:val="clear" w:color="auto" w:fill="276E8B" w:themeFill="accent1" w:themeFillShade="BF"/>
      </w:tcPr>
    </w:tblStylePr>
    <w:tblStylePr w:type="lastCol">
      <w:rPr>
        <w:color w:val="FFFFFF" w:themeColor="background1"/>
      </w:rPr>
      <w:tblPr/>
      <w:tcPr>
        <w:shd w:val="clear" w:color="auto" w:fill="276E8B" w:themeFill="accent1" w:themeFillShade="BF"/>
      </w:tc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2">
    <w:name w:val="Colorful Grid Accent 2"/>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F0F2" w:themeFill="accent2" w:themeFillTint="33"/>
    </w:tcPr>
    <w:tblStylePr w:type="firstRow">
      <w:rPr>
        <w:b/>
        <w:bCs/>
      </w:rPr>
      <w:tblPr/>
      <w:tcPr>
        <w:shd w:val="clear" w:color="auto" w:fill="BCE1E5" w:themeFill="accent2" w:themeFillTint="66"/>
      </w:tcPr>
    </w:tblStylePr>
    <w:tblStylePr w:type="lastRow">
      <w:rPr>
        <w:b/>
        <w:bCs/>
        <w:color w:val="000000" w:themeColor="text1"/>
      </w:rPr>
      <w:tblPr/>
      <w:tcPr>
        <w:shd w:val="clear" w:color="auto" w:fill="BCE1E5" w:themeFill="accent2" w:themeFillTint="66"/>
      </w:tcPr>
    </w:tblStylePr>
    <w:tblStylePr w:type="firstCol">
      <w:rPr>
        <w:color w:val="FFFFFF" w:themeColor="background1"/>
      </w:rPr>
      <w:tblPr/>
      <w:tcPr>
        <w:shd w:val="clear" w:color="auto" w:fill="398E98" w:themeFill="accent2" w:themeFillShade="BF"/>
      </w:tcPr>
    </w:tblStylePr>
    <w:tblStylePr w:type="lastCol">
      <w:rPr>
        <w:color w:val="FFFFFF" w:themeColor="background1"/>
      </w:rPr>
      <w:tblPr/>
      <w:tcPr>
        <w:shd w:val="clear" w:color="auto" w:fill="398E98" w:themeFill="accent2" w:themeFillShade="BF"/>
      </w:tc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3">
    <w:name w:val="Colorful Grid Accent 3"/>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3F1ED" w:themeFill="accent3" w:themeFillTint="33"/>
    </w:tcPr>
    <w:tblStylePr w:type="firstRow">
      <w:rPr>
        <w:b/>
        <w:bCs/>
      </w:rPr>
      <w:tblPr/>
      <w:tcPr>
        <w:shd w:val="clear" w:color="auto" w:fill="C7E4DB" w:themeFill="accent3" w:themeFillTint="66"/>
      </w:tcPr>
    </w:tblStylePr>
    <w:tblStylePr w:type="lastRow">
      <w:rPr>
        <w:b/>
        <w:bCs/>
        <w:color w:val="000000" w:themeColor="text1"/>
      </w:rPr>
      <w:tblPr/>
      <w:tcPr>
        <w:shd w:val="clear" w:color="auto" w:fill="C7E4DB" w:themeFill="accent3" w:themeFillTint="66"/>
      </w:tcPr>
    </w:tblStylePr>
    <w:tblStylePr w:type="firstCol">
      <w:rPr>
        <w:color w:val="FFFFFF" w:themeColor="background1"/>
      </w:rPr>
      <w:tblPr/>
      <w:tcPr>
        <w:shd w:val="clear" w:color="auto" w:fill="4A9A82" w:themeFill="accent3" w:themeFillShade="BF"/>
      </w:tcPr>
    </w:tblStylePr>
    <w:tblStylePr w:type="lastCol">
      <w:rPr>
        <w:color w:val="FFFFFF" w:themeColor="background1"/>
      </w:rPr>
      <w:tblPr/>
      <w:tcPr>
        <w:shd w:val="clear" w:color="auto" w:fill="4A9A82" w:themeFill="accent3" w:themeFillShade="BF"/>
      </w:tc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4">
    <w:name w:val="Colorful Grid Accent 4"/>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4E7E8" w:themeFill="accent4" w:themeFillTint="33"/>
    </w:tcPr>
    <w:tblStylePr w:type="firstRow">
      <w:rPr>
        <w:b/>
        <w:bCs/>
      </w:rPr>
      <w:tblPr/>
      <w:tcPr>
        <w:shd w:val="clear" w:color="auto" w:fill="C9D0D1" w:themeFill="accent4" w:themeFillTint="66"/>
      </w:tcPr>
    </w:tblStylePr>
    <w:tblStylePr w:type="lastRow">
      <w:rPr>
        <w:b/>
        <w:bCs/>
        <w:color w:val="000000" w:themeColor="text1"/>
      </w:rPr>
      <w:tblPr/>
      <w:tcPr>
        <w:shd w:val="clear" w:color="auto" w:fill="C9D0D1" w:themeFill="accent4" w:themeFillTint="66"/>
      </w:tcPr>
    </w:tblStylePr>
    <w:tblStylePr w:type="firstCol">
      <w:rPr>
        <w:color w:val="FFFFFF" w:themeColor="background1"/>
      </w:rPr>
      <w:tblPr/>
      <w:tcPr>
        <w:shd w:val="clear" w:color="auto" w:fill="5A696A" w:themeFill="accent4" w:themeFillShade="BF"/>
      </w:tcPr>
    </w:tblStylePr>
    <w:tblStylePr w:type="lastCol">
      <w:rPr>
        <w:color w:val="FFFFFF" w:themeColor="background1"/>
      </w:rPr>
      <w:tblPr/>
      <w:tcPr>
        <w:shd w:val="clear" w:color="auto" w:fill="5A696A" w:themeFill="accent4" w:themeFillShade="BF"/>
      </w:tc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5">
    <w:name w:val="Colorful Grid Accent 5"/>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6EEF0" w:themeFill="accent5" w:themeFillTint="33"/>
    </w:tcPr>
    <w:tblStylePr w:type="firstRow">
      <w:rPr>
        <w:b/>
        <w:bCs/>
      </w:rPr>
      <w:tblPr/>
      <w:tcPr>
        <w:shd w:val="clear" w:color="auto" w:fill="CDDDE1" w:themeFill="accent5" w:themeFillTint="66"/>
      </w:tcPr>
    </w:tblStylePr>
    <w:tblStylePr w:type="lastRow">
      <w:rPr>
        <w:b/>
        <w:bCs/>
        <w:color w:val="000000" w:themeColor="text1"/>
      </w:rPr>
      <w:tblPr/>
      <w:tcPr>
        <w:shd w:val="clear" w:color="auto" w:fill="CDDDE1" w:themeFill="accent5" w:themeFillTint="66"/>
      </w:tcPr>
    </w:tblStylePr>
    <w:tblStylePr w:type="firstCol">
      <w:rPr>
        <w:color w:val="FFFFFF" w:themeColor="background1"/>
      </w:rPr>
      <w:tblPr/>
      <w:tcPr>
        <w:shd w:val="clear" w:color="auto" w:fill="578793" w:themeFill="accent5" w:themeFillShade="BF"/>
      </w:tcPr>
    </w:tblStylePr>
    <w:tblStylePr w:type="lastCol">
      <w:rPr>
        <w:color w:val="FFFFFF" w:themeColor="background1"/>
      </w:rPr>
      <w:tblPr/>
      <w:tcPr>
        <w:shd w:val="clear" w:color="auto" w:fill="578793" w:themeFill="accent5" w:themeFillShade="BF"/>
      </w:tc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6">
    <w:name w:val="Colorful Grid Accent 6"/>
    <w:basedOn w:val="a4"/>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0E6F6" w:themeFill="accent6" w:themeFillTint="33"/>
    </w:tcPr>
    <w:tblStylePr w:type="firstRow">
      <w:rPr>
        <w:b/>
        <w:bCs/>
      </w:rPr>
      <w:tblPr/>
      <w:tcPr>
        <w:shd w:val="clear" w:color="auto" w:fill="A3CEED" w:themeFill="accent6" w:themeFillTint="66"/>
      </w:tcPr>
    </w:tblStylePr>
    <w:tblStylePr w:type="lastRow">
      <w:rPr>
        <w:b/>
        <w:bCs/>
        <w:color w:val="000000" w:themeColor="text1"/>
      </w:rPr>
      <w:tblPr/>
      <w:tcPr>
        <w:shd w:val="clear" w:color="auto" w:fill="A3CEED" w:themeFill="accent6" w:themeFillTint="66"/>
      </w:tcPr>
    </w:tblStylePr>
    <w:tblStylePr w:type="firstCol">
      <w:rPr>
        <w:color w:val="FFFFFF" w:themeColor="background1"/>
      </w:rPr>
      <w:tblPr/>
      <w:tcPr>
        <w:shd w:val="clear" w:color="auto" w:fill="1C6194" w:themeFill="accent6" w:themeFillShade="BF"/>
      </w:tcPr>
    </w:tblStylePr>
    <w:tblStylePr w:type="lastCol">
      <w:rPr>
        <w:color w:val="FFFFFF" w:themeColor="background1"/>
      </w:rPr>
      <w:tblPr/>
      <w:tcPr>
        <w:shd w:val="clear" w:color="auto" w:fill="1C6194" w:themeFill="accent6" w:themeFillShade="BF"/>
      </w:tc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affff9">
    <w:name w:val="Colorful List"/>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0">
    <w:name w:val="Colorful List Accent 1"/>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AF4F9" w:themeFill="accent1"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AE5F0" w:themeFill="accent1" w:themeFillTint="3F"/>
      </w:tcPr>
    </w:tblStylePr>
    <w:tblStylePr w:type="band1Horz">
      <w:tblPr/>
      <w:tcPr>
        <w:shd w:val="clear" w:color="auto" w:fill="D4EAF3" w:themeFill="accent1" w:themeFillTint="33"/>
      </w:tcPr>
    </w:tblStylePr>
  </w:style>
  <w:style w:type="table" w:styleId="-20">
    <w:name w:val="Colorful List Accent 2"/>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EF7F8" w:themeFill="accent2" w:themeFillTint="19"/>
    </w:tcPr>
    <w:tblStylePr w:type="firstRow">
      <w:rPr>
        <w:b/>
        <w:bCs/>
        <w:color w:val="FFFFFF" w:themeColor="background1"/>
      </w:rPr>
      <w:tblPr/>
      <w:tcPr>
        <w:tcBorders>
          <w:bottom w:val="single" w:sz="12" w:space="0" w:color="FFFFFF" w:themeColor="background1"/>
        </w:tcBorders>
        <w:shd w:val="clear" w:color="auto" w:fill="3D98A2" w:themeFill="accent2" w:themeFillShade="CC"/>
      </w:tcPr>
    </w:tblStylePr>
    <w:tblStylePr w:type="lastRow">
      <w:rPr>
        <w:b/>
        <w:bCs/>
        <w:color w:val="3D98A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CEF" w:themeFill="accent2" w:themeFillTint="3F"/>
      </w:tcPr>
    </w:tblStylePr>
    <w:tblStylePr w:type="band1Horz">
      <w:tblPr/>
      <w:tcPr>
        <w:shd w:val="clear" w:color="auto" w:fill="DDF0F2" w:themeFill="accent2" w:themeFillTint="33"/>
      </w:tcPr>
    </w:tblStylePr>
  </w:style>
  <w:style w:type="table" w:styleId="-30">
    <w:name w:val="Colorful List Accent 3"/>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8F6" w:themeFill="accent3" w:themeFillTint="19"/>
    </w:tcPr>
    <w:tblStylePr w:type="firstRow">
      <w:rPr>
        <w:b/>
        <w:bCs/>
        <w:color w:val="FFFFFF" w:themeColor="background1"/>
      </w:rPr>
      <w:tblPr/>
      <w:tcPr>
        <w:tcBorders>
          <w:bottom w:val="single" w:sz="12" w:space="0" w:color="FFFFFF" w:themeColor="background1"/>
        </w:tcBorders>
        <w:shd w:val="clear" w:color="auto" w:fill="617072" w:themeFill="accent4" w:themeFillShade="CC"/>
      </w:tcPr>
    </w:tblStylePr>
    <w:tblStylePr w:type="lastRow">
      <w:rPr>
        <w:b/>
        <w:bCs/>
        <w:color w:val="61707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CEEE9" w:themeFill="accent3" w:themeFillTint="3F"/>
      </w:tcPr>
    </w:tblStylePr>
    <w:tblStylePr w:type="band1Horz">
      <w:tblPr/>
      <w:tcPr>
        <w:shd w:val="clear" w:color="auto" w:fill="E3F1ED" w:themeFill="accent3" w:themeFillTint="33"/>
      </w:tcPr>
    </w:tblStylePr>
  </w:style>
  <w:style w:type="table" w:styleId="-40">
    <w:name w:val="Colorful List Accent 4"/>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1F3F3" w:themeFill="accent4" w:themeFillTint="19"/>
    </w:tcPr>
    <w:tblStylePr w:type="firstRow">
      <w:rPr>
        <w:b/>
        <w:bCs/>
        <w:color w:val="FFFFFF" w:themeColor="background1"/>
      </w:rPr>
      <w:tblPr/>
      <w:tcPr>
        <w:tcBorders>
          <w:bottom w:val="single" w:sz="12" w:space="0" w:color="FFFFFF" w:themeColor="background1"/>
        </w:tcBorders>
        <w:shd w:val="clear" w:color="auto" w:fill="4FA58B" w:themeFill="accent3" w:themeFillShade="CC"/>
      </w:tcPr>
    </w:tblStylePr>
    <w:tblStylePr w:type="lastRow">
      <w:rPr>
        <w:b/>
        <w:bCs/>
        <w:color w:val="4FA58B"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EE2E3" w:themeFill="accent4" w:themeFillTint="3F"/>
      </w:tcPr>
    </w:tblStylePr>
    <w:tblStylePr w:type="band1Horz">
      <w:tblPr/>
      <w:tcPr>
        <w:shd w:val="clear" w:color="auto" w:fill="E4E7E8" w:themeFill="accent4" w:themeFillTint="33"/>
      </w:tcPr>
    </w:tblStylePr>
  </w:style>
  <w:style w:type="table" w:styleId="-50">
    <w:name w:val="Colorful List Accent 5"/>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F2F6F7" w:themeFill="accent5" w:themeFillTint="19"/>
    </w:tcPr>
    <w:tblStylePr w:type="firstRow">
      <w:rPr>
        <w:b/>
        <w:bCs/>
        <w:color w:val="FFFFFF" w:themeColor="background1"/>
      </w:rPr>
      <w:tblPr/>
      <w:tcPr>
        <w:tcBorders>
          <w:bottom w:val="single" w:sz="12" w:space="0" w:color="FFFFFF" w:themeColor="background1"/>
        </w:tcBorders>
        <w:shd w:val="clear" w:color="auto" w:fill="1E689E" w:themeFill="accent6" w:themeFillShade="CC"/>
      </w:tcPr>
    </w:tblStylePr>
    <w:tblStylePr w:type="lastRow">
      <w:rPr>
        <w:b/>
        <w:bCs/>
        <w:color w:val="1E689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0EAED" w:themeFill="accent5" w:themeFillTint="3F"/>
      </w:tcPr>
    </w:tblStylePr>
    <w:tblStylePr w:type="band1Horz">
      <w:tblPr/>
      <w:tcPr>
        <w:shd w:val="clear" w:color="auto" w:fill="E6EEF0" w:themeFill="accent5" w:themeFillTint="33"/>
      </w:tcPr>
    </w:tblStylePr>
  </w:style>
  <w:style w:type="table" w:styleId="-60">
    <w:name w:val="Colorful List Accent 6"/>
    <w:basedOn w:val="a4"/>
    <w:uiPriority w:val="72"/>
    <w:semiHidden/>
    <w:unhideWhenUsed/>
    <w:rsid w:val="004230D9"/>
    <w:pPr>
      <w:spacing w:after="0" w:line="240" w:lineRule="auto"/>
    </w:pPr>
    <w:rPr>
      <w:color w:val="000000" w:themeColor="text1"/>
    </w:rPr>
    <w:tblPr>
      <w:tblStyleRowBandSize w:val="1"/>
      <w:tblStyleColBandSize w:val="1"/>
    </w:tblPr>
    <w:tcPr>
      <w:shd w:val="clear" w:color="auto" w:fill="E8F2FA" w:themeFill="accent6" w:themeFillTint="19"/>
    </w:tcPr>
    <w:tblStylePr w:type="firstRow">
      <w:rPr>
        <w:b/>
        <w:bCs/>
        <w:color w:val="FFFFFF" w:themeColor="background1"/>
      </w:rPr>
      <w:tblPr/>
      <w:tcPr>
        <w:tcBorders>
          <w:bottom w:val="single" w:sz="12" w:space="0" w:color="FFFFFF" w:themeColor="background1"/>
        </w:tcBorders>
        <w:shd w:val="clear" w:color="auto" w:fill="5D909D" w:themeFill="accent5" w:themeFillShade="CC"/>
      </w:tcPr>
    </w:tblStylePr>
    <w:tblStylePr w:type="lastRow">
      <w:rPr>
        <w:b/>
        <w:bCs/>
        <w:color w:val="5D909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5E0F4" w:themeFill="accent6" w:themeFillTint="3F"/>
      </w:tcPr>
    </w:tblStylePr>
    <w:tblStylePr w:type="band1Horz">
      <w:tblPr/>
      <w:tcPr>
        <w:shd w:val="clear" w:color="auto" w:fill="D0E6F6" w:themeFill="accent6" w:themeFillTint="33"/>
      </w:tcPr>
    </w:tblStylePr>
  </w:style>
  <w:style w:type="table" w:styleId="affffa">
    <w:name w:val="Colorful Shading"/>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1">
    <w:name w:val="Colorful Shading Accent 1"/>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3494BA" w:themeColor="accent1"/>
        <w:bottom w:val="single" w:sz="4" w:space="0" w:color="3494BA" w:themeColor="accent1"/>
        <w:right w:val="single" w:sz="4" w:space="0" w:color="3494BA" w:themeColor="accent1"/>
        <w:insideH w:val="single" w:sz="4" w:space="0" w:color="FFFFFF" w:themeColor="background1"/>
        <w:insideV w:val="single" w:sz="4" w:space="0" w:color="FFFFFF" w:themeColor="background1"/>
      </w:tblBorders>
    </w:tblPr>
    <w:tcPr>
      <w:shd w:val="clear" w:color="auto" w:fill="EAF4F9" w:themeFill="accent1"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F586F" w:themeFill="accent1" w:themeFillShade="99"/>
      </w:tcPr>
    </w:tblStylePr>
    <w:tblStylePr w:type="firstCol">
      <w:rPr>
        <w:color w:val="FFFFFF" w:themeColor="background1"/>
      </w:rPr>
      <w:tblPr/>
      <w:tcPr>
        <w:tcBorders>
          <w:top w:val="nil"/>
          <w:left w:val="nil"/>
          <w:bottom w:val="nil"/>
          <w:right w:val="nil"/>
          <w:insideH w:val="single" w:sz="4" w:space="0" w:color="1F586F" w:themeColor="accent1" w:themeShade="99"/>
          <w:insideV w:val="nil"/>
        </w:tcBorders>
        <w:shd w:val="clear" w:color="auto" w:fill="1F586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F586F" w:themeFill="accent1" w:themeFillShade="99"/>
      </w:tcPr>
    </w:tblStylePr>
    <w:tblStylePr w:type="band1Vert">
      <w:tblPr/>
      <w:tcPr>
        <w:shd w:val="clear" w:color="auto" w:fill="A9D5E7" w:themeFill="accent1" w:themeFillTint="66"/>
      </w:tcPr>
    </w:tblStylePr>
    <w:tblStylePr w:type="band1Horz">
      <w:tblPr/>
      <w:tcPr>
        <w:shd w:val="clear" w:color="auto" w:fill="94CBE1" w:themeFill="accent1" w:themeFillTint="7F"/>
      </w:tcPr>
    </w:tblStylePr>
    <w:tblStylePr w:type="neCell">
      <w:rPr>
        <w:color w:val="000000" w:themeColor="text1"/>
      </w:rPr>
    </w:tblStylePr>
    <w:tblStylePr w:type="nwCell">
      <w:rPr>
        <w:color w:val="000000" w:themeColor="text1"/>
      </w:rPr>
    </w:tblStylePr>
  </w:style>
  <w:style w:type="table" w:styleId="-21">
    <w:name w:val="Colorful Shading Accent 2"/>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58B6C0" w:themeColor="accent2"/>
        <w:left w:val="single" w:sz="4" w:space="0" w:color="58B6C0" w:themeColor="accent2"/>
        <w:bottom w:val="single" w:sz="4" w:space="0" w:color="58B6C0" w:themeColor="accent2"/>
        <w:right w:val="single" w:sz="4" w:space="0" w:color="58B6C0" w:themeColor="accent2"/>
        <w:insideH w:val="single" w:sz="4" w:space="0" w:color="FFFFFF" w:themeColor="background1"/>
        <w:insideV w:val="single" w:sz="4" w:space="0" w:color="FFFFFF" w:themeColor="background1"/>
      </w:tblBorders>
    </w:tblPr>
    <w:tcPr>
      <w:shd w:val="clear" w:color="auto" w:fill="EEF7F8" w:themeFill="accent2" w:themeFillTint="19"/>
    </w:tcPr>
    <w:tblStylePr w:type="firstRow">
      <w:rPr>
        <w:b/>
        <w:bCs/>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7279" w:themeFill="accent2" w:themeFillShade="99"/>
      </w:tcPr>
    </w:tblStylePr>
    <w:tblStylePr w:type="firstCol">
      <w:rPr>
        <w:color w:val="FFFFFF" w:themeColor="background1"/>
      </w:rPr>
      <w:tblPr/>
      <w:tcPr>
        <w:tcBorders>
          <w:top w:val="nil"/>
          <w:left w:val="nil"/>
          <w:bottom w:val="nil"/>
          <w:right w:val="nil"/>
          <w:insideH w:val="single" w:sz="4" w:space="0" w:color="2E7279" w:themeColor="accent2" w:themeShade="99"/>
          <w:insideV w:val="nil"/>
        </w:tcBorders>
        <w:shd w:val="clear" w:color="auto" w:fill="2E727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E7279" w:themeFill="accent2" w:themeFillShade="99"/>
      </w:tcPr>
    </w:tblStylePr>
    <w:tblStylePr w:type="band1Vert">
      <w:tblPr/>
      <w:tcPr>
        <w:shd w:val="clear" w:color="auto" w:fill="BCE1E5" w:themeFill="accent2" w:themeFillTint="66"/>
      </w:tcPr>
    </w:tblStylePr>
    <w:tblStylePr w:type="band1Horz">
      <w:tblPr/>
      <w:tcPr>
        <w:shd w:val="clear" w:color="auto" w:fill="ABDADF" w:themeFill="accent2" w:themeFillTint="7F"/>
      </w:tcPr>
    </w:tblStylePr>
    <w:tblStylePr w:type="neCell">
      <w:rPr>
        <w:color w:val="000000" w:themeColor="text1"/>
      </w:rPr>
    </w:tblStylePr>
    <w:tblStylePr w:type="nwCell">
      <w:rPr>
        <w:color w:val="000000" w:themeColor="text1"/>
      </w:rPr>
    </w:tblStylePr>
  </w:style>
  <w:style w:type="table" w:styleId="-31">
    <w:name w:val="Colorful Shading Accent 3"/>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A8C8E" w:themeColor="accent4"/>
        <w:left w:val="single" w:sz="4" w:space="0" w:color="75BDA7" w:themeColor="accent3"/>
        <w:bottom w:val="single" w:sz="4" w:space="0" w:color="75BDA7" w:themeColor="accent3"/>
        <w:right w:val="single" w:sz="4" w:space="0" w:color="75BDA7" w:themeColor="accent3"/>
        <w:insideH w:val="single" w:sz="4" w:space="0" w:color="FFFFFF" w:themeColor="background1"/>
        <w:insideV w:val="single" w:sz="4" w:space="0" w:color="FFFFFF" w:themeColor="background1"/>
      </w:tblBorders>
    </w:tblPr>
    <w:tcPr>
      <w:shd w:val="clear" w:color="auto" w:fill="F1F8F6" w:themeFill="accent3" w:themeFillTint="19"/>
    </w:tcPr>
    <w:tblStylePr w:type="firstRow">
      <w:rPr>
        <w:b/>
        <w:bCs/>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B7C68" w:themeFill="accent3" w:themeFillShade="99"/>
      </w:tcPr>
    </w:tblStylePr>
    <w:tblStylePr w:type="firstCol">
      <w:rPr>
        <w:color w:val="FFFFFF" w:themeColor="background1"/>
      </w:rPr>
      <w:tblPr/>
      <w:tcPr>
        <w:tcBorders>
          <w:top w:val="nil"/>
          <w:left w:val="nil"/>
          <w:bottom w:val="nil"/>
          <w:right w:val="nil"/>
          <w:insideH w:val="single" w:sz="4" w:space="0" w:color="3B7C68" w:themeColor="accent3" w:themeShade="99"/>
          <w:insideV w:val="nil"/>
        </w:tcBorders>
        <w:shd w:val="clear" w:color="auto" w:fill="3B7C6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B7C68" w:themeFill="accent3" w:themeFillShade="99"/>
      </w:tcPr>
    </w:tblStylePr>
    <w:tblStylePr w:type="band1Vert">
      <w:tblPr/>
      <w:tcPr>
        <w:shd w:val="clear" w:color="auto" w:fill="C7E4DB" w:themeFill="accent3" w:themeFillTint="66"/>
      </w:tcPr>
    </w:tblStylePr>
    <w:tblStylePr w:type="band1Horz">
      <w:tblPr/>
      <w:tcPr>
        <w:shd w:val="clear" w:color="auto" w:fill="BADED3" w:themeFill="accent3" w:themeFillTint="7F"/>
      </w:tcPr>
    </w:tblStylePr>
  </w:style>
  <w:style w:type="table" w:styleId="-41">
    <w:name w:val="Colorful Shading Accent 4"/>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75BDA7" w:themeColor="accent3"/>
        <w:left w:val="single" w:sz="4" w:space="0" w:color="7A8C8E" w:themeColor="accent4"/>
        <w:bottom w:val="single" w:sz="4" w:space="0" w:color="7A8C8E" w:themeColor="accent4"/>
        <w:right w:val="single" w:sz="4" w:space="0" w:color="7A8C8E" w:themeColor="accent4"/>
        <w:insideH w:val="single" w:sz="4" w:space="0" w:color="FFFFFF" w:themeColor="background1"/>
        <w:insideV w:val="single" w:sz="4" w:space="0" w:color="FFFFFF" w:themeColor="background1"/>
      </w:tblBorders>
    </w:tblPr>
    <w:tcPr>
      <w:shd w:val="clear" w:color="auto" w:fill="F1F3F3" w:themeFill="accent4" w:themeFillTint="19"/>
    </w:tcPr>
    <w:tblStylePr w:type="firstRow">
      <w:rPr>
        <w:b/>
        <w:bCs/>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85455" w:themeFill="accent4" w:themeFillShade="99"/>
      </w:tcPr>
    </w:tblStylePr>
    <w:tblStylePr w:type="firstCol">
      <w:rPr>
        <w:color w:val="FFFFFF" w:themeColor="background1"/>
      </w:rPr>
      <w:tblPr/>
      <w:tcPr>
        <w:tcBorders>
          <w:top w:val="nil"/>
          <w:left w:val="nil"/>
          <w:bottom w:val="nil"/>
          <w:right w:val="nil"/>
          <w:insideH w:val="single" w:sz="4" w:space="0" w:color="485455" w:themeColor="accent4" w:themeShade="99"/>
          <w:insideV w:val="nil"/>
        </w:tcBorders>
        <w:shd w:val="clear" w:color="auto" w:fill="48545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85455" w:themeFill="accent4" w:themeFillShade="99"/>
      </w:tcPr>
    </w:tblStylePr>
    <w:tblStylePr w:type="band1Vert">
      <w:tblPr/>
      <w:tcPr>
        <w:shd w:val="clear" w:color="auto" w:fill="C9D0D1" w:themeFill="accent4" w:themeFillTint="66"/>
      </w:tcPr>
    </w:tblStylePr>
    <w:tblStylePr w:type="band1Horz">
      <w:tblPr/>
      <w:tcPr>
        <w:shd w:val="clear" w:color="auto" w:fill="BCC5C6" w:themeFill="accent4" w:themeFillTint="7F"/>
      </w:tcPr>
    </w:tblStylePr>
    <w:tblStylePr w:type="neCell">
      <w:rPr>
        <w:color w:val="000000" w:themeColor="text1"/>
      </w:rPr>
    </w:tblStylePr>
    <w:tblStylePr w:type="nwCell">
      <w:rPr>
        <w:color w:val="000000" w:themeColor="text1"/>
      </w:rPr>
    </w:tblStylePr>
  </w:style>
  <w:style w:type="table" w:styleId="-51">
    <w:name w:val="Colorful Shading Accent 5"/>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2683C6" w:themeColor="accent6"/>
        <w:left w:val="single" w:sz="4" w:space="0" w:color="84ACB6" w:themeColor="accent5"/>
        <w:bottom w:val="single" w:sz="4" w:space="0" w:color="84ACB6" w:themeColor="accent5"/>
        <w:right w:val="single" w:sz="4" w:space="0" w:color="84ACB6" w:themeColor="accent5"/>
        <w:insideH w:val="single" w:sz="4" w:space="0" w:color="FFFFFF" w:themeColor="background1"/>
        <w:insideV w:val="single" w:sz="4" w:space="0" w:color="FFFFFF" w:themeColor="background1"/>
      </w:tblBorders>
    </w:tblPr>
    <w:tcPr>
      <w:shd w:val="clear" w:color="auto" w:fill="F2F6F7" w:themeFill="accent5" w:themeFillTint="19"/>
    </w:tcPr>
    <w:tblStylePr w:type="firstRow">
      <w:rPr>
        <w:b/>
        <w:bCs/>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66C76" w:themeFill="accent5" w:themeFillShade="99"/>
      </w:tcPr>
    </w:tblStylePr>
    <w:tblStylePr w:type="firstCol">
      <w:rPr>
        <w:color w:val="FFFFFF" w:themeColor="background1"/>
      </w:rPr>
      <w:tblPr/>
      <w:tcPr>
        <w:tcBorders>
          <w:top w:val="nil"/>
          <w:left w:val="nil"/>
          <w:bottom w:val="nil"/>
          <w:right w:val="nil"/>
          <w:insideH w:val="single" w:sz="4" w:space="0" w:color="466C76" w:themeColor="accent5" w:themeShade="99"/>
          <w:insideV w:val="nil"/>
        </w:tcBorders>
        <w:shd w:val="clear" w:color="auto" w:fill="466C7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466C76" w:themeFill="accent5" w:themeFillShade="99"/>
      </w:tcPr>
    </w:tblStylePr>
    <w:tblStylePr w:type="band1Vert">
      <w:tblPr/>
      <w:tcPr>
        <w:shd w:val="clear" w:color="auto" w:fill="CDDDE1" w:themeFill="accent5" w:themeFillTint="66"/>
      </w:tcPr>
    </w:tblStylePr>
    <w:tblStylePr w:type="band1Horz">
      <w:tblPr/>
      <w:tcPr>
        <w:shd w:val="clear" w:color="auto" w:fill="C1D5DA" w:themeFill="accent5" w:themeFillTint="7F"/>
      </w:tcPr>
    </w:tblStylePr>
    <w:tblStylePr w:type="neCell">
      <w:rPr>
        <w:color w:val="000000" w:themeColor="text1"/>
      </w:rPr>
    </w:tblStylePr>
    <w:tblStylePr w:type="nwCell">
      <w:rPr>
        <w:color w:val="000000" w:themeColor="text1"/>
      </w:rPr>
    </w:tblStylePr>
  </w:style>
  <w:style w:type="table" w:styleId="-61">
    <w:name w:val="Colorful Shading Accent 6"/>
    <w:basedOn w:val="a4"/>
    <w:uiPriority w:val="71"/>
    <w:semiHidden/>
    <w:unhideWhenUsed/>
    <w:rsid w:val="004230D9"/>
    <w:pPr>
      <w:spacing w:after="0" w:line="240" w:lineRule="auto"/>
    </w:pPr>
    <w:rPr>
      <w:color w:val="000000" w:themeColor="text1"/>
    </w:rPr>
    <w:tblPr>
      <w:tblStyleRowBandSize w:val="1"/>
      <w:tblStyleColBandSize w:val="1"/>
      <w:tblBorders>
        <w:top w:val="single" w:sz="24" w:space="0" w:color="84ACB6" w:themeColor="accent5"/>
        <w:left w:val="single" w:sz="4" w:space="0" w:color="2683C6" w:themeColor="accent6"/>
        <w:bottom w:val="single" w:sz="4" w:space="0" w:color="2683C6" w:themeColor="accent6"/>
        <w:right w:val="single" w:sz="4" w:space="0" w:color="2683C6" w:themeColor="accent6"/>
        <w:insideH w:val="single" w:sz="4" w:space="0" w:color="FFFFFF" w:themeColor="background1"/>
        <w:insideV w:val="single" w:sz="4" w:space="0" w:color="FFFFFF" w:themeColor="background1"/>
      </w:tblBorders>
    </w:tblPr>
    <w:tcPr>
      <w:shd w:val="clear" w:color="auto" w:fill="E8F2FA" w:themeFill="accent6" w:themeFillTint="19"/>
    </w:tcPr>
    <w:tblStylePr w:type="firstRow">
      <w:rPr>
        <w:b/>
        <w:bCs/>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64E76" w:themeFill="accent6" w:themeFillShade="99"/>
      </w:tcPr>
    </w:tblStylePr>
    <w:tblStylePr w:type="firstCol">
      <w:rPr>
        <w:color w:val="FFFFFF" w:themeColor="background1"/>
      </w:rPr>
      <w:tblPr/>
      <w:tcPr>
        <w:tcBorders>
          <w:top w:val="nil"/>
          <w:left w:val="nil"/>
          <w:bottom w:val="nil"/>
          <w:right w:val="nil"/>
          <w:insideH w:val="single" w:sz="4" w:space="0" w:color="164E76" w:themeColor="accent6" w:themeShade="99"/>
          <w:insideV w:val="nil"/>
        </w:tcBorders>
        <w:shd w:val="clear" w:color="auto" w:fill="164E7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164E76" w:themeFill="accent6" w:themeFillShade="99"/>
      </w:tcPr>
    </w:tblStylePr>
    <w:tblStylePr w:type="band1Vert">
      <w:tblPr/>
      <w:tcPr>
        <w:shd w:val="clear" w:color="auto" w:fill="A3CEED" w:themeFill="accent6" w:themeFillTint="66"/>
      </w:tcPr>
    </w:tblStylePr>
    <w:tblStylePr w:type="band1Horz">
      <w:tblPr/>
      <w:tcPr>
        <w:shd w:val="clear" w:color="auto" w:fill="8CC2E9" w:themeFill="accent6" w:themeFillTint="7F"/>
      </w:tcPr>
    </w:tblStylePr>
    <w:tblStylePr w:type="neCell">
      <w:rPr>
        <w:color w:val="000000" w:themeColor="text1"/>
      </w:rPr>
    </w:tblStylePr>
    <w:tblStylePr w:type="nwCell">
      <w:rPr>
        <w:color w:val="000000" w:themeColor="text1"/>
      </w:rPr>
    </w:tblStylePr>
  </w:style>
  <w:style w:type="table" w:styleId="affffb">
    <w:name w:val="Dark List"/>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3494BA"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A495C"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76E8B"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76E8B" w:themeFill="accent1" w:themeFillShade="BF"/>
      </w:tcPr>
    </w:tblStylePr>
    <w:tblStylePr w:type="band1Vert">
      <w:tblPr/>
      <w:tcPr>
        <w:tcBorders>
          <w:top w:val="nil"/>
          <w:left w:val="nil"/>
          <w:bottom w:val="nil"/>
          <w:right w:val="nil"/>
          <w:insideH w:val="nil"/>
          <w:insideV w:val="nil"/>
        </w:tcBorders>
        <w:shd w:val="clear" w:color="auto" w:fill="276E8B" w:themeFill="accent1" w:themeFillShade="BF"/>
      </w:tcPr>
    </w:tblStylePr>
    <w:tblStylePr w:type="band1Horz">
      <w:tblPr/>
      <w:tcPr>
        <w:tcBorders>
          <w:top w:val="nil"/>
          <w:left w:val="nil"/>
          <w:bottom w:val="nil"/>
          <w:right w:val="nil"/>
          <w:insideH w:val="nil"/>
          <w:insideV w:val="nil"/>
        </w:tcBorders>
        <w:shd w:val="clear" w:color="auto" w:fill="276E8B" w:themeFill="accent1" w:themeFillShade="BF"/>
      </w:tcPr>
    </w:tblStylePr>
  </w:style>
  <w:style w:type="table" w:styleId="-22">
    <w:name w:val="Dark List Accent 2"/>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58B6C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E65"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398E98"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398E98" w:themeFill="accent2" w:themeFillShade="BF"/>
      </w:tcPr>
    </w:tblStylePr>
    <w:tblStylePr w:type="band1Vert">
      <w:tblPr/>
      <w:tcPr>
        <w:tcBorders>
          <w:top w:val="nil"/>
          <w:left w:val="nil"/>
          <w:bottom w:val="nil"/>
          <w:right w:val="nil"/>
          <w:insideH w:val="nil"/>
          <w:insideV w:val="nil"/>
        </w:tcBorders>
        <w:shd w:val="clear" w:color="auto" w:fill="398E98" w:themeFill="accent2" w:themeFillShade="BF"/>
      </w:tcPr>
    </w:tblStylePr>
    <w:tblStylePr w:type="band1Horz">
      <w:tblPr/>
      <w:tcPr>
        <w:tcBorders>
          <w:top w:val="nil"/>
          <w:left w:val="nil"/>
          <w:bottom w:val="nil"/>
          <w:right w:val="nil"/>
          <w:insideH w:val="nil"/>
          <w:insideV w:val="nil"/>
        </w:tcBorders>
        <w:shd w:val="clear" w:color="auto" w:fill="398E98" w:themeFill="accent2" w:themeFillShade="BF"/>
      </w:tcPr>
    </w:tblStylePr>
  </w:style>
  <w:style w:type="table" w:styleId="-32">
    <w:name w:val="Dark List Accent 3"/>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5BDA7"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1675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A9A8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A9A82" w:themeFill="accent3" w:themeFillShade="BF"/>
      </w:tcPr>
    </w:tblStylePr>
    <w:tblStylePr w:type="band1Vert">
      <w:tblPr/>
      <w:tcPr>
        <w:tcBorders>
          <w:top w:val="nil"/>
          <w:left w:val="nil"/>
          <w:bottom w:val="nil"/>
          <w:right w:val="nil"/>
          <w:insideH w:val="nil"/>
          <w:insideV w:val="nil"/>
        </w:tcBorders>
        <w:shd w:val="clear" w:color="auto" w:fill="4A9A82" w:themeFill="accent3" w:themeFillShade="BF"/>
      </w:tcPr>
    </w:tblStylePr>
    <w:tblStylePr w:type="band1Horz">
      <w:tblPr/>
      <w:tcPr>
        <w:tcBorders>
          <w:top w:val="nil"/>
          <w:left w:val="nil"/>
          <w:bottom w:val="nil"/>
          <w:right w:val="nil"/>
          <w:insideH w:val="nil"/>
          <w:insideV w:val="nil"/>
        </w:tcBorders>
        <w:shd w:val="clear" w:color="auto" w:fill="4A9A82" w:themeFill="accent3" w:themeFillShade="BF"/>
      </w:tcPr>
    </w:tblStylePr>
  </w:style>
  <w:style w:type="table" w:styleId="-42">
    <w:name w:val="Dark List Accent 4"/>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7A8C8E"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C4546"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A696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A696A" w:themeFill="accent4" w:themeFillShade="BF"/>
      </w:tcPr>
    </w:tblStylePr>
    <w:tblStylePr w:type="band1Vert">
      <w:tblPr/>
      <w:tcPr>
        <w:tcBorders>
          <w:top w:val="nil"/>
          <w:left w:val="nil"/>
          <w:bottom w:val="nil"/>
          <w:right w:val="nil"/>
          <w:insideH w:val="nil"/>
          <w:insideV w:val="nil"/>
        </w:tcBorders>
        <w:shd w:val="clear" w:color="auto" w:fill="5A696A" w:themeFill="accent4" w:themeFillShade="BF"/>
      </w:tcPr>
    </w:tblStylePr>
    <w:tblStylePr w:type="band1Horz">
      <w:tblPr/>
      <w:tcPr>
        <w:tcBorders>
          <w:top w:val="nil"/>
          <w:left w:val="nil"/>
          <w:bottom w:val="nil"/>
          <w:right w:val="nil"/>
          <w:insideH w:val="nil"/>
          <w:insideV w:val="nil"/>
        </w:tcBorders>
        <w:shd w:val="clear" w:color="auto" w:fill="5A696A" w:themeFill="accent4" w:themeFillShade="BF"/>
      </w:tcPr>
    </w:tblStylePr>
  </w:style>
  <w:style w:type="table" w:styleId="-52">
    <w:name w:val="Dark List Accent 5"/>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84ACB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A5A6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578793"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578793" w:themeFill="accent5" w:themeFillShade="BF"/>
      </w:tcPr>
    </w:tblStylePr>
    <w:tblStylePr w:type="band1Vert">
      <w:tblPr/>
      <w:tcPr>
        <w:tcBorders>
          <w:top w:val="nil"/>
          <w:left w:val="nil"/>
          <w:bottom w:val="nil"/>
          <w:right w:val="nil"/>
          <w:insideH w:val="nil"/>
          <w:insideV w:val="nil"/>
        </w:tcBorders>
        <w:shd w:val="clear" w:color="auto" w:fill="578793" w:themeFill="accent5" w:themeFillShade="BF"/>
      </w:tcPr>
    </w:tblStylePr>
    <w:tblStylePr w:type="band1Horz">
      <w:tblPr/>
      <w:tcPr>
        <w:tcBorders>
          <w:top w:val="nil"/>
          <w:left w:val="nil"/>
          <w:bottom w:val="nil"/>
          <w:right w:val="nil"/>
          <w:insideH w:val="nil"/>
          <w:insideV w:val="nil"/>
        </w:tcBorders>
        <w:shd w:val="clear" w:color="auto" w:fill="578793" w:themeFill="accent5" w:themeFillShade="BF"/>
      </w:tcPr>
    </w:tblStylePr>
  </w:style>
  <w:style w:type="table" w:styleId="-62">
    <w:name w:val="Dark List Accent 6"/>
    <w:basedOn w:val="a4"/>
    <w:uiPriority w:val="70"/>
    <w:semiHidden/>
    <w:unhideWhenUsed/>
    <w:rsid w:val="004230D9"/>
    <w:pPr>
      <w:spacing w:after="0" w:line="240" w:lineRule="auto"/>
    </w:pPr>
    <w:rPr>
      <w:color w:val="FFFFFF" w:themeColor="background1"/>
    </w:rPr>
    <w:tblPr>
      <w:tblStyleRowBandSize w:val="1"/>
      <w:tblStyleColBandSize w:val="1"/>
    </w:tblPr>
    <w:tcPr>
      <w:shd w:val="clear" w:color="auto" w:fill="2683C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3416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1C6194"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1C6194" w:themeFill="accent6" w:themeFillShade="BF"/>
      </w:tcPr>
    </w:tblStylePr>
    <w:tblStylePr w:type="band1Vert">
      <w:tblPr/>
      <w:tcPr>
        <w:tcBorders>
          <w:top w:val="nil"/>
          <w:left w:val="nil"/>
          <w:bottom w:val="nil"/>
          <w:right w:val="nil"/>
          <w:insideH w:val="nil"/>
          <w:insideV w:val="nil"/>
        </w:tcBorders>
        <w:shd w:val="clear" w:color="auto" w:fill="1C6194" w:themeFill="accent6" w:themeFillShade="BF"/>
      </w:tcPr>
    </w:tblStylePr>
    <w:tblStylePr w:type="band1Horz">
      <w:tblPr/>
      <w:tcPr>
        <w:tcBorders>
          <w:top w:val="nil"/>
          <w:left w:val="nil"/>
          <w:bottom w:val="nil"/>
          <w:right w:val="nil"/>
          <w:insideH w:val="nil"/>
          <w:insideV w:val="nil"/>
        </w:tcBorders>
        <w:shd w:val="clear" w:color="auto" w:fill="1C6194" w:themeFill="accent6" w:themeFillShade="BF"/>
      </w:tcPr>
    </w:tblStylePr>
  </w:style>
  <w:style w:type="paragraph" w:styleId="affffc">
    <w:name w:val="E-mail Signature"/>
    <w:basedOn w:val="a2"/>
    <w:link w:val="affffd"/>
    <w:uiPriority w:val="99"/>
    <w:semiHidden/>
    <w:unhideWhenUsed/>
    <w:rsid w:val="004230D9"/>
  </w:style>
  <w:style w:type="character" w:customStyle="1" w:styleId="affffd">
    <w:name w:val="Электронная подпись Знак"/>
    <w:basedOn w:val="a3"/>
    <w:link w:val="affffc"/>
    <w:uiPriority w:val="99"/>
    <w:semiHidden/>
    <w:rsid w:val="004230D9"/>
    <w:rPr>
      <w:rFonts w:ascii="Times New Roman" w:hAnsi="Times New Roman" w:cs="Times New Roman"/>
    </w:rPr>
  </w:style>
  <w:style w:type="table" w:customStyle="1" w:styleId="-110">
    <w:name w:val="Таблица-сетка 1 светлая1"/>
    <w:basedOn w:val="a4"/>
    <w:uiPriority w:val="46"/>
    <w:rsid w:val="004230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1">
    <w:name w:val="Таблица-сетка 1 светлая — акцент 11"/>
    <w:basedOn w:val="a4"/>
    <w:uiPriority w:val="46"/>
    <w:rsid w:val="004230D9"/>
    <w:pPr>
      <w:spacing w:after="0" w:line="240" w:lineRule="auto"/>
    </w:pPr>
    <w:tblPr>
      <w:tblStyleRowBandSize w:val="1"/>
      <w:tblStyleColBandSize w:val="1"/>
      <w:tblBorders>
        <w:top w:val="single" w:sz="4" w:space="0" w:color="A9D5E7" w:themeColor="accent1" w:themeTint="66"/>
        <w:left w:val="single" w:sz="4" w:space="0" w:color="A9D5E7" w:themeColor="accent1" w:themeTint="66"/>
        <w:bottom w:val="single" w:sz="4" w:space="0" w:color="A9D5E7" w:themeColor="accent1" w:themeTint="66"/>
        <w:right w:val="single" w:sz="4" w:space="0" w:color="A9D5E7" w:themeColor="accent1" w:themeTint="66"/>
        <w:insideH w:val="single" w:sz="4" w:space="0" w:color="A9D5E7" w:themeColor="accent1" w:themeTint="66"/>
        <w:insideV w:val="single" w:sz="4" w:space="0" w:color="A9D5E7" w:themeColor="accent1" w:themeTint="66"/>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2" w:space="0" w:color="7FC0DB" w:themeColor="accent1" w:themeTint="99"/>
        </w:tcBorders>
      </w:tcPr>
    </w:tblStylePr>
    <w:tblStylePr w:type="firstCol">
      <w:rPr>
        <w:b/>
        <w:bCs/>
      </w:rPr>
    </w:tblStylePr>
    <w:tblStylePr w:type="lastCol">
      <w:rPr>
        <w:b/>
        <w:bCs/>
      </w:rPr>
    </w:tblStylePr>
  </w:style>
  <w:style w:type="table" w:customStyle="1" w:styleId="-121">
    <w:name w:val="Таблица-сетка 1 светлая — акцент 21"/>
    <w:basedOn w:val="a4"/>
    <w:uiPriority w:val="46"/>
    <w:rsid w:val="004230D9"/>
    <w:pPr>
      <w:spacing w:after="0" w:line="240" w:lineRule="auto"/>
    </w:pPr>
    <w:tblPr>
      <w:tblStyleRowBandSize w:val="1"/>
      <w:tblStyleColBandSize w:val="1"/>
      <w:tblBorders>
        <w:top w:val="single" w:sz="4" w:space="0" w:color="BCE1E5" w:themeColor="accent2" w:themeTint="66"/>
        <w:left w:val="single" w:sz="4" w:space="0" w:color="BCE1E5" w:themeColor="accent2" w:themeTint="66"/>
        <w:bottom w:val="single" w:sz="4" w:space="0" w:color="BCE1E5" w:themeColor="accent2" w:themeTint="66"/>
        <w:right w:val="single" w:sz="4" w:space="0" w:color="BCE1E5" w:themeColor="accent2" w:themeTint="66"/>
        <w:insideH w:val="single" w:sz="4" w:space="0" w:color="BCE1E5" w:themeColor="accent2" w:themeTint="66"/>
        <w:insideV w:val="single" w:sz="4" w:space="0" w:color="BCE1E5" w:themeColor="accent2" w:themeTint="66"/>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2" w:space="0" w:color="9AD3D9" w:themeColor="accent2" w:themeTint="99"/>
        </w:tcBorders>
      </w:tcPr>
    </w:tblStylePr>
    <w:tblStylePr w:type="firstCol">
      <w:rPr>
        <w:b/>
        <w:bCs/>
      </w:rPr>
    </w:tblStylePr>
    <w:tblStylePr w:type="lastCol">
      <w:rPr>
        <w:b/>
        <w:bCs/>
      </w:rPr>
    </w:tblStylePr>
  </w:style>
  <w:style w:type="table" w:customStyle="1" w:styleId="-131">
    <w:name w:val="Таблица-сетка 1 светлая — акцент 31"/>
    <w:basedOn w:val="a4"/>
    <w:uiPriority w:val="46"/>
    <w:rsid w:val="004230D9"/>
    <w:pPr>
      <w:spacing w:after="0" w:line="240" w:lineRule="auto"/>
    </w:pPr>
    <w:tblPr>
      <w:tblStyleRowBandSize w:val="1"/>
      <w:tblStyleColBandSize w:val="1"/>
      <w:tblBorders>
        <w:top w:val="single" w:sz="4" w:space="0" w:color="C7E4DB" w:themeColor="accent3" w:themeTint="66"/>
        <w:left w:val="single" w:sz="4" w:space="0" w:color="C7E4DB" w:themeColor="accent3" w:themeTint="66"/>
        <w:bottom w:val="single" w:sz="4" w:space="0" w:color="C7E4DB" w:themeColor="accent3" w:themeTint="66"/>
        <w:right w:val="single" w:sz="4" w:space="0" w:color="C7E4DB" w:themeColor="accent3" w:themeTint="66"/>
        <w:insideH w:val="single" w:sz="4" w:space="0" w:color="C7E4DB" w:themeColor="accent3" w:themeTint="66"/>
        <w:insideV w:val="single" w:sz="4" w:space="0" w:color="C7E4DB" w:themeColor="accent3" w:themeTint="66"/>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2" w:space="0" w:color="ACD7CA" w:themeColor="accent3" w:themeTint="99"/>
        </w:tcBorders>
      </w:tcPr>
    </w:tblStylePr>
    <w:tblStylePr w:type="firstCol">
      <w:rPr>
        <w:b/>
        <w:bCs/>
      </w:rPr>
    </w:tblStylePr>
    <w:tblStylePr w:type="lastCol">
      <w:rPr>
        <w:b/>
        <w:bCs/>
      </w:rPr>
    </w:tblStylePr>
  </w:style>
  <w:style w:type="table" w:customStyle="1" w:styleId="-141">
    <w:name w:val="Таблица-сетка 1 светлая — акцент 41"/>
    <w:basedOn w:val="a4"/>
    <w:uiPriority w:val="46"/>
    <w:rsid w:val="004230D9"/>
    <w:pPr>
      <w:spacing w:after="0" w:line="240" w:lineRule="auto"/>
    </w:pPr>
    <w:tblPr>
      <w:tblStyleRowBandSize w:val="1"/>
      <w:tblStyleColBandSize w:val="1"/>
      <w:tblBorders>
        <w:top w:val="single" w:sz="4" w:space="0" w:color="C9D0D1" w:themeColor="accent4" w:themeTint="66"/>
        <w:left w:val="single" w:sz="4" w:space="0" w:color="C9D0D1" w:themeColor="accent4" w:themeTint="66"/>
        <w:bottom w:val="single" w:sz="4" w:space="0" w:color="C9D0D1" w:themeColor="accent4" w:themeTint="66"/>
        <w:right w:val="single" w:sz="4" w:space="0" w:color="C9D0D1" w:themeColor="accent4" w:themeTint="66"/>
        <w:insideH w:val="single" w:sz="4" w:space="0" w:color="C9D0D1" w:themeColor="accent4" w:themeTint="66"/>
        <w:insideV w:val="single" w:sz="4" w:space="0" w:color="C9D0D1" w:themeColor="accent4" w:themeTint="66"/>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2" w:space="0" w:color="AFB9BB" w:themeColor="accent4" w:themeTint="99"/>
        </w:tcBorders>
      </w:tcPr>
    </w:tblStylePr>
    <w:tblStylePr w:type="firstCol">
      <w:rPr>
        <w:b/>
        <w:bCs/>
      </w:rPr>
    </w:tblStylePr>
    <w:tblStylePr w:type="lastCol">
      <w:rPr>
        <w:b/>
        <w:bCs/>
      </w:rPr>
    </w:tblStylePr>
  </w:style>
  <w:style w:type="table" w:customStyle="1" w:styleId="-151">
    <w:name w:val="Таблица-сетка 1 светлая — акцент 51"/>
    <w:basedOn w:val="a4"/>
    <w:uiPriority w:val="46"/>
    <w:rsid w:val="004230D9"/>
    <w:pPr>
      <w:spacing w:after="0" w:line="240" w:lineRule="auto"/>
    </w:pPr>
    <w:tblPr>
      <w:tblStyleRowBandSize w:val="1"/>
      <w:tblStyleColBandSize w:val="1"/>
      <w:tblBorders>
        <w:top w:val="single" w:sz="4" w:space="0" w:color="CDDDE1" w:themeColor="accent5" w:themeTint="66"/>
        <w:left w:val="single" w:sz="4" w:space="0" w:color="CDDDE1" w:themeColor="accent5" w:themeTint="66"/>
        <w:bottom w:val="single" w:sz="4" w:space="0" w:color="CDDDE1" w:themeColor="accent5" w:themeTint="66"/>
        <w:right w:val="single" w:sz="4" w:space="0" w:color="CDDDE1" w:themeColor="accent5" w:themeTint="66"/>
        <w:insideH w:val="single" w:sz="4" w:space="0" w:color="CDDDE1" w:themeColor="accent5" w:themeTint="66"/>
        <w:insideV w:val="single" w:sz="4" w:space="0" w:color="CDDDE1" w:themeColor="accent5" w:themeTint="66"/>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2" w:space="0" w:color="B5CDD3" w:themeColor="accent5" w:themeTint="99"/>
        </w:tcBorders>
      </w:tcPr>
    </w:tblStylePr>
    <w:tblStylePr w:type="firstCol">
      <w:rPr>
        <w:b/>
        <w:bCs/>
      </w:rPr>
    </w:tblStylePr>
    <w:tblStylePr w:type="lastCol">
      <w:rPr>
        <w:b/>
        <w:bCs/>
      </w:rPr>
    </w:tblStylePr>
  </w:style>
  <w:style w:type="table" w:customStyle="1" w:styleId="-161">
    <w:name w:val="Таблица-сетка 1 светлая — акцент 61"/>
    <w:basedOn w:val="a4"/>
    <w:uiPriority w:val="46"/>
    <w:rsid w:val="004230D9"/>
    <w:pPr>
      <w:spacing w:after="0" w:line="240" w:lineRule="auto"/>
    </w:pPr>
    <w:tblPr>
      <w:tblStyleRowBandSize w:val="1"/>
      <w:tblStyleColBandSize w:val="1"/>
      <w:tblBorders>
        <w:top w:val="single" w:sz="4" w:space="0" w:color="A3CEED" w:themeColor="accent6" w:themeTint="66"/>
        <w:left w:val="single" w:sz="4" w:space="0" w:color="A3CEED" w:themeColor="accent6" w:themeTint="66"/>
        <w:bottom w:val="single" w:sz="4" w:space="0" w:color="A3CEED" w:themeColor="accent6" w:themeTint="66"/>
        <w:right w:val="single" w:sz="4" w:space="0" w:color="A3CEED" w:themeColor="accent6" w:themeTint="66"/>
        <w:insideH w:val="single" w:sz="4" w:space="0" w:color="A3CEED" w:themeColor="accent6" w:themeTint="66"/>
        <w:insideV w:val="single" w:sz="4" w:space="0" w:color="A3CEED" w:themeColor="accent6" w:themeTint="66"/>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2" w:space="0" w:color="74B5E4" w:themeColor="accent6" w:themeTint="99"/>
        </w:tcBorders>
      </w:tcPr>
    </w:tblStylePr>
    <w:tblStylePr w:type="firstCol">
      <w:rPr>
        <w:b/>
        <w:bCs/>
      </w:rPr>
    </w:tblStylePr>
    <w:tblStylePr w:type="lastCol">
      <w:rPr>
        <w:b/>
        <w:bCs/>
      </w:rPr>
    </w:tblStylePr>
  </w:style>
  <w:style w:type="table" w:customStyle="1" w:styleId="-210">
    <w:name w:val="Таблица-сетка 21"/>
    <w:basedOn w:val="a4"/>
    <w:uiPriority w:val="47"/>
    <w:rsid w:val="004230D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
    <w:name w:val="Таблица-сетка 2 — акцент 11"/>
    <w:basedOn w:val="a4"/>
    <w:uiPriority w:val="47"/>
    <w:rsid w:val="004230D9"/>
    <w:pPr>
      <w:spacing w:after="0" w:line="240" w:lineRule="auto"/>
    </w:pPr>
    <w:tblPr>
      <w:tblStyleRowBandSize w:val="1"/>
      <w:tblStyleColBandSize w:val="1"/>
      <w:tblBorders>
        <w:top w:val="single" w:sz="2" w:space="0" w:color="7FC0DB" w:themeColor="accent1" w:themeTint="99"/>
        <w:bottom w:val="single" w:sz="2" w:space="0" w:color="7FC0DB" w:themeColor="accent1" w:themeTint="99"/>
        <w:insideH w:val="single" w:sz="2" w:space="0" w:color="7FC0DB" w:themeColor="accent1" w:themeTint="99"/>
        <w:insideV w:val="single" w:sz="2" w:space="0" w:color="7FC0DB" w:themeColor="accent1" w:themeTint="99"/>
      </w:tblBorders>
    </w:tblPr>
    <w:tblStylePr w:type="firstRow">
      <w:rPr>
        <w:b/>
        <w:bCs/>
      </w:rPr>
      <w:tblPr/>
      <w:tcPr>
        <w:tcBorders>
          <w:top w:val="nil"/>
          <w:bottom w:val="single" w:sz="12" w:space="0" w:color="7FC0DB" w:themeColor="accent1" w:themeTint="99"/>
          <w:insideH w:val="nil"/>
          <w:insideV w:val="nil"/>
        </w:tcBorders>
        <w:shd w:val="clear" w:color="auto" w:fill="FFFFFF" w:themeFill="background1"/>
      </w:tcPr>
    </w:tblStylePr>
    <w:tblStylePr w:type="lastRow">
      <w:rPr>
        <w:b/>
        <w:bCs/>
      </w:rPr>
      <w:tblPr/>
      <w:tcPr>
        <w:tcBorders>
          <w:top w:val="double" w:sz="2" w:space="0" w:color="7FC0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
    <w:name w:val="Таблица-сетка 2 — акцент 21"/>
    <w:basedOn w:val="a4"/>
    <w:uiPriority w:val="47"/>
    <w:rsid w:val="004230D9"/>
    <w:pPr>
      <w:spacing w:after="0" w:line="240" w:lineRule="auto"/>
    </w:pPr>
    <w:tblPr>
      <w:tblStyleRowBandSize w:val="1"/>
      <w:tblStyleColBandSize w:val="1"/>
      <w:tblBorders>
        <w:top w:val="single" w:sz="2" w:space="0" w:color="9AD3D9" w:themeColor="accent2" w:themeTint="99"/>
        <w:bottom w:val="single" w:sz="2" w:space="0" w:color="9AD3D9" w:themeColor="accent2" w:themeTint="99"/>
        <w:insideH w:val="single" w:sz="2" w:space="0" w:color="9AD3D9" w:themeColor="accent2" w:themeTint="99"/>
        <w:insideV w:val="single" w:sz="2" w:space="0" w:color="9AD3D9" w:themeColor="accent2" w:themeTint="99"/>
      </w:tblBorders>
    </w:tblPr>
    <w:tblStylePr w:type="firstRow">
      <w:rPr>
        <w:b/>
        <w:bCs/>
      </w:rPr>
      <w:tblPr/>
      <w:tcPr>
        <w:tcBorders>
          <w:top w:val="nil"/>
          <w:bottom w:val="single" w:sz="12" w:space="0" w:color="9AD3D9" w:themeColor="accent2" w:themeTint="99"/>
          <w:insideH w:val="nil"/>
          <w:insideV w:val="nil"/>
        </w:tcBorders>
        <w:shd w:val="clear" w:color="auto" w:fill="FFFFFF" w:themeFill="background1"/>
      </w:tcPr>
    </w:tblStylePr>
    <w:tblStylePr w:type="lastRow">
      <w:rPr>
        <w:b/>
        <w:bCs/>
      </w:rPr>
      <w:tblPr/>
      <w:tcPr>
        <w:tcBorders>
          <w:top w:val="double" w:sz="2" w:space="0" w:color="9AD3D9"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
    <w:name w:val="Таблица-сетка 2 — акцент 31"/>
    <w:basedOn w:val="a4"/>
    <w:uiPriority w:val="47"/>
    <w:rsid w:val="004230D9"/>
    <w:pPr>
      <w:spacing w:after="0" w:line="240" w:lineRule="auto"/>
    </w:pPr>
    <w:tblPr>
      <w:tblStyleRowBandSize w:val="1"/>
      <w:tblStyleColBandSize w:val="1"/>
      <w:tblBorders>
        <w:top w:val="single" w:sz="2" w:space="0" w:color="ACD7CA" w:themeColor="accent3" w:themeTint="99"/>
        <w:bottom w:val="single" w:sz="2" w:space="0" w:color="ACD7CA" w:themeColor="accent3" w:themeTint="99"/>
        <w:insideH w:val="single" w:sz="2" w:space="0" w:color="ACD7CA" w:themeColor="accent3" w:themeTint="99"/>
        <w:insideV w:val="single" w:sz="2" w:space="0" w:color="ACD7CA" w:themeColor="accent3" w:themeTint="99"/>
      </w:tblBorders>
    </w:tblPr>
    <w:tblStylePr w:type="firstRow">
      <w:rPr>
        <w:b/>
        <w:bCs/>
      </w:rPr>
      <w:tblPr/>
      <w:tcPr>
        <w:tcBorders>
          <w:top w:val="nil"/>
          <w:bottom w:val="single" w:sz="12" w:space="0" w:color="ACD7CA" w:themeColor="accent3" w:themeTint="99"/>
          <w:insideH w:val="nil"/>
          <w:insideV w:val="nil"/>
        </w:tcBorders>
        <w:shd w:val="clear" w:color="auto" w:fill="FFFFFF" w:themeFill="background1"/>
      </w:tcPr>
    </w:tblStylePr>
    <w:tblStylePr w:type="lastRow">
      <w:rPr>
        <w:b/>
        <w:bCs/>
      </w:rPr>
      <w:tblPr/>
      <w:tcPr>
        <w:tcBorders>
          <w:top w:val="double" w:sz="2" w:space="0" w:color="ACD7CA"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
    <w:name w:val="Таблица-сетка 2 — акцент 41"/>
    <w:basedOn w:val="a4"/>
    <w:uiPriority w:val="47"/>
    <w:rsid w:val="004230D9"/>
    <w:pPr>
      <w:spacing w:after="0" w:line="240" w:lineRule="auto"/>
    </w:pPr>
    <w:tblPr>
      <w:tblStyleRowBandSize w:val="1"/>
      <w:tblStyleColBandSize w:val="1"/>
      <w:tblBorders>
        <w:top w:val="single" w:sz="2" w:space="0" w:color="AFB9BB" w:themeColor="accent4" w:themeTint="99"/>
        <w:bottom w:val="single" w:sz="2" w:space="0" w:color="AFB9BB" w:themeColor="accent4" w:themeTint="99"/>
        <w:insideH w:val="single" w:sz="2" w:space="0" w:color="AFB9BB" w:themeColor="accent4" w:themeTint="99"/>
        <w:insideV w:val="single" w:sz="2" w:space="0" w:color="AFB9BB" w:themeColor="accent4" w:themeTint="99"/>
      </w:tblBorders>
    </w:tblPr>
    <w:tblStylePr w:type="firstRow">
      <w:rPr>
        <w:b/>
        <w:bCs/>
      </w:rPr>
      <w:tblPr/>
      <w:tcPr>
        <w:tcBorders>
          <w:top w:val="nil"/>
          <w:bottom w:val="single" w:sz="12" w:space="0" w:color="AFB9BB" w:themeColor="accent4" w:themeTint="99"/>
          <w:insideH w:val="nil"/>
          <w:insideV w:val="nil"/>
        </w:tcBorders>
        <w:shd w:val="clear" w:color="auto" w:fill="FFFFFF" w:themeFill="background1"/>
      </w:tcPr>
    </w:tblStylePr>
    <w:tblStylePr w:type="lastRow">
      <w:rPr>
        <w:b/>
        <w:bCs/>
      </w:rPr>
      <w:tblPr/>
      <w:tcPr>
        <w:tcBorders>
          <w:top w:val="double" w:sz="2" w:space="0" w:color="AFB9BB"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
    <w:name w:val="Таблица-сетка 2 — акцент 51"/>
    <w:basedOn w:val="a4"/>
    <w:uiPriority w:val="47"/>
    <w:rsid w:val="004230D9"/>
    <w:pPr>
      <w:spacing w:after="0" w:line="240" w:lineRule="auto"/>
    </w:pPr>
    <w:tblPr>
      <w:tblStyleRowBandSize w:val="1"/>
      <w:tblStyleColBandSize w:val="1"/>
      <w:tblBorders>
        <w:top w:val="single" w:sz="2" w:space="0" w:color="B5CDD3" w:themeColor="accent5" w:themeTint="99"/>
        <w:bottom w:val="single" w:sz="2" w:space="0" w:color="B5CDD3" w:themeColor="accent5" w:themeTint="99"/>
        <w:insideH w:val="single" w:sz="2" w:space="0" w:color="B5CDD3" w:themeColor="accent5" w:themeTint="99"/>
        <w:insideV w:val="single" w:sz="2" w:space="0" w:color="B5CDD3" w:themeColor="accent5" w:themeTint="99"/>
      </w:tblBorders>
    </w:tblPr>
    <w:tblStylePr w:type="firstRow">
      <w:rPr>
        <w:b/>
        <w:bCs/>
      </w:rPr>
      <w:tblPr/>
      <w:tcPr>
        <w:tcBorders>
          <w:top w:val="nil"/>
          <w:bottom w:val="single" w:sz="12" w:space="0" w:color="B5CDD3" w:themeColor="accent5" w:themeTint="99"/>
          <w:insideH w:val="nil"/>
          <w:insideV w:val="nil"/>
        </w:tcBorders>
        <w:shd w:val="clear" w:color="auto" w:fill="FFFFFF" w:themeFill="background1"/>
      </w:tcPr>
    </w:tblStylePr>
    <w:tblStylePr w:type="lastRow">
      <w:rPr>
        <w:b/>
        <w:bCs/>
      </w:rPr>
      <w:tblPr/>
      <w:tcPr>
        <w:tcBorders>
          <w:top w:val="double" w:sz="2" w:space="0" w:color="B5CDD3"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
    <w:name w:val="Таблица-сетка 2 — акцент 61"/>
    <w:basedOn w:val="a4"/>
    <w:uiPriority w:val="47"/>
    <w:rsid w:val="004230D9"/>
    <w:pPr>
      <w:spacing w:after="0" w:line="240" w:lineRule="auto"/>
    </w:pPr>
    <w:tblPr>
      <w:tblStyleRowBandSize w:val="1"/>
      <w:tblStyleColBandSize w:val="1"/>
      <w:tblBorders>
        <w:top w:val="single" w:sz="2" w:space="0" w:color="74B5E4" w:themeColor="accent6" w:themeTint="99"/>
        <w:bottom w:val="single" w:sz="2" w:space="0" w:color="74B5E4" w:themeColor="accent6" w:themeTint="99"/>
        <w:insideH w:val="single" w:sz="2" w:space="0" w:color="74B5E4" w:themeColor="accent6" w:themeTint="99"/>
        <w:insideV w:val="single" w:sz="2" w:space="0" w:color="74B5E4" w:themeColor="accent6" w:themeTint="99"/>
      </w:tblBorders>
    </w:tblPr>
    <w:tblStylePr w:type="firstRow">
      <w:rPr>
        <w:b/>
        <w:bCs/>
      </w:rPr>
      <w:tblPr/>
      <w:tcPr>
        <w:tcBorders>
          <w:top w:val="nil"/>
          <w:bottom w:val="single" w:sz="12" w:space="0" w:color="74B5E4" w:themeColor="accent6" w:themeTint="99"/>
          <w:insideH w:val="nil"/>
          <w:insideV w:val="nil"/>
        </w:tcBorders>
        <w:shd w:val="clear" w:color="auto" w:fill="FFFFFF" w:themeFill="background1"/>
      </w:tcPr>
    </w:tblStylePr>
    <w:tblStylePr w:type="lastRow">
      <w:rPr>
        <w:b/>
        <w:bCs/>
      </w:rPr>
      <w:tblPr/>
      <w:tcPr>
        <w:tcBorders>
          <w:top w:val="double" w:sz="2" w:space="0" w:color="74B5E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0">
    <w:name w:val="Таблица-сетка 31"/>
    <w:basedOn w:val="a4"/>
    <w:uiPriority w:val="48"/>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311">
    <w:name w:val="Таблица-сетка 3 — акцент 11"/>
    <w:basedOn w:val="a4"/>
    <w:uiPriority w:val="48"/>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321">
    <w:name w:val="Таблица-сетка 3 — акцент 21"/>
    <w:basedOn w:val="a4"/>
    <w:uiPriority w:val="48"/>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331">
    <w:name w:val="Таблица-сетка 3 — акцент 31"/>
    <w:basedOn w:val="a4"/>
    <w:uiPriority w:val="48"/>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341">
    <w:name w:val="Таблица-сетка 3 — акцент 41"/>
    <w:basedOn w:val="a4"/>
    <w:uiPriority w:val="48"/>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351">
    <w:name w:val="Таблица-сетка 3 — акцент 51"/>
    <w:basedOn w:val="a4"/>
    <w:uiPriority w:val="48"/>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361">
    <w:name w:val="Таблица-сетка 3 — акцент 61"/>
    <w:basedOn w:val="a4"/>
    <w:uiPriority w:val="48"/>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table" w:customStyle="1" w:styleId="-410">
    <w:name w:val="Таблица-сетк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
    <w:name w:val="Таблица-сетк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insideV w:val="nil"/>
        </w:tcBorders>
        <w:shd w:val="clear" w:color="auto" w:fill="3494BA" w:themeFill="accent1"/>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
    <w:name w:val="Таблица-сетк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insideV w:val="nil"/>
        </w:tcBorders>
        <w:shd w:val="clear" w:color="auto" w:fill="58B6C0" w:themeFill="accent2"/>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
    <w:name w:val="Таблица-сетк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insideV w:val="nil"/>
        </w:tcBorders>
        <w:shd w:val="clear" w:color="auto" w:fill="75BDA7" w:themeFill="accent3"/>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
    <w:name w:val="Таблица-сетк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insideV w:val="nil"/>
        </w:tcBorders>
        <w:shd w:val="clear" w:color="auto" w:fill="7A8C8E" w:themeFill="accent4"/>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
    <w:name w:val="Таблица-сетк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insideV w:val="nil"/>
        </w:tcBorders>
        <w:shd w:val="clear" w:color="auto" w:fill="84ACB6" w:themeFill="accent5"/>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
    <w:name w:val="Таблица-сетк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insideV w:val="nil"/>
        </w:tcBorders>
        <w:shd w:val="clear" w:color="auto" w:fill="2683C6" w:themeFill="accent6"/>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0">
    <w:name w:val="Таблица-сетка 5 темная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511">
    <w:name w:val="Таблица-сетка 5 темная — акцент 1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4EA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494BA"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494BA"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494BA"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494BA" w:themeFill="accent1"/>
      </w:tcPr>
    </w:tblStylePr>
    <w:tblStylePr w:type="band1Vert">
      <w:tblPr/>
      <w:tcPr>
        <w:shd w:val="clear" w:color="auto" w:fill="A9D5E7" w:themeFill="accent1" w:themeFillTint="66"/>
      </w:tcPr>
    </w:tblStylePr>
    <w:tblStylePr w:type="band1Horz">
      <w:tblPr/>
      <w:tcPr>
        <w:shd w:val="clear" w:color="auto" w:fill="A9D5E7" w:themeFill="accent1" w:themeFillTint="66"/>
      </w:tcPr>
    </w:tblStylePr>
  </w:style>
  <w:style w:type="table" w:customStyle="1" w:styleId="-521">
    <w:name w:val="Таблица-сетка 5 темная — акцент 2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F0F2"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8B6C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8B6C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8B6C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8B6C0" w:themeFill="accent2"/>
      </w:tcPr>
    </w:tblStylePr>
    <w:tblStylePr w:type="band1Vert">
      <w:tblPr/>
      <w:tcPr>
        <w:shd w:val="clear" w:color="auto" w:fill="BCE1E5" w:themeFill="accent2" w:themeFillTint="66"/>
      </w:tcPr>
    </w:tblStylePr>
    <w:tblStylePr w:type="band1Horz">
      <w:tblPr/>
      <w:tcPr>
        <w:shd w:val="clear" w:color="auto" w:fill="BCE1E5" w:themeFill="accent2" w:themeFillTint="66"/>
      </w:tcPr>
    </w:tblStylePr>
  </w:style>
  <w:style w:type="table" w:customStyle="1" w:styleId="-531">
    <w:name w:val="Таблица-сетка 5 темная — акцент 3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3F1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5BDA7"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5BDA7"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5BDA7"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5BDA7" w:themeFill="accent3"/>
      </w:tcPr>
    </w:tblStylePr>
    <w:tblStylePr w:type="band1Vert">
      <w:tblPr/>
      <w:tcPr>
        <w:shd w:val="clear" w:color="auto" w:fill="C7E4DB" w:themeFill="accent3" w:themeFillTint="66"/>
      </w:tcPr>
    </w:tblStylePr>
    <w:tblStylePr w:type="band1Horz">
      <w:tblPr/>
      <w:tcPr>
        <w:shd w:val="clear" w:color="auto" w:fill="C7E4DB" w:themeFill="accent3" w:themeFillTint="66"/>
      </w:tcPr>
    </w:tblStylePr>
  </w:style>
  <w:style w:type="table" w:customStyle="1" w:styleId="-541">
    <w:name w:val="Таблица-сетка 5 темная — акцент 4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4E7E8"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A8C8E"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A8C8E"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A8C8E"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A8C8E" w:themeFill="accent4"/>
      </w:tcPr>
    </w:tblStylePr>
    <w:tblStylePr w:type="band1Vert">
      <w:tblPr/>
      <w:tcPr>
        <w:shd w:val="clear" w:color="auto" w:fill="C9D0D1" w:themeFill="accent4" w:themeFillTint="66"/>
      </w:tcPr>
    </w:tblStylePr>
    <w:tblStylePr w:type="band1Horz">
      <w:tblPr/>
      <w:tcPr>
        <w:shd w:val="clear" w:color="auto" w:fill="C9D0D1" w:themeFill="accent4" w:themeFillTint="66"/>
      </w:tcPr>
    </w:tblStylePr>
  </w:style>
  <w:style w:type="table" w:customStyle="1" w:styleId="-551">
    <w:name w:val="Таблица-сетка 5 темная — акцент 5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6EEF0"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4ACB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4ACB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4ACB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4ACB6" w:themeFill="accent5"/>
      </w:tcPr>
    </w:tblStylePr>
    <w:tblStylePr w:type="band1Vert">
      <w:tblPr/>
      <w:tcPr>
        <w:shd w:val="clear" w:color="auto" w:fill="CDDDE1" w:themeFill="accent5" w:themeFillTint="66"/>
      </w:tcPr>
    </w:tblStylePr>
    <w:tblStylePr w:type="band1Horz">
      <w:tblPr/>
      <w:tcPr>
        <w:shd w:val="clear" w:color="auto" w:fill="CDDDE1" w:themeFill="accent5" w:themeFillTint="66"/>
      </w:tcPr>
    </w:tblStylePr>
  </w:style>
  <w:style w:type="table" w:customStyle="1" w:styleId="-561">
    <w:name w:val="Таблица-сетка 5 темная — акцент 61"/>
    <w:basedOn w:val="a4"/>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0E6F6"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683C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683C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683C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683C6" w:themeFill="accent6"/>
      </w:tcPr>
    </w:tblStylePr>
    <w:tblStylePr w:type="band1Vert">
      <w:tblPr/>
      <w:tcPr>
        <w:shd w:val="clear" w:color="auto" w:fill="A3CEED" w:themeFill="accent6" w:themeFillTint="66"/>
      </w:tcPr>
    </w:tblStylePr>
    <w:tblStylePr w:type="band1Horz">
      <w:tblPr/>
      <w:tcPr>
        <w:shd w:val="clear" w:color="auto" w:fill="A3CEED" w:themeFill="accent6" w:themeFillTint="66"/>
      </w:tcPr>
    </w:tblStylePr>
  </w:style>
  <w:style w:type="table" w:customStyle="1" w:styleId="-610">
    <w:name w:val="Таблица-сетка 6 цветная1"/>
    <w:basedOn w:val="a4"/>
    <w:uiPriority w:val="51"/>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
    <w:name w:val="Таблица-сетк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bottom w:val="single" w:sz="12" w:space="0" w:color="7FC0DB" w:themeColor="accent1" w:themeTint="99"/>
        </w:tcBorders>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
    <w:name w:val="Таблица-сетк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bottom w:val="single" w:sz="12" w:space="0" w:color="9AD3D9" w:themeColor="accent2" w:themeTint="99"/>
        </w:tcBorders>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
    <w:name w:val="Таблица-сетк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bottom w:val="single" w:sz="12" w:space="0" w:color="ACD7CA" w:themeColor="accent3" w:themeTint="99"/>
        </w:tcBorders>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
    <w:name w:val="Таблица-сетк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bottom w:val="single" w:sz="12" w:space="0" w:color="AFB9BB" w:themeColor="accent4" w:themeTint="99"/>
        </w:tcBorders>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
    <w:name w:val="Таблица-сетк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bottom w:val="single" w:sz="12" w:space="0" w:color="B5CDD3" w:themeColor="accent5" w:themeTint="99"/>
        </w:tcBorders>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
    <w:name w:val="Таблица-сетк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bottom w:val="single" w:sz="12" w:space="0" w:color="74B5E4" w:themeColor="accent6" w:themeTint="99"/>
        </w:tcBorders>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
    <w:name w:val="Таблица-сетка 7 цветная1"/>
    <w:basedOn w:val="a4"/>
    <w:uiPriority w:val="52"/>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711">
    <w:name w:val="Таблица-сетка 7 цветная — акцент 11"/>
    <w:basedOn w:val="a4"/>
    <w:uiPriority w:val="52"/>
    <w:rsid w:val="004230D9"/>
    <w:pPr>
      <w:spacing w:after="0" w:line="240" w:lineRule="auto"/>
    </w:pPr>
    <w:rPr>
      <w:color w:val="276E8B" w:themeColor="accent1" w:themeShade="BF"/>
    </w:r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insideV w:val="single" w:sz="4" w:space="0" w:color="7FC0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bottom w:val="single" w:sz="4" w:space="0" w:color="7FC0DB" w:themeColor="accent1" w:themeTint="99"/>
        </w:tcBorders>
      </w:tcPr>
    </w:tblStylePr>
    <w:tblStylePr w:type="nwCell">
      <w:tblPr/>
      <w:tcPr>
        <w:tcBorders>
          <w:bottom w:val="single" w:sz="4" w:space="0" w:color="7FC0DB" w:themeColor="accent1" w:themeTint="99"/>
        </w:tcBorders>
      </w:tcPr>
    </w:tblStylePr>
    <w:tblStylePr w:type="seCell">
      <w:tblPr/>
      <w:tcPr>
        <w:tcBorders>
          <w:top w:val="single" w:sz="4" w:space="0" w:color="7FC0DB" w:themeColor="accent1" w:themeTint="99"/>
        </w:tcBorders>
      </w:tcPr>
    </w:tblStylePr>
    <w:tblStylePr w:type="swCell">
      <w:tblPr/>
      <w:tcPr>
        <w:tcBorders>
          <w:top w:val="single" w:sz="4" w:space="0" w:color="7FC0DB" w:themeColor="accent1" w:themeTint="99"/>
        </w:tcBorders>
      </w:tcPr>
    </w:tblStylePr>
  </w:style>
  <w:style w:type="table" w:customStyle="1" w:styleId="-721">
    <w:name w:val="Таблица-сетка 7 цветная — акцент 21"/>
    <w:basedOn w:val="a4"/>
    <w:uiPriority w:val="52"/>
    <w:rsid w:val="004230D9"/>
    <w:pPr>
      <w:spacing w:after="0" w:line="240" w:lineRule="auto"/>
    </w:pPr>
    <w:rPr>
      <w:color w:val="398E98" w:themeColor="accent2" w:themeShade="BF"/>
    </w:r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insideV w:val="single" w:sz="4" w:space="0" w:color="9AD3D9"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bottom w:val="single" w:sz="4" w:space="0" w:color="9AD3D9" w:themeColor="accent2" w:themeTint="99"/>
        </w:tcBorders>
      </w:tcPr>
    </w:tblStylePr>
    <w:tblStylePr w:type="nwCell">
      <w:tblPr/>
      <w:tcPr>
        <w:tcBorders>
          <w:bottom w:val="single" w:sz="4" w:space="0" w:color="9AD3D9" w:themeColor="accent2" w:themeTint="99"/>
        </w:tcBorders>
      </w:tcPr>
    </w:tblStylePr>
    <w:tblStylePr w:type="seCell">
      <w:tblPr/>
      <w:tcPr>
        <w:tcBorders>
          <w:top w:val="single" w:sz="4" w:space="0" w:color="9AD3D9" w:themeColor="accent2" w:themeTint="99"/>
        </w:tcBorders>
      </w:tcPr>
    </w:tblStylePr>
    <w:tblStylePr w:type="swCell">
      <w:tblPr/>
      <w:tcPr>
        <w:tcBorders>
          <w:top w:val="single" w:sz="4" w:space="0" w:color="9AD3D9" w:themeColor="accent2" w:themeTint="99"/>
        </w:tcBorders>
      </w:tcPr>
    </w:tblStylePr>
  </w:style>
  <w:style w:type="table" w:customStyle="1" w:styleId="-731">
    <w:name w:val="Таблица-сетка 7 цветная — акцент 31"/>
    <w:basedOn w:val="a4"/>
    <w:uiPriority w:val="52"/>
    <w:rsid w:val="004230D9"/>
    <w:pPr>
      <w:spacing w:after="0" w:line="240" w:lineRule="auto"/>
    </w:pPr>
    <w:rPr>
      <w:color w:val="4A9A82" w:themeColor="accent3" w:themeShade="BF"/>
    </w:r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insideV w:val="single" w:sz="4" w:space="0" w:color="ACD7CA"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bottom w:val="single" w:sz="4" w:space="0" w:color="ACD7CA" w:themeColor="accent3" w:themeTint="99"/>
        </w:tcBorders>
      </w:tcPr>
    </w:tblStylePr>
    <w:tblStylePr w:type="nwCell">
      <w:tblPr/>
      <w:tcPr>
        <w:tcBorders>
          <w:bottom w:val="single" w:sz="4" w:space="0" w:color="ACD7CA" w:themeColor="accent3" w:themeTint="99"/>
        </w:tcBorders>
      </w:tcPr>
    </w:tblStylePr>
    <w:tblStylePr w:type="seCell">
      <w:tblPr/>
      <w:tcPr>
        <w:tcBorders>
          <w:top w:val="single" w:sz="4" w:space="0" w:color="ACD7CA" w:themeColor="accent3" w:themeTint="99"/>
        </w:tcBorders>
      </w:tcPr>
    </w:tblStylePr>
    <w:tblStylePr w:type="swCell">
      <w:tblPr/>
      <w:tcPr>
        <w:tcBorders>
          <w:top w:val="single" w:sz="4" w:space="0" w:color="ACD7CA" w:themeColor="accent3" w:themeTint="99"/>
        </w:tcBorders>
      </w:tcPr>
    </w:tblStylePr>
  </w:style>
  <w:style w:type="table" w:customStyle="1" w:styleId="-741">
    <w:name w:val="Таблица-сетка 7 цветная — акцент 41"/>
    <w:basedOn w:val="a4"/>
    <w:uiPriority w:val="52"/>
    <w:rsid w:val="004230D9"/>
    <w:pPr>
      <w:spacing w:after="0" w:line="240" w:lineRule="auto"/>
    </w:pPr>
    <w:rPr>
      <w:color w:val="5A696A" w:themeColor="accent4" w:themeShade="BF"/>
    </w:r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insideV w:val="single" w:sz="4" w:space="0" w:color="AFB9BB"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bottom w:val="single" w:sz="4" w:space="0" w:color="AFB9BB" w:themeColor="accent4" w:themeTint="99"/>
        </w:tcBorders>
      </w:tcPr>
    </w:tblStylePr>
    <w:tblStylePr w:type="nwCell">
      <w:tblPr/>
      <w:tcPr>
        <w:tcBorders>
          <w:bottom w:val="single" w:sz="4" w:space="0" w:color="AFB9BB" w:themeColor="accent4" w:themeTint="99"/>
        </w:tcBorders>
      </w:tcPr>
    </w:tblStylePr>
    <w:tblStylePr w:type="seCell">
      <w:tblPr/>
      <w:tcPr>
        <w:tcBorders>
          <w:top w:val="single" w:sz="4" w:space="0" w:color="AFB9BB" w:themeColor="accent4" w:themeTint="99"/>
        </w:tcBorders>
      </w:tcPr>
    </w:tblStylePr>
    <w:tblStylePr w:type="swCell">
      <w:tblPr/>
      <w:tcPr>
        <w:tcBorders>
          <w:top w:val="single" w:sz="4" w:space="0" w:color="AFB9BB" w:themeColor="accent4" w:themeTint="99"/>
        </w:tcBorders>
      </w:tcPr>
    </w:tblStylePr>
  </w:style>
  <w:style w:type="table" w:customStyle="1" w:styleId="-751">
    <w:name w:val="Таблица-сетка 7 цветная — акцент 51"/>
    <w:basedOn w:val="a4"/>
    <w:uiPriority w:val="52"/>
    <w:rsid w:val="004230D9"/>
    <w:pPr>
      <w:spacing w:after="0" w:line="240" w:lineRule="auto"/>
    </w:pPr>
    <w:rPr>
      <w:color w:val="578793" w:themeColor="accent5" w:themeShade="BF"/>
    </w:r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insideV w:val="single" w:sz="4" w:space="0" w:color="B5CDD3"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bottom w:val="single" w:sz="4" w:space="0" w:color="B5CDD3" w:themeColor="accent5" w:themeTint="99"/>
        </w:tcBorders>
      </w:tcPr>
    </w:tblStylePr>
    <w:tblStylePr w:type="nwCell">
      <w:tblPr/>
      <w:tcPr>
        <w:tcBorders>
          <w:bottom w:val="single" w:sz="4" w:space="0" w:color="B5CDD3" w:themeColor="accent5" w:themeTint="99"/>
        </w:tcBorders>
      </w:tcPr>
    </w:tblStylePr>
    <w:tblStylePr w:type="seCell">
      <w:tblPr/>
      <w:tcPr>
        <w:tcBorders>
          <w:top w:val="single" w:sz="4" w:space="0" w:color="B5CDD3" w:themeColor="accent5" w:themeTint="99"/>
        </w:tcBorders>
      </w:tcPr>
    </w:tblStylePr>
    <w:tblStylePr w:type="swCell">
      <w:tblPr/>
      <w:tcPr>
        <w:tcBorders>
          <w:top w:val="single" w:sz="4" w:space="0" w:color="B5CDD3" w:themeColor="accent5" w:themeTint="99"/>
        </w:tcBorders>
      </w:tcPr>
    </w:tblStylePr>
  </w:style>
  <w:style w:type="table" w:customStyle="1" w:styleId="-761">
    <w:name w:val="Таблица-сетка 7 цветная — акцент 61"/>
    <w:basedOn w:val="a4"/>
    <w:uiPriority w:val="52"/>
    <w:rsid w:val="004230D9"/>
    <w:pPr>
      <w:spacing w:after="0" w:line="240" w:lineRule="auto"/>
    </w:pPr>
    <w:rPr>
      <w:color w:val="1C6194" w:themeColor="accent6" w:themeShade="BF"/>
    </w:r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insideV w:val="single" w:sz="4" w:space="0" w:color="74B5E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bottom w:val="single" w:sz="4" w:space="0" w:color="74B5E4" w:themeColor="accent6" w:themeTint="99"/>
        </w:tcBorders>
      </w:tcPr>
    </w:tblStylePr>
    <w:tblStylePr w:type="nwCell">
      <w:tblPr/>
      <w:tcPr>
        <w:tcBorders>
          <w:bottom w:val="single" w:sz="4" w:space="0" w:color="74B5E4" w:themeColor="accent6" w:themeTint="99"/>
        </w:tcBorders>
      </w:tcPr>
    </w:tblStylePr>
    <w:tblStylePr w:type="seCell">
      <w:tblPr/>
      <w:tcPr>
        <w:tcBorders>
          <w:top w:val="single" w:sz="4" w:space="0" w:color="74B5E4" w:themeColor="accent6" w:themeTint="99"/>
        </w:tcBorders>
      </w:tcPr>
    </w:tblStylePr>
    <w:tblStylePr w:type="swCell">
      <w:tblPr/>
      <w:tcPr>
        <w:tcBorders>
          <w:top w:val="single" w:sz="4" w:space="0" w:color="74B5E4" w:themeColor="accent6" w:themeTint="99"/>
        </w:tcBorders>
      </w:tcPr>
    </w:tblStylePr>
  </w:style>
  <w:style w:type="character" w:styleId="HTMLa">
    <w:name w:val="HTML Sample"/>
    <w:basedOn w:val="a3"/>
    <w:uiPriority w:val="99"/>
    <w:semiHidden/>
    <w:unhideWhenUsed/>
    <w:rsid w:val="004230D9"/>
    <w:rPr>
      <w:rFonts w:ascii="Consolas" w:hAnsi="Consolas" w:cs="Times New Roman"/>
      <w:sz w:val="24"/>
      <w:szCs w:val="24"/>
    </w:rPr>
  </w:style>
  <w:style w:type="paragraph" w:styleId="2c">
    <w:name w:val="index 2"/>
    <w:basedOn w:val="a2"/>
    <w:next w:val="a2"/>
    <w:autoRedefine/>
    <w:uiPriority w:val="99"/>
    <w:semiHidden/>
    <w:unhideWhenUsed/>
    <w:rsid w:val="004230D9"/>
    <w:pPr>
      <w:ind w:left="480" w:hanging="240"/>
    </w:pPr>
  </w:style>
  <w:style w:type="paragraph" w:styleId="36">
    <w:name w:val="index 3"/>
    <w:basedOn w:val="a2"/>
    <w:next w:val="a2"/>
    <w:autoRedefine/>
    <w:uiPriority w:val="99"/>
    <w:semiHidden/>
    <w:unhideWhenUsed/>
    <w:rsid w:val="004230D9"/>
    <w:pPr>
      <w:ind w:left="720" w:hanging="240"/>
    </w:pPr>
  </w:style>
  <w:style w:type="paragraph" w:styleId="43">
    <w:name w:val="index 4"/>
    <w:basedOn w:val="a2"/>
    <w:next w:val="a2"/>
    <w:autoRedefine/>
    <w:uiPriority w:val="99"/>
    <w:semiHidden/>
    <w:unhideWhenUsed/>
    <w:rsid w:val="004230D9"/>
    <w:pPr>
      <w:ind w:left="960" w:hanging="240"/>
    </w:pPr>
  </w:style>
  <w:style w:type="paragraph" w:styleId="53">
    <w:name w:val="index 5"/>
    <w:basedOn w:val="a2"/>
    <w:next w:val="a2"/>
    <w:autoRedefine/>
    <w:uiPriority w:val="99"/>
    <w:semiHidden/>
    <w:unhideWhenUsed/>
    <w:rsid w:val="004230D9"/>
    <w:pPr>
      <w:ind w:left="1200" w:hanging="240"/>
    </w:pPr>
  </w:style>
  <w:style w:type="paragraph" w:styleId="61">
    <w:name w:val="index 6"/>
    <w:basedOn w:val="a2"/>
    <w:next w:val="a2"/>
    <w:autoRedefine/>
    <w:uiPriority w:val="99"/>
    <w:semiHidden/>
    <w:unhideWhenUsed/>
    <w:rsid w:val="004230D9"/>
    <w:pPr>
      <w:ind w:left="1440" w:hanging="240"/>
    </w:pPr>
  </w:style>
  <w:style w:type="paragraph" w:styleId="71">
    <w:name w:val="index 7"/>
    <w:basedOn w:val="a2"/>
    <w:next w:val="a2"/>
    <w:autoRedefine/>
    <w:uiPriority w:val="99"/>
    <w:semiHidden/>
    <w:unhideWhenUsed/>
    <w:rsid w:val="004230D9"/>
    <w:pPr>
      <w:ind w:left="1680" w:hanging="240"/>
    </w:pPr>
  </w:style>
  <w:style w:type="paragraph" w:styleId="81">
    <w:name w:val="index 8"/>
    <w:basedOn w:val="a2"/>
    <w:next w:val="a2"/>
    <w:autoRedefine/>
    <w:uiPriority w:val="99"/>
    <w:semiHidden/>
    <w:unhideWhenUsed/>
    <w:rsid w:val="004230D9"/>
    <w:pPr>
      <w:ind w:left="1920" w:hanging="240"/>
    </w:pPr>
  </w:style>
  <w:style w:type="paragraph" w:styleId="92">
    <w:name w:val="index 9"/>
    <w:basedOn w:val="a2"/>
    <w:next w:val="a2"/>
    <w:autoRedefine/>
    <w:uiPriority w:val="99"/>
    <w:semiHidden/>
    <w:unhideWhenUsed/>
    <w:rsid w:val="004230D9"/>
    <w:pPr>
      <w:ind w:left="2160" w:hanging="240"/>
    </w:pPr>
  </w:style>
  <w:style w:type="table" w:styleId="affffe">
    <w:name w:val="Light Grid"/>
    <w:basedOn w:val="a4"/>
    <w:uiPriority w:val="62"/>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3">
    <w:name w:val="Light Grid Accent 1"/>
    <w:basedOn w:val="a4"/>
    <w:uiPriority w:val="62"/>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18" w:space="0" w:color="3494BA" w:themeColor="accent1"/>
          <w:right w:val="single" w:sz="8" w:space="0" w:color="3494BA" w:themeColor="accent1"/>
          <w:insideH w:val="nil"/>
          <w:insideV w:val="single" w:sz="8" w:space="0" w:color="3494B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insideH w:val="nil"/>
          <w:insideV w:val="single" w:sz="8" w:space="0" w:color="3494B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shd w:val="clear" w:color="auto" w:fill="CAE5F0" w:themeFill="accent1" w:themeFillTint="3F"/>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shd w:val="clear" w:color="auto" w:fill="CAE5F0" w:themeFill="accent1" w:themeFillTint="3F"/>
      </w:tcPr>
    </w:tblStylePr>
    <w:tblStylePr w:type="band2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insideV w:val="single" w:sz="8" w:space="0" w:color="3494BA" w:themeColor="accent1"/>
        </w:tcBorders>
      </w:tcPr>
    </w:tblStylePr>
  </w:style>
  <w:style w:type="table" w:styleId="-23">
    <w:name w:val="Light Grid Accent 2"/>
    <w:basedOn w:val="a4"/>
    <w:uiPriority w:val="62"/>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18" w:space="0" w:color="58B6C0" w:themeColor="accent2"/>
          <w:right w:val="single" w:sz="8" w:space="0" w:color="58B6C0" w:themeColor="accent2"/>
          <w:insideH w:val="nil"/>
          <w:insideV w:val="single" w:sz="8" w:space="0" w:color="58B6C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insideH w:val="nil"/>
          <w:insideV w:val="single" w:sz="8" w:space="0" w:color="58B6C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shd w:val="clear" w:color="auto" w:fill="D5ECEF" w:themeFill="accent2" w:themeFillTint="3F"/>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shd w:val="clear" w:color="auto" w:fill="D5ECEF" w:themeFill="accent2" w:themeFillTint="3F"/>
      </w:tcPr>
    </w:tblStylePr>
    <w:tblStylePr w:type="band2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insideV w:val="single" w:sz="8" w:space="0" w:color="58B6C0" w:themeColor="accent2"/>
        </w:tcBorders>
      </w:tcPr>
    </w:tblStylePr>
  </w:style>
  <w:style w:type="table" w:styleId="-33">
    <w:name w:val="Light Grid Accent 3"/>
    <w:basedOn w:val="a4"/>
    <w:uiPriority w:val="62"/>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18" w:space="0" w:color="75BDA7" w:themeColor="accent3"/>
          <w:right w:val="single" w:sz="8" w:space="0" w:color="75BDA7" w:themeColor="accent3"/>
          <w:insideH w:val="nil"/>
          <w:insideV w:val="single" w:sz="8" w:space="0" w:color="75BDA7"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insideH w:val="nil"/>
          <w:insideV w:val="single" w:sz="8" w:space="0" w:color="75BDA7"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shd w:val="clear" w:color="auto" w:fill="DCEEE9" w:themeFill="accent3" w:themeFillTint="3F"/>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shd w:val="clear" w:color="auto" w:fill="DCEEE9" w:themeFill="accent3" w:themeFillTint="3F"/>
      </w:tcPr>
    </w:tblStylePr>
    <w:tblStylePr w:type="band2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insideV w:val="single" w:sz="8" w:space="0" w:color="75BDA7" w:themeColor="accent3"/>
        </w:tcBorders>
      </w:tcPr>
    </w:tblStylePr>
  </w:style>
  <w:style w:type="table" w:styleId="-43">
    <w:name w:val="Light Grid Accent 4"/>
    <w:basedOn w:val="a4"/>
    <w:uiPriority w:val="62"/>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18" w:space="0" w:color="7A8C8E" w:themeColor="accent4"/>
          <w:right w:val="single" w:sz="8" w:space="0" w:color="7A8C8E" w:themeColor="accent4"/>
          <w:insideH w:val="nil"/>
          <w:insideV w:val="single" w:sz="8" w:space="0" w:color="7A8C8E"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insideH w:val="nil"/>
          <w:insideV w:val="single" w:sz="8" w:space="0" w:color="7A8C8E"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shd w:val="clear" w:color="auto" w:fill="DEE2E3" w:themeFill="accent4" w:themeFillTint="3F"/>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shd w:val="clear" w:color="auto" w:fill="DEE2E3" w:themeFill="accent4" w:themeFillTint="3F"/>
      </w:tcPr>
    </w:tblStylePr>
    <w:tblStylePr w:type="band2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insideV w:val="single" w:sz="8" w:space="0" w:color="7A8C8E" w:themeColor="accent4"/>
        </w:tcBorders>
      </w:tcPr>
    </w:tblStylePr>
  </w:style>
  <w:style w:type="table" w:styleId="-53">
    <w:name w:val="Light Grid Accent 5"/>
    <w:basedOn w:val="a4"/>
    <w:uiPriority w:val="62"/>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18" w:space="0" w:color="84ACB6" w:themeColor="accent5"/>
          <w:right w:val="single" w:sz="8" w:space="0" w:color="84ACB6" w:themeColor="accent5"/>
          <w:insideH w:val="nil"/>
          <w:insideV w:val="single" w:sz="8" w:space="0" w:color="84ACB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insideH w:val="nil"/>
          <w:insideV w:val="single" w:sz="8" w:space="0" w:color="84ACB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shd w:val="clear" w:color="auto" w:fill="E0EAED" w:themeFill="accent5" w:themeFillTint="3F"/>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shd w:val="clear" w:color="auto" w:fill="E0EAED" w:themeFill="accent5" w:themeFillTint="3F"/>
      </w:tcPr>
    </w:tblStylePr>
    <w:tblStylePr w:type="band2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insideV w:val="single" w:sz="8" w:space="0" w:color="84ACB6" w:themeColor="accent5"/>
        </w:tcBorders>
      </w:tcPr>
    </w:tblStylePr>
  </w:style>
  <w:style w:type="table" w:styleId="-63">
    <w:name w:val="Light Grid Accent 6"/>
    <w:basedOn w:val="a4"/>
    <w:uiPriority w:val="62"/>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18" w:space="0" w:color="2683C6" w:themeColor="accent6"/>
          <w:right w:val="single" w:sz="8" w:space="0" w:color="2683C6" w:themeColor="accent6"/>
          <w:insideH w:val="nil"/>
          <w:insideV w:val="single" w:sz="8" w:space="0" w:color="2683C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insideH w:val="nil"/>
          <w:insideV w:val="single" w:sz="8" w:space="0" w:color="2683C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shd w:val="clear" w:color="auto" w:fill="C5E0F4" w:themeFill="accent6" w:themeFillTint="3F"/>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shd w:val="clear" w:color="auto" w:fill="C5E0F4" w:themeFill="accent6" w:themeFillTint="3F"/>
      </w:tcPr>
    </w:tblStylePr>
    <w:tblStylePr w:type="band2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insideV w:val="single" w:sz="8" w:space="0" w:color="2683C6" w:themeColor="accent6"/>
        </w:tcBorders>
      </w:tcPr>
    </w:tblStylePr>
  </w:style>
  <w:style w:type="table" w:styleId="afffff">
    <w:name w:val="Light List"/>
    <w:basedOn w:val="a4"/>
    <w:uiPriority w:val="61"/>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4">
    <w:name w:val="Light List Accent 1"/>
    <w:basedOn w:val="a4"/>
    <w:uiPriority w:val="61"/>
    <w:semiHidden/>
    <w:unhideWhenUsed/>
    <w:rsid w:val="004230D9"/>
    <w:pPr>
      <w:spacing w:after="0" w:line="240" w:lineRule="auto"/>
    </w:p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pPr>
        <w:spacing w:before="0" w:after="0" w:line="240" w:lineRule="auto"/>
      </w:pPr>
      <w:rPr>
        <w:b/>
        <w:bCs/>
        <w:color w:val="FFFFFF" w:themeColor="background1"/>
      </w:rPr>
      <w:tblPr/>
      <w:tcPr>
        <w:shd w:val="clear" w:color="auto" w:fill="3494BA" w:themeFill="accent1"/>
      </w:tcPr>
    </w:tblStylePr>
    <w:tblStylePr w:type="lastRow">
      <w:pPr>
        <w:spacing w:before="0" w:after="0" w:line="240" w:lineRule="auto"/>
      </w:pPr>
      <w:rPr>
        <w:b/>
        <w:bCs/>
      </w:rPr>
      <w:tblPr/>
      <w:tcPr>
        <w:tcBorders>
          <w:top w:val="double" w:sz="6" w:space="0" w:color="3494BA" w:themeColor="accent1"/>
          <w:left w:val="single" w:sz="8" w:space="0" w:color="3494BA" w:themeColor="accent1"/>
          <w:bottom w:val="single" w:sz="8" w:space="0" w:color="3494BA" w:themeColor="accent1"/>
          <w:right w:val="single" w:sz="8" w:space="0" w:color="3494BA" w:themeColor="accent1"/>
        </w:tcBorders>
      </w:tcPr>
    </w:tblStylePr>
    <w:tblStylePr w:type="firstCol">
      <w:rPr>
        <w:b/>
        <w:bCs/>
      </w:rPr>
    </w:tblStylePr>
    <w:tblStylePr w:type="lastCol">
      <w:rPr>
        <w:b/>
        <w:bCs/>
      </w:rPr>
    </w:tblStylePr>
    <w:tblStylePr w:type="band1Vert">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tblStylePr w:type="band1Horz">
      <w:tblPr/>
      <w:tcPr>
        <w:tcBorders>
          <w:top w:val="single" w:sz="8" w:space="0" w:color="3494BA" w:themeColor="accent1"/>
          <w:left w:val="single" w:sz="8" w:space="0" w:color="3494BA" w:themeColor="accent1"/>
          <w:bottom w:val="single" w:sz="8" w:space="0" w:color="3494BA" w:themeColor="accent1"/>
          <w:right w:val="single" w:sz="8" w:space="0" w:color="3494BA" w:themeColor="accent1"/>
        </w:tcBorders>
      </w:tcPr>
    </w:tblStylePr>
  </w:style>
  <w:style w:type="table" w:styleId="-24">
    <w:name w:val="Light List Accent 2"/>
    <w:basedOn w:val="a4"/>
    <w:uiPriority w:val="61"/>
    <w:semiHidden/>
    <w:unhideWhenUsed/>
    <w:rsid w:val="004230D9"/>
    <w:pPr>
      <w:spacing w:after="0" w:line="240" w:lineRule="auto"/>
    </w:p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pPr>
        <w:spacing w:before="0" w:after="0" w:line="240" w:lineRule="auto"/>
      </w:pPr>
      <w:rPr>
        <w:b/>
        <w:bCs/>
        <w:color w:val="FFFFFF" w:themeColor="background1"/>
      </w:rPr>
      <w:tblPr/>
      <w:tcPr>
        <w:shd w:val="clear" w:color="auto" w:fill="58B6C0" w:themeFill="accent2"/>
      </w:tcPr>
    </w:tblStylePr>
    <w:tblStylePr w:type="lastRow">
      <w:pPr>
        <w:spacing w:before="0" w:after="0" w:line="240" w:lineRule="auto"/>
      </w:pPr>
      <w:rPr>
        <w:b/>
        <w:bCs/>
      </w:rPr>
      <w:tblPr/>
      <w:tcPr>
        <w:tcBorders>
          <w:top w:val="double" w:sz="6" w:space="0" w:color="58B6C0" w:themeColor="accent2"/>
          <w:left w:val="single" w:sz="8" w:space="0" w:color="58B6C0" w:themeColor="accent2"/>
          <w:bottom w:val="single" w:sz="8" w:space="0" w:color="58B6C0" w:themeColor="accent2"/>
          <w:right w:val="single" w:sz="8" w:space="0" w:color="58B6C0" w:themeColor="accent2"/>
        </w:tcBorders>
      </w:tcPr>
    </w:tblStylePr>
    <w:tblStylePr w:type="firstCol">
      <w:rPr>
        <w:b/>
        <w:bCs/>
      </w:rPr>
    </w:tblStylePr>
    <w:tblStylePr w:type="lastCol">
      <w:rPr>
        <w:b/>
        <w:bCs/>
      </w:rPr>
    </w:tblStylePr>
    <w:tblStylePr w:type="band1Vert">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tblStylePr w:type="band1Horz">
      <w:tblPr/>
      <w:tcPr>
        <w:tcBorders>
          <w:top w:val="single" w:sz="8" w:space="0" w:color="58B6C0" w:themeColor="accent2"/>
          <w:left w:val="single" w:sz="8" w:space="0" w:color="58B6C0" w:themeColor="accent2"/>
          <w:bottom w:val="single" w:sz="8" w:space="0" w:color="58B6C0" w:themeColor="accent2"/>
          <w:right w:val="single" w:sz="8" w:space="0" w:color="58B6C0" w:themeColor="accent2"/>
        </w:tcBorders>
      </w:tcPr>
    </w:tblStylePr>
  </w:style>
  <w:style w:type="table" w:styleId="-34">
    <w:name w:val="Light List Accent 3"/>
    <w:basedOn w:val="a4"/>
    <w:uiPriority w:val="61"/>
    <w:semiHidden/>
    <w:unhideWhenUsed/>
    <w:rsid w:val="004230D9"/>
    <w:pPr>
      <w:spacing w:after="0" w:line="240" w:lineRule="auto"/>
    </w:p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pPr>
        <w:spacing w:before="0" w:after="0" w:line="240" w:lineRule="auto"/>
      </w:pPr>
      <w:rPr>
        <w:b/>
        <w:bCs/>
        <w:color w:val="FFFFFF" w:themeColor="background1"/>
      </w:rPr>
      <w:tblPr/>
      <w:tcPr>
        <w:shd w:val="clear" w:color="auto" w:fill="75BDA7" w:themeFill="accent3"/>
      </w:tcPr>
    </w:tblStylePr>
    <w:tblStylePr w:type="lastRow">
      <w:pPr>
        <w:spacing w:before="0" w:after="0" w:line="240" w:lineRule="auto"/>
      </w:pPr>
      <w:rPr>
        <w:b/>
        <w:bCs/>
      </w:rPr>
      <w:tblPr/>
      <w:tcPr>
        <w:tcBorders>
          <w:top w:val="double" w:sz="6" w:space="0" w:color="75BDA7" w:themeColor="accent3"/>
          <w:left w:val="single" w:sz="8" w:space="0" w:color="75BDA7" w:themeColor="accent3"/>
          <w:bottom w:val="single" w:sz="8" w:space="0" w:color="75BDA7" w:themeColor="accent3"/>
          <w:right w:val="single" w:sz="8" w:space="0" w:color="75BDA7" w:themeColor="accent3"/>
        </w:tcBorders>
      </w:tcPr>
    </w:tblStylePr>
    <w:tblStylePr w:type="firstCol">
      <w:rPr>
        <w:b/>
        <w:bCs/>
      </w:rPr>
    </w:tblStylePr>
    <w:tblStylePr w:type="lastCol">
      <w:rPr>
        <w:b/>
        <w:bCs/>
      </w:rPr>
    </w:tblStylePr>
    <w:tblStylePr w:type="band1Vert">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tblStylePr w:type="band1Horz">
      <w:tblPr/>
      <w:tcPr>
        <w:tcBorders>
          <w:top w:val="single" w:sz="8" w:space="0" w:color="75BDA7" w:themeColor="accent3"/>
          <w:left w:val="single" w:sz="8" w:space="0" w:color="75BDA7" w:themeColor="accent3"/>
          <w:bottom w:val="single" w:sz="8" w:space="0" w:color="75BDA7" w:themeColor="accent3"/>
          <w:right w:val="single" w:sz="8" w:space="0" w:color="75BDA7" w:themeColor="accent3"/>
        </w:tcBorders>
      </w:tcPr>
    </w:tblStylePr>
  </w:style>
  <w:style w:type="table" w:styleId="-44">
    <w:name w:val="Light List Accent 4"/>
    <w:basedOn w:val="a4"/>
    <w:uiPriority w:val="61"/>
    <w:semiHidden/>
    <w:unhideWhenUsed/>
    <w:rsid w:val="004230D9"/>
    <w:pPr>
      <w:spacing w:after="0" w:line="240" w:lineRule="auto"/>
    </w:p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pPr>
        <w:spacing w:before="0" w:after="0" w:line="240" w:lineRule="auto"/>
      </w:pPr>
      <w:rPr>
        <w:b/>
        <w:bCs/>
        <w:color w:val="FFFFFF" w:themeColor="background1"/>
      </w:rPr>
      <w:tblPr/>
      <w:tcPr>
        <w:shd w:val="clear" w:color="auto" w:fill="7A8C8E" w:themeFill="accent4"/>
      </w:tcPr>
    </w:tblStylePr>
    <w:tblStylePr w:type="lastRow">
      <w:pPr>
        <w:spacing w:before="0" w:after="0" w:line="240" w:lineRule="auto"/>
      </w:pPr>
      <w:rPr>
        <w:b/>
        <w:bCs/>
      </w:rPr>
      <w:tblPr/>
      <w:tcPr>
        <w:tcBorders>
          <w:top w:val="double" w:sz="6" w:space="0" w:color="7A8C8E" w:themeColor="accent4"/>
          <w:left w:val="single" w:sz="8" w:space="0" w:color="7A8C8E" w:themeColor="accent4"/>
          <w:bottom w:val="single" w:sz="8" w:space="0" w:color="7A8C8E" w:themeColor="accent4"/>
          <w:right w:val="single" w:sz="8" w:space="0" w:color="7A8C8E" w:themeColor="accent4"/>
        </w:tcBorders>
      </w:tcPr>
    </w:tblStylePr>
    <w:tblStylePr w:type="firstCol">
      <w:rPr>
        <w:b/>
        <w:bCs/>
      </w:rPr>
    </w:tblStylePr>
    <w:tblStylePr w:type="lastCol">
      <w:rPr>
        <w:b/>
        <w:bCs/>
      </w:rPr>
    </w:tblStylePr>
    <w:tblStylePr w:type="band1Vert">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tblStylePr w:type="band1Horz">
      <w:tblPr/>
      <w:tcPr>
        <w:tcBorders>
          <w:top w:val="single" w:sz="8" w:space="0" w:color="7A8C8E" w:themeColor="accent4"/>
          <w:left w:val="single" w:sz="8" w:space="0" w:color="7A8C8E" w:themeColor="accent4"/>
          <w:bottom w:val="single" w:sz="8" w:space="0" w:color="7A8C8E" w:themeColor="accent4"/>
          <w:right w:val="single" w:sz="8" w:space="0" w:color="7A8C8E" w:themeColor="accent4"/>
        </w:tcBorders>
      </w:tcPr>
    </w:tblStylePr>
  </w:style>
  <w:style w:type="table" w:styleId="-54">
    <w:name w:val="Light List Accent 5"/>
    <w:basedOn w:val="a4"/>
    <w:uiPriority w:val="61"/>
    <w:semiHidden/>
    <w:unhideWhenUsed/>
    <w:rsid w:val="004230D9"/>
    <w:pPr>
      <w:spacing w:after="0" w:line="240" w:lineRule="auto"/>
    </w:p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pPr>
        <w:spacing w:before="0" w:after="0" w:line="240" w:lineRule="auto"/>
      </w:pPr>
      <w:rPr>
        <w:b/>
        <w:bCs/>
        <w:color w:val="FFFFFF" w:themeColor="background1"/>
      </w:rPr>
      <w:tblPr/>
      <w:tcPr>
        <w:shd w:val="clear" w:color="auto" w:fill="84ACB6" w:themeFill="accent5"/>
      </w:tcPr>
    </w:tblStylePr>
    <w:tblStylePr w:type="lastRow">
      <w:pPr>
        <w:spacing w:before="0" w:after="0" w:line="240" w:lineRule="auto"/>
      </w:pPr>
      <w:rPr>
        <w:b/>
        <w:bCs/>
      </w:rPr>
      <w:tblPr/>
      <w:tcPr>
        <w:tcBorders>
          <w:top w:val="double" w:sz="6" w:space="0" w:color="84ACB6" w:themeColor="accent5"/>
          <w:left w:val="single" w:sz="8" w:space="0" w:color="84ACB6" w:themeColor="accent5"/>
          <w:bottom w:val="single" w:sz="8" w:space="0" w:color="84ACB6" w:themeColor="accent5"/>
          <w:right w:val="single" w:sz="8" w:space="0" w:color="84ACB6" w:themeColor="accent5"/>
        </w:tcBorders>
      </w:tcPr>
    </w:tblStylePr>
    <w:tblStylePr w:type="firstCol">
      <w:rPr>
        <w:b/>
        <w:bCs/>
      </w:rPr>
    </w:tblStylePr>
    <w:tblStylePr w:type="lastCol">
      <w:rPr>
        <w:b/>
        <w:bCs/>
      </w:rPr>
    </w:tblStylePr>
    <w:tblStylePr w:type="band1Vert">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tblStylePr w:type="band1Horz">
      <w:tblPr/>
      <w:tcPr>
        <w:tcBorders>
          <w:top w:val="single" w:sz="8" w:space="0" w:color="84ACB6" w:themeColor="accent5"/>
          <w:left w:val="single" w:sz="8" w:space="0" w:color="84ACB6" w:themeColor="accent5"/>
          <w:bottom w:val="single" w:sz="8" w:space="0" w:color="84ACB6" w:themeColor="accent5"/>
          <w:right w:val="single" w:sz="8" w:space="0" w:color="84ACB6" w:themeColor="accent5"/>
        </w:tcBorders>
      </w:tcPr>
    </w:tblStylePr>
  </w:style>
  <w:style w:type="table" w:styleId="-64">
    <w:name w:val="Light List Accent 6"/>
    <w:basedOn w:val="a4"/>
    <w:uiPriority w:val="61"/>
    <w:semiHidden/>
    <w:unhideWhenUsed/>
    <w:rsid w:val="004230D9"/>
    <w:pPr>
      <w:spacing w:after="0" w:line="240" w:lineRule="auto"/>
    </w:p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pPr>
        <w:spacing w:before="0" w:after="0" w:line="240" w:lineRule="auto"/>
      </w:pPr>
      <w:rPr>
        <w:b/>
        <w:bCs/>
        <w:color w:val="FFFFFF" w:themeColor="background1"/>
      </w:rPr>
      <w:tblPr/>
      <w:tcPr>
        <w:shd w:val="clear" w:color="auto" w:fill="2683C6" w:themeFill="accent6"/>
      </w:tcPr>
    </w:tblStylePr>
    <w:tblStylePr w:type="lastRow">
      <w:pPr>
        <w:spacing w:before="0" w:after="0" w:line="240" w:lineRule="auto"/>
      </w:pPr>
      <w:rPr>
        <w:b/>
        <w:bCs/>
      </w:rPr>
      <w:tblPr/>
      <w:tcPr>
        <w:tcBorders>
          <w:top w:val="double" w:sz="6" w:space="0" w:color="2683C6" w:themeColor="accent6"/>
          <w:left w:val="single" w:sz="8" w:space="0" w:color="2683C6" w:themeColor="accent6"/>
          <w:bottom w:val="single" w:sz="8" w:space="0" w:color="2683C6" w:themeColor="accent6"/>
          <w:right w:val="single" w:sz="8" w:space="0" w:color="2683C6" w:themeColor="accent6"/>
        </w:tcBorders>
      </w:tcPr>
    </w:tblStylePr>
    <w:tblStylePr w:type="firstCol">
      <w:rPr>
        <w:b/>
        <w:bCs/>
      </w:rPr>
    </w:tblStylePr>
    <w:tblStylePr w:type="lastCol">
      <w:rPr>
        <w:b/>
        <w:bCs/>
      </w:rPr>
    </w:tblStylePr>
    <w:tblStylePr w:type="band1Vert">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tblStylePr w:type="band1Horz">
      <w:tblPr/>
      <w:tcPr>
        <w:tcBorders>
          <w:top w:val="single" w:sz="8" w:space="0" w:color="2683C6" w:themeColor="accent6"/>
          <w:left w:val="single" w:sz="8" w:space="0" w:color="2683C6" w:themeColor="accent6"/>
          <w:bottom w:val="single" w:sz="8" w:space="0" w:color="2683C6" w:themeColor="accent6"/>
          <w:right w:val="single" w:sz="8" w:space="0" w:color="2683C6" w:themeColor="accent6"/>
        </w:tcBorders>
      </w:tcPr>
    </w:tblStylePr>
  </w:style>
  <w:style w:type="table" w:styleId="afffff0">
    <w:name w:val="Light Shading"/>
    <w:basedOn w:val="a4"/>
    <w:uiPriority w:val="60"/>
    <w:semiHidden/>
    <w:unhideWhenUsed/>
    <w:rsid w:val="004230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5">
    <w:name w:val="Light Shading Accent 1"/>
    <w:basedOn w:val="a4"/>
    <w:uiPriority w:val="60"/>
    <w:semiHidden/>
    <w:unhideWhenUsed/>
    <w:rsid w:val="004230D9"/>
    <w:pPr>
      <w:spacing w:after="0" w:line="240" w:lineRule="auto"/>
    </w:pPr>
    <w:rPr>
      <w:color w:val="276E8B" w:themeColor="accent1" w:themeShade="BF"/>
    </w:rPr>
    <w:tblPr>
      <w:tblStyleRowBandSize w:val="1"/>
      <w:tblStyleColBandSize w:val="1"/>
      <w:tblBorders>
        <w:top w:val="single" w:sz="8" w:space="0" w:color="3494BA" w:themeColor="accent1"/>
        <w:bottom w:val="single" w:sz="8" w:space="0" w:color="3494BA" w:themeColor="accent1"/>
      </w:tblBorders>
    </w:tblPr>
    <w:tblStylePr w:type="fir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lastRow">
      <w:pPr>
        <w:spacing w:before="0" w:after="0" w:line="240" w:lineRule="auto"/>
      </w:pPr>
      <w:rPr>
        <w:b/>
        <w:bCs/>
      </w:rPr>
      <w:tblPr/>
      <w:tcPr>
        <w:tcBorders>
          <w:top w:val="single" w:sz="8" w:space="0" w:color="3494BA" w:themeColor="accent1"/>
          <w:left w:val="nil"/>
          <w:bottom w:val="single" w:sz="8" w:space="0" w:color="3494BA"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left w:val="nil"/>
          <w:right w:val="nil"/>
          <w:insideH w:val="nil"/>
          <w:insideV w:val="nil"/>
        </w:tcBorders>
        <w:shd w:val="clear" w:color="auto" w:fill="CAE5F0" w:themeFill="accent1" w:themeFillTint="3F"/>
      </w:tcPr>
    </w:tblStylePr>
  </w:style>
  <w:style w:type="table" w:styleId="-25">
    <w:name w:val="Light Shading Accent 2"/>
    <w:basedOn w:val="a4"/>
    <w:uiPriority w:val="60"/>
    <w:semiHidden/>
    <w:unhideWhenUsed/>
    <w:rsid w:val="004230D9"/>
    <w:pPr>
      <w:spacing w:after="0" w:line="240" w:lineRule="auto"/>
    </w:pPr>
    <w:rPr>
      <w:color w:val="398E98" w:themeColor="accent2" w:themeShade="BF"/>
    </w:rPr>
    <w:tblPr>
      <w:tblStyleRowBandSize w:val="1"/>
      <w:tblStyleColBandSize w:val="1"/>
      <w:tblBorders>
        <w:top w:val="single" w:sz="8" w:space="0" w:color="58B6C0" w:themeColor="accent2"/>
        <w:bottom w:val="single" w:sz="8" w:space="0" w:color="58B6C0" w:themeColor="accent2"/>
      </w:tblBorders>
    </w:tblPr>
    <w:tblStylePr w:type="fir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lastRow">
      <w:pPr>
        <w:spacing w:before="0" w:after="0" w:line="240" w:lineRule="auto"/>
      </w:pPr>
      <w:rPr>
        <w:b/>
        <w:bCs/>
      </w:rPr>
      <w:tblPr/>
      <w:tcPr>
        <w:tcBorders>
          <w:top w:val="single" w:sz="8" w:space="0" w:color="58B6C0" w:themeColor="accent2"/>
          <w:left w:val="nil"/>
          <w:bottom w:val="single" w:sz="8" w:space="0" w:color="58B6C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left w:val="nil"/>
          <w:right w:val="nil"/>
          <w:insideH w:val="nil"/>
          <w:insideV w:val="nil"/>
        </w:tcBorders>
        <w:shd w:val="clear" w:color="auto" w:fill="D5ECEF" w:themeFill="accent2" w:themeFillTint="3F"/>
      </w:tcPr>
    </w:tblStylePr>
  </w:style>
  <w:style w:type="table" w:styleId="-35">
    <w:name w:val="Light Shading Accent 3"/>
    <w:basedOn w:val="a4"/>
    <w:uiPriority w:val="60"/>
    <w:semiHidden/>
    <w:unhideWhenUsed/>
    <w:rsid w:val="004230D9"/>
    <w:pPr>
      <w:spacing w:after="0" w:line="240" w:lineRule="auto"/>
    </w:pPr>
    <w:rPr>
      <w:color w:val="4A9A82" w:themeColor="accent3" w:themeShade="BF"/>
    </w:rPr>
    <w:tblPr>
      <w:tblStyleRowBandSize w:val="1"/>
      <w:tblStyleColBandSize w:val="1"/>
      <w:tblBorders>
        <w:top w:val="single" w:sz="8" w:space="0" w:color="75BDA7" w:themeColor="accent3"/>
        <w:bottom w:val="single" w:sz="8" w:space="0" w:color="75BDA7" w:themeColor="accent3"/>
      </w:tblBorders>
    </w:tblPr>
    <w:tblStylePr w:type="fir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lastRow">
      <w:pPr>
        <w:spacing w:before="0" w:after="0" w:line="240" w:lineRule="auto"/>
      </w:pPr>
      <w:rPr>
        <w:b/>
        <w:bCs/>
      </w:rPr>
      <w:tblPr/>
      <w:tcPr>
        <w:tcBorders>
          <w:top w:val="single" w:sz="8" w:space="0" w:color="75BDA7" w:themeColor="accent3"/>
          <w:left w:val="nil"/>
          <w:bottom w:val="single" w:sz="8" w:space="0" w:color="75BDA7"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left w:val="nil"/>
          <w:right w:val="nil"/>
          <w:insideH w:val="nil"/>
          <w:insideV w:val="nil"/>
        </w:tcBorders>
        <w:shd w:val="clear" w:color="auto" w:fill="DCEEE9" w:themeFill="accent3" w:themeFillTint="3F"/>
      </w:tcPr>
    </w:tblStylePr>
  </w:style>
  <w:style w:type="table" w:styleId="-45">
    <w:name w:val="Light Shading Accent 4"/>
    <w:basedOn w:val="a4"/>
    <w:uiPriority w:val="60"/>
    <w:semiHidden/>
    <w:unhideWhenUsed/>
    <w:rsid w:val="004230D9"/>
    <w:pPr>
      <w:spacing w:after="0" w:line="240" w:lineRule="auto"/>
    </w:pPr>
    <w:rPr>
      <w:color w:val="5A696A" w:themeColor="accent4" w:themeShade="BF"/>
    </w:rPr>
    <w:tblPr>
      <w:tblStyleRowBandSize w:val="1"/>
      <w:tblStyleColBandSize w:val="1"/>
      <w:tblBorders>
        <w:top w:val="single" w:sz="8" w:space="0" w:color="7A8C8E" w:themeColor="accent4"/>
        <w:bottom w:val="single" w:sz="8" w:space="0" w:color="7A8C8E" w:themeColor="accent4"/>
      </w:tblBorders>
    </w:tblPr>
    <w:tblStylePr w:type="fir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lastRow">
      <w:pPr>
        <w:spacing w:before="0" w:after="0" w:line="240" w:lineRule="auto"/>
      </w:pPr>
      <w:rPr>
        <w:b/>
        <w:bCs/>
      </w:rPr>
      <w:tblPr/>
      <w:tcPr>
        <w:tcBorders>
          <w:top w:val="single" w:sz="8" w:space="0" w:color="7A8C8E" w:themeColor="accent4"/>
          <w:left w:val="nil"/>
          <w:bottom w:val="single" w:sz="8" w:space="0" w:color="7A8C8E"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left w:val="nil"/>
          <w:right w:val="nil"/>
          <w:insideH w:val="nil"/>
          <w:insideV w:val="nil"/>
        </w:tcBorders>
        <w:shd w:val="clear" w:color="auto" w:fill="DEE2E3" w:themeFill="accent4" w:themeFillTint="3F"/>
      </w:tcPr>
    </w:tblStylePr>
  </w:style>
  <w:style w:type="table" w:styleId="-55">
    <w:name w:val="Light Shading Accent 5"/>
    <w:basedOn w:val="a4"/>
    <w:uiPriority w:val="60"/>
    <w:semiHidden/>
    <w:unhideWhenUsed/>
    <w:rsid w:val="004230D9"/>
    <w:pPr>
      <w:spacing w:after="0" w:line="240" w:lineRule="auto"/>
    </w:pPr>
    <w:rPr>
      <w:color w:val="578793" w:themeColor="accent5" w:themeShade="BF"/>
    </w:rPr>
    <w:tblPr>
      <w:tblStyleRowBandSize w:val="1"/>
      <w:tblStyleColBandSize w:val="1"/>
      <w:tblBorders>
        <w:top w:val="single" w:sz="8" w:space="0" w:color="84ACB6" w:themeColor="accent5"/>
        <w:bottom w:val="single" w:sz="8" w:space="0" w:color="84ACB6" w:themeColor="accent5"/>
      </w:tblBorders>
    </w:tblPr>
    <w:tblStylePr w:type="fir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lastRow">
      <w:pPr>
        <w:spacing w:before="0" w:after="0" w:line="240" w:lineRule="auto"/>
      </w:pPr>
      <w:rPr>
        <w:b/>
        <w:bCs/>
      </w:rPr>
      <w:tblPr/>
      <w:tcPr>
        <w:tcBorders>
          <w:top w:val="single" w:sz="8" w:space="0" w:color="84ACB6" w:themeColor="accent5"/>
          <w:left w:val="nil"/>
          <w:bottom w:val="single" w:sz="8" w:space="0" w:color="84ACB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left w:val="nil"/>
          <w:right w:val="nil"/>
          <w:insideH w:val="nil"/>
          <w:insideV w:val="nil"/>
        </w:tcBorders>
        <w:shd w:val="clear" w:color="auto" w:fill="E0EAED" w:themeFill="accent5" w:themeFillTint="3F"/>
      </w:tcPr>
    </w:tblStylePr>
  </w:style>
  <w:style w:type="table" w:styleId="-65">
    <w:name w:val="Light Shading Accent 6"/>
    <w:basedOn w:val="a4"/>
    <w:uiPriority w:val="60"/>
    <w:semiHidden/>
    <w:unhideWhenUsed/>
    <w:rsid w:val="004230D9"/>
    <w:pPr>
      <w:spacing w:after="0" w:line="240" w:lineRule="auto"/>
    </w:pPr>
    <w:rPr>
      <w:color w:val="1C6194" w:themeColor="accent6" w:themeShade="BF"/>
    </w:rPr>
    <w:tblPr>
      <w:tblStyleRowBandSize w:val="1"/>
      <w:tblStyleColBandSize w:val="1"/>
      <w:tblBorders>
        <w:top w:val="single" w:sz="8" w:space="0" w:color="2683C6" w:themeColor="accent6"/>
        <w:bottom w:val="single" w:sz="8" w:space="0" w:color="2683C6" w:themeColor="accent6"/>
      </w:tblBorders>
    </w:tblPr>
    <w:tblStylePr w:type="fir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lastRow">
      <w:pPr>
        <w:spacing w:before="0" w:after="0" w:line="240" w:lineRule="auto"/>
      </w:pPr>
      <w:rPr>
        <w:b/>
        <w:bCs/>
      </w:rPr>
      <w:tblPr/>
      <w:tcPr>
        <w:tcBorders>
          <w:top w:val="single" w:sz="8" w:space="0" w:color="2683C6" w:themeColor="accent6"/>
          <w:left w:val="nil"/>
          <w:bottom w:val="single" w:sz="8" w:space="0" w:color="2683C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left w:val="nil"/>
          <w:right w:val="nil"/>
          <w:insideH w:val="nil"/>
          <w:insideV w:val="nil"/>
        </w:tcBorders>
        <w:shd w:val="clear" w:color="auto" w:fill="C5E0F4" w:themeFill="accent6" w:themeFillTint="3F"/>
      </w:tcPr>
    </w:tblStylePr>
  </w:style>
  <w:style w:type="paragraph" w:styleId="afffff1">
    <w:name w:val="List"/>
    <w:basedOn w:val="a2"/>
    <w:uiPriority w:val="99"/>
    <w:semiHidden/>
    <w:unhideWhenUsed/>
    <w:rsid w:val="004230D9"/>
    <w:pPr>
      <w:ind w:left="360" w:hanging="360"/>
      <w:contextualSpacing/>
    </w:pPr>
  </w:style>
  <w:style w:type="paragraph" w:styleId="2d">
    <w:name w:val="List 2"/>
    <w:basedOn w:val="a2"/>
    <w:uiPriority w:val="99"/>
    <w:semiHidden/>
    <w:unhideWhenUsed/>
    <w:rsid w:val="004230D9"/>
    <w:pPr>
      <w:ind w:left="720" w:hanging="360"/>
      <w:contextualSpacing/>
    </w:pPr>
  </w:style>
  <w:style w:type="paragraph" w:styleId="37">
    <w:name w:val="List 3"/>
    <w:basedOn w:val="a2"/>
    <w:uiPriority w:val="99"/>
    <w:semiHidden/>
    <w:unhideWhenUsed/>
    <w:rsid w:val="004230D9"/>
    <w:pPr>
      <w:ind w:left="1080" w:hanging="360"/>
      <w:contextualSpacing/>
    </w:pPr>
  </w:style>
  <w:style w:type="paragraph" w:styleId="44">
    <w:name w:val="List 4"/>
    <w:basedOn w:val="a2"/>
    <w:uiPriority w:val="99"/>
    <w:semiHidden/>
    <w:unhideWhenUsed/>
    <w:rsid w:val="004230D9"/>
    <w:pPr>
      <w:ind w:left="1440" w:hanging="360"/>
      <w:contextualSpacing/>
    </w:pPr>
  </w:style>
  <w:style w:type="paragraph" w:styleId="54">
    <w:name w:val="List 5"/>
    <w:basedOn w:val="a2"/>
    <w:uiPriority w:val="99"/>
    <w:semiHidden/>
    <w:unhideWhenUsed/>
    <w:rsid w:val="004230D9"/>
    <w:pPr>
      <w:ind w:left="1800" w:hanging="360"/>
      <w:contextualSpacing/>
    </w:pPr>
  </w:style>
  <w:style w:type="paragraph" w:styleId="2">
    <w:name w:val="List Bullet 2"/>
    <w:basedOn w:val="a2"/>
    <w:uiPriority w:val="99"/>
    <w:semiHidden/>
    <w:unhideWhenUsed/>
    <w:rsid w:val="004230D9"/>
    <w:pPr>
      <w:numPr>
        <w:numId w:val="2"/>
      </w:numPr>
      <w:contextualSpacing/>
    </w:pPr>
  </w:style>
  <w:style w:type="paragraph" w:styleId="30">
    <w:name w:val="List Bullet 3"/>
    <w:basedOn w:val="a2"/>
    <w:uiPriority w:val="99"/>
    <w:semiHidden/>
    <w:unhideWhenUsed/>
    <w:rsid w:val="004230D9"/>
    <w:pPr>
      <w:numPr>
        <w:numId w:val="3"/>
      </w:numPr>
      <w:contextualSpacing/>
    </w:pPr>
  </w:style>
  <w:style w:type="paragraph" w:styleId="40">
    <w:name w:val="List Bullet 4"/>
    <w:basedOn w:val="a2"/>
    <w:uiPriority w:val="99"/>
    <w:semiHidden/>
    <w:unhideWhenUsed/>
    <w:rsid w:val="004230D9"/>
    <w:pPr>
      <w:numPr>
        <w:numId w:val="4"/>
      </w:numPr>
      <w:contextualSpacing/>
    </w:pPr>
  </w:style>
  <w:style w:type="paragraph" w:styleId="50">
    <w:name w:val="List Bullet 5"/>
    <w:basedOn w:val="a2"/>
    <w:uiPriority w:val="99"/>
    <w:semiHidden/>
    <w:unhideWhenUsed/>
    <w:rsid w:val="004230D9"/>
    <w:pPr>
      <w:numPr>
        <w:numId w:val="5"/>
      </w:numPr>
      <w:contextualSpacing/>
    </w:pPr>
  </w:style>
  <w:style w:type="paragraph" w:styleId="afffff2">
    <w:name w:val="List Continue"/>
    <w:basedOn w:val="a2"/>
    <w:uiPriority w:val="99"/>
    <w:semiHidden/>
    <w:unhideWhenUsed/>
    <w:rsid w:val="004230D9"/>
    <w:pPr>
      <w:spacing w:after="120"/>
      <w:ind w:left="360"/>
      <w:contextualSpacing/>
    </w:pPr>
  </w:style>
  <w:style w:type="paragraph" w:styleId="2e">
    <w:name w:val="List Continue 2"/>
    <w:basedOn w:val="a2"/>
    <w:uiPriority w:val="99"/>
    <w:semiHidden/>
    <w:unhideWhenUsed/>
    <w:rsid w:val="004230D9"/>
    <w:pPr>
      <w:spacing w:after="120"/>
      <w:ind w:left="720"/>
      <w:contextualSpacing/>
    </w:pPr>
  </w:style>
  <w:style w:type="paragraph" w:styleId="38">
    <w:name w:val="List Continue 3"/>
    <w:basedOn w:val="a2"/>
    <w:uiPriority w:val="99"/>
    <w:semiHidden/>
    <w:unhideWhenUsed/>
    <w:rsid w:val="004230D9"/>
    <w:pPr>
      <w:spacing w:after="120"/>
      <w:ind w:left="1080"/>
      <w:contextualSpacing/>
    </w:pPr>
  </w:style>
  <w:style w:type="paragraph" w:styleId="45">
    <w:name w:val="List Continue 4"/>
    <w:basedOn w:val="a2"/>
    <w:uiPriority w:val="99"/>
    <w:semiHidden/>
    <w:unhideWhenUsed/>
    <w:rsid w:val="004230D9"/>
    <w:pPr>
      <w:spacing w:after="120"/>
      <w:ind w:left="1440"/>
      <w:contextualSpacing/>
    </w:pPr>
  </w:style>
  <w:style w:type="paragraph" w:styleId="55">
    <w:name w:val="List Continue 5"/>
    <w:basedOn w:val="a2"/>
    <w:uiPriority w:val="99"/>
    <w:semiHidden/>
    <w:unhideWhenUsed/>
    <w:rsid w:val="004230D9"/>
    <w:pPr>
      <w:spacing w:after="120"/>
      <w:ind w:left="1800"/>
      <w:contextualSpacing/>
    </w:pPr>
  </w:style>
  <w:style w:type="paragraph" w:styleId="3">
    <w:name w:val="List Number 3"/>
    <w:basedOn w:val="a2"/>
    <w:uiPriority w:val="99"/>
    <w:semiHidden/>
    <w:unhideWhenUsed/>
    <w:rsid w:val="004230D9"/>
    <w:pPr>
      <w:numPr>
        <w:numId w:val="6"/>
      </w:numPr>
      <w:contextualSpacing/>
    </w:pPr>
  </w:style>
  <w:style w:type="paragraph" w:styleId="4">
    <w:name w:val="List Number 4"/>
    <w:basedOn w:val="a2"/>
    <w:uiPriority w:val="99"/>
    <w:semiHidden/>
    <w:unhideWhenUsed/>
    <w:rsid w:val="004230D9"/>
    <w:pPr>
      <w:numPr>
        <w:numId w:val="7"/>
      </w:numPr>
      <w:contextualSpacing/>
    </w:pPr>
  </w:style>
  <w:style w:type="paragraph" w:styleId="5">
    <w:name w:val="List Number 5"/>
    <w:basedOn w:val="a2"/>
    <w:uiPriority w:val="99"/>
    <w:semiHidden/>
    <w:unhideWhenUsed/>
    <w:rsid w:val="004230D9"/>
    <w:pPr>
      <w:numPr>
        <w:numId w:val="8"/>
      </w:numPr>
      <w:contextualSpacing/>
    </w:pPr>
  </w:style>
  <w:style w:type="table" w:customStyle="1" w:styleId="-112">
    <w:name w:val="Список-таблица 1 светлая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10">
    <w:name w:val="Список-таблица 1 светлая — акцент 1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FC0DB" w:themeColor="accent1" w:themeTint="99"/>
        </w:tcBorders>
      </w:tcPr>
    </w:tblStylePr>
    <w:tblStylePr w:type="lastRow">
      <w:rPr>
        <w:b/>
        <w:bCs/>
      </w:rPr>
      <w:tblPr/>
      <w:tcPr>
        <w:tcBorders>
          <w:top w:val="sing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1210">
    <w:name w:val="Список-таблица 1 светлая — акцент 2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9AD3D9" w:themeColor="accent2" w:themeTint="99"/>
        </w:tcBorders>
      </w:tcPr>
    </w:tblStylePr>
    <w:tblStylePr w:type="lastRow">
      <w:rPr>
        <w:b/>
        <w:bCs/>
      </w:rPr>
      <w:tblPr/>
      <w:tcPr>
        <w:tcBorders>
          <w:top w:val="sing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1310">
    <w:name w:val="Список-таблица 1 светлая — акцент 3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CD7CA" w:themeColor="accent3" w:themeTint="99"/>
        </w:tcBorders>
      </w:tcPr>
    </w:tblStylePr>
    <w:tblStylePr w:type="lastRow">
      <w:rPr>
        <w:b/>
        <w:bCs/>
      </w:rPr>
      <w:tblPr/>
      <w:tcPr>
        <w:tcBorders>
          <w:top w:val="sing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1410">
    <w:name w:val="Список-таблица 1 светлая — акцент 4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AFB9BB" w:themeColor="accent4" w:themeTint="99"/>
        </w:tcBorders>
      </w:tcPr>
    </w:tblStylePr>
    <w:tblStylePr w:type="lastRow">
      <w:rPr>
        <w:b/>
        <w:bCs/>
      </w:rPr>
      <w:tblPr/>
      <w:tcPr>
        <w:tcBorders>
          <w:top w:val="sing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1510">
    <w:name w:val="Список-таблица 1 светлая — акцент 5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B5CDD3" w:themeColor="accent5" w:themeTint="99"/>
        </w:tcBorders>
      </w:tcPr>
    </w:tblStylePr>
    <w:tblStylePr w:type="lastRow">
      <w:rPr>
        <w:b/>
        <w:bCs/>
      </w:rPr>
      <w:tblPr/>
      <w:tcPr>
        <w:tcBorders>
          <w:top w:val="sing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1610">
    <w:name w:val="Список-таблица 1 светлая — акцент 61"/>
    <w:basedOn w:val="a4"/>
    <w:uiPriority w:val="46"/>
    <w:rsid w:val="004230D9"/>
    <w:pPr>
      <w:spacing w:after="0" w:line="240" w:lineRule="auto"/>
    </w:pPr>
    <w:tblPr>
      <w:tblStyleRowBandSize w:val="1"/>
      <w:tblStyleColBandSize w:val="1"/>
    </w:tblPr>
    <w:tblStylePr w:type="firstRow">
      <w:rPr>
        <w:b/>
        <w:bCs/>
      </w:rPr>
      <w:tblPr/>
      <w:tcPr>
        <w:tcBorders>
          <w:bottom w:val="single" w:sz="4" w:space="0" w:color="74B5E4" w:themeColor="accent6" w:themeTint="99"/>
        </w:tcBorders>
      </w:tcPr>
    </w:tblStylePr>
    <w:tblStylePr w:type="lastRow">
      <w:rPr>
        <w:b/>
        <w:bCs/>
      </w:rPr>
      <w:tblPr/>
      <w:tcPr>
        <w:tcBorders>
          <w:top w:val="sing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212">
    <w:name w:val="Список-таблица 21"/>
    <w:basedOn w:val="a4"/>
    <w:uiPriority w:val="47"/>
    <w:rsid w:val="004230D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2110">
    <w:name w:val="Список-таблица 2 — акцент 11"/>
    <w:basedOn w:val="a4"/>
    <w:uiPriority w:val="47"/>
    <w:rsid w:val="004230D9"/>
    <w:pPr>
      <w:spacing w:after="0" w:line="240" w:lineRule="auto"/>
    </w:pPr>
    <w:tblPr>
      <w:tblStyleRowBandSize w:val="1"/>
      <w:tblStyleColBandSize w:val="1"/>
      <w:tblBorders>
        <w:top w:val="single" w:sz="4" w:space="0" w:color="7FC0DB" w:themeColor="accent1" w:themeTint="99"/>
        <w:bottom w:val="single" w:sz="4" w:space="0" w:color="7FC0DB" w:themeColor="accent1" w:themeTint="99"/>
        <w:insideH w:val="single" w:sz="4" w:space="0" w:color="7FC0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2210">
    <w:name w:val="Список-таблица 2 — акцент 21"/>
    <w:basedOn w:val="a4"/>
    <w:uiPriority w:val="47"/>
    <w:rsid w:val="004230D9"/>
    <w:pPr>
      <w:spacing w:after="0" w:line="240" w:lineRule="auto"/>
    </w:pPr>
    <w:tblPr>
      <w:tblStyleRowBandSize w:val="1"/>
      <w:tblStyleColBandSize w:val="1"/>
      <w:tblBorders>
        <w:top w:val="single" w:sz="4" w:space="0" w:color="9AD3D9" w:themeColor="accent2" w:themeTint="99"/>
        <w:bottom w:val="single" w:sz="4" w:space="0" w:color="9AD3D9" w:themeColor="accent2" w:themeTint="99"/>
        <w:insideH w:val="single" w:sz="4" w:space="0" w:color="9AD3D9"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2310">
    <w:name w:val="Список-таблица 2 — акцент 31"/>
    <w:basedOn w:val="a4"/>
    <w:uiPriority w:val="47"/>
    <w:rsid w:val="004230D9"/>
    <w:pPr>
      <w:spacing w:after="0" w:line="240" w:lineRule="auto"/>
    </w:pPr>
    <w:tblPr>
      <w:tblStyleRowBandSize w:val="1"/>
      <w:tblStyleColBandSize w:val="1"/>
      <w:tblBorders>
        <w:top w:val="single" w:sz="4" w:space="0" w:color="ACD7CA" w:themeColor="accent3" w:themeTint="99"/>
        <w:bottom w:val="single" w:sz="4" w:space="0" w:color="ACD7CA" w:themeColor="accent3" w:themeTint="99"/>
        <w:insideH w:val="single" w:sz="4" w:space="0" w:color="ACD7CA"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2410">
    <w:name w:val="Список-таблица 2 — акцент 41"/>
    <w:basedOn w:val="a4"/>
    <w:uiPriority w:val="47"/>
    <w:rsid w:val="004230D9"/>
    <w:pPr>
      <w:spacing w:after="0" w:line="240" w:lineRule="auto"/>
    </w:pPr>
    <w:tblPr>
      <w:tblStyleRowBandSize w:val="1"/>
      <w:tblStyleColBandSize w:val="1"/>
      <w:tblBorders>
        <w:top w:val="single" w:sz="4" w:space="0" w:color="AFB9BB" w:themeColor="accent4" w:themeTint="99"/>
        <w:bottom w:val="single" w:sz="4" w:space="0" w:color="AFB9BB" w:themeColor="accent4" w:themeTint="99"/>
        <w:insideH w:val="single" w:sz="4" w:space="0" w:color="AFB9BB"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2510">
    <w:name w:val="Список-таблица 2 — акцент 51"/>
    <w:basedOn w:val="a4"/>
    <w:uiPriority w:val="47"/>
    <w:rsid w:val="004230D9"/>
    <w:pPr>
      <w:spacing w:after="0" w:line="240" w:lineRule="auto"/>
    </w:pPr>
    <w:tblPr>
      <w:tblStyleRowBandSize w:val="1"/>
      <w:tblStyleColBandSize w:val="1"/>
      <w:tblBorders>
        <w:top w:val="single" w:sz="4" w:space="0" w:color="B5CDD3" w:themeColor="accent5" w:themeTint="99"/>
        <w:bottom w:val="single" w:sz="4" w:space="0" w:color="B5CDD3" w:themeColor="accent5" w:themeTint="99"/>
        <w:insideH w:val="single" w:sz="4" w:space="0" w:color="B5CDD3"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2610">
    <w:name w:val="Список-таблица 2 — акцент 61"/>
    <w:basedOn w:val="a4"/>
    <w:uiPriority w:val="47"/>
    <w:rsid w:val="004230D9"/>
    <w:pPr>
      <w:spacing w:after="0" w:line="240" w:lineRule="auto"/>
    </w:pPr>
    <w:tblPr>
      <w:tblStyleRowBandSize w:val="1"/>
      <w:tblStyleColBandSize w:val="1"/>
      <w:tblBorders>
        <w:top w:val="single" w:sz="4" w:space="0" w:color="74B5E4" w:themeColor="accent6" w:themeTint="99"/>
        <w:bottom w:val="single" w:sz="4" w:space="0" w:color="74B5E4" w:themeColor="accent6" w:themeTint="99"/>
        <w:insideH w:val="single" w:sz="4" w:space="0" w:color="74B5E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312">
    <w:name w:val="Список-таблица 31"/>
    <w:basedOn w:val="a4"/>
    <w:uiPriority w:val="48"/>
    <w:rsid w:val="004230D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3110">
    <w:name w:val="Список-таблица 3 — акцент 11"/>
    <w:basedOn w:val="a4"/>
    <w:uiPriority w:val="48"/>
    <w:rsid w:val="004230D9"/>
    <w:pPr>
      <w:spacing w:after="0" w:line="240" w:lineRule="auto"/>
    </w:pPr>
    <w:tblPr>
      <w:tblStyleRowBandSize w:val="1"/>
      <w:tblStyleColBandSize w:val="1"/>
      <w:tblBorders>
        <w:top w:val="single" w:sz="4" w:space="0" w:color="3494BA" w:themeColor="accent1"/>
        <w:left w:val="single" w:sz="4" w:space="0" w:color="3494BA" w:themeColor="accent1"/>
        <w:bottom w:val="single" w:sz="4" w:space="0" w:color="3494BA" w:themeColor="accent1"/>
        <w:right w:val="single" w:sz="4" w:space="0" w:color="3494BA" w:themeColor="accent1"/>
      </w:tblBorders>
    </w:tblPr>
    <w:tblStylePr w:type="firstRow">
      <w:rPr>
        <w:b/>
        <w:bCs/>
        <w:color w:val="FFFFFF" w:themeColor="background1"/>
      </w:rPr>
      <w:tblPr/>
      <w:tcPr>
        <w:shd w:val="clear" w:color="auto" w:fill="3494BA" w:themeFill="accent1"/>
      </w:tcPr>
    </w:tblStylePr>
    <w:tblStylePr w:type="lastRow">
      <w:rPr>
        <w:b/>
        <w:bCs/>
      </w:rPr>
      <w:tblPr/>
      <w:tcPr>
        <w:tcBorders>
          <w:top w:val="double" w:sz="4" w:space="0" w:color="3494BA"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494BA" w:themeColor="accent1"/>
          <w:right w:val="single" w:sz="4" w:space="0" w:color="3494BA" w:themeColor="accent1"/>
        </w:tcBorders>
      </w:tcPr>
    </w:tblStylePr>
    <w:tblStylePr w:type="band1Horz">
      <w:tblPr/>
      <w:tcPr>
        <w:tcBorders>
          <w:top w:val="single" w:sz="4" w:space="0" w:color="3494BA" w:themeColor="accent1"/>
          <w:bottom w:val="single" w:sz="4" w:space="0" w:color="3494BA"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494BA" w:themeColor="accent1"/>
          <w:left w:val="nil"/>
        </w:tcBorders>
      </w:tcPr>
    </w:tblStylePr>
    <w:tblStylePr w:type="swCell">
      <w:tblPr/>
      <w:tcPr>
        <w:tcBorders>
          <w:top w:val="double" w:sz="4" w:space="0" w:color="3494BA" w:themeColor="accent1"/>
          <w:right w:val="nil"/>
        </w:tcBorders>
      </w:tcPr>
    </w:tblStylePr>
  </w:style>
  <w:style w:type="table" w:customStyle="1" w:styleId="-3210">
    <w:name w:val="Список-таблица 3 — акцент 21"/>
    <w:basedOn w:val="a4"/>
    <w:uiPriority w:val="48"/>
    <w:rsid w:val="004230D9"/>
    <w:pPr>
      <w:spacing w:after="0" w:line="240" w:lineRule="auto"/>
    </w:pPr>
    <w:tblPr>
      <w:tblStyleRowBandSize w:val="1"/>
      <w:tblStyleColBandSize w:val="1"/>
      <w:tblBorders>
        <w:top w:val="single" w:sz="4" w:space="0" w:color="58B6C0" w:themeColor="accent2"/>
        <w:left w:val="single" w:sz="4" w:space="0" w:color="58B6C0" w:themeColor="accent2"/>
        <w:bottom w:val="single" w:sz="4" w:space="0" w:color="58B6C0" w:themeColor="accent2"/>
        <w:right w:val="single" w:sz="4" w:space="0" w:color="58B6C0" w:themeColor="accent2"/>
      </w:tblBorders>
    </w:tblPr>
    <w:tblStylePr w:type="firstRow">
      <w:rPr>
        <w:b/>
        <w:bCs/>
        <w:color w:val="FFFFFF" w:themeColor="background1"/>
      </w:rPr>
      <w:tblPr/>
      <w:tcPr>
        <w:shd w:val="clear" w:color="auto" w:fill="58B6C0" w:themeFill="accent2"/>
      </w:tcPr>
    </w:tblStylePr>
    <w:tblStylePr w:type="lastRow">
      <w:rPr>
        <w:b/>
        <w:bCs/>
      </w:rPr>
      <w:tblPr/>
      <w:tcPr>
        <w:tcBorders>
          <w:top w:val="double" w:sz="4" w:space="0" w:color="58B6C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8B6C0" w:themeColor="accent2"/>
          <w:right w:val="single" w:sz="4" w:space="0" w:color="58B6C0" w:themeColor="accent2"/>
        </w:tcBorders>
      </w:tcPr>
    </w:tblStylePr>
    <w:tblStylePr w:type="band1Horz">
      <w:tblPr/>
      <w:tcPr>
        <w:tcBorders>
          <w:top w:val="single" w:sz="4" w:space="0" w:color="58B6C0" w:themeColor="accent2"/>
          <w:bottom w:val="single" w:sz="4" w:space="0" w:color="58B6C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8B6C0" w:themeColor="accent2"/>
          <w:left w:val="nil"/>
        </w:tcBorders>
      </w:tcPr>
    </w:tblStylePr>
    <w:tblStylePr w:type="swCell">
      <w:tblPr/>
      <w:tcPr>
        <w:tcBorders>
          <w:top w:val="double" w:sz="4" w:space="0" w:color="58B6C0" w:themeColor="accent2"/>
          <w:right w:val="nil"/>
        </w:tcBorders>
      </w:tcPr>
    </w:tblStylePr>
  </w:style>
  <w:style w:type="table" w:customStyle="1" w:styleId="-3310">
    <w:name w:val="Список-таблица 3 — акцент 31"/>
    <w:basedOn w:val="a4"/>
    <w:uiPriority w:val="48"/>
    <w:rsid w:val="004230D9"/>
    <w:pPr>
      <w:spacing w:after="0" w:line="240" w:lineRule="auto"/>
    </w:pPr>
    <w:tblPr>
      <w:tblStyleRowBandSize w:val="1"/>
      <w:tblStyleColBandSize w:val="1"/>
      <w:tblBorders>
        <w:top w:val="single" w:sz="4" w:space="0" w:color="75BDA7" w:themeColor="accent3"/>
        <w:left w:val="single" w:sz="4" w:space="0" w:color="75BDA7" w:themeColor="accent3"/>
        <w:bottom w:val="single" w:sz="4" w:space="0" w:color="75BDA7" w:themeColor="accent3"/>
        <w:right w:val="single" w:sz="4" w:space="0" w:color="75BDA7" w:themeColor="accent3"/>
      </w:tblBorders>
    </w:tblPr>
    <w:tblStylePr w:type="firstRow">
      <w:rPr>
        <w:b/>
        <w:bCs/>
        <w:color w:val="FFFFFF" w:themeColor="background1"/>
      </w:rPr>
      <w:tblPr/>
      <w:tcPr>
        <w:shd w:val="clear" w:color="auto" w:fill="75BDA7" w:themeFill="accent3"/>
      </w:tcPr>
    </w:tblStylePr>
    <w:tblStylePr w:type="lastRow">
      <w:rPr>
        <w:b/>
        <w:bCs/>
      </w:rPr>
      <w:tblPr/>
      <w:tcPr>
        <w:tcBorders>
          <w:top w:val="double" w:sz="4" w:space="0" w:color="75BDA7"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5BDA7" w:themeColor="accent3"/>
          <w:right w:val="single" w:sz="4" w:space="0" w:color="75BDA7" w:themeColor="accent3"/>
        </w:tcBorders>
      </w:tcPr>
    </w:tblStylePr>
    <w:tblStylePr w:type="band1Horz">
      <w:tblPr/>
      <w:tcPr>
        <w:tcBorders>
          <w:top w:val="single" w:sz="4" w:space="0" w:color="75BDA7" w:themeColor="accent3"/>
          <w:bottom w:val="single" w:sz="4" w:space="0" w:color="75BDA7"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5BDA7" w:themeColor="accent3"/>
          <w:left w:val="nil"/>
        </w:tcBorders>
      </w:tcPr>
    </w:tblStylePr>
    <w:tblStylePr w:type="swCell">
      <w:tblPr/>
      <w:tcPr>
        <w:tcBorders>
          <w:top w:val="double" w:sz="4" w:space="0" w:color="75BDA7" w:themeColor="accent3"/>
          <w:right w:val="nil"/>
        </w:tcBorders>
      </w:tcPr>
    </w:tblStylePr>
  </w:style>
  <w:style w:type="table" w:customStyle="1" w:styleId="-3410">
    <w:name w:val="Список-таблица 3 — акцент 41"/>
    <w:basedOn w:val="a4"/>
    <w:uiPriority w:val="48"/>
    <w:rsid w:val="004230D9"/>
    <w:pPr>
      <w:spacing w:after="0" w:line="240" w:lineRule="auto"/>
    </w:pPr>
    <w:tblPr>
      <w:tblStyleRowBandSize w:val="1"/>
      <w:tblStyleColBandSize w:val="1"/>
      <w:tblBorders>
        <w:top w:val="single" w:sz="4" w:space="0" w:color="7A8C8E" w:themeColor="accent4"/>
        <w:left w:val="single" w:sz="4" w:space="0" w:color="7A8C8E" w:themeColor="accent4"/>
        <w:bottom w:val="single" w:sz="4" w:space="0" w:color="7A8C8E" w:themeColor="accent4"/>
        <w:right w:val="single" w:sz="4" w:space="0" w:color="7A8C8E" w:themeColor="accent4"/>
      </w:tblBorders>
    </w:tblPr>
    <w:tblStylePr w:type="firstRow">
      <w:rPr>
        <w:b/>
        <w:bCs/>
        <w:color w:val="FFFFFF" w:themeColor="background1"/>
      </w:rPr>
      <w:tblPr/>
      <w:tcPr>
        <w:shd w:val="clear" w:color="auto" w:fill="7A8C8E" w:themeFill="accent4"/>
      </w:tcPr>
    </w:tblStylePr>
    <w:tblStylePr w:type="lastRow">
      <w:rPr>
        <w:b/>
        <w:bCs/>
      </w:rPr>
      <w:tblPr/>
      <w:tcPr>
        <w:tcBorders>
          <w:top w:val="double" w:sz="4" w:space="0" w:color="7A8C8E"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A8C8E" w:themeColor="accent4"/>
          <w:right w:val="single" w:sz="4" w:space="0" w:color="7A8C8E" w:themeColor="accent4"/>
        </w:tcBorders>
      </w:tcPr>
    </w:tblStylePr>
    <w:tblStylePr w:type="band1Horz">
      <w:tblPr/>
      <w:tcPr>
        <w:tcBorders>
          <w:top w:val="single" w:sz="4" w:space="0" w:color="7A8C8E" w:themeColor="accent4"/>
          <w:bottom w:val="single" w:sz="4" w:space="0" w:color="7A8C8E"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A8C8E" w:themeColor="accent4"/>
          <w:left w:val="nil"/>
        </w:tcBorders>
      </w:tcPr>
    </w:tblStylePr>
    <w:tblStylePr w:type="swCell">
      <w:tblPr/>
      <w:tcPr>
        <w:tcBorders>
          <w:top w:val="double" w:sz="4" w:space="0" w:color="7A8C8E" w:themeColor="accent4"/>
          <w:right w:val="nil"/>
        </w:tcBorders>
      </w:tcPr>
    </w:tblStylePr>
  </w:style>
  <w:style w:type="table" w:customStyle="1" w:styleId="-3510">
    <w:name w:val="Список-таблица 3 — акцент 51"/>
    <w:basedOn w:val="a4"/>
    <w:uiPriority w:val="48"/>
    <w:rsid w:val="004230D9"/>
    <w:pPr>
      <w:spacing w:after="0" w:line="240" w:lineRule="auto"/>
    </w:pPr>
    <w:tblPr>
      <w:tblStyleRowBandSize w:val="1"/>
      <w:tblStyleColBandSize w:val="1"/>
      <w:tblBorders>
        <w:top w:val="single" w:sz="4" w:space="0" w:color="84ACB6" w:themeColor="accent5"/>
        <w:left w:val="single" w:sz="4" w:space="0" w:color="84ACB6" w:themeColor="accent5"/>
        <w:bottom w:val="single" w:sz="4" w:space="0" w:color="84ACB6" w:themeColor="accent5"/>
        <w:right w:val="single" w:sz="4" w:space="0" w:color="84ACB6" w:themeColor="accent5"/>
      </w:tblBorders>
    </w:tblPr>
    <w:tblStylePr w:type="firstRow">
      <w:rPr>
        <w:b/>
        <w:bCs/>
        <w:color w:val="FFFFFF" w:themeColor="background1"/>
      </w:rPr>
      <w:tblPr/>
      <w:tcPr>
        <w:shd w:val="clear" w:color="auto" w:fill="84ACB6" w:themeFill="accent5"/>
      </w:tcPr>
    </w:tblStylePr>
    <w:tblStylePr w:type="lastRow">
      <w:rPr>
        <w:b/>
        <w:bCs/>
      </w:rPr>
      <w:tblPr/>
      <w:tcPr>
        <w:tcBorders>
          <w:top w:val="double" w:sz="4" w:space="0" w:color="84ACB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4ACB6" w:themeColor="accent5"/>
          <w:right w:val="single" w:sz="4" w:space="0" w:color="84ACB6" w:themeColor="accent5"/>
        </w:tcBorders>
      </w:tcPr>
    </w:tblStylePr>
    <w:tblStylePr w:type="band1Horz">
      <w:tblPr/>
      <w:tcPr>
        <w:tcBorders>
          <w:top w:val="single" w:sz="4" w:space="0" w:color="84ACB6" w:themeColor="accent5"/>
          <w:bottom w:val="single" w:sz="4" w:space="0" w:color="84ACB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4ACB6" w:themeColor="accent5"/>
          <w:left w:val="nil"/>
        </w:tcBorders>
      </w:tcPr>
    </w:tblStylePr>
    <w:tblStylePr w:type="swCell">
      <w:tblPr/>
      <w:tcPr>
        <w:tcBorders>
          <w:top w:val="double" w:sz="4" w:space="0" w:color="84ACB6" w:themeColor="accent5"/>
          <w:right w:val="nil"/>
        </w:tcBorders>
      </w:tcPr>
    </w:tblStylePr>
  </w:style>
  <w:style w:type="table" w:customStyle="1" w:styleId="-3610">
    <w:name w:val="Список-таблица 3 — акцент 61"/>
    <w:basedOn w:val="a4"/>
    <w:uiPriority w:val="48"/>
    <w:rsid w:val="004230D9"/>
    <w:pPr>
      <w:spacing w:after="0" w:line="240" w:lineRule="auto"/>
    </w:pPr>
    <w:tblPr>
      <w:tblStyleRowBandSize w:val="1"/>
      <w:tblStyleColBandSize w:val="1"/>
      <w:tblBorders>
        <w:top w:val="single" w:sz="4" w:space="0" w:color="2683C6" w:themeColor="accent6"/>
        <w:left w:val="single" w:sz="4" w:space="0" w:color="2683C6" w:themeColor="accent6"/>
        <w:bottom w:val="single" w:sz="4" w:space="0" w:color="2683C6" w:themeColor="accent6"/>
        <w:right w:val="single" w:sz="4" w:space="0" w:color="2683C6" w:themeColor="accent6"/>
      </w:tblBorders>
    </w:tblPr>
    <w:tblStylePr w:type="firstRow">
      <w:rPr>
        <w:b/>
        <w:bCs/>
        <w:color w:val="FFFFFF" w:themeColor="background1"/>
      </w:rPr>
      <w:tblPr/>
      <w:tcPr>
        <w:shd w:val="clear" w:color="auto" w:fill="2683C6" w:themeFill="accent6"/>
      </w:tcPr>
    </w:tblStylePr>
    <w:tblStylePr w:type="lastRow">
      <w:rPr>
        <w:b/>
        <w:bCs/>
      </w:rPr>
      <w:tblPr/>
      <w:tcPr>
        <w:tcBorders>
          <w:top w:val="double" w:sz="4" w:space="0" w:color="2683C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2683C6" w:themeColor="accent6"/>
          <w:right w:val="single" w:sz="4" w:space="0" w:color="2683C6" w:themeColor="accent6"/>
        </w:tcBorders>
      </w:tcPr>
    </w:tblStylePr>
    <w:tblStylePr w:type="band1Horz">
      <w:tblPr/>
      <w:tcPr>
        <w:tcBorders>
          <w:top w:val="single" w:sz="4" w:space="0" w:color="2683C6" w:themeColor="accent6"/>
          <w:bottom w:val="single" w:sz="4" w:space="0" w:color="2683C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2683C6" w:themeColor="accent6"/>
          <w:left w:val="nil"/>
        </w:tcBorders>
      </w:tcPr>
    </w:tblStylePr>
    <w:tblStylePr w:type="swCell">
      <w:tblPr/>
      <w:tcPr>
        <w:tcBorders>
          <w:top w:val="double" w:sz="4" w:space="0" w:color="2683C6" w:themeColor="accent6"/>
          <w:right w:val="nil"/>
        </w:tcBorders>
      </w:tcPr>
    </w:tblStylePr>
  </w:style>
  <w:style w:type="table" w:customStyle="1" w:styleId="-412">
    <w:name w:val="Список-таблица 41"/>
    <w:basedOn w:val="a4"/>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4110">
    <w:name w:val="Список-таблица 4 — акцент 11"/>
    <w:basedOn w:val="a4"/>
    <w:uiPriority w:val="49"/>
    <w:rsid w:val="004230D9"/>
    <w:pPr>
      <w:spacing w:after="0" w:line="240" w:lineRule="auto"/>
    </w:pPr>
    <w:tblPr>
      <w:tblStyleRowBandSize w:val="1"/>
      <w:tblStyleColBandSize w:val="1"/>
      <w:tblBorders>
        <w:top w:val="single" w:sz="4" w:space="0" w:color="7FC0DB" w:themeColor="accent1" w:themeTint="99"/>
        <w:left w:val="single" w:sz="4" w:space="0" w:color="7FC0DB" w:themeColor="accent1" w:themeTint="99"/>
        <w:bottom w:val="single" w:sz="4" w:space="0" w:color="7FC0DB" w:themeColor="accent1" w:themeTint="99"/>
        <w:right w:val="single" w:sz="4" w:space="0" w:color="7FC0DB" w:themeColor="accent1" w:themeTint="99"/>
        <w:insideH w:val="single" w:sz="4" w:space="0" w:color="7FC0DB" w:themeColor="accent1" w:themeTint="99"/>
      </w:tblBorders>
    </w:tblPr>
    <w:tblStylePr w:type="firstRow">
      <w:rPr>
        <w:b/>
        <w:bCs/>
        <w:color w:val="FFFFFF" w:themeColor="background1"/>
      </w:rPr>
      <w:tblPr/>
      <w:tcPr>
        <w:tcBorders>
          <w:top w:val="single" w:sz="4" w:space="0" w:color="3494BA" w:themeColor="accent1"/>
          <w:left w:val="single" w:sz="4" w:space="0" w:color="3494BA" w:themeColor="accent1"/>
          <w:bottom w:val="single" w:sz="4" w:space="0" w:color="3494BA" w:themeColor="accent1"/>
          <w:right w:val="single" w:sz="4" w:space="0" w:color="3494BA" w:themeColor="accent1"/>
          <w:insideH w:val="nil"/>
        </w:tcBorders>
        <w:shd w:val="clear" w:color="auto" w:fill="3494BA" w:themeFill="accent1"/>
      </w:tcPr>
    </w:tblStylePr>
    <w:tblStylePr w:type="lastRow">
      <w:rPr>
        <w:b/>
        <w:bCs/>
      </w:rPr>
      <w:tblPr/>
      <w:tcPr>
        <w:tcBorders>
          <w:top w:val="double" w:sz="4" w:space="0" w:color="7FC0DB" w:themeColor="accent1" w:themeTint="99"/>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4210">
    <w:name w:val="Список-таблица 4 — акцент 21"/>
    <w:basedOn w:val="a4"/>
    <w:uiPriority w:val="49"/>
    <w:rsid w:val="004230D9"/>
    <w:pPr>
      <w:spacing w:after="0" w:line="240" w:lineRule="auto"/>
    </w:pPr>
    <w:tblPr>
      <w:tblStyleRowBandSize w:val="1"/>
      <w:tblStyleColBandSize w:val="1"/>
      <w:tblBorders>
        <w:top w:val="single" w:sz="4" w:space="0" w:color="9AD3D9" w:themeColor="accent2" w:themeTint="99"/>
        <w:left w:val="single" w:sz="4" w:space="0" w:color="9AD3D9" w:themeColor="accent2" w:themeTint="99"/>
        <w:bottom w:val="single" w:sz="4" w:space="0" w:color="9AD3D9" w:themeColor="accent2" w:themeTint="99"/>
        <w:right w:val="single" w:sz="4" w:space="0" w:color="9AD3D9" w:themeColor="accent2" w:themeTint="99"/>
        <w:insideH w:val="single" w:sz="4" w:space="0" w:color="9AD3D9" w:themeColor="accent2" w:themeTint="99"/>
      </w:tblBorders>
    </w:tblPr>
    <w:tblStylePr w:type="firstRow">
      <w:rPr>
        <w:b/>
        <w:bCs/>
        <w:color w:val="FFFFFF" w:themeColor="background1"/>
      </w:rPr>
      <w:tblPr/>
      <w:tcPr>
        <w:tcBorders>
          <w:top w:val="single" w:sz="4" w:space="0" w:color="58B6C0" w:themeColor="accent2"/>
          <w:left w:val="single" w:sz="4" w:space="0" w:color="58B6C0" w:themeColor="accent2"/>
          <w:bottom w:val="single" w:sz="4" w:space="0" w:color="58B6C0" w:themeColor="accent2"/>
          <w:right w:val="single" w:sz="4" w:space="0" w:color="58B6C0" w:themeColor="accent2"/>
          <w:insideH w:val="nil"/>
        </w:tcBorders>
        <w:shd w:val="clear" w:color="auto" w:fill="58B6C0" w:themeFill="accent2"/>
      </w:tcPr>
    </w:tblStylePr>
    <w:tblStylePr w:type="lastRow">
      <w:rPr>
        <w:b/>
        <w:bCs/>
      </w:rPr>
      <w:tblPr/>
      <w:tcPr>
        <w:tcBorders>
          <w:top w:val="double" w:sz="4" w:space="0" w:color="9AD3D9" w:themeColor="accent2" w:themeTint="99"/>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4310">
    <w:name w:val="Список-таблица 4 — акцент 31"/>
    <w:basedOn w:val="a4"/>
    <w:uiPriority w:val="49"/>
    <w:rsid w:val="004230D9"/>
    <w:pPr>
      <w:spacing w:after="0" w:line="240" w:lineRule="auto"/>
    </w:pPr>
    <w:tblPr>
      <w:tblStyleRowBandSize w:val="1"/>
      <w:tblStyleColBandSize w:val="1"/>
      <w:tblBorders>
        <w:top w:val="single" w:sz="4" w:space="0" w:color="ACD7CA" w:themeColor="accent3" w:themeTint="99"/>
        <w:left w:val="single" w:sz="4" w:space="0" w:color="ACD7CA" w:themeColor="accent3" w:themeTint="99"/>
        <w:bottom w:val="single" w:sz="4" w:space="0" w:color="ACD7CA" w:themeColor="accent3" w:themeTint="99"/>
        <w:right w:val="single" w:sz="4" w:space="0" w:color="ACD7CA" w:themeColor="accent3" w:themeTint="99"/>
        <w:insideH w:val="single" w:sz="4" w:space="0" w:color="ACD7CA" w:themeColor="accent3" w:themeTint="99"/>
      </w:tblBorders>
    </w:tblPr>
    <w:tblStylePr w:type="firstRow">
      <w:rPr>
        <w:b/>
        <w:bCs/>
        <w:color w:val="FFFFFF" w:themeColor="background1"/>
      </w:rPr>
      <w:tblPr/>
      <w:tcPr>
        <w:tcBorders>
          <w:top w:val="single" w:sz="4" w:space="0" w:color="75BDA7" w:themeColor="accent3"/>
          <w:left w:val="single" w:sz="4" w:space="0" w:color="75BDA7" w:themeColor="accent3"/>
          <w:bottom w:val="single" w:sz="4" w:space="0" w:color="75BDA7" w:themeColor="accent3"/>
          <w:right w:val="single" w:sz="4" w:space="0" w:color="75BDA7" w:themeColor="accent3"/>
          <w:insideH w:val="nil"/>
        </w:tcBorders>
        <w:shd w:val="clear" w:color="auto" w:fill="75BDA7" w:themeFill="accent3"/>
      </w:tcPr>
    </w:tblStylePr>
    <w:tblStylePr w:type="lastRow">
      <w:rPr>
        <w:b/>
        <w:bCs/>
      </w:rPr>
      <w:tblPr/>
      <w:tcPr>
        <w:tcBorders>
          <w:top w:val="double" w:sz="4" w:space="0" w:color="ACD7CA" w:themeColor="accent3" w:themeTint="99"/>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4410">
    <w:name w:val="Список-таблица 4 — акцент 41"/>
    <w:basedOn w:val="a4"/>
    <w:uiPriority w:val="49"/>
    <w:rsid w:val="004230D9"/>
    <w:pPr>
      <w:spacing w:after="0" w:line="240" w:lineRule="auto"/>
    </w:pPr>
    <w:tblPr>
      <w:tblStyleRowBandSize w:val="1"/>
      <w:tblStyleColBandSize w:val="1"/>
      <w:tblBorders>
        <w:top w:val="single" w:sz="4" w:space="0" w:color="AFB9BB" w:themeColor="accent4" w:themeTint="99"/>
        <w:left w:val="single" w:sz="4" w:space="0" w:color="AFB9BB" w:themeColor="accent4" w:themeTint="99"/>
        <w:bottom w:val="single" w:sz="4" w:space="0" w:color="AFB9BB" w:themeColor="accent4" w:themeTint="99"/>
        <w:right w:val="single" w:sz="4" w:space="0" w:color="AFB9BB" w:themeColor="accent4" w:themeTint="99"/>
        <w:insideH w:val="single" w:sz="4" w:space="0" w:color="AFB9BB" w:themeColor="accent4" w:themeTint="99"/>
      </w:tblBorders>
    </w:tblPr>
    <w:tblStylePr w:type="firstRow">
      <w:rPr>
        <w:b/>
        <w:bCs/>
        <w:color w:val="FFFFFF" w:themeColor="background1"/>
      </w:rPr>
      <w:tblPr/>
      <w:tcPr>
        <w:tcBorders>
          <w:top w:val="single" w:sz="4" w:space="0" w:color="7A8C8E" w:themeColor="accent4"/>
          <w:left w:val="single" w:sz="4" w:space="0" w:color="7A8C8E" w:themeColor="accent4"/>
          <w:bottom w:val="single" w:sz="4" w:space="0" w:color="7A8C8E" w:themeColor="accent4"/>
          <w:right w:val="single" w:sz="4" w:space="0" w:color="7A8C8E" w:themeColor="accent4"/>
          <w:insideH w:val="nil"/>
        </w:tcBorders>
        <w:shd w:val="clear" w:color="auto" w:fill="7A8C8E" w:themeFill="accent4"/>
      </w:tcPr>
    </w:tblStylePr>
    <w:tblStylePr w:type="lastRow">
      <w:rPr>
        <w:b/>
        <w:bCs/>
      </w:rPr>
      <w:tblPr/>
      <w:tcPr>
        <w:tcBorders>
          <w:top w:val="double" w:sz="4" w:space="0" w:color="AFB9BB" w:themeColor="accent4" w:themeTint="99"/>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4510">
    <w:name w:val="Список-таблица 4 — акцент 51"/>
    <w:basedOn w:val="a4"/>
    <w:uiPriority w:val="49"/>
    <w:rsid w:val="004230D9"/>
    <w:pPr>
      <w:spacing w:after="0" w:line="240" w:lineRule="auto"/>
    </w:pPr>
    <w:tblPr>
      <w:tblStyleRowBandSize w:val="1"/>
      <w:tblStyleColBandSize w:val="1"/>
      <w:tblBorders>
        <w:top w:val="single" w:sz="4" w:space="0" w:color="B5CDD3" w:themeColor="accent5" w:themeTint="99"/>
        <w:left w:val="single" w:sz="4" w:space="0" w:color="B5CDD3" w:themeColor="accent5" w:themeTint="99"/>
        <w:bottom w:val="single" w:sz="4" w:space="0" w:color="B5CDD3" w:themeColor="accent5" w:themeTint="99"/>
        <w:right w:val="single" w:sz="4" w:space="0" w:color="B5CDD3" w:themeColor="accent5" w:themeTint="99"/>
        <w:insideH w:val="single" w:sz="4" w:space="0" w:color="B5CDD3" w:themeColor="accent5" w:themeTint="99"/>
      </w:tblBorders>
    </w:tblPr>
    <w:tblStylePr w:type="firstRow">
      <w:rPr>
        <w:b/>
        <w:bCs/>
        <w:color w:val="FFFFFF" w:themeColor="background1"/>
      </w:rPr>
      <w:tblPr/>
      <w:tcPr>
        <w:tcBorders>
          <w:top w:val="single" w:sz="4" w:space="0" w:color="84ACB6" w:themeColor="accent5"/>
          <w:left w:val="single" w:sz="4" w:space="0" w:color="84ACB6" w:themeColor="accent5"/>
          <w:bottom w:val="single" w:sz="4" w:space="0" w:color="84ACB6" w:themeColor="accent5"/>
          <w:right w:val="single" w:sz="4" w:space="0" w:color="84ACB6" w:themeColor="accent5"/>
          <w:insideH w:val="nil"/>
        </w:tcBorders>
        <w:shd w:val="clear" w:color="auto" w:fill="84ACB6" w:themeFill="accent5"/>
      </w:tcPr>
    </w:tblStylePr>
    <w:tblStylePr w:type="lastRow">
      <w:rPr>
        <w:b/>
        <w:bCs/>
      </w:rPr>
      <w:tblPr/>
      <w:tcPr>
        <w:tcBorders>
          <w:top w:val="double" w:sz="4" w:space="0" w:color="B5CDD3" w:themeColor="accent5" w:themeTint="99"/>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4610">
    <w:name w:val="Список-таблица 4 — акцент 61"/>
    <w:basedOn w:val="a4"/>
    <w:uiPriority w:val="49"/>
    <w:rsid w:val="004230D9"/>
    <w:pPr>
      <w:spacing w:after="0" w:line="240" w:lineRule="auto"/>
    </w:pPr>
    <w:tblPr>
      <w:tblStyleRowBandSize w:val="1"/>
      <w:tblStyleColBandSize w:val="1"/>
      <w:tblBorders>
        <w:top w:val="single" w:sz="4" w:space="0" w:color="74B5E4" w:themeColor="accent6" w:themeTint="99"/>
        <w:left w:val="single" w:sz="4" w:space="0" w:color="74B5E4" w:themeColor="accent6" w:themeTint="99"/>
        <w:bottom w:val="single" w:sz="4" w:space="0" w:color="74B5E4" w:themeColor="accent6" w:themeTint="99"/>
        <w:right w:val="single" w:sz="4" w:space="0" w:color="74B5E4" w:themeColor="accent6" w:themeTint="99"/>
        <w:insideH w:val="single" w:sz="4" w:space="0" w:color="74B5E4" w:themeColor="accent6" w:themeTint="99"/>
      </w:tblBorders>
    </w:tblPr>
    <w:tblStylePr w:type="firstRow">
      <w:rPr>
        <w:b/>
        <w:bCs/>
        <w:color w:val="FFFFFF" w:themeColor="background1"/>
      </w:rPr>
      <w:tblPr/>
      <w:tcPr>
        <w:tcBorders>
          <w:top w:val="single" w:sz="4" w:space="0" w:color="2683C6" w:themeColor="accent6"/>
          <w:left w:val="single" w:sz="4" w:space="0" w:color="2683C6" w:themeColor="accent6"/>
          <w:bottom w:val="single" w:sz="4" w:space="0" w:color="2683C6" w:themeColor="accent6"/>
          <w:right w:val="single" w:sz="4" w:space="0" w:color="2683C6" w:themeColor="accent6"/>
          <w:insideH w:val="nil"/>
        </w:tcBorders>
        <w:shd w:val="clear" w:color="auto" w:fill="2683C6" w:themeFill="accent6"/>
      </w:tcPr>
    </w:tblStylePr>
    <w:tblStylePr w:type="lastRow">
      <w:rPr>
        <w:b/>
        <w:bCs/>
      </w:rPr>
      <w:tblPr/>
      <w:tcPr>
        <w:tcBorders>
          <w:top w:val="double" w:sz="4" w:space="0" w:color="74B5E4" w:themeColor="accent6" w:themeTint="99"/>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512">
    <w:name w:val="Список-таблица 5 темная1"/>
    <w:basedOn w:val="a4"/>
    <w:uiPriority w:val="50"/>
    <w:rsid w:val="004230D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110">
    <w:name w:val="Список-таблица 5 темная — акцент 11"/>
    <w:basedOn w:val="a4"/>
    <w:uiPriority w:val="50"/>
    <w:rsid w:val="004230D9"/>
    <w:pPr>
      <w:spacing w:after="0" w:line="240" w:lineRule="auto"/>
    </w:pPr>
    <w:rPr>
      <w:color w:val="FFFFFF" w:themeColor="background1"/>
    </w:rPr>
    <w:tblPr>
      <w:tblStyleRowBandSize w:val="1"/>
      <w:tblStyleColBandSize w:val="1"/>
      <w:tblBorders>
        <w:top w:val="single" w:sz="24" w:space="0" w:color="3494BA" w:themeColor="accent1"/>
        <w:left w:val="single" w:sz="24" w:space="0" w:color="3494BA" w:themeColor="accent1"/>
        <w:bottom w:val="single" w:sz="24" w:space="0" w:color="3494BA" w:themeColor="accent1"/>
        <w:right w:val="single" w:sz="24" w:space="0" w:color="3494BA" w:themeColor="accent1"/>
      </w:tblBorders>
    </w:tblPr>
    <w:tcPr>
      <w:shd w:val="clear" w:color="auto" w:fill="3494BA"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210">
    <w:name w:val="Список-таблица 5 темная — акцент 21"/>
    <w:basedOn w:val="a4"/>
    <w:uiPriority w:val="50"/>
    <w:rsid w:val="004230D9"/>
    <w:pPr>
      <w:spacing w:after="0" w:line="240" w:lineRule="auto"/>
    </w:pPr>
    <w:rPr>
      <w:color w:val="FFFFFF" w:themeColor="background1"/>
    </w:rPr>
    <w:tblPr>
      <w:tblStyleRowBandSize w:val="1"/>
      <w:tblStyleColBandSize w:val="1"/>
      <w:tblBorders>
        <w:top w:val="single" w:sz="24" w:space="0" w:color="58B6C0" w:themeColor="accent2"/>
        <w:left w:val="single" w:sz="24" w:space="0" w:color="58B6C0" w:themeColor="accent2"/>
        <w:bottom w:val="single" w:sz="24" w:space="0" w:color="58B6C0" w:themeColor="accent2"/>
        <w:right w:val="single" w:sz="24" w:space="0" w:color="58B6C0" w:themeColor="accent2"/>
      </w:tblBorders>
    </w:tblPr>
    <w:tcPr>
      <w:shd w:val="clear" w:color="auto" w:fill="58B6C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310">
    <w:name w:val="Список-таблица 5 темная — акцент 31"/>
    <w:basedOn w:val="a4"/>
    <w:uiPriority w:val="50"/>
    <w:rsid w:val="004230D9"/>
    <w:pPr>
      <w:spacing w:after="0" w:line="240" w:lineRule="auto"/>
    </w:pPr>
    <w:rPr>
      <w:color w:val="FFFFFF" w:themeColor="background1"/>
    </w:rPr>
    <w:tblPr>
      <w:tblStyleRowBandSize w:val="1"/>
      <w:tblStyleColBandSize w:val="1"/>
      <w:tblBorders>
        <w:top w:val="single" w:sz="24" w:space="0" w:color="75BDA7" w:themeColor="accent3"/>
        <w:left w:val="single" w:sz="24" w:space="0" w:color="75BDA7" w:themeColor="accent3"/>
        <w:bottom w:val="single" w:sz="24" w:space="0" w:color="75BDA7" w:themeColor="accent3"/>
        <w:right w:val="single" w:sz="24" w:space="0" w:color="75BDA7" w:themeColor="accent3"/>
      </w:tblBorders>
    </w:tblPr>
    <w:tcPr>
      <w:shd w:val="clear" w:color="auto" w:fill="75BDA7"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410">
    <w:name w:val="Список-таблица 5 темная — акцент 41"/>
    <w:basedOn w:val="a4"/>
    <w:uiPriority w:val="50"/>
    <w:rsid w:val="004230D9"/>
    <w:pPr>
      <w:spacing w:after="0" w:line="240" w:lineRule="auto"/>
    </w:pPr>
    <w:rPr>
      <w:color w:val="FFFFFF" w:themeColor="background1"/>
    </w:rPr>
    <w:tblPr>
      <w:tblStyleRowBandSize w:val="1"/>
      <w:tblStyleColBandSize w:val="1"/>
      <w:tblBorders>
        <w:top w:val="single" w:sz="24" w:space="0" w:color="7A8C8E" w:themeColor="accent4"/>
        <w:left w:val="single" w:sz="24" w:space="0" w:color="7A8C8E" w:themeColor="accent4"/>
        <w:bottom w:val="single" w:sz="24" w:space="0" w:color="7A8C8E" w:themeColor="accent4"/>
        <w:right w:val="single" w:sz="24" w:space="0" w:color="7A8C8E" w:themeColor="accent4"/>
      </w:tblBorders>
    </w:tblPr>
    <w:tcPr>
      <w:shd w:val="clear" w:color="auto" w:fill="7A8C8E"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510">
    <w:name w:val="Список-таблица 5 темная — акцент 51"/>
    <w:basedOn w:val="a4"/>
    <w:uiPriority w:val="50"/>
    <w:rsid w:val="004230D9"/>
    <w:pPr>
      <w:spacing w:after="0" w:line="240" w:lineRule="auto"/>
    </w:pPr>
    <w:rPr>
      <w:color w:val="FFFFFF" w:themeColor="background1"/>
    </w:rPr>
    <w:tblPr>
      <w:tblStyleRowBandSize w:val="1"/>
      <w:tblStyleColBandSize w:val="1"/>
      <w:tblBorders>
        <w:top w:val="single" w:sz="24" w:space="0" w:color="84ACB6" w:themeColor="accent5"/>
        <w:left w:val="single" w:sz="24" w:space="0" w:color="84ACB6" w:themeColor="accent5"/>
        <w:bottom w:val="single" w:sz="24" w:space="0" w:color="84ACB6" w:themeColor="accent5"/>
        <w:right w:val="single" w:sz="24" w:space="0" w:color="84ACB6" w:themeColor="accent5"/>
      </w:tblBorders>
    </w:tblPr>
    <w:tcPr>
      <w:shd w:val="clear" w:color="auto" w:fill="84ACB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5610">
    <w:name w:val="Список-таблица 5 темная — акцент 61"/>
    <w:basedOn w:val="a4"/>
    <w:uiPriority w:val="50"/>
    <w:rsid w:val="004230D9"/>
    <w:pPr>
      <w:spacing w:after="0" w:line="240" w:lineRule="auto"/>
    </w:pPr>
    <w:rPr>
      <w:color w:val="FFFFFF" w:themeColor="background1"/>
    </w:rPr>
    <w:tblPr>
      <w:tblStyleRowBandSize w:val="1"/>
      <w:tblStyleColBandSize w:val="1"/>
      <w:tblBorders>
        <w:top w:val="single" w:sz="24" w:space="0" w:color="2683C6" w:themeColor="accent6"/>
        <w:left w:val="single" w:sz="24" w:space="0" w:color="2683C6" w:themeColor="accent6"/>
        <w:bottom w:val="single" w:sz="24" w:space="0" w:color="2683C6" w:themeColor="accent6"/>
        <w:right w:val="single" w:sz="24" w:space="0" w:color="2683C6" w:themeColor="accent6"/>
      </w:tblBorders>
    </w:tblPr>
    <w:tcPr>
      <w:shd w:val="clear" w:color="auto" w:fill="2683C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612">
    <w:name w:val="Список-таблица 6 цветная1"/>
    <w:basedOn w:val="a4"/>
    <w:uiPriority w:val="51"/>
    <w:rsid w:val="004230D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6110">
    <w:name w:val="Список-таблица 6 цветная — акцент 11"/>
    <w:basedOn w:val="a4"/>
    <w:uiPriority w:val="51"/>
    <w:rsid w:val="004230D9"/>
    <w:pPr>
      <w:spacing w:after="0" w:line="240" w:lineRule="auto"/>
    </w:pPr>
    <w:rPr>
      <w:color w:val="276E8B" w:themeColor="accent1" w:themeShade="BF"/>
    </w:rPr>
    <w:tblPr>
      <w:tblStyleRowBandSize w:val="1"/>
      <w:tblStyleColBandSize w:val="1"/>
      <w:tblBorders>
        <w:top w:val="single" w:sz="4" w:space="0" w:color="3494BA" w:themeColor="accent1"/>
        <w:bottom w:val="single" w:sz="4" w:space="0" w:color="3494BA" w:themeColor="accent1"/>
      </w:tblBorders>
    </w:tblPr>
    <w:tblStylePr w:type="firstRow">
      <w:rPr>
        <w:b/>
        <w:bCs/>
      </w:rPr>
      <w:tblPr/>
      <w:tcPr>
        <w:tcBorders>
          <w:bottom w:val="single" w:sz="4" w:space="0" w:color="3494BA" w:themeColor="accent1"/>
        </w:tcBorders>
      </w:tcPr>
    </w:tblStylePr>
    <w:tblStylePr w:type="lastRow">
      <w:rPr>
        <w:b/>
        <w:bCs/>
      </w:rPr>
      <w:tblPr/>
      <w:tcPr>
        <w:tcBorders>
          <w:top w:val="double" w:sz="4" w:space="0" w:color="3494BA" w:themeColor="accent1"/>
        </w:tcBorders>
      </w:tcPr>
    </w:tblStylePr>
    <w:tblStylePr w:type="firstCol">
      <w:rPr>
        <w:b/>
        <w:bCs/>
      </w:rPr>
    </w:tblStylePr>
    <w:tblStylePr w:type="lastCol">
      <w:rPr>
        <w:b/>
        <w:bCs/>
      </w:rPr>
    </w:tblStylePr>
    <w:tblStylePr w:type="band1Vert">
      <w:tblPr/>
      <w:tcPr>
        <w:shd w:val="clear" w:color="auto" w:fill="D4EAF3" w:themeFill="accent1" w:themeFillTint="33"/>
      </w:tcPr>
    </w:tblStylePr>
    <w:tblStylePr w:type="band1Horz">
      <w:tblPr/>
      <w:tcPr>
        <w:shd w:val="clear" w:color="auto" w:fill="D4EAF3" w:themeFill="accent1" w:themeFillTint="33"/>
      </w:tcPr>
    </w:tblStylePr>
  </w:style>
  <w:style w:type="table" w:customStyle="1" w:styleId="-6210">
    <w:name w:val="Список-таблица 6 цветная — акцент 21"/>
    <w:basedOn w:val="a4"/>
    <w:uiPriority w:val="51"/>
    <w:rsid w:val="004230D9"/>
    <w:pPr>
      <w:spacing w:after="0" w:line="240" w:lineRule="auto"/>
    </w:pPr>
    <w:rPr>
      <w:color w:val="398E98" w:themeColor="accent2" w:themeShade="BF"/>
    </w:rPr>
    <w:tblPr>
      <w:tblStyleRowBandSize w:val="1"/>
      <w:tblStyleColBandSize w:val="1"/>
      <w:tblBorders>
        <w:top w:val="single" w:sz="4" w:space="0" w:color="58B6C0" w:themeColor="accent2"/>
        <w:bottom w:val="single" w:sz="4" w:space="0" w:color="58B6C0" w:themeColor="accent2"/>
      </w:tblBorders>
    </w:tblPr>
    <w:tblStylePr w:type="firstRow">
      <w:rPr>
        <w:b/>
        <w:bCs/>
      </w:rPr>
      <w:tblPr/>
      <w:tcPr>
        <w:tcBorders>
          <w:bottom w:val="single" w:sz="4" w:space="0" w:color="58B6C0" w:themeColor="accent2"/>
        </w:tcBorders>
      </w:tcPr>
    </w:tblStylePr>
    <w:tblStylePr w:type="lastRow">
      <w:rPr>
        <w:b/>
        <w:bCs/>
      </w:rPr>
      <w:tblPr/>
      <w:tcPr>
        <w:tcBorders>
          <w:top w:val="double" w:sz="4" w:space="0" w:color="58B6C0" w:themeColor="accent2"/>
        </w:tcBorders>
      </w:tcPr>
    </w:tblStylePr>
    <w:tblStylePr w:type="firstCol">
      <w:rPr>
        <w:b/>
        <w:bCs/>
      </w:rPr>
    </w:tblStylePr>
    <w:tblStylePr w:type="lastCol">
      <w:rPr>
        <w:b/>
        <w:bCs/>
      </w:rPr>
    </w:tblStylePr>
    <w:tblStylePr w:type="band1Vert">
      <w:tblPr/>
      <w:tcPr>
        <w:shd w:val="clear" w:color="auto" w:fill="DDF0F2" w:themeFill="accent2" w:themeFillTint="33"/>
      </w:tcPr>
    </w:tblStylePr>
    <w:tblStylePr w:type="band1Horz">
      <w:tblPr/>
      <w:tcPr>
        <w:shd w:val="clear" w:color="auto" w:fill="DDF0F2" w:themeFill="accent2" w:themeFillTint="33"/>
      </w:tcPr>
    </w:tblStylePr>
  </w:style>
  <w:style w:type="table" w:customStyle="1" w:styleId="-6310">
    <w:name w:val="Список-таблица 6 цветная — акцент 31"/>
    <w:basedOn w:val="a4"/>
    <w:uiPriority w:val="51"/>
    <w:rsid w:val="004230D9"/>
    <w:pPr>
      <w:spacing w:after="0" w:line="240" w:lineRule="auto"/>
    </w:pPr>
    <w:rPr>
      <w:color w:val="4A9A82" w:themeColor="accent3" w:themeShade="BF"/>
    </w:rPr>
    <w:tblPr>
      <w:tblStyleRowBandSize w:val="1"/>
      <w:tblStyleColBandSize w:val="1"/>
      <w:tblBorders>
        <w:top w:val="single" w:sz="4" w:space="0" w:color="75BDA7" w:themeColor="accent3"/>
        <w:bottom w:val="single" w:sz="4" w:space="0" w:color="75BDA7" w:themeColor="accent3"/>
      </w:tblBorders>
    </w:tblPr>
    <w:tblStylePr w:type="firstRow">
      <w:rPr>
        <w:b/>
        <w:bCs/>
      </w:rPr>
      <w:tblPr/>
      <w:tcPr>
        <w:tcBorders>
          <w:bottom w:val="single" w:sz="4" w:space="0" w:color="75BDA7" w:themeColor="accent3"/>
        </w:tcBorders>
      </w:tcPr>
    </w:tblStylePr>
    <w:tblStylePr w:type="lastRow">
      <w:rPr>
        <w:b/>
        <w:bCs/>
      </w:rPr>
      <w:tblPr/>
      <w:tcPr>
        <w:tcBorders>
          <w:top w:val="double" w:sz="4" w:space="0" w:color="75BDA7" w:themeColor="accent3"/>
        </w:tcBorders>
      </w:tcPr>
    </w:tblStylePr>
    <w:tblStylePr w:type="firstCol">
      <w:rPr>
        <w:b/>
        <w:bCs/>
      </w:rPr>
    </w:tblStylePr>
    <w:tblStylePr w:type="lastCol">
      <w:rPr>
        <w:b/>
        <w:bCs/>
      </w:rPr>
    </w:tblStylePr>
    <w:tblStylePr w:type="band1Vert">
      <w:tblPr/>
      <w:tcPr>
        <w:shd w:val="clear" w:color="auto" w:fill="E3F1ED" w:themeFill="accent3" w:themeFillTint="33"/>
      </w:tcPr>
    </w:tblStylePr>
    <w:tblStylePr w:type="band1Horz">
      <w:tblPr/>
      <w:tcPr>
        <w:shd w:val="clear" w:color="auto" w:fill="E3F1ED" w:themeFill="accent3" w:themeFillTint="33"/>
      </w:tcPr>
    </w:tblStylePr>
  </w:style>
  <w:style w:type="table" w:customStyle="1" w:styleId="-6410">
    <w:name w:val="Список-таблица 6 цветная — акцент 41"/>
    <w:basedOn w:val="a4"/>
    <w:uiPriority w:val="51"/>
    <w:rsid w:val="004230D9"/>
    <w:pPr>
      <w:spacing w:after="0" w:line="240" w:lineRule="auto"/>
    </w:pPr>
    <w:rPr>
      <w:color w:val="5A696A" w:themeColor="accent4" w:themeShade="BF"/>
    </w:rPr>
    <w:tblPr>
      <w:tblStyleRowBandSize w:val="1"/>
      <w:tblStyleColBandSize w:val="1"/>
      <w:tblBorders>
        <w:top w:val="single" w:sz="4" w:space="0" w:color="7A8C8E" w:themeColor="accent4"/>
        <w:bottom w:val="single" w:sz="4" w:space="0" w:color="7A8C8E" w:themeColor="accent4"/>
      </w:tblBorders>
    </w:tblPr>
    <w:tblStylePr w:type="firstRow">
      <w:rPr>
        <w:b/>
        <w:bCs/>
      </w:rPr>
      <w:tblPr/>
      <w:tcPr>
        <w:tcBorders>
          <w:bottom w:val="single" w:sz="4" w:space="0" w:color="7A8C8E" w:themeColor="accent4"/>
        </w:tcBorders>
      </w:tcPr>
    </w:tblStylePr>
    <w:tblStylePr w:type="lastRow">
      <w:rPr>
        <w:b/>
        <w:bCs/>
      </w:rPr>
      <w:tblPr/>
      <w:tcPr>
        <w:tcBorders>
          <w:top w:val="double" w:sz="4" w:space="0" w:color="7A8C8E" w:themeColor="accent4"/>
        </w:tcBorders>
      </w:tcPr>
    </w:tblStylePr>
    <w:tblStylePr w:type="firstCol">
      <w:rPr>
        <w:b/>
        <w:bCs/>
      </w:rPr>
    </w:tblStylePr>
    <w:tblStylePr w:type="lastCol">
      <w:rPr>
        <w:b/>
        <w:bCs/>
      </w:rPr>
    </w:tblStylePr>
    <w:tblStylePr w:type="band1Vert">
      <w:tblPr/>
      <w:tcPr>
        <w:shd w:val="clear" w:color="auto" w:fill="E4E7E8" w:themeFill="accent4" w:themeFillTint="33"/>
      </w:tcPr>
    </w:tblStylePr>
    <w:tblStylePr w:type="band1Horz">
      <w:tblPr/>
      <w:tcPr>
        <w:shd w:val="clear" w:color="auto" w:fill="E4E7E8" w:themeFill="accent4" w:themeFillTint="33"/>
      </w:tcPr>
    </w:tblStylePr>
  </w:style>
  <w:style w:type="table" w:customStyle="1" w:styleId="-6510">
    <w:name w:val="Список-таблица 6 цветная — акцент 51"/>
    <w:basedOn w:val="a4"/>
    <w:uiPriority w:val="51"/>
    <w:rsid w:val="004230D9"/>
    <w:pPr>
      <w:spacing w:after="0" w:line="240" w:lineRule="auto"/>
    </w:pPr>
    <w:rPr>
      <w:color w:val="578793" w:themeColor="accent5" w:themeShade="BF"/>
    </w:rPr>
    <w:tblPr>
      <w:tblStyleRowBandSize w:val="1"/>
      <w:tblStyleColBandSize w:val="1"/>
      <w:tblBorders>
        <w:top w:val="single" w:sz="4" w:space="0" w:color="84ACB6" w:themeColor="accent5"/>
        <w:bottom w:val="single" w:sz="4" w:space="0" w:color="84ACB6" w:themeColor="accent5"/>
      </w:tblBorders>
    </w:tblPr>
    <w:tblStylePr w:type="firstRow">
      <w:rPr>
        <w:b/>
        <w:bCs/>
      </w:rPr>
      <w:tblPr/>
      <w:tcPr>
        <w:tcBorders>
          <w:bottom w:val="single" w:sz="4" w:space="0" w:color="84ACB6" w:themeColor="accent5"/>
        </w:tcBorders>
      </w:tcPr>
    </w:tblStylePr>
    <w:tblStylePr w:type="lastRow">
      <w:rPr>
        <w:b/>
        <w:bCs/>
      </w:rPr>
      <w:tblPr/>
      <w:tcPr>
        <w:tcBorders>
          <w:top w:val="double" w:sz="4" w:space="0" w:color="84ACB6" w:themeColor="accent5"/>
        </w:tcBorders>
      </w:tcPr>
    </w:tblStylePr>
    <w:tblStylePr w:type="firstCol">
      <w:rPr>
        <w:b/>
        <w:bCs/>
      </w:rPr>
    </w:tblStylePr>
    <w:tblStylePr w:type="lastCol">
      <w:rPr>
        <w:b/>
        <w:bCs/>
      </w:rPr>
    </w:tblStylePr>
    <w:tblStylePr w:type="band1Vert">
      <w:tblPr/>
      <w:tcPr>
        <w:shd w:val="clear" w:color="auto" w:fill="E6EEF0" w:themeFill="accent5" w:themeFillTint="33"/>
      </w:tcPr>
    </w:tblStylePr>
    <w:tblStylePr w:type="band1Horz">
      <w:tblPr/>
      <w:tcPr>
        <w:shd w:val="clear" w:color="auto" w:fill="E6EEF0" w:themeFill="accent5" w:themeFillTint="33"/>
      </w:tcPr>
    </w:tblStylePr>
  </w:style>
  <w:style w:type="table" w:customStyle="1" w:styleId="-6610">
    <w:name w:val="Список-таблица 6 цветная — акцент 61"/>
    <w:basedOn w:val="a4"/>
    <w:uiPriority w:val="51"/>
    <w:rsid w:val="004230D9"/>
    <w:pPr>
      <w:spacing w:after="0" w:line="240" w:lineRule="auto"/>
    </w:pPr>
    <w:rPr>
      <w:color w:val="1C6194" w:themeColor="accent6" w:themeShade="BF"/>
    </w:rPr>
    <w:tblPr>
      <w:tblStyleRowBandSize w:val="1"/>
      <w:tblStyleColBandSize w:val="1"/>
      <w:tblBorders>
        <w:top w:val="single" w:sz="4" w:space="0" w:color="2683C6" w:themeColor="accent6"/>
        <w:bottom w:val="single" w:sz="4" w:space="0" w:color="2683C6" w:themeColor="accent6"/>
      </w:tblBorders>
    </w:tblPr>
    <w:tblStylePr w:type="firstRow">
      <w:rPr>
        <w:b/>
        <w:bCs/>
      </w:rPr>
      <w:tblPr/>
      <w:tcPr>
        <w:tcBorders>
          <w:bottom w:val="single" w:sz="4" w:space="0" w:color="2683C6" w:themeColor="accent6"/>
        </w:tcBorders>
      </w:tcPr>
    </w:tblStylePr>
    <w:tblStylePr w:type="lastRow">
      <w:rPr>
        <w:b/>
        <w:bCs/>
      </w:rPr>
      <w:tblPr/>
      <w:tcPr>
        <w:tcBorders>
          <w:top w:val="double" w:sz="4" w:space="0" w:color="2683C6" w:themeColor="accent6"/>
        </w:tcBorders>
      </w:tcPr>
    </w:tblStylePr>
    <w:tblStylePr w:type="firstCol">
      <w:rPr>
        <w:b/>
        <w:bCs/>
      </w:rPr>
    </w:tblStylePr>
    <w:tblStylePr w:type="lastCol">
      <w:rPr>
        <w:b/>
        <w:bCs/>
      </w:rPr>
    </w:tblStylePr>
    <w:tblStylePr w:type="band1Vert">
      <w:tblPr/>
      <w:tcPr>
        <w:shd w:val="clear" w:color="auto" w:fill="D0E6F6" w:themeFill="accent6" w:themeFillTint="33"/>
      </w:tcPr>
    </w:tblStylePr>
    <w:tblStylePr w:type="band1Horz">
      <w:tblPr/>
      <w:tcPr>
        <w:shd w:val="clear" w:color="auto" w:fill="D0E6F6" w:themeFill="accent6" w:themeFillTint="33"/>
      </w:tcPr>
    </w:tblStylePr>
  </w:style>
  <w:style w:type="table" w:customStyle="1" w:styleId="-710">
    <w:name w:val="Список-таблица 7 цветная1"/>
    <w:basedOn w:val="a4"/>
    <w:uiPriority w:val="52"/>
    <w:rsid w:val="004230D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110">
    <w:name w:val="Список-таблица 7 цветная — акцент 11"/>
    <w:basedOn w:val="a4"/>
    <w:uiPriority w:val="52"/>
    <w:rsid w:val="004230D9"/>
    <w:pPr>
      <w:spacing w:after="0" w:line="240" w:lineRule="auto"/>
    </w:pPr>
    <w:rPr>
      <w:color w:val="276E8B"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494BA"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494BA"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494BA"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494BA" w:themeColor="accent1"/>
        </w:tcBorders>
        <w:shd w:val="clear" w:color="auto" w:fill="FFFFFF" w:themeFill="background1"/>
      </w:tcPr>
    </w:tblStylePr>
    <w:tblStylePr w:type="band1Vert">
      <w:tblPr/>
      <w:tcPr>
        <w:shd w:val="clear" w:color="auto" w:fill="D4EAF3" w:themeFill="accent1" w:themeFillTint="33"/>
      </w:tcPr>
    </w:tblStylePr>
    <w:tblStylePr w:type="band1Horz">
      <w:tblPr/>
      <w:tcPr>
        <w:shd w:val="clear" w:color="auto" w:fill="D4EA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210">
    <w:name w:val="Список-таблица 7 цветная — акцент 21"/>
    <w:basedOn w:val="a4"/>
    <w:uiPriority w:val="52"/>
    <w:rsid w:val="004230D9"/>
    <w:pPr>
      <w:spacing w:after="0" w:line="240" w:lineRule="auto"/>
    </w:pPr>
    <w:rPr>
      <w:color w:val="398E98"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8B6C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8B6C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8B6C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8B6C0" w:themeColor="accent2"/>
        </w:tcBorders>
        <w:shd w:val="clear" w:color="auto" w:fill="FFFFFF" w:themeFill="background1"/>
      </w:tcPr>
    </w:tblStylePr>
    <w:tblStylePr w:type="band1Vert">
      <w:tblPr/>
      <w:tcPr>
        <w:shd w:val="clear" w:color="auto" w:fill="DDF0F2" w:themeFill="accent2" w:themeFillTint="33"/>
      </w:tcPr>
    </w:tblStylePr>
    <w:tblStylePr w:type="band1Horz">
      <w:tblPr/>
      <w:tcPr>
        <w:shd w:val="clear" w:color="auto" w:fill="DDF0F2"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310">
    <w:name w:val="Список-таблица 7 цветная — акцент 31"/>
    <w:basedOn w:val="a4"/>
    <w:uiPriority w:val="52"/>
    <w:rsid w:val="004230D9"/>
    <w:pPr>
      <w:spacing w:after="0" w:line="240" w:lineRule="auto"/>
    </w:pPr>
    <w:rPr>
      <w:color w:val="4A9A8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5BDA7"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5BDA7"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5BDA7"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5BDA7" w:themeColor="accent3"/>
        </w:tcBorders>
        <w:shd w:val="clear" w:color="auto" w:fill="FFFFFF" w:themeFill="background1"/>
      </w:tcPr>
    </w:tblStylePr>
    <w:tblStylePr w:type="band1Vert">
      <w:tblPr/>
      <w:tcPr>
        <w:shd w:val="clear" w:color="auto" w:fill="E3F1ED" w:themeFill="accent3" w:themeFillTint="33"/>
      </w:tcPr>
    </w:tblStylePr>
    <w:tblStylePr w:type="band1Horz">
      <w:tblPr/>
      <w:tcPr>
        <w:shd w:val="clear" w:color="auto" w:fill="E3F1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410">
    <w:name w:val="Список-таблица 7 цветная — акцент 41"/>
    <w:basedOn w:val="a4"/>
    <w:uiPriority w:val="52"/>
    <w:rsid w:val="004230D9"/>
    <w:pPr>
      <w:spacing w:after="0" w:line="240" w:lineRule="auto"/>
    </w:pPr>
    <w:rPr>
      <w:color w:val="5A696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A8C8E"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A8C8E"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A8C8E"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A8C8E" w:themeColor="accent4"/>
        </w:tcBorders>
        <w:shd w:val="clear" w:color="auto" w:fill="FFFFFF" w:themeFill="background1"/>
      </w:tcPr>
    </w:tblStylePr>
    <w:tblStylePr w:type="band1Vert">
      <w:tblPr/>
      <w:tcPr>
        <w:shd w:val="clear" w:color="auto" w:fill="E4E7E8" w:themeFill="accent4" w:themeFillTint="33"/>
      </w:tcPr>
    </w:tblStylePr>
    <w:tblStylePr w:type="band1Horz">
      <w:tblPr/>
      <w:tcPr>
        <w:shd w:val="clear" w:color="auto" w:fill="E4E7E8"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510">
    <w:name w:val="Список-таблица 7 цветная — акцент 51"/>
    <w:basedOn w:val="a4"/>
    <w:uiPriority w:val="52"/>
    <w:rsid w:val="004230D9"/>
    <w:pPr>
      <w:spacing w:after="0" w:line="240" w:lineRule="auto"/>
    </w:pPr>
    <w:rPr>
      <w:color w:val="578793"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4ACB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4ACB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4ACB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4ACB6" w:themeColor="accent5"/>
        </w:tcBorders>
        <w:shd w:val="clear" w:color="auto" w:fill="FFFFFF" w:themeFill="background1"/>
      </w:tcPr>
    </w:tblStylePr>
    <w:tblStylePr w:type="band1Vert">
      <w:tblPr/>
      <w:tcPr>
        <w:shd w:val="clear" w:color="auto" w:fill="E6EEF0" w:themeFill="accent5" w:themeFillTint="33"/>
      </w:tcPr>
    </w:tblStylePr>
    <w:tblStylePr w:type="band1Horz">
      <w:tblPr/>
      <w:tcPr>
        <w:shd w:val="clear" w:color="auto" w:fill="E6EEF0"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7610">
    <w:name w:val="Список-таблица 7 цветная — акцент 61"/>
    <w:basedOn w:val="a4"/>
    <w:uiPriority w:val="52"/>
    <w:rsid w:val="004230D9"/>
    <w:pPr>
      <w:spacing w:after="0" w:line="240" w:lineRule="auto"/>
    </w:pPr>
    <w:rPr>
      <w:color w:val="1C6194"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2683C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2683C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2683C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2683C6" w:themeColor="accent6"/>
        </w:tcBorders>
        <w:shd w:val="clear" w:color="auto" w:fill="FFFFFF" w:themeFill="background1"/>
      </w:tcPr>
    </w:tblStylePr>
    <w:tblStylePr w:type="band1Vert">
      <w:tblPr/>
      <w:tcPr>
        <w:shd w:val="clear" w:color="auto" w:fill="D0E6F6" w:themeFill="accent6" w:themeFillTint="33"/>
      </w:tcPr>
    </w:tblStylePr>
    <w:tblStylePr w:type="band1Horz">
      <w:tblPr/>
      <w:tcPr>
        <w:shd w:val="clear" w:color="auto" w:fill="D0E6F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3">
    <w:name w:val="Medium Grid 1"/>
    <w:basedOn w:val="a4"/>
    <w:uiPriority w:val="67"/>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
    <w:name w:val="Medium Grid 1 Accent 1"/>
    <w:basedOn w:val="a4"/>
    <w:uiPriority w:val="67"/>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insideV w:val="single" w:sz="8" w:space="0" w:color="5FB1D2" w:themeColor="accent1" w:themeTint="BF"/>
      </w:tblBorders>
    </w:tblPr>
    <w:tcPr>
      <w:shd w:val="clear" w:color="auto" w:fill="CAE5F0" w:themeFill="accent1" w:themeFillTint="3F"/>
    </w:tcPr>
    <w:tblStylePr w:type="firstRow">
      <w:rPr>
        <w:b/>
        <w:bCs/>
      </w:rPr>
    </w:tblStylePr>
    <w:tblStylePr w:type="lastRow">
      <w:rPr>
        <w:b/>
        <w:bCs/>
      </w:rPr>
      <w:tblPr/>
      <w:tcPr>
        <w:tcBorders>
          <w:top w:val="single" w:sz="18" w:space="0" w:color="5FB1D2" w:themeColor="accent1" w:themeTint="BF"/>
        </w:tcBorders>
      </w:tcPr>
    </w:tblStylePr>
    <w:tblStylePr w:type="firstCol">
      <w:rPr>
        <w:b/>
        <w:bCs/>
      </w:rPr>
    </w:tblStylePr>
    <w:tblStylePr w:type="lastCol">
      <w:rPr>
        <w:b/>
        <w:bCs/>
      </w:rPr>
    </w:tblStylePr>
    <w:tblStylePr w:type="band1Vert">
      <w:tblPr/>
      <w:tcPr>
        <w:shd w:val="clear" w:color="auto" w:fill="94CBE1" w:themeFill="accent1" w:themeFillTint="7F"/>
      </w:tcPr>
    </w:tblStylePr>
    <w:tblStylePr w:type="band1Horz">
      <w:tblPr/>
      <w:tcPr>
        <w:shd w:val="clear" w:color="auto" w:fill="94CBE1" w:themeFill="accent1" w:themeFillTint="7F"/>
      </w:tcPr>
    </w:tblStylePr>
  </w:style>
  <w:style w:type="table" w:styleId="1-2">
    <w:name w:val="Medium Grid 1 Accent 2"/>
    <w:basedOn w:val="a4"/>
    <w:uiPriority w:val="67"/>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insideV w:val="single" w:sz="8" w:space="0" w:color="81C8CF" w:themeColor="accent2" w:themeTint="BF"/>
      </w:tblBorders>
    </w:tblPr>
    <w:tcPr>
      <w:shd w:val="clear" w:color="auto" w:fill="D5ECEF" w:themeFill="accent2" w:themeFillTint="3F"/>
    </w:tcPr>
    <w:tblStylePr w:type="firstRow">
      <w:rPr>
        <w:b/>
        <w:bCs/>
      </w:rPr>
    </w:tblStylePr>
    <w:tblStylePr w:type="lastRow">
      <w:rPr>
        <w:b/>
        <w:bCs/>
      </w:rPr>
      <w:tblPr/>
      <w:tcPr>
        <w:tcBorders>
          <w:top w:val="single" w:sz="18" w:space="0" w:color="81C8CF" w:themeColor="accent2" w:themeTint="BF"/>
        </w:tcBorders>
      </w:tcPr>
    </w:tblStylePr>
    <w:tblStylePr w:type="firstCol">
      <w:rPr>
        <w:b/>
        <w:bCs/>
      </w:rPr>
    </w:tblStylePr>
    <w:tblStylePr w:type="lastCol">
      <w:rPr>
        <w:b/>
        <w:bCs/>
      </w:rPr>
    </w:tblStylePr>
    <w:tblStylePr w:type="band1Vert">
      <w:tblPr/>
      <w:tcPr>
        <w:shd w:val="clear" w:color="auto" w:fill="ABDADF" w:themeFill="accent2" w:themeFillTint="7F"/>
      </w:tcPr>
    </w:tblStylePr>
    <w:tblStylePr w:type="band1Horz">
      <w:tblPr/>
      <w:tcPr>
        <w:shd w:val="clear" w:color="auto" w:fill="ABDADF" w:themeFill="accent2" w:themeFillTint="7F"/>
      </w:tcPr>
    </w:tblStylePr>
  </w:style>
  <w:style w:type="table" w:styleId="1-3">
    <w:name w:val="Medium Grid 1 Accent 3"/>
    <w:basedOn w:val="a4"/>
    <w:uiPriority w:val="67"/>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insideV w:val="single" w:sz="8" w:space="0" w:color="97CDBC" w:themeColor="accent3" w:themeTint="BF"/>
      </w:tblBorders>
    </w:tblPr>
    <w:tcPr>
      <w:shd w:val="clear" w:color="auto" w:fill="DCEEE9" w:themeFill="accent3" w:themeFillTint="3F"/>
    </w:tcPr>
    <w:tblStylePr w:type="firstRow">
      <w:rPr>
        <w:b/>
        <w:bCs/>
      </w:rPr>
    </w:tblStylePr>
    <w:tblStylePr w:type="lastRow">
      <w:rPr>
        <w:b/>
        <w:bCs/>
      </w:rPr>
      <w:tblPr/>
      <w:tcPr>
        <w:tcBorders>
          <w:top w:val="single" w:sz="18" w:space="0" w:color="97CDBC" w:themeColor="accent3" w:themeTint="BF"/>
        </w:tcBorders>
      </w:tcPr>
    </w:tblStylePr>
    <w:tblStylePr w:type="firstCol">
      <w:rPr>
        <w:b/>
        <w:bCs/>
      </w:rPr>
    </w:tblStylePr>
    <w:tblStylePr w:type="lastCol">
      <w:rPr>
        <w:b/>
        <w:bCs/>
      </w:rPr>
    </w:tblStylePr>
    <w:tblStylePr w:type="band1Vert">
      <w:tblPr/>
      <w:tcPr>
        <w:shd w:val="clear" w:color="auto" w:fill="BADED3" w:themeFill="accent3" w:themeFillTint="7F"/>
      </w:tcPr>
    </w:tblStylePr>
    <w:tblStylePr w:type="band1Horz">
      <w:tblPr/>
      <w:tcPr>
        <w:shd w:val="clear" w:color="auto" w:fill="BADED3" w:themeFill="accent3" w:themeFillTint="7F"/>
      </w:tcPr>
    </w:tblStylePr>
  </w:style>
  <w:style w:type="table" w:styleId="1-4">
    <w:name w:val="Medium Grid 1 Accent 4"/>
    <w:basedOn w:val="a4"/>
    <w:uiPriority w:val="67"/>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insideV w:val="single" w:sz="8" w:space="0" w:color="9BA8AA" w:themeColor="accent4" w:themeTint="BF"/>
      </w:tblBorders>
    </w:tblPr>
    <w:tcPr>
      <w:shd w:val="clear" w:color="auto" w:fill="DEE2E3" w:themeFill="accent4" w:themeFillTint="3F"/>
    </w:tcPr>
    <w:tblStylePr w:type="firstRow">
      <w:rPr>
        <w:b/>
        <w:bCs/>
      </w:rPr>
    </w:tblStylePr>
    <w:tblStylePr w:type="lastRow">
      <w:rPr>
        <w:b/>
        <w:bCs/>
      </w:rPr>
      <w:tblPr/>
      <w:tcPr>
        <w:tcBorders>
          <w:top w:val="single" w:sz="18" w:space="0" w:color="9BA8AA" w:themeColor="accent4" w:themeTint="BF"/>
        </w:tcBorders>
      </w:tcPr>
    </w:tblStylePr>
    <w:tblStylePr w:type="firstCol">
      <w:rPr>
        <w:b/>
        <w:bCs/>
      </w:rPr>
    </w:tblStylePr>
    <w:tblStylePr w:type="lastCol">
      <w:rPr>
        <w:b/>
        <w:bCs/>
      </w:rPr>
    </w:tblStylePr>
    <w:tblStylePr w:type="band1Vert">
      <w:tblPr/>
      <w:tcPr>
        <w:shd w:val="clear" w:color="auto" w:fill="BCC5C6" w:themeFill="accent4" w:themeFillTint="7F"/>
      </w:tcPr>
    </w:tblStylePr>
    <w:tblStylePr w:type="band1Horz">
      <w:tblPr/>
      <w:tcPr>
        <w:shd w:val="clear" w:color="auto" w:fill="BCC5C6" w:themeFill="accent4" w:themeFillTint="7F"/>
      </w:tcPr>
    </w:tblStylePr>
  </w:style>
  <w:style w:type="table" w:styleId="1-5">
    <w:name w:val="Medium Grid 1 Accent 5"/>
    <w:basedOn w:val="a4"/>
    <w:uiPriority w:val="67"/>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insideV w:val="single" w:sz="8" w:space="0" w:color="A2C0C8" w:themeColor="accent5" w:themeTint="BF"/>
      </w:tblBorders>
    </w:tblPr>
    <w:tcPr>
      <w:shd w:val="clear" w:color="auto" w:fill="E0EAED" w:themeFill="accent5" w:themeFillTint="3F"/>
    </w:tcPr>
    <w:tblStylePr w:type="firstRow">
      <w:rPr>
        <w:b/>
        <w:bCs/>
      </w:rPr>
    </w:tblStylePr>
    <w:tblStylePr w:type="lastRow">
      <w:rPr>
        <w:b/>
        <w:bCs/>
      </w:rPr>
      <w:tblPr/>
      <w:tcPr>
        <w:tcBorders>
          <w:top w:val="single" w:sz="18" w:space="0" w:color="A2C0C8" w:themeColor="accent5" w:themeTint="BF"/>
        </w:tcBorders>
      </w:tcPr>
    </w:tblStylePr>
    <w:tblStylePr w:type="firstCol">
      <w:rPr>
        <w:b/>
        <w:bCs/>
      </w:rPr>
    </w:tblStylePr>
    <w:tblStylePr w:type="lastCol">
      <w:rPr>
        <w:b/>
        <w:bCs/>
      </w:rPr>
    </w:tblStylePr>
    <w:tblStylePr w:type="band1Vert">
      <w:tblPr/>
      <w:tcPr>
        <w:shd w:val="clear" w:color="auto" w:fill="C1D5DA" w:themeFill="accent5" w:themeFillTint="7F"/>
      </w:tcPr>
    </w:tblStylePr>
    <w:tblStylePr w:type="band1Horz">
      <w:tblPr/>
      <w:tcPr>
        <w:shd w:val="clear" w:color="auto" w:fill="C1D5DA" w:themeFill="accent5" w:themeFillTint="7F"/>
      </w:tcPr>
    </w:tblStylePr>
  </w:style>
  <w:style w:type="table" w:styleId="1-6">
    <w:name w:val="Medium Grid 1 Accent 6"/>
    <w:basedOn w:val="a4"/>
    <w:uiPriority w:val="67"/>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insideV w:val="single" w:sz="8" w:space="0" w:color="52A3DE" w:themeColor="accent6" w:themeTint="BF"/>
      </w:tblBorders>
    </w:tblPr>
    <w:tcPr>
      <w:shd w:val="clear" w:color="auto" w:fill="C5E0F4" w:themeFill="accent6" w:themeFillTint="3F"/>
    </w:tcPr>
    <w:tblStylePr w:type="firstRow">
      <w:rPr>
        <w:b/>
        <w:bCs/>
      </w:rPr>
    </w:tblStylePr>
    <w:tblStylePr w:type="lastRow">
      <w:rPr>
        <w:b/>
        <w:bCs/>
      </w:rPr>
      <w:tblPr/>
      <w:tcPr>
        <w:tcBorders>
          <w:top w:val="single" w:sz="18" w:space="0" w:color="52A3DE" w:themeColor="accent6" w:themeTint="BF"/>
        </w:tcBorders>
      </w:tcPr>
    </w:tblStylePr>
    <w:tblStylePr w:type="firstCol">
      <w:rPr>
        <w:b/>
        <w:bCs/>
      </w:rPr>
    </w:tblStylePr>
    <w:tblStylePr w:type="lastCol">
      <w:rPr>
        <w:b/>
        <w:bCs/>
      </w:rPr>
    </w:tblStylePr>
    <w:tblStylePr w:type="band1Vert">
      <w:tblPr/>
      <w:tcPr>
        <w:shd w:val="clear" w:color="auto" w:fill="8CC2E9" w:themeFill="accent6" w:themeFillTint="7F"/>
      </w:tcPr>
    </w:tblStylePr>
    <w:tblStylePr w:type="band1Horz">
      <w:tblPr/>
      <w:tcPr>
        <w:shd w:val="clear" w:color="auto" w:fill="8CC2E9" w:themeFill="accent6" w:themeFillTint="7F"/>
      </w:tcPr>
    </w:tblStylePr>
  </w:style>
  <w:style w:type="table" w:styleId="2f">
    <w:name w:val="Medium Grid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
    <w:name w:val="Medium Grid 2 Accent 1"/>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insideH w:val="single" w:sz="8" w:space="0" w:color="3494BA" w:themeColor="accent1"/>
        <w:insideV w:val="single" w:sz="8" w:space="0" w:color="3494BA" w:themeColor="accent1"/>
      </w:tblBorders>
    </w:tblPr>
    <w:tcPr>
      <w:shd w:val="clear" w:color="auto" w:fill="CAE5F0" w:themeFill="accent1" w:themeFillTint="3F"/>
    </w:tcPr>
    <w:tblStylePr w:type="firstRow">
      <w:rPr>
        <w:b/>
        <w:bCs/>
        <w:color w:val="000000" w:themeColor="text1"/>
      </w:rPr>
      <w:tblPr/>
      <w:tcPr>
        <w:shd w:val="clear" w:color="auto" w:fill="EAF4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4EAF3" w:themeFill="accent1" w:themeFillTint="33"/>
      </w:tcPr>
    </w:tblStylePr>
    <w:tblStylePr w:type="band1Vert">
      <w:tblPr/>
      <w:tcPr>
        <w:shd w:val="clear" w:color="auto" w:fill="94CBE1" w:themeFill="accent1" w:themeFillTint="7F"/>
      </w:tcPr>
    </w:tblStylePr>
    <w:tblStylePr w:type="band1Horz">
      <w:tblPr/>
      <w:tcPr>
        <w:tcBorders>
          <w:insideH w:val="single" w:sz="6" w:space="0" w:color="3494BA" w:themeColor="accent1"/>
          <w:insideV w:val="single" w:sz="6" w:space="0" w:color="3494BA" w:themeColor="accent1"/>
        </w:tcBorders>
        <w:shd w:val="clear" w:color="auto" w:fill="94CBE1" w:themeFill="accent1" w:themeFillTint="7F"/>
      </w:tcPr>
    </w:tblStylePr>
    <w:tblStylePr w:type="nwCell">
      <w:tblPr/>
      <w:tcPr>
        <w:shd w:val="clear" w:color="auto" w:fill="FFFFFF" w:themeFill="background1"/>
      </w:tcPr>
    </w:tblStylePr>
  </w:style>
  <w:style w:type="table" w:styleId="2-2">
    <w:name w:val="Medium Grid 2 Accent 2"/>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insideH w:val="single" w:sz="8" w:space="0" w:color="58B6C0" w:themeColor="accent2"/>
        <w:insideV w:val="single" w:sz="8" w:space="0" w:color="58B6C0" w:themeColor="accent2"/>
      </w:tblBorders>
    </w:tblPr>
    <w:tcPr>
      <w:shd w:val="clear" w:color="auto" w:fill="D5ECEF" w:themeFill="accent2" w:themeFillTint="3F"/>
    </w:tcPr>
    <w:tblStylePr w:type="firstRow">
      <w:rPr>
        <w:b/>
        <w:bCs/>
        <w:color w:val="000000" w:themeColor="text1"/>
      </w:rPr>
      <w:tblPr/>
      <w:tcPr>
        <w:shd w:val="clear" w:color="auto" w:fill="EEF7F8"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F0F2" w:themeFill="accent2" w:themeFillTint="33"/>
      </w:tcPr>
    </w:tblStylePr>
    <w:tblStylePr w:type="band1Vert">
      <w:tblPr/>
      <w:tcPr>
        <w:shd w:val="clear" w:color="auto" w:fill="ABDADF" w:themeFill="accent2" w:themeFillTint="7F"/>
      </w:tcPr>
    </w:tblStylePr>
    <w:tblStylePr w:type="band1Horz">
      <w:tblPr/>
      <w:tcPr>
        <w:tcBorders>
          <w:insideH w:val="single" w:sz="6" w:space="0" w:color="58B6C0" w:themeColor="accent2"/>
          <w:insideV w:val="single" w:sz="6" w:space="0" w:color="58B6C0" w:themeColor="accent2"/>
        </w:tcBorders>
        <w:shd w:val="clear" w:color="auto" w:fill="ABDADF" w:themeFill="accent2" w:themeFillTint="7F"/>
      </w:tcPr>
    </w:tblStylePr>
    <w:tblStylePr w:type="nwCell">
      <w:tblPr/>
      <w:tcPr>
        <w:shd w:val="clear" w:color="auto" w:fill="FFFFFF" w:themeFill="background1"/>
      </w:tcPr>
    </w:tblStylePr>
  </w:style>
  <w:style w:type="table" w:styleId="2-3">
    <w:name w:val="Medium Grid 2 Accent 3"/>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insideH w:val="single" w:sz="8" w:space="0" w:color="75BDA7" w:themeColor="accent3"/>
        <w:insideV w:val="single" w:sz="8" w:space="0" w:color="75BDA7" w:themeColor="accent3"/>
      </w:tblBorders>
    </w:tblPr>
    <w:tcPr>
      <w:shd w:val="clear" w:color="auto" w:fill="DCEEE9" w:themeFill="accent3" w:themeFillTint="3F"/>
    </w:tcPr>
    <w:tblStylePr w:type="firstRow">
      <w:rPr>
        <w:b/>
        <w:bCs/>
        <w:color w:val="000000" w:themeColor="text1"/>
      </w:rPr>
      <w:tblPr/>
      <w:tcPr>
        <w:shd w:val="clear" w:color="auto" w:fill="F1F8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3F1ED" w:themeFill="accent3" w:themeFillTint="33"/>
      </w:tcPr>
    </w:tblStylePr>
    <w:tblStylePr w:type="band1Vert">
      <w:tblPr/>
      <w:tcPr>
        <w:shd w:val="clear" w:color="auto" w:fill="BADED3" w:themeFill="accent3" w:themeFillTint="7F"/>
      </w:tcPr>
    </w:tblStylePr>
    <w:tblStylePr w:type="band1Horz">
      <w:tblPr/>
      <w:tcPr>
        <w:tcBorders>
          <w:insideH w:val="single" w:sz="6" w:space="0" w:color="75BDA7" w:themeColor="accent3"/>
          <w:insideV w:val="single" w:sz="6" w:space="0" w:color="75BDA7" w:themeColor="accent3"/>
        </w:tcBorders>
        <w:shd w:val="clear" w:color="auto" w:fill="BADED3" w:themeFill="accent3" w:themeFillTint="7F"/>
      </w:tcPr>
    </w:tblStylePr>
    <w:tblStylePr w:type="nwCell">
      <w:tblPr/>
      <w:tcPr>
        <w:shd w:val="clear" w:color="auto" w:fill="FFFFFF" w:themeFill="background1"/>
      </w:tcPr>
    </w:tblStylePr>
  </w:style>
  <w:style w:type="table" w:styleId="2-4">
    <w:name w:val="Medium Grid 2 Accent 4"/>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insideH w:val="single" w:sz="8" w:space="0" w:color="7A8C8E" w:themeColor="accent4"/>
        <w:insideV w:val="single" w:sz="8" w:space="0" w:color="7A8C8E" w:themeColor="accent4"/>
      </w:tblBorders>
    </w:tblPr>
    <w:tcPr>
      <w:shd w:val="clear" w:color="auto" w:fill="DEE2E3" w:themeFill="accent4" w:themeFillTint="3F"/>
    </w:tcPr>
    <w:tblStylePr w:type="firstRow">
      <w:rPr>
        <w:b/>
        <w:bCs/>
        <w:color w:val="000000" w:themeColor="text1"/>
      </w:rPr>
      <w:tblPr/>
      <w:tcPr>
        <w:shd w:val="clear" w:color="auto" w:fill="F1F3F3"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4E7E8" w:themeFill="accent4" w:themeFillTint="33"/>
      </w:tcPr>
    </w:tblStylePr>
    <w:tblStylePr w:type="band1Vert">
      <w:tblPr/>
      <w:tcPr>
        <w:shd w:val="clear" w:color="auto" w:fill="BCC5C6" w:themeFill="accent4" w:themeFillTint="7F"/>
      </w:tcPr>
    </w:tblStylePr>
    <w:tblStylePr w:type="band1Horz">
      <w:tblPr/>
      <w:tcPr>
        <w:tcBorders>
          <w:insideH w:val="single" w:sz="6" w:space="0" w:color="7A8C8E" w:themeColor="accent4"/>
          <w:insideV w:val="single" w:sz="6" w:space="0" w:color="7A8C8E" w:themeColor="accent4"/>
        </w:tcBorders>
        <w:shd w:val="clear" w:color="auto" w:fill="BCC5C6" w:themeFill="accent4" w:themeFillTint="7F"/>
      </w:tcPr>
    </w:tblStylePr>
    <w:tblStylePr w:type="nwCell">
      <w:tblPr/>
      <w:tcPr>
        <w:shd w:val="clear" w:color="auto" w:fill="FFFFFF" w:themeFill="background1"/>
      </w:tcPr>
    </w:tblStylePr>
  </w:style>
  <w:style w:type="table" w:styleId="2-5">
    <w:name w:val="Medium Grid 2 Accent 5"/>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insideH w:val="single" w:sz="8" w:space="0" w:color="84ACB6" w:themeColor="accent5"/>
        <w:insideV w:val="single" w:sz="8" w:space="0" w:color="84ACB6" w:themeColor="accent5"/>
      </w:tblBorders>
    </w:tblPr>
    <w:tcPr>
      <w:shd w:val="clear" w:color="auto" w:fill="E0EAED" w:themeFill="accent5" w:themeFillTint="3F"/>
    </w:tcPr>
    <w:tblStylePr w:type="firstRow">
      <w:rPr>
        <w:b/>
        <w:bCs/>
        <w:color w:val="000000" w:themeColor="text1"/>
      </w:rPr>
      <w:tblPr/>
      <w:tcPr>
        <w:shd w:val="clear" w:color="auto" w:fill="F2F6F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6EEF0" w:themeFill="accent5" w:themeFillTint="33"/>
      </w:tcPr>
    </w:tblStylePr>
    <w:tblStylePr w:type="band1Vert">
      <w:tblPr/>
      <w:tcPr>
        <w:shd w:val="clear" w:color="auto" w:fill="C1D5DA" w:themeFill="accent5" w:themeFillTint="7F"/>
      </w:tcPr>
    </w:tblStylePr>
    <w:tblStylePr w:type="band1Horz">
      <w:tblPr/>
      <w:tcPr>
        <w:tcBorders>
          <w:insideH w:val="single" w:sz="6" w:space="0" w:color="84ACB6" w:themeColor="accent5"/>
          <w:insideV w:val="single" w:sz="6" w:space="0" w:color="84ACB6" w:themeColor="accent5"/>
        </w:tcBorders>
        <w:shd w:val="clear" w:color="auto" w:fill="C1D5DA" w:themeFill="accent5" w:themeFillTint="7F"/>
      </w:tcPr>
    </w:tblStylePr>
    <w:tblStylePr w:type="nwCell">
      <w:tblPr/>
      <w:tcPr>
        <w:shd w:val="clear" w:color="auto" w:fill="FFFFFF" w:themeFill="background1"/>
      </w:tcPr>
    </w:tblStylePr>
  </w:style>
  <w:style w:type="table" w:styleId="2-6">
    <w:name w:val="Medium Grid 2 Accent 6"/>
    <w:basedOn w:val="a4"/>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insideH w:val="single" w:sz="8" w:space="0" w:color="2683C6" w:themeColor="accent6"/>
        <w:insideV w:val="single" w:sz="8" w:space="0" w:color="2683C6" w:themeColor="accent6"/>
      </w:tblBorders>
    </w:tblPr>
    <w:tcPr>
      <w:shd w:val="clear" w:color="auto" w:fill="C5E0F4" w:themeFill="accent6" w:themeFillTint="3F"/>
    </w:tcPr>
    <w:tblStylePr w:type="firstRow">
      <w:rPr>
        <w:b/>
        <w:bCs/>
        <w:color w:val="000000" w:themeColor="text1"/>
      </w:rPr>
      <w:tblPr/>
      <w:tcPr>
        <w:shd w:val="clear" w:color="auto" w:fill="E8F2FA"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0E6F6" w:themeFill="accent6" w:themeFillTint="33"/>
      </w:tcPr>
    </w:tblStylePr>
    <w:tblStylePr w:type="band1Vert">
      <w:tblPr/>
      <w:tcPr>
        <w:shd w:val="clear" w:color="auto" w:fill="8CC2E9" w:themeFill="accent6" w:themeFillTint="7F"/>
      </w:tcPr>
    </w:tblStylePr>
    <w:tblStylePr w:type="band1Horz">
      <w:tblPr/>
      <w:tcPr>
        <w:tcBorders>
          <w:insideH w:val="single" w:sz="6" w:space="0" w:color="2683C6" w:themeColor="accent6"/>
          <w:insideV w:val="single" w:sz="6" w:space="0" w:color="2683C6" w:themeColor="accent6"/>
        </w:tcBorders>
        <w:shd w:val="clear" w:color="auto" w:fill="8CC2E9" w:themeFill="accent6" w:themeFillTint="7F"/>
      </w:tcPr>
    </w:tblStylePr>
    <w:tblStylePr w:type="nwCell">
      <w:tblPr/>
      <w:tcPr>
        <w:shd w:val="clear" w:color="auto" w:fill="FFFFFF" w:themeFill="background1"/>
      </w:tcPr>
    </w:tblStylePr>
  </w:style>
  <w:style w:type="table" w:styleId="39">
    <w:name w:val="Medium Grid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AE5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494BA"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494BA"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494BA"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CB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CBE1" w:themeFill="accent1" w:themeFillTint="7F"/>
      </w:tcPr>
    </w:tblStylePr>
  </w:style>
  <w:style w:type="table" w:styleId="3-2">
    <w:name w:val="Medium Grid 3 Accent 2"/>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CE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8B6C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8B6C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8B6C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BDAD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BDADF" w:themeFill="accent2" w:themeFillTint="7F"/>
      </w:tcPr>
    </w:tblStylePr>
  </w:style>
  <w:style w:type="table" w:styleId="3-3">
    <w:name w:val="Medium Grid 3 Accent 3"/>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CEEE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5BDA7"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5BDA7"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5BDA7"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ADED3"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ADED3" w:themeFill="accent3" w:themeFillTint="7F"/>
      </w:tcPr>
    </w:tblStylePr>
  </w:style>
  <w:style w:type="table" w:styleId="3-4">
    <w:name w:val="Medium Grid 3 Accent 4"/>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EE2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A8C8E"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A8C8E"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A8C8E"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CC5C6"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CC5C6" w:themeFill="accent4" w:themeFillTint="7F"/>
      </w:tcPr>
    </w:tblStylePr>
  </w:style>
  <w:style w:type="table" w:styleId="3-5">
    <w:name w:val="Medium Grid 3 Accent 5"/>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0EAED"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4ACB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4ACB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4ACB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1D5D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1D5DA" w:themeFill="accent5" w:themeFillTint="7F"/>
      </w:tcPr>
    </w:tblStylePr>
  </w:style>
  <w:style w:type="table" w:styleId="3-6">
    <w:name w:val="Medium Grid 3 Accent 6"/>
    <w:basedOn w:val="a4"/>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5E0F4"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683C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683C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683C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CC2E9"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CC2E9" w:themeFill="accent6" w:themeFillTint="7F"/>
      </w:tcPr>
    </w:tblStylePr>
  </w:style>
  <w:style w:type="table" w:styleId="14">
    <w:name w:val="Medium Lis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373545"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3494BA" w:themeColor="accent1"/>
        <w:bottom w:val="single" w:sz="8" w:space="0" w:color="3494BA" w:themeColor="accent1"/>
      </w:tblBorders>
    </w:tblPr>
    <w:tblStylePr w:type="firstRow">
      <w:rPr>
        <w:rFonts w:asciiTheme="majorHAnsi" w:eastAsiaTheme="majorEastAsia" w:hAnsiTheme="majorHAnsi" w:cstheme="majorBidi"/>
      </w:rPr>
      <w:tblPr/>
      <w:tcPr>
        <w:tcBorders>
          <w:top w:val="nil"/>
          <w:bottom w:val="single" w:sz="8" w:space="0" w:color="3494BA" w:themeColor="accent1"/>
        </w:tcBorders>
      </w:tcPr>
    </w:tblStylePr>
    <w:tblStylePr w:type="lastRow">
      <w:rPr>
        <w:b/>
        <w:bCs/>
        <w:color w:val="373545" w:themeColor="text2"/>
      </w:rPr>
      <w:tblPr/>
      <w:tcPr>
        <w:tcBorders>
          <w:top w:val="single" w:sz="8" w:space="0" w:color="3494BA" w:themeColor="accent1"/>
          <w:bottom w:val="single" w:sz="8" w:space="0" w:color="3494BA" w:themeColor="accent1"/>
        </w:tcBorders>
      </w:tcPr>
    </w:tblStylePr>
    <w:tblStylePr w:type="firstCol">
      <w:rPr>
        <w:b/>
        <w:bCs/>
      </w:rPr>
    </w:tblStylePr>
    <w:tblStylePr w:type="lastCol">
      <w:rPr>
        <w:b/>
        <w:bCs/>
      </w:rPr>
      <w:tblPr/>
      <w:tcPr>
        <w:tcBorders>
          <w:top w:val="single" w:sz="8" w:space="0" w:color="3494BA" w:themeColor="accent1"/>
          <w:bottom w:val="single" w:sz="8" w:space="0" w:color="3494BA" w:themeColor="accent1"/>
        </w:tcBorders>
      </w:tcPr>
    </w:tblStylePr>
    <w:tblStylePr w:type="band1Vert">
      <w:tblPr/>
      <w:tcPr>
        <w:shd w:val="clear" w:color="auto" w:fill="CAE5F0" w:themeFill="accent1" w:themeFillTint="3F"/>
      </w:tcPr>
    </w:tblStylePr>
    <w:tblStylePr w:type="band1Horz">
      <w:tblPr/>
      <w:tcPr>
        <w:shd w:val="clear" w:color="auto" w:fill="CAE5F0" w:themeFill="accent1" w:themeFillTint="3F"/>
      </w:tcPr>
    </w:tblStylePr>
  </w:style>
  <w:style w:type="table" w:styleId="1-20">
    <w:name w:val="Medium List 1 Accent 2"/>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58B6C0" w:themeColor="accent2"/>
        <w:bottom w:val="single" w:sz="8" w:space="0" w:color="58B6C0" w:themeColor="accent2"/>
      </w:tblBorders>
    </w:tblPr>
    <w:tblStylePr w:type="firstRow">
      <w:rPr>
        <w:rFonts w:asciiTheme="majorHAnsi" w:eastAsiaTheme="majorEastAsia" w:hAnsiTheme="majorHAnsi" w:cstheme="majorBidi"/>
      </w:rPr>
      <w:tblPr/>
      <w:tcPr>
        <w:tcBorders>
          <w:top w:val="nil"/>
          <w:bottom w:val="single" w:sz="8" w:space="0" w:color="58B6C0" w:themeColor="accent2"/>
        </w:tcBorders>
      </w:tcPr>
    </w:tblStylePr>
    <w:tblStylePr w:type="lastRow">
      <w:rPr>
        <w:b/>
        <w:bCs/>
        <w:color w:val="373545" w:themeColor="text2"/>
      </w:rPr>
      <w:tblPr/>
      <w:tcPr>
        <w:tcBorders>
          <w:top w:val="single" w:sz="8" w:space="0" w:color="58B6C0" w:themeColor="accent2"/>
          <w:bottom w:val="single" w:sz="8" w:space="0" w:color="58B6C0" w:themeColor="accent2"/>
        </w:tcBorders>
      </w:tcPr>
    </w:tblStylePr>
    <w:tblStylePr w:type="firstCol">
      <w:rPr>
        <w:b/>
        <w:bCs/>
      </w:rPr>
    </w:tblStylePr>
    <w:tblStylePr w:type="lastCol">
      <w:rPr>
        <w:b/>
        <w:bCs/>
      </w:rPr>
      <w:tblPr/>
      <w:tcPr>
        <w:tcBorders>
          <w:top w:val="single" w:sz="8" w:space="0" w:color="58B6C0" w:themeColor="accent2"/>
          <w:bottom w:val="single" w:sz="8" w:space="0" w:color="58B6C0" w:themeColor="accent2"/>
        </w:tcBorders>
      </w:tcPr>
    </w:tblStylePr>
    <w:tblStylePr w:type="band1Vert">
      <w:tblPr/>
      <w:tcPr>
        <w:shd w:val="clear" w:color="auto" w:fill="D5ECEF" w:themeFill="accent2" w:themeFillTint="3F"/>
      </w:tcPr>
    </w:tblStylePr>
    <w:tblStylePr w:type="band1Horz">
      <w:tblPr/>
      <w:tcPr>
        <w:shd w:val="clear" w:color="auto" w:fill="D5ECEF" w:themeFill="accent2" w:themeFillTint="3F"/>
      </w:tcPr>
    </w:tblStylePr>
  </w:style>
  <w:style w:type="table" w:styleId="1-30">
    <w:name w:val="Medium List 1 Accent 3"/>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5BDA7" w:themeColor="accent3"/>
        <w:bottom w:val="single" w:sz="8" w:space="0" w:color="75BDA7" w:themeColor="accent3"/>
      </w:tblBorders>
    </w:tblPr>
    <w:tblStylePr w:type="firstRow">
      <w:rPr>
        <w:rFonts w:asciiTheme="majorHAnsi" w:eastAsiaTheme="majorEastAsia" w:hAnsiTheme="majorHAnsi" w:cstheme="majorBidi"/>
      </w:rPr>
      <w:tblPr/>
      <w:tcPr>
        <w:tcBorders>
          <w:top w:val="nil"/>
          <w:bottom w:val="single" w:sz="8" w:space="0" w:color="75BDA7" w:themeColor="accent3"/>
        </w:tcBorders>
      </w:tcPr>
    </w:tblStylePr>
    <w:tblStylePr w:type="lastRow">
      <w:rPr>
        <w:b/>
        <w:bCs/>
        <w:color w:val="373545" w:themeColor="text2"/>
      </w:rPr>
      <w:tblPr/>
      <w:tcPr>
        <w:tcBorders>
          <w:top w:val="single" w:sz="8" w:space="0" w:color="75BDA7" w:themeColor="accent3"/>
          <w:bottom w:val="single" w:sz="8" w:space="0" w:color="75BDA7" w:themeColor="accent3"/>
        </w:tcBorders>
      </w:tcPr>
    </w:tblStylePr>
    <w:tblStylePr w:type="firstCol">
      <w:rPr>
        <w:b/>
        <w:bCs/>
      </w:rPr>
    </w:tblStylePr>
    <w:tblStylePr w:type="lastCol">
      <w:rPr>
        <w:b/>
        <w:bCs/>
      </w:rPr>
      <w:tblPr/>
      <w:tcPr>
        <w:tcBorders>
          <w:top w:val="single" w:sz="8" w:space="0" w:color="75BDA7" w:themeColor="accent3"/>
          <w:bottom w:val="single" w:sz="8" w:space="0" w:color="75BDA7" w:themeColor="accent3"/>
        </w:tcBorders>
      </w:tcPr>
    </w:tblStylePr>
    <w:tblStylePr w:type="band1Vert">
      <w:tblPr/>
      <w:tcPr>
        <w:shd w:val="clear" w:color="auto" w:fill="DCEEE9" w:themeFill="accent3" w:themeFillTint="3F"/>
      </w:tcPr>
    </w:tblStylePr>
    <w:tblStylePr w:type="band1Horz">
      <w:tblPr/>
      <w:tcPr>
        <w:shd w:val="clear" w:color="auto" w:fill="DCEEE9" w:themeFill="accent3" w:themeFillTint="3F"/>
      </w:tcPr>
    </w:tblStylePr>
  </w:style>
  <w:style w:type="table" w:styleId="1-40">
    <w:name w:val="Medium List 1 Accent 4"/>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7A8C8E" w:themeColor="accent4"/>
        <w:bottom w:val="single" w:sz="8" w:space="0" w:color="7A8C8E" w:themeColor="accent4"/>
      </w:tblBorders>
    </w:tblPr>
    <w:tblStylePr w:type="firstRow">
      <w:rPr>
        <w:rFonts w:asciiTheme="majorHAnsi" w:eastAsiaTheme="majorEastAsia" w:hAnsiTheme="majorHAnsi" w:cstheme="majorBidi"/>
      </w:rPr>
      <w:tblPr/>
      <w:tcPr>
        <w:tcBorders>
          <w:top w:val="nil"/>
          <w:bottom w:val="single" w:sz="8" w:space="0" w:color="7A8C8E" w:themeColor="accent4"/>
        </w:tcBorders>
      </w:tcPr>
    </w:tblStylePr>
    <w:tblStylePr w:type="lastRow">
      <w:rPr>
        <w:b/>
        <w:bCs/>
        <w:color w:val="373545" w:themeColor="text2"/>
      </w:rPr>
      <w:tblPr/>
      <w:tcPr>
        <w:tcBorders>
          <w:top w:val="single" w:sz="8" w:space="0" w:color="7A8C8E" w:themeColor="accent4"/>
          <w:bottom w:val="single" w:sz="8" w:space="0" w:color="7A8C8E" w:themeColor="accent4"/>
        </w:tcBorders>
      </w:tcPr>
    </w:tblStylePr>
    <w:tblStylePr w:type="firstCol">
      <w:rPr>
        <w:b/>
        <w:bCs/>
      </w:rPr>
    </w:tblStylePr>
    <w:tblStylePr w:type="lastCol">
      <w:rPr>
        <w:b/>
        <w:bCs/>
      </w:rPr>
      <w:tblPr/>
      <w:tcPr>
        <w:tcBorders>
          <w:top w:val="single" w:sz="8" w:space="0" w:color="7A8C8E" w:themeColor="accent4"/>
          <w:bottom w:val="single" w:sz="8" w:space="0" w:color="7A8C8E" w:themeColor="accent4"/>
        </w:tcBorders>
      </w:tcPr>
    </w:tblStylePr>
    <w:tblStylePr w:type="band1Vert">
      <w:tblPr/>
      <w:tcPr>
        <w:shd w:val="clear" w:color="auto" w:fill="DEE2E3" w:themeFill="accent4" w:themeFillTint="3F"/>
      </w:tcPr>
    </w:tblStylePr>
    <w:tblStylePr w:type="band1Horz">
      <w:tblPr/>
      <w:tcPr>
        <w:shd w:val="clear" w:color="auto" w:fill="DEE2E3" w:themeFill="accent4" w:themeFillTint="3F"/>
      </w:tcPr>
    </w:tblStylePr>
  </w:style>
  <w:style w:type="table" w:styleId="1-50">
    <w:name w:val="Medium List 1 Accent 5"/>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84ACB6" w:themeColor="accent5"/>
        <w:bottom w:val="single" w:sz="8" w:space="0" w:color="84ACB6" w:themeColor="accent5"/>
      </w:tblBorders>
    </w:tblPr>
    <w:tblStylePr w:type="firstRow">
      <w:rPr>
        <w:rFonts w:asciiTheme="majorHAnsi" w:eastAsiaTheme="majorEastAsia" w:hAnsiTheme="majorHAnsi" w:cstheme="majorBidi"/>
      </w:rPr>
      <w:tblPr/>
      <w:tcPr>
        <w:tcBorders>
          <w:top w:val="nil"/>
          <w:bottom w:val="single" w:sz="8" w:space="0" w:color="84ACB6" w:themeColor="accent5"/>
        </w:tcBorders>
      </w:tcPr>
    </w:tblStylePr>
    <w:tblStylePr w:type="lastRow">
      <w:rPr>
        <w:b/>
        <w:bCs/>
        <w:color w:val="373545" w:themeColor="text2"/>
      </w:rPr>
      <w:tblPr/>
      <w:tcPr>
        <w:tcBorders>
          <w:top w:val="single" w:sz="8" w:space="0" w:color="84ACB6" w:themeColor="accent5"/>
          <w:bottom w:val="single" w:sz="8" w:space="0" w:color="84ACB6" w:themeColor="accent5"/>
        </w:tcBorders>
      </w:tcPr>
    </w:tblStylePr>
    <w:tblStylePr w:type="firstCol">
      <w:rPr>
        <w:b/>
        <w:bCs/>
      </w:rPr>
    </w:tblStylePr>
    <w:tblStylePr w:type="lastCol">
      <w:rPr>
        <w:b/>
        <w:bCs/>
      </w:rPr>
      <w:tblPr/>
      <w:tcPr>
        <w:tcBorders>
          <w:top w:val="single" w:sz="8" w:space="0" w:color="84ACB6" w:themeColor="accent5"/>
          <w:bottom w:val="single" w:sz="8" w:space="0" w:color="84ACB6" w:themeColor="accent5"/>
        </w:tcBorders>
      </w:tcPr>
    </w:tblStylePr>
    <w:tblStylePr w:type="band1Vert">
      <w:tblPr/>
      <w:tcPr>
        <w:shd w:val="clear" w:color="auto" w:fill="E0EAED" w:themeFill="accent5" w:themeFillTint="3F"/>
      </w:tcPr>
    </w:tblStylePr>
    <w:tblStylePr w:type="band1Horz">
      <w:tblPr/>
      <w:tcPr>
        <w:shd w:val="clear" w:color="auto" w:fill="E0EAED" w:themeFill="accent5" w:themeFillTint="3F"/>
      </w:tcPr>
    </w:tblStylePr>
  </w:style>
  <w:style w:type="table" w:styleId="1-60">
    <w:name w:val="Medium List 1 Accent 6"/>
    <w:basedOn w:val="a4"/>
    <w:uiPriority w:val="65"/>
    <w:semiHidden/>
    <w:unhideWhenUsed/>
    <w:rsid w:val="004230D9"/>
    <w:pPr>
      <w:spacing w:after="0" w:line="240" w:lineRule="auto"/>
    </w:pPr>
    <w:rPr>
      <w:color w:val="000000" w:themeColor="text1"/>
    </w:rPr>
    <w:tblPr>
      <w:tblStyleRowBandSize w:val="1"/>
      <w:tblStyleColBandSize w:val="1"/>
      <w:tblBorders>
        <w:top w:val="single" w:sz="8" w:space="0" w:color="2683C6" w:themeColor="accent6"/>
        <w:bottom w:val="single" w:sz="8" w:space="0" w:color="2683C6" w:themeColor="accent6"/>
      </w:tblBorders>
    </w:tblPr>
    <w:tblStylePr w:type="firstRow">
      <w:rPr>
        <w:rFonts w:asciiTheme="majorHAnsi" w:eastAsiaTheme="majorEastAsia" w:hAnsiTheme="majorHAnsi" w:cstheme="majorBidi"/>
      </w:rPr>
      <w:tblPr/>
      <w:tcPr>
        <w:tcBorders>
          <w:top w:val="nil"/>
          <w:bottom w:val="single" w:sz="8" w:space="0" w:color="2683C6" w:themeColor="accent6"/>
        </w:tcBorders>
      </w:tcPr>
    </w:tblStylePr>
    <w:tblStylePr w:type="lastRow">
      <w:rPr>
        <w:b/>
        <w:bCs/>
        <w:color w:val="373545" w:themeColor="text2"/>
      </w:rPr>
      <w:tblPr/>
      <w:tcPr>
        <w:tcBorders>
          <w:top w:val="single" w:sz="8" w:space="0" w:color="2683C6" w:themeColor="accent6"/>
          <w:bottom w:val="single" w:sz="8" w:space="0" w:color="2683C6" w:themeColor="accent6"/>
        </w:tcBorders>
      </w:tcPr>
    </w:tblStylePr>
    <w:tblStylePr w:type="firstCol">
      <w:rPr>
        <w:b/>
        <w:bCs/>
      </w:rPr>
    </w:tblStylePr>
    <w:tblStylePr w:type="lastCol">
      <w:rPr>
        <w:b/>
        <w:bCs/>
      </w:rPr>
      <w:tblPr/>
      <w:tcPr>
        <w:tcBorders>
          <w:top w:val="single" w:sz="8" w:space="0" w:color="2683C6" w:themeColor="accent6"/>
          <w:bottom w:val="single" w:sz="8" w:space="0" w:color="2683C6" w:themeColor="accent6"/>
        </w:tcBorders>
      </w:tcPr>
    </w:tblStylePr>
    <w:tblStylePr w:type="band1Vert">
      <w:tblPr/>
      <w:tcPr>
        <w:shd w:val="clear" w:color="auto" w:fill="C5E0F4" w:themeFill="accent6" w:themeFillTint="3F"/>
      </w:tcPr>
    </w:tblStylePr>
    <w:tblStylePr w:type="band1Horz">
      <w:tblPr/>
      <w:tcPr>
        <w:shd w:val="clear" w:color="auto" w:fill="C5E0F4" w:themeFill="accent6" w:themeFillTint="3F"/>
      </w:tcPr>
    </w:tblStylePr>
  </w:style>
  <w:style w:type="table" w:styleId="2f0">
    <w:name w:val="Medium Lis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3494BA" w:themeColor="accent1"/>
        <w:left w:val="single" w:sz="8" w:space="0" w:color="3494BA" w:themeColor="accent1"/>
        <w:bottom w:val="single" w:sz="8" w:space="0" w:color="3494BA" w:themeColor="accent1"/>
        <w:right w:val="single" w:sz="8" w:space="0" w:color="3494BA" w:themeColor="accent1"/>
      </w:tblBorders>
    </w:tblPr>
    <w:tblStylePr w:type="firstRow">
      <w:rPr>
        <w:sz w:val="24"/>
        <w:szCs w:val="24"/>
      </w:rPr>
      <w:tblPr/>
      <w:tcPr>
        <w:tcBorders>
          <w:top w:val="nil"/>
          <w:left w:val="nil"/>
          <w:bottom w:val="single" w:sz="24" w:space="0" w:color="3494BA"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494BA" w:themeColor="accent1"/>
          <w:insideH w:val="nil"/>
          <w:insideV w:val="nil"/>
        </w:tcBorders>
        <w:shd w:val="clear" w:color="auto" w:fill="FFFFFF" w:themeFill="background1"/>
      </w:tcPr>
    </w:tblStylePr>
    <w:tblStylePr w:type="lastCol">
      <w:tblPr/>
      <w:tcPr>
        <w:tcBorders>
          <w:top w:val="nil"/>
          <w:left w:val="single" w:sz="8" w:space="0" w:color="3494BA"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AE5F0" w:themeFill="accent1" w:themeFillTint="3F"/>
      </w:tcPr>
    </w:tblStylePr>
    <w:tblStylePr w:type="band1Horz">
      <w:tblPr/>
      <w:tcPr>
        <w:tcBorders>
          <w:top w:val="nil"/>
          <w:bottom w:val="nil"/>
          <w:insideH w:val="nil"/>
          <w:insideV w:val="nil"/>
        </w:tcBorders>
        <w:shd w:val="clear" w:color="auto" w:fill="CAE5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8B6C0" w:themeColor="accent2"/>
        <w:left w:val="single" w:sz="8" w:space="0" w:color="58B6C0" w:themeColor="accent2"/>
        <w:bottom w:val="single" w:sz="8" w:space="0" w:color="58B6C0" w:themeColor="accent2"/>
        <w:right w:val="single" w:sz="8" w:space="0" w:color="58B6C0" w:themeColor="accent2"/>
      </w:tblBorders>
    </w:tblPr>
    <w:tblStylePr w:type="firstRow">
      <w:rPr>
        <w:sz w:val="24"/>
        <w:szCs w:val="24"/>
      </w:rPr>
      <w:tblPr/>
      <w:tcPr>
        <w:tcBorders>
          <w:top w:val="nil"/>
          <w:left w:val="nil"/>
          <w:bottom w:val="single" w:sz="24" w:space="0" w:color="58B6C0"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8B6C0" w:themeColor="accent2"/>
          <w:insideH w:val="nil"/>
          <w:insideV w:val="nil"/>
        </w:tcBorders>
        <w:shd w:val="clear" w:color="auto" w:fill="FFFFFF" w:themeFill="background1"/>
      </w:tcPr>
    </w:tblStylePr>
    <w:tblStylePr w:type="lastCol">
      <w:tblPr/>
      <w:tcPr>
        <w:tcBorders>
          <w:top w:val="nil"/>
          <w:left w:val="single" w:sz="8" w:space="0" w:color="58B6C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CEF" w:themeFill="accent2" w:themeFillTint="3F"/>
      </w:tcPr>
    </w:tblStylePr>
    <w:tblStylePr w:type="band1Horz">
      <w:tblPr/>
      <w:tcPr>
        <w:tcBorders>
          <w:top w:val="nil"/>
          <w:bottom w:val="nil"/>
          <w:insideH w:val="nil"/>
          <w:insideV w:val="nil"/>
        </w:tcBorders>
        <w:shd w:val="clear" w:color="auto" w:fill="D5ECE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5BDA7" w:themeColor="accent3"/>
        <w:left w:val="single" w:sz="8" w:space="0" w:color="75BDA7" w:themeColor="accent3"/>
        <w:bottom w:val="single" w:sz="8" w:space="0" w:color="75BDA7" w:themeColor="accent3"/>
        <w:right w:val="single" w:sz="8" w:space="0" w:color="75BDA7" w:themeColor="accent3"/>
      </w:tblBorders>
    </w:tblPr>
    <w:tblStylePr w:type="firstRow">
      <w:rPr>
        <w:sz w:val="24"/>
        <w:szCs w:val="24"/>
      </w:rPr>
      <w:tblPr/>
      <w:tcPr>
        <w:tcBorders>
          <w:top w:val="nil"/>
          <w:left w:val="nil"/>
          <w:bottom w:val="single" w:sz="24" w:space="0" w:color="75BDA7"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5BDA7" w:themeColor="accent3"/>
          <w:insideH w:val="nil"/>
          <w:insideV w:val="nil"/>
        </w:tcBorders>
        <w:shd w:val="clear" w:color="auto" w:fill="FFFFFF" w:themeFill="background1"/>
      </w:tcPr>
    </w:tblStylePr>
    <w:tblStylePr w:type="lastCol">
      <w:tblPr/>
      <w:tcPr>
        <w:tcBorders>
          <w:top w:val="nil"/>
          <w:left w:val="single" w:sz="8" w:space="0" w:color="75BDA7"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CEEE9" w:themeFill="accent3" w:themeFillTint="3F"/>
      </w:tcPr>
    </w:tblStylePr>
    <w:tblStylePr w:type="band1Horz">
      <w:tblPr/>
      <w:tcPr>
        <w:tcBorders>
          <w:top w:val="nil"/>
          <w:bottom w:val="nil"/>
          <w:insideH w:val="nil"/>
          <w:insideV w:val="nil"/>
        </w:tcBorders>
        <w:shd w:val="clear" w:color="auto" w:fill="DCEEE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7A8C8E" w:themeColor="accent4"/>
        <w:left w:val="single" w:sz="8" w:space="0" w:color="7A8C8E" w:themeColor="accent4"/>
        <w:bottom w:val="single" w:sz="8" w:space="0" w:color="7A8C8E" w:themeColor="accent4"/>
        <w:right w:val="single" w:sz="8" w:space="0" w:color="7A8C8E" w:themeColor="accent4"/>
      </w:tblBorders>
    </w:tblPr>
    <w:tblStylePr w:type="firstRow">
      <w:rPr>
        <w:sz w:val="24"/>
        <w:szCs w:val="24"/>
      </w:rPr>
      <w:tblPr/>
      <w:tcPr>
        <w:tcBorders>
          <w:top w:val="nil"/>
          <w:left w:val="nil"/>
          <w:bottom w:val="single" w:sz="24" w:space="0" w:color="7A8C8E"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A8C8E" w:themeColor="accent4"/>
          <w:insideH w:val="nil"/>
          <w:insideV w:val="nil"/>
        </w:tcBorders>
        <w:shd w:val="clear" w:color="auto" w:fill="FFFFFF" w:themeFill="background1"/>
      </w:tcPr>
    </w:tblStylePr>
    <w:tblStylePr w:type="lastCol">
      <w:tblPr/>
      <w:tcPr>
        <w:tcBorders>
          <w:top w:val="nil"/>
          <w:left w:val="single" w:sz="8" w:space="0" w:color="7A8C8E"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EE2E3" w:themeFill="accent4" w:themeFillTint="3F"/>
      </w:tcPr>
    </w:tblStylePr>
    <w:tblStylePr w:type="band1Horz">
      <w:tblPr/>
      <w:tcPr>
        <w:tcBorders>
          <w:top w:val="nil"/>
          <w:bottom w:val="nil"/>
          <w:insideH w:val="nil"/>
          <w:insideV w:val="nil"/>
        </w:tcBorders>
        <w:shd w:val="clear" w:color="auto" w:fill="DEE2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4ACB6" w:themeColor="accent5"/>
        <w:left w:val="single" w:sz="8" w:space="0" w:color="84ACB6" w:themeColor="accent5"/>
        <w:bottom w:val="single" w:sz="8" w:space="0" w:color="84ACB6" w:themeColor="accent5"/>
        <w:right w:val="single" w:sz="8" w:space="0" w:color="84ACB6" w:themeColor="accent5"/>
      </w:tblBorders>
    </w:tblPr>
    <w:tblStylePr w:type="firstRow">
      <w:rPr>
        <w:sz w:val="24"/>
        <w:szCs w:val="24"/>
      </w:rPr>
      <w:tblPr/>
      <w:tcPr>
        <w:tcBorders>
          <w:top w:val="nil"/>
          <w:left w:val="nil"/>
          <w:bottom w:val="single" w:sz="24" w:space="0" w:color="84ACB6"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4ACB6" w:themeColor="accent5"/>
          <w:insideH w:val="nil"/>
          <w:insideV w:val="nil"/>
        </w:tcBorders>
        <w:shd w:val="clear" w:color="auto" w:fill="FFFFFF" w:themeFill="background1"/>
      </w:tcPr>
    </w:tblStylePr>
    <w:tblStylePr w:type="lastCol">
      <w:tblPr/>
      <w:tcPr>
        <w:tcBorders>
          <w:top w:val="nil"/>
          <w:left w:val="single" w:sz="8" w:space="0" w:color="84ACB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0EAED" w:themeFill="accent5" w:themeFillTint="3F"/>
      </w:tcPr>
    </w:tblStylePr>
    <w:tblStylePr w:type="band1Horz">
      <w:tblPr/>
      <w:tcPr>
        <w:tcBorders>
          <w:top w:val="nil"/>
          <w:bottom w:val="nil"/>
          <w:insideH w:val="nil"/>
          <w:insideV w:val="nil"/>
        </w:tcBorders>
        <w:shd w:val="clear" w:color="auto" w:fill="E0EAED"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4"/>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2683C6" w:themeColor="accent6"/>
        <w:left w:val="single" w:sz="8" w:space="0" w:color="2683C6" w:themeColor="accent6"/>
        <w:bottom w:val="single" w:sz="8" w:space="0" w:color="2683C6" w:themeColor="accent6"/>
        <w:right w:val="single" w:sz="8" w:space="0" w:color="2683C6" w:themeColor="accent6"/>
      </w:tblBorders>
    </w:tblPr>
    <w:tblStylePr w:type="firstRow">
      <w:rPr>
        <w:sz w:val="24"/>
        <w:szCs w:val="24"/>
      </w:rPr>
      <w:tblPr/>
      <w:tcPr>
        <w:tcBorders>
          <w:top w:val="nil"/>
          <w:left w:val="nil"/>
          <w:bottom w:val="single" w:sz="24" w:space="0" w:color="2683C6"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683C6" w:themeColor="accent6"/>
          <w:insideH w:val="nil"/>
          <w:insideV w:val="nil"/>
        </w:tcBorders>
        <w:shd w:val="clear" w:color="auto" w:fill="FFFFFF" w:themeFill="background1"/>
      </w:tcPr>
    </w:tblStylePr>
    <w:tblStylePr w:type="lastCol">
      <w:tblPr/>
      <w:tcPr>
        <w:tcBorders>
          <w:top w:val="nil"/>
          <w:left w:val="single" w:sz="8" w:space="0" w:color="2683C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5E0F4" w:themeFill="accent6" w:themeFillTint="3F"/>
      </w:tcPr>
    </w:tblStylePr>
    <w:tblStylePr w:type="band1Horz">
      <w:tblPr/>
      <w:tcPr>
        <w:tcBorders>
          <w:top w:val="nil"/>
          <w:bottom w:val="nil"/>
          <w:insideH w:val="nil"/>
          <w:insideV w:val="nil"/>
        </w:tcBorders>
        <w:shd w:val="clear" w:color="auto" w:fill="C5E0F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5">
    <w:name w:val="Medium Shading 1"/>
    <w:basedOn w:val="a4"/>
    <w:uiPriority w:val="63"/>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1">
    <w:name w:val="Medium Shading 1 Accent 1"/>
    <w:basedOn w:val="a4"/>
    <w:uiPriority w:val="63"/>
    <w:semiHidden/>
    <w:unhideWhenUsed/>
    <w:rsid w:val="004230D9"/>
    <w:pPr>
      <w:spacing w:after="0" w:line="240" w:lineRule="auto"/>
    </w:pPr>
    <w:tblPr>
      <w:tblStyleRowBandSize w:val="1"/>
      <w:tblStyleColBandSize w:val="1"/>
      <w:tbl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single" w:sz="8" w:space="0" w:color="5FB1D2" w:themeColor="accent1" w:themeTint="BF"/>
      </w:tblBorders>
    </w:tblPr>
    <w:tblStylePr w:type="firstRow">
      <w:pPr>
        <w:spacing w:before="0" w:after="0" w:line="240" w:lineRule="auto"/>
      </w:pPr>
      <w:rPr>
        <w:b/>
        <w:bCs/>
        <w:color w:val="FFFFFF" w:themeColor="background1"/>
      </w:rPr>
      <w:tblPr/>
      <w:tcPr>
        <w:tcBorders>
          <w:top w:val="single" w:sz="8"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shd w:val="clear" w:color="auto" w:fill="3494BA" w:themeFill="accent1"/>
      </w:tcPr>
    </w:tblStylePr>
    <w:tblStylePr w:type="lastRow">
      <w:pPr>
        <w:spacing w:before="0" w:after="0" w:line="240" w:lineRule="auto"/>
      </w:pPr>
      <w:rPr>
        <w:b/>
        <w:bCs/>
      </w:rPr>
      <w:tblPr/>
      <w:tcPr>
        <w:tcBorders>
          <w:top w:val="double" w:sz="6" w:space="0" w:color="5FB1D2" w:themeColor="accent1" w:themeTint="BF"/>
          <w:left w:val="single" w:sz="8" w:space="0" w:color="5FB1D2" w:themeColor="accent1" w:themeTint="BF"/>
          <w:bottom w:val="single" w:sz="8" w:space="0" w:color="5FB1D2" w:themeColor="accent1" w:themeTint="BF"/>
          <w:right w:val="single" w:sz="8" w:space="0" w:color="5FB1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AE5F0" w:themeFill="accent1" w:themeFillTint="3F"/>
      </w:tcPr>
    </w:tblStylePr>
    <w:tblStylePr w:type="band1Horz">
      <w:tblPr/>
      <w:tcPr>
        <w:tcBorders>
          <w:insideH w:val="nil"/>
          <w:insideV w:val="nil"/>
        </w:tcBorders>
        <w:shd w:val="clear" w:color="auto" w:fill="CAE5F0" w:themeFill="accent1" w:themeFillTint="3F"/>
      </w:tcPr>
    </w:tblStylePr>
    <w:tblStylePr w:type="band2Horz">
      <w:tblPr/>
      <w:tcPr>
        <w:tcBorders>
          <w:insideH w:val="nil"/>
          <w:insideV w:val="nil"/>
        </w:tcBorders>
      </w:tcPr>
    </w:tblStylePr>
  </w:style>
  <w:style w:type="table" w:styleId="1-21">
    <w:name w:val="Medium Shading 1 Accent 2"/>
    <w:basedOn w:val="a4"/>
    <w:uiPriority w:val="63"/>
    <w:semiHidden/>
    <w:unhideWhenUsed/>
    <w:rsid w:val="004230D9"/>
    <w:pPr>
      <w:spacing w:after="0" w:line="240" w:lineRule="auto"/>
    </w:pPr>
    <w:tblPr>
      <w:tblStyleRowBandSize w:val="1"/>
      <w:tblStyleColBandSize w:val="1"/>
      <w:tbl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single" w:sz="8" w:space="0" w:color="81C8CF" w:themeColor="accent2" w:themeTint="BF"/>
      </w:tblBorders>
    </w:tblPr>
    <w:tblStylePr w:type="firstRow">
      <w:pPr>
        <w:spacing w:before="0" w:after="0" w:line="240" w:lineRule="auto"/>
      </w:pPr>
      <w:rPr>
        <w:b/>
        <w:bCs/>
        <w:color w:val="FFFFFF" w:themeColor="background1"/>
      </w:rPr>
      <w:tblPr/>
      <w:tcPr>
        <w:tcBorders>
          <w:top w:val="single" w:sz="8"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shd w:val="clear" w:color="auto" w:fill="58B6C0" w:themeFill="accent2"/>
      </w:tcPr>
    </w:tblStylePr>
    <w:tblStylePr w:type="lastRow">
      <w:pPr>
        <w:spacing w:before="0" w:after="0" w:line="240" w:lineRule="auto"/>
      </w:pPr>
      <w:rPr>
        <w:b/>
        <w:bCs/>
      </w:rPr>
      <w:tblPr/>
      <w:tcPr>
        <w:tcBorders>
          <w:top w:val="double" w:sz="6" w:space="0" w:color="81C8CF" w:themeColor="accent2" w:themeTint="BF"/>
          <w:left w:val="single" w:sz="8" w:space="0" w:color="81C8CF" w:themeColor="accent2" w:themeTint="BF"/>
          <w:bottom w:val="single" w:sz="8" w:space="0" w:color="81C8CF" w:themeColor="accent2" w:themeTint="BF"/>
          <w:right w:val="single" w:sz="8" w:space="0" w:color="81C8CF" w:themeColor="accent2" w:themeTint="BF"/>
          <w:insideH w:val="nil"/>
          <w:insideV w:val="nil"/>
        </w:tcBorders>
      </w:tcPr>
    </w:tblStylePr>
    <w:tblStylePr w:type="firstCol">
      <w:rPr>
        <w:b/>
        <w:bCs/>
      </w:rPr>
    </w:tblStylePr>
    <w:tblStylePr w:type="lastCol">
      <w:rPr>
        <w:b/>
        <w:bCs/>
      </w:rPr>
    </w:tblStylePr>
    <w:tblStylePr w:type="band1Vert">
      <w:tblPr/>
      <w:tcPr>
        <w:shd w:val="clear" w:color="auto" w:fill="D5ECEF" w:themeFill="accent2" w:themeFillTint="3F"/>
      </w:tcPr>
    </w:tblStylePr>
    <w:tblStylePr w:type="band1Horz">
      <w:tblPr/>
      <w:tcPr>
        <w:tcBorders>
          <w:insideH w:val="nil"/>
          <w:insideV w:val="nil"/>
        </w:tcBorders>
        <w:shd w:val="clear" w:color="auto" w:fill="D5ECEF" w:themeFill="accent2" w:themeFillTint="3F"/>
      </w:tcPr>
    </w:tblStylePr>
    <w:tblStylePr w:type="band2Horz">
      <w:tblPr/>
      <w:tcPr>
        <w:tcBorders>
          <w:insideH w:val="nil"/>
          <w:insideV w:val="nil"/>
        </w:tcBorders>
      </w:tcPr>
    </w:tblStylePr>
  </w:style>
  <w:style w:type="table" w:styleId="1-31">
    <w:name w:val="Medium Shading 1 Accent 3"/>
    <w:basedOn w:val="a4"/>
    <w:uiPriority w:val="63"/>
    <w:semiHidden/>
    <w:unhideWhenUsed/>
    <w:rsid w:val="004230D9"/>
    <w:pPr>
      <w:spacing w:after="0" w:line="240" w:lineRule="auto"/>
    </w:pPr>
    <w:tblPr>
      <w:tblStyleRowBandSize w:val="1"/>
      <w:tblStyleColBandSize w:val="1"/>
      <w:tbl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single" w:sz="8" w:space="0" w:color="97CDBC" w:themeColor="accent3" w:themeTint="BF"/>
      </w:tblBorders>
    </w:tblPr>
    <w:tblStylePr w:type="firstRow">
      <w:pPr>
        <w:spacing w:before="0" w:after="0" w:line="240" w:lineRule="auto"/>
      </w:pPr>
      <w:rPr>
        <w:b/>
        <w:bCs/>
        <w:color w:val="FFFFFF" w:themeColor="background1"/>
      </w:rPr>
      <w:tblPr/>
      <w:tcPr>
        <w:tcBorders>
          <w:top w:val="single" w:sz="8"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shd w:val="clear" w:color="auto" w:fill="75BDA7" w:themeFill="accent3"/>
      </w:tcPr>
    </w:tblStylePr>
    <w:tblStylePr w:type="lastRow">
      <w:pPr>
        <w:spacing w:before="0" w:after="0" w:line="240" w:lineRule="auto"/>
      </w:pPr>
      <w:rPr>
        <w:b/>
        <w:bCs/>
      </w:rPr>
      <w:tblPr/>
      <w:tcPr>
        <w:tcBorders>
          <w:top w:val="double" w:sz="6" w:space="0" w:color="97CDBC" w:themeColor="accent3" w:themeTint="BF"/>
          <w:left w:val="single" w:sz="8" w:space="0" w:color="97CDBC" w:themeColor="accent3" w:themeTint="BF"/>
          <w:bottom w:val="single" w:sz="8" w:space="0" w:color="97CDBC" w:themeColor="accent3" w:themeTint="BF"/>
          <w:right w:val="single" w:sz="8" w:space="0" w:color="97CDBC" w:themeColor="accent3" w:themeTint="BF"/>
          <w:insideH w:val="nil"/>
          <w:insideV w:val="nil"/>
        </w:tcBorders>
      </w:tcPr>
    </w:tblStylePr>
    <w:tblStylePr w:type="firstCol">
      <w:rPr>
        <w:b/>
        <w:bCs/>
      </w:rPr>
    </w:tblStylePr>
    <w:tblStylePr w:type="lastCol">
      <w:rPr>
        <w:b/>
        <w:bCs/>
      </w:rPr>
    </w:tblStylePr>
    <w:tblStylePr w:type="band1Vert">
      <w:tblPr/>
      <w:tcPr>
        <w:shd w:val="clear" w:color="auto" w:fill="DCEEE9" w:themeFill="accent3" w:themeFillTint="3F"/>
      </w:tcPr>
    </w:tblStylePr>
    <w:tblStylePr w:type="band1Horz">
      <w:tblPr/>
      <w:tcPr>
        <w:tcBorders>
          <w:insideH w:val="nil"/>
          <w:insideV w:val="nil"/>
        </w:tcBorders>
        <w:shd w:val="clear" w:color="auto" w:fill="DCEEE9" w:themeFill="accent3" w:themeFillTint="3F"/>
      </w:tcPr>
    </w:tblStylePr>
    <w:tblStylePr w:type="band2Horz">
      <w:tblPr/>
      <w:tcPr>
        <w:tcBorders>
          <w:insideH w:val="nil"/>
          <w:insideV w:val="nil"/>
        </w:tcBorders>
      </w:tcPr>
    </w:tblStylePr>
  </w:style>
  <w:style w:type="table" w:styleId="1-41">
    <w:name w:val="Medium Shading 1 Accent 4"/>
    <w:basedOn w:val="a4"/>
    <w:uiPriority w:val="63"/>
    <w:semiHidden/>
    <w:unhideWhenUsed/>
    <w:rsid w:val="004230D9"/>
    <w:pPr>
      <w:spacing w:after="0" w:line="240" w:lineRule="auto"/>
    </w:pPr>
    <w:tblPr>
      <w:tblStyleRowBandSize w:val="1"/>
      <w:tblStyleColBandSize w:val="1"/>
      <w:tbl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single" w:sz="8" w:space="0" w:color="9BA8AA" w:themeColor="accent4" w:themeTint="BF"/>
      </w:tblBorders>
    </w:tblPr>
    <w:tblStylePr w:type="firstRow">
      <w:pPr>
        <w:spacing w:before="0" w:after="0" w:line="240" w:lineRule="auto"/>
      </w:pPr>
      <w:rPr>
        <w:b/>
        <w:bCs/>
        <w:color w:val="FFFFFF" w:themeColor="background1"/>
      </w:rPr>
      <w:tblPr/>
      <w:tcPr>
        <w:tcBorders>
          <w:top w:val="single" w:sz="8"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shd w:val="clear" w:color="auto" w:fill="7A8C8E" w:themeFill="accent4"/>
      </w:tcPr>
    </w:tblStylePr>
    <w:tblStylePr w:type="lastRow">
      <w:pPr>
        <w:spacing w:before="0" w:after="0" w:line="240" w:lineRule="auto"/>
      </w:pPr>
      <w:rPr>
        <w:b/>
        <w:bCs/>
      </w:rPr>
      <w:tblPr/>
      <w:tcPr>
        <w:tcBorders>
          <w:top w:val="double" w:sz="6" w:space="0" w:color="9BA8AA" w:themeColor="accent4" w:themeTint="BF"/>
          <w:left w:val="single" w:sz="8" w:space="0" w:color="9BA8AA" w:themeColor="accent4" w:themeTint="BF"/>
          <w:bottom w:val="single" w:sz="8" w:space="0" w:color="9BA8AA" w:themeColor="accent4" w:themeTint="BF"/>
          <w:right w:val="single" w:sz="8" w:space="0" w:color="9BA8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EE2E3" w:themeFill="accent4" w:themeFillTint="3F"/>
      </w:tcPr>
    </w:tblStylePr>
    <w:tblStylePr w:type="band1Horz">
      <w:tblPr/>
      <w:tcPr>
        <w:tcBorders>
          <w:insideH w:val="nil"/>
          <w:insideV w:val="nil"/>
        </w:tcBorders>
        <w:shd w:val="clear" w:color="auto" w:fill="DEE2E3" w:themeFill="accent4" w:themeFillTint="3F"/>
      </w:tcPr>
    </w:tblStylePr>
    <w:tblStylePr w:type="band2Horz">
      <w:tblPr/>
      <w:tcPr>
        <w:tcBorders>
          <w:insideH w:val="nil"/>
          <w:insideV w:val="nil"/>
        </w:tcBorders>
      </w:tcPr>
    </w:tblStylePr>
  </w:style>
  <w:style w:type="table" w:styleId="1-51">
    <w:name w:val="Medium Shading 1 Accent 5"/>
    <w:basedOn w:val="a4"/>
    <w:uiPriority w:val="63"/>
    <w:semiHidden/>
    <w:unhideWhenUsed/>
    <w:rsid w:val="004230D9"/>
    <w:pPr>
      <w:spacing w:after="0" w:line="240" w:lineRule="auto"/>
    </w:pPr>
    <w:tblPr>
      <w:tblStyleRowBandSize w:val="1"/>
      <w:tblStyleColBandSize w:val="1"/>
      <w:tbl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single" w:sz="8" w:space="0" w:color="A2C0C8" w:themeColor="accent5" w:themeTint="BF"/>
      </w:tblBorders>
    </w:tblPr>
    <w:tblStylePr w:type="firstRow">
      <w:pPr>
        <w:spacing w:before="0" w:after="0" w:line="240" w:lineRule="auto"/>
      </w:pPr>
      <w:rPr>
        <w:b/>
        <w:bCs/>
        <w:color w:val="FFFFFF" w:themeColor="background1"/>
      </w:rPr>
      <w:tblPr/>
      <w:tcPr>
        <w:tcBorders>
          <w:top w:val="single" w:sz="8"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shd w:val="clear" w:color="auto" w:fill="84ACB6" w:themeFill="accent5"/>
      </w:tcPr>
    </w:tblStylePr>
    <w:tblStylePr w:type="lastRow">
      <w:pPr>
        <w:spacing w:before="0" w:after="0" w:line="240" w:lineRule="auto"/>
      </w:pPr>
      <w:rPr>
        <w:b/>
        <w:bCs/>
      </w:rPr>
      <w:tblPr/>
      <w:tcPr>
        <w:tcBorders>
          <w:top w:val="double" w:sz="6" w:space="0" w:color="A2C0C8" w:themeColor="accent5" w:themeTint="BF"/>
          <w:left w:val="single" w:sz="8" w:space="0" w:color="A2C0C8" w:themeColor="accent5" w:themeTint="BF"/>
          <w:bottom w:val="single" w:sz="8" w:space="0" w:color="A2C0C8" w:themeColor="accent5" w:themeTint="BF"/>
          <w:right w:val="single" w:sz="8" w:space="0" w:color="A2C0C8" w:themeColor="accent5" w:themeTint="BF"/>
          <w:insideH w:val="nil"/>
          <w:insideV w:val="nil"/>
        </w:tcBorders>
      </w:tcPr>
    </w:tblStylePr>
    <w:tblStylePr w:type="firstCol">
      <w:rPr>
        <w:b/>
        <w:bCs/>
      </w:rPr>
    </w:tblStylePr>
    <w:tblStylePr w:type="lastCol">
      <w:rPr>
        <w:b/>
        <w:bCs/>
      </w:rPr>
    </w:tblStylePr>
    <w:tblStylePr w:type="band1Vert">
      <w:tblPr/>
      <w:tcPr>
        <w:shd w:val="clear" w:color="auto" w:fill="E0EAED" w:themeFill="accent5" w:themeFillTint="3F"/>
      </w:tcPr>
    </w:tblStylePr>
    <w:tblStylePr w:type="band1Horz">
      <w:tblPr/>
      <w:tcPr>
        <w:tcBorders>
          <w:insideH w:val="nil"/>
          <w:insideV w:val="nil"/>
        </w:tcBorders>
        <w:shd w:val="clear" w:color="auto" w:fill="E0EAED" w:themeFill="accent5" w:themeFillTint="3F"/>
      </w:tcPr>
    </w:tblStylePr>
    <w:tblStylePr w:type="band2Horz">
      <w:tblPr/>
      <w:tcPr>
        <w:tcBorders>
          <w:insideH w:val="nil"/>
          <w:insideV w:val="nil"/>
        </w:tcBorders>
      </w:tcPr>
    </w:tblStylePr>
  </w:style>
  <w:style w:type="table" w:styleId="1-61">
    <w:name w:val="Medium Shading 1 Accent 6"/>
    <w:basedOn w:val="a4"/>
    <w:uiPriority w:val="63"/>
    <w:semiHidden/>
    <w:unhideWhenUsed/>
    <w:rsid w:val="004230D9"/>
    <w:pPr>
      <w:spacing w:after="0" w:line="240" w:lineRule="auto"/>
    </w:pPr>
    <w:tblPr>
      <w:tblStyleRowBandSize w:val="1"/>
      <w:tblStyleColBandSize w:val="1"/>
      <w:tbl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single" w:sz="8" w:space="0" w:color="52A3DE" w:themeColor="accent6" w:themeTint="BF"/>
      </w:tblBorders>
    </w:tblPr>
    <w:tblStylePr w:type="firstRow">
      <w:pPr>
        <w:spacing w:before="0" w:after="0" w:line="240" w:lineRule="auto"/>
      </w:pPr>
      <w:rPr>
        <w:b/>
        <w:bCs/>
        <w:color w:val="FFFFFF" w:themeColor="background1"/>
      </w:rPr>
      <w:tblPr/>
      <w:tcPr>
        <w:tcBorders>
          <w:top w:val="single" w:sz="8"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shd w:val="clear" w:color="auto" w:fill="2683C6" w:themeFill="accent6"/>
      </w:tcPr>
    </w:tblStylePr>
    <w:tblStylePr w:type="lastRow">
      <w:pPr>
        <w:spacing w:before="0" w:after="0" w:line="240" w:lineRule="auto"/>
      </w:pPr>
      <w:rPr>
        <w:b/>
        <w:bCs/>
      </w:rPr>
      <w:tblPr/>
      <w:tcPr>
        <w:tcBorders>
          <w:top w:val="double" w:sz="6" w:space="0" w:color="52A3DE" w:themeColor="accent6" w:themeTint="BF"/>
          <w:left w:val="single" w:sz="8" w:space="0" w:color="52A3DE" w:themeColor="accent6" w:themeTint="BF"/>
          <w:bottom w:val="single" w:sz="8" w:space="0" w:color="52A3DE" w:themeColor="accent6" w:themeTint="BF"/>
          <w:right w:val="single" w:sz="8" w:space="0" w:color="52A3DE" w:themeColor="accent6" w:themeTint="BF"/>
          <w:insideH w:val="nil"/>
          <w:insideV w:val="nil"/>
        </w:tcBorders>
      </w:tcPr>
    </w:tblStylePr>
    <w:tblStylePr w:type="firstCol">
      <w:rPr>
        <w:b/>
        <w:bCs/>
      </w:rPr>
    </w:tblStylePr>
    <w:tblStylePr w:type="lastCol">
      <w:rPr>
        <w:b/>
        <w:bCs/>
      </w:rPr>
    </w:tblStylePr>
    <w:tblStylePr w:type="band1Vert">
      <w:tblPr/>
      <w:tcPr>
        <w:shd w:val="clear" w:color="auto" w:fill="C5E0F4" w:themeFill="accent6" w:themeFillTint="3F"/>
      </w:tcPr>
    </w:tblStylePr>
    <w:tblStylePr w:type="band1Horz">
      <w:tblPr/>
      <w:tcPr>
        <w:tcBorders>
          <w:insideH w:val="nil"/>
          <w:insideV w:val="nil"/>
        </w:tcBorders>
        <w:shd w:val="clear" w:color="auto" w:fill="C5E0F4" w:themeFill="accent6" w:themeFillTint="3F"/>
      </w:tcPr>
    </w:tblStylePr>
    <w:tblStylePr w:type="band2Horz">
      <w:tblPr/>
      <w:tcPr>
        <w:tcBorders>
          <w:insideH w:val="nil"/>
          <w:insideV w:val="nil"/>
        </w:tcBorders>
      </w:tcPr>
    </w:tblStylePr>
  </w:style>
  <w:style w:type="table" w:styleId="2f1">
    <w:name w:val="Medium Shading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11">
    <w:name w:val="Medium Shading 2 Accent 1"/>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494BA"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494BA" w:themeFill="accent1"/>
      </w:tcPr>
    </w:tblStylePr>
    <w:tblStylePr w:type="lastCol">
      <w:rPr>
        <w:b/>
        <w:bCs/>
        <w:color w:val="FFFFFF" w:themeColor="background1"/>
      </w:rPr>
      <w:tblPr/>
      <w:tcPr>
        <w:tcBorders>
          <w:left w:val="nil"/>
          <w:right w:val="nil"/>
          <w:insideH w:val="nil"/>
          <w:insideV w:val="nil"/>
        </w:tcBorders>
        <w:shd w:val="clear" w:color="auto" w:fill="3494BA"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21">
    <w:name w:val="Medium Shading 2 Accent 2"/>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8B6C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8B6C0" w:themeFill="accent2"/>
      </w:tcPr>
    </w:tblStylePr>
    <w:tblStylePr w:type="lastCol">
      <w:rPr>
        <w:b/>
        <w:bCs/>
        <w:color w:val="FFFFFF" w:themeColor="background1"/>
      </w:rPr>
      <w:tblPr/>
      <w:tcPr>
        <w:tcBorders>
          <w:left w:val="nil"/>
          <w:right w:val="nil"/>
          <w:insideH w:val="nil"/>
          <w:insideV w:val="nil"/>
        </w:tcBorders>
        <w:shd w:val="clear" w:color="auto" w:fill="58B6C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31">
    <w:name w:val="Medium Shading 2 Accent 3"/>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5BDA7"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5BDA7" w:themeFill="accent3"/>
      </w:tcPr>
    </w:tblStylePr>
    <w:tblStylePr w:type="lastCol">
      <w:rPr>
        <w:b/>
        <w:bCs/>
        <w:color w:val="FFFFFF" w:themeColor="background1"/>
      </w:rPr>
      <w:tblPr/>
      <w:tcPr>
        <w:tcBorders>
          <w:left w:val="nil"/>
          <w:right w:val="nil"/>
          <w:insideH w:val="nil"/>
          <w:insideV w:val="nil"/>
        </w:tcBorders>
        <w:shd w:val="clear" w:color="auto" w:fill="75BDA7"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41">
    <w:name w:val="Medium Shading 2 Accent 4"/>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A8C8E"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A8C8E" w:themeFill="accent4"/>
      </w:tcPr>
    </w:tblStylePr>
    <w:tblStylePr w:type="lastCol">
      <w:rPr>
        <w:b/>
        <w:bCs/>
        <w:color w:val="FFFFFF" w:themeColor="background1"/>
      </w:rPr>
      <w:tblPr/>
      <w:tcPr>
        <w:tcBorders>
          <w:left w:val="nil"/>
          <w:right w:val="nil"/>
          <w:insideH w:val="nil"/>
          <w:insideV w:val="nil"/>
        </w:tcBorders>
        <w:shd w:val="clear" w:color="auto" w:fill="7A8C8E"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51">
    <w:name w:val="Medium Shading 2 Accent 5"/>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4ACB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4ACB6" w:themeFill="accent5"/>
      </w:tcPr>
    </w:tblStylePr>
    <w:tblStylePr w:type="lastCol">
      <w:rPr>
        <w:b/>
        <w:bCs/>
        <w:color w:val="FFFFFF" w:themeColor="background1"/>
      </w:rPr>
      <w:tblPr/>
      <w:tcPr>
        <w:tcBorders>
          <w:left w:val="nil"/>
          <w:right w:val="nil"/>
          <w:insideH w:val="nil"/>
          <w:insideV w:val="nil"/>
        </w:tcBorders>
        <w:shd w:val="clear" w:color="auto" w:fill="84ACB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2-61">
    <w:name w:val="Medium Shading 2 Accent 6"/>
    <w:basedOn w:val="a4"/>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683C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683C6" w:themeFill="accent6"/>
      </w:tcPr>
    </w:tblStylePr>
    <w:tblStylePr w:type="lastCol">
      <w:rPr>
        <w:b/>
        <w:bCs/>
        <w:color w:val="FFFFFF" w:themeColor="background1"/>
      </w:rPr>
      <w:tblPr/>
      <w:tcPr>
        <w:tcBorders>
          <w:left w:val="nil"/>
          <w:right w:val="nil"/>
          <w:insideH w:val="nil"/>
          <w:insideV w:val="nil"/>
        </w:tcBorders>
        <w:shd w:val="clear" w:color="auto" w:fill="2683C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afffff3">
    <w:name w:val="No Spacing"/>
    <w:uiPriority w:val="1"/>
    <w:semiHidden/>
    <w:unhideWhenUsed/>
    <w:qFormat/>
    <w:rsid w:val="004230D9"/>
    <w:pPr>
      <w:spacing w:after="0" w:line="240" w:lineRule="auto"/>
    </w:pPr>
    <w:rPr>
      <w:rFonts w:ascii="Times New Roman" w:hAnsi="Times New Roman"/>
    </w:rPr>
  </w:style>
  <w:style w:type="paragraph" w:styleId="afffff4">
    <w:name w:val="Normal (Web)"/>
    <w:basedOn w:val="a2"/>
    <w:uiPriority w:val="99"/>
    <w:unhideWhenUsed/>
    <w:rsid w:val="004230D9"/>
  </w:style>
  <w:style w:type="paragraph" w:styleId="afffff5">
    <w:name w:val="Normal Indent"/>
    <w:basedOn w:val="a2"/>
    <w:uiPriority w:val="99"/>
    <w:semiHidden/>
    <w:unhideWhenUsed/>
    <w:rsid w:val="004230D9"/>
    <w:pPr>
      <w:ind w:left="708"/>
    </w:pPr>
  </w:style>
  <w:style w:type="character" w:styleId="afffff6">
    <w:name w:val="page number"/>
    <w:basedOn w:val="a3"/>
    <w:uiPriority w:val="99"/>
    <w:semiHidden/>
    <w:unhideWhenUsed/>
    <w:rsid w:val="004230D9"/>
    <w:rPr>
      <w:rFonts w:ascii="Times New Roman" w:hAnsi="Times New Roman" w:cs="Times New Roman"/>
    </w:rPr>
  </w:style>
  <w:style w:type="table" w:customStyle="1" w:styleId="110">
    <w:name w:val="Таблица простая 11"/>
    <w:basedOn w:val="a4"/>
    <w:uiPriority w:val="41"/>
    <w:rsid w:val="004230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210">
    <w:name w:val="Таблица простая 21"/>
    <w:basedOn w:val="a4"/>
    <w:uiPriority w:val="42"/>
    <w:rsid w:val="00423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310">
    <w:name w:val="Таблица простая 31"/>
    <w:basedOn w:val="a4"/>
    <w:uiPriority w:val="43"/>
    <w:rsid w:val="004230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410">
    <w:name w:val="Таблица простая 41"/>
    <w:basedOn w:val="a4"/>
    <w:uiPriority w:val="44"/>
    <w:rsid w:val="004230D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510">
    <w:name w:val="Таблица простая 51"/>
    <w:basedOn w:val="a4"/>
    <w:uiPriority w:val="45"/>
    <w:rsid w:val="004230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16">
    <w:name w:val="Table 3D effects 1"/>
    <w:basedOn w:val="a4"/>
    <w:uiPriority w:val="99"/>
    <w:semiHidden/>
    <w:unhideWhenUsed/>
    <w:rsid w:val="004230D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2">
    <w:name w:val="Table 3D effects 2"/>
    <w:basedOn w:val="a4"/>
    <w:uiPriority w:val="99"/>
    <w:semiHidden/>
    <w:unhideWhenUsed/>
    <w:rsid w:val="004230D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3D effects 3"/>
    <w:basedOn w:val="a4"/>
    <w:uiPriority w:val="99"/>
    <w:semiHidden/>
    <w:unhideWhenUsed/>
    <w:rsid w:val="004230D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7">
    <w:name w:val="Table Classic 1"/>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3">
    <w:name w:val="Table Classic 2"/>
    <w:basedOn w:val="a4"/>
    <w:uiPriority w:val="99"/>
    <w:semiHidden/>
    <w:unhideWhenUsed/>
    <w:rsid w:val="004230D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4"/>
    <w:uiPriority w:val="99"/>
    <w:semiHidden/>
    <w:unhideWhenUsed/>
    <w:rsid w:val="004230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4"/>
    <w:uiPriority w:val="99"/>
    <w:semiHidden/>
    <w:unhideWhenUsed/>
    <w:rsid w:val="004230D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8">
    <w:name w:val="Table Colorful 1"/>
    <w:basedOn w:val="a4"/>
    <w:uiPriority w:val="99"/>
    <w:semiHidden/>
    <w:unhideWhenUsed/>
    <w:rsid w:val="004230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4">
    <w:name w:val="Table Colorful 2"/>
    <w:basedOn w:val="a4"/>
    <w:uiPriority w:val="99"/>
    <w:semiHidden/>
    <w:unhideWhenUsed/>
    <w:rsid w:val="004230D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c">
    <w:name w:val="Table Colorful 3"/>
    <w:basedOn w:val="a4"/>
    <w:uiPriority w:val="99"/>
    <w:semiHidden/>
    <w:unhideWhenUsed/>
    <w:rsid w:val="004230D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9">
    <w:name w:val="Table Columns 1"/>
    <w:basedOn w:val="a4"/>
    <w:uiPriority w:val="99"/>
    <w:semiHidden/>
    <w:unhideWhenUsed/>
    <w:rsid w:val="004230D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5">
    <w:name w:val="Table Columns 2"/>
    <w:basedOn w:val="a4"/>
    <w:uiPriority w:val="99"/>
    <w:semiHidden/>
    <w:unhideWhenUsed/>
    <w:rsid w:val="004230D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
    <w:name w:val="Table Columns 3"/>
    <w:basedOn w:val="a4"/>
    <w:uiPriority w:val="99"/>
    <w:semiHidden/>
    <w:unhideWhenUsed/>
    <w:rsid w:val="004230D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7">
    <w:name w:val="Table Columns 4"/>
    <w:basedOn w:val="a4"/>
    <w:uiPriority w:val="99"/>
    <w:semiHidden/>
    <w:unhideWhenUsed/>
    <w:rsid w:val="004230D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4"/>
    <w:uiPriority w:val="99"/>
    <w:semiHidden/>
    <w:unhideWhenUsed/>
    <w:rsid w:val="004230D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ff7">
    <w:name w:val="Table Contemporary"/>
    <w:basedOn w:val="a4"/>
    <w:uiPriority w:val="99"/>
    <w:semiHidden/>
    <w:unhideWhenUsed/>
    <w:rsid w:val="004230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8">
    <w:name w:val="Table Elegant"/>
    <w:basedOn w:val="a4"/>
    <w:uiPriority w:val="99"/>
    <w:semiHidden/>
    <w:unhideWhenUsed/>
    <w:rsid w:val="004230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afffff9">
    <w:name w:val="Table Grid"/>
    <w:basedOn w:val="a4"/>
    <w:uiPriority w:val="59"/>
    <w:rsid w:val="00423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a">
    <w:name w:val="Table Grid 1"/>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6">
    <w:name w:val="Table Grid 2"/>
    <w:basedOn w:val="a4"/>
    <w:uiPriority w:val="99"/>
    <w:semiHidden/>
    <w:unhideWhenUsed/>
    <w:rsid w:val="004230D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4"/>
    <w:uiPriority w:val="99"/>
    <w:semiHidden/>
    <w:unhideWhenUsed/>
    <w:rsid w:val="004230D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8">
    <w:name w:val="Table Grid 4"/>
    <w:basedOn w:val="a4"/>
    <w:uiPriority w:val="99"/>
    <w:semiHidden/>
    <w:unhideWhenUsed/>
    <w:rsid w:val="004230D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7">
    <w:name w:val="Table Grid 5"/>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uiPriority w:val="99"/>
    <w:semiHidden/>
    <w:unhideWhenUsed/>
    <w:rsid w:val="004230D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uiPriority w:val="99"/>
    <w:semiHidden/>
    <w:unhideWhenUsed/>
    <w:rsid w:val="004230D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b">
    <w:name w:val="Сетка таблицы светлая1"/>
    <w:basedOn w:val="a4"/>
    <w:uiPriority w:val="40"/>
    <w:rsid w:val="00423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6">
    <w:name w:val="Table List 1"/>
    <w:basedOn w:val="a4"/>
    <w:uiPriority w:val="99"/>
    <w:semiHidden/>
    <w:unhideWhenUsed/>
    <w:rsid w:val="004230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List 2"/>
    <w:basedOn w:val="a4"/>
    <w:uiPriority w:val="99"/>
    <w:semiHidden/>
    <w:unhideWhenUsed/>
    <w:rsid w:val="004230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6">
    <w:name w:val="Table List 3"/>
    <w:basedOn w:val="a4"/>
    <w:uiPriority w:val="99"/>
    <w:semiHidden/>
    <w:unhideWhenUsed/>
    <w:rsid w:val="004230D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6">
    <w:name w:val="Table List 5"/>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6">
    <w:name w:val="Table List 6"/>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4"/>
    <w:uiPriority w:val="99"/>
    <w:semiHidden/>
    <w:unhideWhenUsed/>
    <w:rsid w:val="004230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afffffa">
    <w:name w:val="table of authorities"/>
    <w:basedOn w:val="a2"/>
    <w:next w:val="a2"/>
    <w:uiPriority w:val="99"/>
    <w:semiHidden/>
    <w:unhideWhenUsed/>
    <w:rsid w:val="004230D9"/>
    <w:pPr>
      <w:ind w:left="240" w:hanging="240"/>
    </w:pPr>
  </w:style>
  <w:style w:type="paragraph" w:styleId="afffffb">
    <w:name w:val="table of figures"/>
    <w:basedOn w:val="a2"/>
    <w:next w:val="a2"/>
    <w:uiPriority w:val="99"/>
    <w:semiHidden/>
    <w:unhideWhenUsed/>
    <w:rsid w:val="004230D9"/>
  </w:style>
  <w:style w:type="table" w:styleId="afffffc">
    <w:name w:val="Table Professional"/>
    <w:basedOn w:val="a4"/>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c">
    <w:name w:val="Table Simple 1"/>
    <w:basedOn w:val="a4"/>
    <w:uiPriority w:val="99"/>
    <w:semiHidden/>
    <w:unhideWhenUsed/>
    <w:rsid w:val="004230D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uiPriority w:val="99"/>
    <w:semiHidden/>
    <w:unhideWhenUsed/>
    <w:rsid w:val="004230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
    <w:name w:val="Table Simple 3"/>
    <w:basedOn w:val="a4"/>
    <w:uiPriority w:val="99"/>
    <w:semiHidden/>
    <w:unhideWhenUsed/>
    <w:rsid w:val="004230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d">
    <w:name w:val="Table Subtle 1"/>
    <w:basedOn w:val="a4"/>
    <w:uiPriority w:val="99"/>
    <w:semiHidden/>
    <w:unhideWhenUsed/>
    <w:rsid w:val="004230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Subtle 2"/>
    <w:basedOn w:val="a4"/>
    <w:uiPriority w:val="99"/>
    <w:semiHidden/>
    <w:unhideWhenUsed/>
    <w:rsid w:val="004230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d">
    <w:name w:val="Table Theme"/>
    <w:basedOn w:val="a4"/>
    <w:uiPriority w:val="99"/>
    <w:semiHidden/>
    <w:unhideWhenUsed/>
    <w:rsid w:val="00423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7">
    <w:name w:val="Table Web 1"/>
    <w:basedOn w:val="a4"/>
    <w:uiPriority w:val="99"/>
    <w:semiHidden/>
    <w:unhideWhenUsed/>
    <w:rsid w:val="004230D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7">
    <w:name w:val="Table Web 2"/>
    <w:basedOn w:val="a4"/>
    <w:uiPriority w:val="99"/>
    <w:semiHidden/>
    <w:unhideWhenUsed/>
    <w:rsid w:val="004230D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7">
    <w:name w:val="Table Web 3"/>
    <w:basedOn w:val="a4"/>
    <w:uiPriority w:val="99"/>
    <w:semiHidden/>
    <w:unhideWhenUsed/>
    <w:rsid w:val="004230D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ffffe">
    <w:name w:val="toa heading"/>
    <w:basedOn w:val="a2"/>
    <w:next w:val="a2"/>
    <w:uiPriority w:val="99"/>
    <w:semiHidden/>
    <w:unhideWhenUsed/>
    <w:rsid w:val="004230D9"/>
    <w:pPr>
      <w:spacing w:before="120"/>
    </w:pPr>
    <w:rPr>
      <w:rFonts w:ascii="Arial" w:eastAsiaTheme="majorEastAsia" w:hAnsi="Arial" w:cs="Arial"/>
      <w:b/>
      <w:bCs/>
    </w:rPr>
  </w:style>
  <w:style w:type="paragraph" w:styleId="2f9">
    <w:name w:val="toc 2"/>
    <w:basedOn w:val="a2"/>
    <w:next w:val="a2"/>
    <w:autoRedefine/>
    <w:uiPriority w:val="39"/>
    <w:unhideWhenUsed/>
    <w:rsid w:val="004230D9"/>
    <w:pPr>
      <w:spacing w:after="100"/>
      <w:ind w:left="240"/>
    </w:pPr>
  </w:style>
  <w:style w:type="paragraph" w:styleId="3f0">
    <w:name w:val="toc 3"/>
    <w:basedOn w:val="a2"/>
    <w:next w:val="a2"/>
    <w:autoRedefine/>
    <w:uiPriority w:val="39"/>
    <w:unhideWhenUsed/>
    <w:rsid w:val="004230D9"/>
    <w:pPr>
      <w:spacing w:after="100"/>
      <w:ind w:left="480"/>
    </w:pPr>
  </w:style>
  <w:style w:type="paragraph" w:styleId="49">
    <w:name w:val="toc 4"/>
    <w:basedOn w:val="a2"/>
    <w:next w:val="a2"/>
    <w:autoRedefine/>
    <w:uiPriority w:val="39"/>
    <w:unhideWhenUsed/>
    <w:rsid w:val="004230D9"/>
    <w:pPr>
      <w:spacing w:after="100"/>
      <w:ind w:left="720"/>
    </w:pPr>
  </w:style>
  <w:style w:type="paragraph" w:styleId="58">
    <w:name w:val="toc 5"/>
    <w:basedOn w:val="a2"/>
    <w:next w:val="a2"/>
    <w:autoRedefine/>
    <w:uiPriority w:val="39"/>
    <w:unhideWhenUsed/>
    <w:rsid w:val="004230D9"/>
    <w:pPr>
      <w:spacing w:after="100"/>
      <w:ind w:left="960"/>
    </w:pPr>
  </w:style>
  <w:style w:type="paragraph" w:styleId="63">
    <w:name w:val="toc 6"/>
    <w:basedOn w:val="a2"/>
    <w:next w:val="a2"/>
    <w:autoRedefine/>
    <w:uiPriority w:val="39"/>
    <w:unhideWhenUsed/>
    <w:rsid w:val="004230D9"/>
    <w:pPr>
      <w:spacing w:after="100"/>
      <w:ind w:left="1200"/>
    </w:pPr>
  </w:style>
  <w:style w:type="paragraph" w:styleId="73">
    <w:name w:val="toc 7"/>
    <w:basedOn w:val="a2"/>
    <w:next w:val="a2"/>
    <w:autoRedefine/>
    <w:uiPriority w:val="39"/>
    <w:unhideWhenUsed/>
    <w:rsid w:val="004230D9"/>
    <w:pPr>
      <w:spacing w:after="100"/>
      <w:ind w:left="1440"/>
    </w:pPr>
  </w:style>
  <w:style w:type="paragraph" w:styleId="83">
    <w:name w:val="toc 8"/>
    <w:basedOn w:val="a2"/>
    <w:next w:val="a2"/>
    <w:autoRedefine/>
    <w:uiPriority w:val="39"/>
    <w:unhideWhenUsed/>
    <w:rsid w:val="004230D9"/>
    <w:pPr>
      <w:spacing w:after="100"/>
      <w:ind w:left="1680"/>
    </w:pPr>
  </w:style>
  <w:style w:type="character" w:customStyle="1" w:styleId="a8">
    <w:name w:val="Дата Знак"/>
    <w:basedOn w:val="a3"/>
    <w:link w:val="a7"/>
    <w:uiPriority w:val="10"/>
    <w:rsid w:val="00C47362"/>
    <w:rPr>
      <w:rFonts w:ascii="Times New Roman" w:hAnsi="Times New Roman"/>
    </w:rPr>
  </w:style>
  <w:style w:type="paragraph" w:customStyle="1" w:styleId="affffff">
    <w:name w:val="МестоДатаВремя"/>
    <w:basedOn w:val="a2"/>
    <w:qFormat/>
    <w:rsid w:val="00F50B79"/>
    <w:pPr>
      <w:framePr w:wrap="around" w:vAnchor="page" w:hAnchor="text" w:xAlign="right" w:y="318"/>
      <w:spacing w:line="220" w:lineRule="exact"/>
      <w:ind w:left="431" w:hanging="431"/>
    </w:pPr>
    <w:rPr>
      <w:rFonts w:asciiTheme="majorHAnsi" w:hAnsiTheme="majorHAnsi"/>
      <w:color w:val="FFFFFF" w:themeColor="background1"/>
      <w:sz w:val="16"/>
    </w:rPr>
  </w:style>
  <w:style w:type="numbering" w:customStyle="1" w:styleId="1e">
    <w:name w:val="Нет списка1"/>
    <w:next w:val="a5"/>
    <w:uiPriority w:val="99"/>
    <w:semiHidden/>
    <w:unhideWhenUsed/>
    <w:rsid w:val="00FA3FA4"/>
  </w:style>
  <w:style w:type="character" w:customStyle="1" w:styleId="10">
    <w:name w:val="Заголовок 1 Знак"/>
    <w:basedOn w:val="a3"/>
    <w:link w:val="1"/>
    <w:uiPriority w:val="9"/>
    <w:rsid w:val="00FA3FA4"/>
    <w:rPr>
      <w:rFonts w:asciiTheme="majorHAnsi" w:hAnsiTheme="majorHAnsi" w:cs="Arial"/>
      <w:b/>
      <w:bCs/>
      <w:kern w:val="32"/>
      <w:sz w:val="32"/>
      <w:szCs w:val="32"/>
      <w:lang w:eastAsia="ru-RU"/>
    </w:rPr>
  </w:style>
  <w:style w:type="character" w:customStyle="1" w:styleId="22">
    <w:name w:val="Заголовок 2 Знак"/>
    <w:basedOn w:val="a3"/>
    <w:link w:val="21"/>
    <w:uiPriority w:val="9"/>
    <w:rsid w:val="00FA3FA4"/>
    <w:rPr>
      <w:rFonts w:ascii="Arial" w:hAnsi="Arial" w:cs="Arial"/>
      <w:b/>
      <w:bCs/>
      <w:iCs/>
      <w:sz w:val="20"/>
      <w:szCs w:val="28"/>
      <w:lang w:eastAsia="ru-RU"/>
    </w:rPr>
  </w:style>
  <w:style w:type="numbering" w:customStyle="1" w:styleId="111">
    <w:name w:val="Нет списка11"/>
    <w:next w:val="a5"/>
    <w:uiPriority w:val="99"/>
    <w:semiHidden/>
    <w:unhideWhenUsed/>
    <w:rsid w:val="00FA3FA4"/>
  </w:style>
  <w:style w:type="paragraph" w:customStyle="1" w:styleId="FR1">
    <w:name w:val="FR1"/>
    <w:uiPriority w:val="99"/>
    <w:rsid w:val="00FA3FA4"/>
    <w:pPr>
      <w:widowControl w:val="0"/>
      <w:spacing w:after="0" w:line="240" w:lineRule="auto"/>
      <w:ind w:left="0"/>
      <w:jc w:val="center"/>
    </w:pPr>
    <w:rPr>
      <w:rFonts w:ascii="Arial" w:hAnsi="Arial"/>
      <w:b/>
      <w:sz w:val="16"/>
      <w:szCs w:val="20"/>
      <w:lang w:eastAsia="ru-RU"/>
    </w:rPr>
  </w:style>
  <w:style w:type="paragraph" w:customStyle="1" w:styleId="FR2">
    <w:name w:val="FR2"/>
    <w:uiPriority w:val="99"/>
    <w:rsid w:val="00FA3FA4"/>
    <w:pPr>
      <w:widowControl w:val="0"/>
      <w:spacing w:after="0" w:line="240" w:lineRule="auto"/>
      <w:ind w:left="0"/>
      <w:jc w:val="both"/>
    </w:pPr>
    <w:rPr>
      <w:rFonts w:ascii="Arial" w:hAnsi="Arial"/>
      <w:sz w:val="12"/>
      <w:szCs w:val="20"/>
      <w:lang w:eastAsia="ru-RU"/>
    </w:rPr>
  </w:style>
  <w:style w:type="paragraph" w:customStyle="1" w:styleId="FR3">
    <w:name w:val="FR3"/>
    <w:uiPriority w:val="99"/>
    <w:rsid w:val="00FA3FA4"/>
    <w:pPr>
      <w:widowControl w:val="0"/>
      <w:autoSpaceDE w:val="0"/>
      <w:autoSpaceDN w:val="0"/>
      <w:adjustRightInd w:val="0"/>
      <w:spacing w:after="0" w:line="240" w:lineRule="auto"/>
      <w:ind w:left="0" w:right="200"/>
      <w:jc w:val="center"/>
    </w:pPr>
    <w:rPr>
      <w:rFonts w:ascii="Arial" w:hAnsi="Arial" w:cs="Arial"/>
      <w:sz w:val="12"/>
      <w:szCs w:val="12"/>
      <w:lang w:eastAsia="ru-RU"/>
    </w:rPr>
  </w:style>
  <w:style w:type="paragraph" w:customStyle="1" w:styleId="heading2">
    <w:name w:val="heading2"/>
    <w:basedOn w:val="a2"/>
    <w:rsid w:val="00FA3FA4"/>
    <w:pPr>
      <w:widowControl/>
      <w:autoSpaceDE/>
      <w:autoSpaceDN/>
      <w:adjustRightInd/>
      <w:spacing w:before="100" w:beforeAutospacing="1" w:after="100" w:afterAutospacing="1"/>
    </w:pPr>
    <w:rPr>
      <w:sz w:val="36"/>
      <w:szCs w:val="36"/>
    </w:rPr>
  </w:style>
  <w:style w:type="paragraph" w:customStyle="1" w:styleId="author">
    <w:name w:val="author"/>
    <w:basedOn w:val="a2"/>
    <w:rsid w:val="00FA3FA4"/>
    <w:pPr>
      <w:widowControl/>
      <w:autoSpaceDE/>
      <w:autoSpaceDN/>
      <w:adjustRightInd/>
      <w:spacing w:before="100" w:beforeAutospacing="1" w:after="100" w:afterAutospacing="1"/>
      <w:jc w:val="right"/>
    </w:pPr>
    <w:rPr>
      <w:sz w:val="27"/>
      <w:szCs w:val="27"/>
    </w:rPr>
  </w:style>
  <w:style w:type="paragraph" w:customStyle="1" w:styleId="authors">
    <w:name w:val="authors"/>
    <w:basedOn w:val="a2"/>
    <w:rsid w:val="00FA3FA4"/>
    <w:pPr>
      <w:widowControl/>
      <w:autoSpaceDE/>
      <w:autoSpaceDN/>
      <w:adjustRightInd/>
      <w:spacing w:before="100" w:beforeAutospacing="1"/>
    </w:pPr>
    <w:rPr>
      <w:sz w:val="24"/>
      <w:szCs w:val="24"/>
    </w:rPr>
  </w:style>
  <w:style w:type="paragraph" w:customStyle="1" w:styleId="level00">
    <w:name w:val="level00"/>
    <w:basedOn w:val="a2"/>
    <w:rsid w:val="00FA3FA4"/>
    <w:pPr>
      <w:widowControl/>
      <w:autoSpaceDE/>
      <w:autoSpaceDN/>
      <w:adjustRightInd/>
      <w:spacing w:before="100" w:beforeAutospacing="1" w:after="100" w:afterAutospacing="1"/>
    </w:pPr>
    <w:rPr>
      <w:sz w:val="24"/>
      <w:szCs w:val="24"/>
    </w:rPr>
  </w:style>
  <w:style w:type="paragraph" w:customStyle="1" w:styleId="heading1">
    <w:name w:val="heading1"/>
    <w:basedOn w:val="a2"/>
    <w:rsid w:val="00FA3FA4"/>
    <w:pPr>
      <w:widowControl/>
      <w:autoSpaceDE/>
      <w:autoSpaceDN/>
      <w:adjustRightInd/>
      <w:spacing w:before="100" w:beforeAutospacing="1" w:after="100" w:afterAutospacing="1"/>
    </w:pPr>
    <w:rPr>
      <w:sz w:val="48"/>
      <w:szCs w:val="48"/>
    </w:rPr>
  </w:style>
  <w:style w:type="paragraph" w:customStyle="1" w:styleId="literature">
    <w:name w:val="literature"/>
    <w:basedOn w:val="a2"/>
    <w:rsid w:val="00FA3FA4"/>
    <w:pPr>
      <w:widowControl/>
      <w:autoSpaceDE/>
      <w:autoSpaceDN/>
      <w:adjustRightInd/>
      <w:spacing w:before="30"/>
      <w:ind w:left="300" w:hanging="300"/>
    </w:pPr>
    <w:rPr>
      <w:sz w:val="24"/>
      <w:szCs w:val="24"/>
    </w:rPr>
  </w:style>
  <w:style w:type="paragraph" w:customStyle="1" w:styleId="level10">
    <w:name w:val="level10"/>
    <w:basedOn w:val="a2"/>
    <w:rsid w:val="00FA3FA4"/>
    <w:pPr>
      <w:widowControl/>
      <w:autoSpaceDE/>
      <w:autoSpaceDN/>
      <w:adjustRightInd/>
      <w:spacing w:before="30"/>
      <w:ind w:left="300" w:hanging="300"/>
    </w:pPr>
    <w:rPr>
      <w:sz w:val="24"/>
      <w:szCs w:val="24"/>
    </w:rPr>
  </w:style>
  <w:style w:type="paragraph" w:customStyle="1" w:styleId="level11">
    <w:name w:val="level11"/>
    <w:basedOn w:val="a2"/>
    <w:rsid w:val="00FA3FA4"/>
    <w:pPr>
      <w:widowControl/>
      <w:autoSpaceDE/>
      <w:autoSpaceDN/>
      <w:adjustRightInd/>
      <w:spacing w:before="30"/>
      <w:ind w:left="300"/>
    </w:pPr>
    <w:rPr>
      <w:sz w:val="24"/>
      <w:szCs w:val="24"/>
    </w:rPr>
  </w:style>
  <w:style w:type="paragraph" w:customStyle="1" w:styleId="level20">
    <w:name w:val="level20"/>
    <w:basedOn w:val="a2"/>
    <w:rsid w:val="00FA3FA4"/>
    <w:pPr>
      <w:widowControl/>
      <w:autoSpaceDE/>
      <w:autoSpaceDN/>
      <w:adjustRightInd/>
      <w:spacing w:before="30"/>
      <w:ind w:left="600" w:hanging="300"/>
    </w:pPr>
    <w:rPr>
      <w:sz w:val="24"/>
      <w:szCs w:val="24"/>
    </w:rPr>
  </w:style>
  <w:style w:type="paragraph" w:customStyle="1" w:styleId="level21">
    <w:name w:val="level21"/>
    <w:basedOn w:val="a2"/>
    <w:rsid w:val="00FA3FA4"/>
    <w:pPr>
      <w:widowControl/>
      <w:autoSpaceDE/>
      <w:autoSpaceDN/>
      <w:adjustRightInd/>
      <w:spacing w:before="30"/>
      <w:ind w:left="600"/>
    </w:pPr>
    <w:rPr>
      <w:sz w:val="24"/>
      <w:szCs w:val="24"/>
    </w:rPr>
  </w:style>
  <w:style w:type="paragraph" w:customStyle="1" w:styleId="level30">
    <w:name w:val="level30"/>
    <w:basedOn w:val="a2"/>
    <w:rsid w:val="00FA3FA4"/>
    <w:pPr>
      <w:widowControl/>
      <w:autoSpaceDE/>
      <w:autoSpaceDN/>
      <w:adjustRightInd/>
      <w:spacing w:before="30"/>
      <w:ind w:left="900" w:hanging="300"/>
    </w:pPr>
    <w:rPr>
      <w:sz w:val="24"/>
      <w:szCs w:val="24"/>
    </w:rPr>
  </w:style>
  <w:style w:type="paragraph" w:customStyle="1" w:styleId="level40">
    <w:name w:val="level40"/>
    <w:basedOn w:val="a2"/>
    <w:rsid w:val="00FA3FA4"/>
    <w:pPr>
      <w:widowControl/>
      <w:autoSpaceDE/>
      <w:autoSpaceDN/>
      <w:adjustRightInd/>
      <w:spacing w:before="30"/>
      <w:ind w:left="1200" w:hanging="300"/>
    </w:pPr>
    <w:rPr>
      <w:sz w:val="24"/>
      <w:szCs w:val="24"/>
    </w:rPr>
  </w:style>
  <w:style w:type="paragraph" w:customStyle="1" w:styleId="level50">
    <w:name w:val="level50"/>
    <w:basedOn w:val="a2"/>
    <w:rsid w:val="00FA3FA4"/>
    <w:pPr>
      <w:widowControl/>
      <w:autoSpaceDE/>
      <w:autoSpaceDN/>
      <w:adjustRightInd/>
      <w:spacing w:before="30"/>
      <w:ind w:left="1500" w:hanging="300"/>
    </w:pPr>
    <w:rPr>
      <w:sz w:val="24"/>
      <w:szCs w:val="24"/>
    </w:rPr>
  </w:style>
  <w:style w:type="paragraph" w:customStyle="1" w:styleId="level31">
    <w:name w:val="level31"/>
    <w:basedOn w:val="a2"/>
    <w:rsid w:val="00FA3FA4"/>
    <w:pPr>
      <w:widowControl/>
      <w:autoSpaceDE/>
      <w:autoSpaceDN/>
      <w:adjustRightInd/>
      <w:spacing w:before="30"/>
      <w:ind w:left="900"/>
    </w:pPr>
    <w:rPr>
      <w:sz w:val="24"/>
      <w:szCs w:val="24"/>
    </w:rPr>
  </w:style>
  <w:style w:type="paragraph" w:customStyle="1" w:styleId="level60">
    <w:name w:val="level60"/>
    <w:basedOn w:val="a2"/>
    <w:rsid w:val="00FA3FA4"/>
    <w:pPr>
      <w:widowControl/>
      <w:autoSpaceDE/>
      <w:autoSpaceDN/>
      <w:adjustRightInd/>
      <w:spacing w:before="30"/>
      <w:ind w:left="1800" w:hanging="300"/>
    </w:pPr>
    <w:rPr>
      <w:sz w:val="24"/>
      <w:szCs w:val="24"/>
    </w:rPr>
  </w:style>
  <w:style w:type="paragraph" w:customStyle="1" w:styleId="level41">
    <w:name w:val="level41"/>
    <w:basedOn w:val="a2"/>
    <w:rsid w:val="00FA3FA4"/>
    <w:pPr>
      <w:widowControl/>
      <w:autoSpaceDE/>
      <w:autoSpaceDN/>
      <w:adjustRightInd/>
      <w:spacing w:before="30"/>
      <w:ind w:left="1200"/>
    </w:pPr>
    <w:rPr>
      <w:sz w:val="24"/>
      <w:szCs w:val="24"/>
    </w:rPr>
  </w:style>
  <w:style w:type="paragraph" w:customStyle="1" w:styleId="level51">
    <w:name w:val="level51"/>
    <w:basedOn w:val="a2"/>
    <w:rsid w:val="00FA3FA4"/>
    <w:pPr>
      <w:widowControl/>
      <w:autoSpaceDE/>
      <w:autoSpaceDN/>
      <w:adjustRightInd/>
      <w:spacing w:before="30"/>
      <w:ind w:left="1500"/>
    </w:pPr>
    <w:rPr>
      <w:sz w:val="24"/>
      <w:szCs w:val="24"/>
    </w:rPr>
  </w:style>
  <w:style w:type="paragraph" w:customStyle="1" w:styleId="level61">
    <w:name w:val="level61"/>
    <w:basedOn w:val="a2"/>
    <w:rsid w:val="00FA3FA4"/>
    <w:pPr>
      <w:widowControl/>
      <w:autoSpaceDE/>
      <w:autoSpaceDN/>
      <w:adjustRightInd/>
      <w:spacing w:before="30"/>
      <w:ind w:left="1800"/>
    </w:pPr>
    <w:rPr>
      <w:sz w:val="24"/>
      <w:szCs w:val="24"/>
    </w:rPr>
  </w:style>
  <w:style w:type="paragraph" w:customStyle="1" w:styleId="tblnorm">
    <w:name w:val="tblnorm"/>
    <w:basedOn w:val="a2"/>
    <w:rsid w:val="00FA3FA4"/>
    <w:pPr>
      <w:widowControl/>
      <w:autoSpaceDE/>
      <w:autoSpaceDN/>
      <w:adjustRightInd/>
    </w:pPr>
    <w:rPr>
      <w:sz w:val="24"/>
      <w:szCs w:val="24"/>
    </w:rPr>
  </w:style>
  <w:style w:type="paragraph" w:customStyle="1" w:styleId="tblshift">
    <w:name w:val="tblshift"/>
    <w:basedOn w:val="a2"/>
    <w:rsid w:val="00FA3FA4"/>
    <w:pPr>
      <w:widowControl/>
      <w:autoSpaceDE/>
      <w:autoSpaceDN/>
      <w:adjustRightInd/>
      <w:ind w:left="300"/>
    </w:pPr>
    <w:rPr>
      <w:sz w:val="24"/>
      <w:szCs w:val="24"/>
    </w:rPr>
  </w:style>
  <w:style w:type="paragraph" w:customStyle="1" w:styleId="figurelegend">
    <w:name w:val="figurelegend"/>
    <w:basedOn w:val="a2"/>
    <w:rsid w:val="00FA3FA4"/>
    <w:pPr>
      <w:widowControl/>
      <w:autoSpaceDE/>
      <w:autoSpaceDN/>
      <w:adjustRightInd/>
      <w:spacing w:before="100" w:beforeAutospacing="1" w:after="100" w:afterAutospacing="1"/>
    </w:pPr>
    <w:rPr>
      <w:sz w:val="24"/>
      <w:szCs w:val="24"/>
    </w:rPr>
  </w:style>
  <w:style w:type="paragraph" w:customStyle="1" w:styleId="tblshift1">
    <w:name w:val="tblshift1"/>
    <w:basedOn w:val="a2"/>
    <w:rsid w:val="00FA3FA4"/>
    <w:pPr>
      <w:widowControl/>
      <w:autoSpaceDE/>
      <w:autoSpaceDN/>
      <w:adjustRightInd/>
      <w:ind w:left="600"/>
    </w:pPr>
    <w:rPr>
      <w:sz w:val="24"/>
      <w:szCs w:val="24"/>
    </w:rPr>
  </w:style>
  <w:style w:type="paragraph" w:customStyle="1" w:styleId="1f">
    <w:name w:val="Стиль1"/>
    <w:basedOn w:val="afb"/>
    <w:link w:val="1f0"/>
    <w:qFormat/>
    <w:rsid w:val="00FA3FA4"/>
    <w:pPr>
      <w:keepLines/>
      <w:framePr w:wrap="auto" w:vAnchor="margin" w:yAlign="inline"/>
      <w:widowControl/>
      <w:autoSpaceDE/>
      <w:autoSpaceDN/>
      <w:adjustRightInd/>
      <w:spacing w:after="0" w:line="276" w:lineRule="auto"/>
      <w:contextualSpacing w:val="0"/>
      <w:jc w:val="left"/>
      <w:outlineLvl w:val="9"/>
    </w:pPr>
    <w:rPr>
      <w:rFonts w:ascii="Cambria" w:hAnsi="Cambria"/>
    </w:rPr>
  </w:style>
  <w:style w:type="character" w:customStyle="1" w:styleId="afc">
    <w:name w:val="Заголовок оглавления Знак"/>
    <w:basedOn w:val="10"/>
    <w:link w:val="afb"/>
    <w:uiPriority w:val="39"/>
    <w:rsid w:val="00FA3FA4"/>
    <w:rPr>
      <w:rFonts w:asciiTheme="majorHAnsi" w:eastAsiaTheme="majorEastAsia" w:hAnsiTheme="majorHAnsi" w:cs="Arial"/>
      <w:b/>
      <w:bCs w:val="0"/>
      <w:kern w:val="32"/>
      <w:sz w:val="32"/>
      <w:szCs w:val="32"/>
      <w:lang w:eastAsia="ru-RU"/>
    </w:rPr>
  </w:style>
  <w:style w:type="character" w:customStyle="1" w:styleId="1f0">
    <w:name w:val="Стиль1 Знак"/>
    <w:basedOn w:val="afc"/>
    <w:link w:val="1f"/>
    <w:rsid w:val="00FA3FA4"/>
    <w:rPr>
      <w:rFonts w:ascii="Cambria" w:eastAsiaTheme="majorEastAsia" w:hAnsi="Cambria" w:cs="Arial"/>
      <w:b/>
      <w:bCs w:val="0"/>
      <w:kern w:val="32"/>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703390">
      <w:bodyDiv w:val="1"/>
      <w:marLeft w:val="0"/>
      <w:marRight w:val="0"/>
      <w:marTop w:val="0"/>
      <w:marBottom w:val="0"/>
      <w:divBdr>
        <w:top w:val="none" w:sz="0" w:space="0" w:color="auto"/>
        <w:left w:val="none" w:sz="0" w:space="0" w:color="auto"/>
        <w:bottom w:val="none" w:sz="0" w:space="0" w:color="auto"/>
        <w:right w:val="none" w:sz="0" w:space="0" w:color="auto"/>
      </w:divBdr>
    </w:div>
    <w:div w:id="68819073">
      <w:bodyDiv w:val="1"/>
      <w:marLeft w:val="0"/>
      <w:marRight w:val="0"/>
      <w:marTop w:val="0"/>
      <w:marBottom w:val="0"/>
      <w:divBdr>
        <w:top w:val="none" w:sz="0" w:space="0" w:color="auto"/>
        <w:left w:val="none" w:sz="0" w:space="0" w:color="auto"/>
        <w:bottom w:val="none" w:sz="0" w:space="0" w:color="auto"/>
        <w:right w:val="none" w:sz="0" w:space="0" w:color="auto"/>
      </w:divBdr>
    </w:div>
    <w:div w:id="304043090">
      <w:bodyDiv w:val="1"/>
      <w:marLeft w:val="0"/>
      <w:marRight w:val="0"/>
      <w:marTop w:val="0"/>
      <w:marBottom w:val="0"/>
      <w:divBdr>
        <w:top w:val="none" w:sz="0" w:space="0" w:color="auto"/>
        <w:left w:val="none" w:sz="0" w:space="0" w:color="auto"/>
        <w:bottom w:val="none" w:sz="0" w:space="0" w:color="auto"/>
        <w:right w:val="none" w:sz="0" w:space="0" w:color="auto"/>
      </w:divBdr>
    </w:div>
    <w:div w:id="455952492">
      <w:bodyDiv w:val="1"/>
      <w:marLeft w:val="0"/>
      <w:marRight w:val="0"/>
      <w:marTop w:val="0"/>
      <w:marBottom w:val="0"/>
      <w:divBdr>
        <w:top w:val="none" w:sz="0" w:space="0" w:color="auto"/>
        <w:left w:val="none" w:sz="0" w:space="0" w:color="auto"/>
        <w:bottom w:val="none" w:sz="0" w:space="0" w:color="auto"/>
        <w:right w:val="none" w:sz="0" w:space="0" w:color="auto"/>
      </w:divBdr>
    </w:div>
    <w:div w:id="570389781">
      <w:bodyDiv w:val="1"/>
      <w:marLeft w:val="0"/>
      <w:marRight w:val="0"/>
      <w:marTop w:val="0"/>
      <w:marBottom w:val="0"/>
      <w:divBdr>
        <w:top w:val="none" w:sz="0" w:space="0" w:color="auto"/>
        <w:left w:val="none" w:sz="0" w:space="0" w:color="auto"/>
        <w:bottom w:val="none" w:sz="0" w:space="0" w:color="auto"/>
        <w:right w:val="none" w:sz="0" w:space="0" w:color="auto"/>
      </w:divBdr>
      <w:divsChild>
        <w:div w:id="1335646927">
          <w:marLeft w:val="547"/>
          <w:marRight w:val="0"/>
          <w:marTop w:val="115"/>
          <w:marBottom w:val="0"/>
          <w:divBdr>
            <w:top w:val="none" w:sz="0" w:space="0" w:color="auto"/>
            <w:left w:val="none" w:sz="0" w:space="0" w:color="auto"/>
            <w:bottom w:val="none" w:sz="0" w:space="0" w:color="auto"/>
            <w:right w:val="none" w:sz="0" w:space="0" w:color="auto"/>
          </w:divBdr>
        </w:div>
        <w:div w:id="1487279069">
          <w:marLeft w:val="547"/>
          <w:marRight w:val="0"/>
          <w:marTop w:val="115"/>
          <w:marBottom w:val="0"/>
          <w:divBdr>
            <w:top w:val="none" w:sz="0" w:space="0" w:color="auto"/>
            <w:left w:val="none" w:sz="0" w:space="0" w:color="auto"/>
            <w:bottom w:val="none" w:sz="0" w:space="0" w:color="auto"/>
            <w:right w:val="none" w:sz="0" w:space="0" w:color="auto"/>
          </w:divBdr>
        </w:div>
        <w:div w:id="561794560">
          <w:marLeft w:val="547"/>
          <w:marRight w:val="0"/>
          <w:marTop w:val="115"/>
          <w:marBottom w:val="0"/>
          <w:divBdr>
            <w:top w:val="none" w:sz="0" w:space="0" w:color="auto"/>
            <w:left w:val="none" w:sz="0" w:space="0" w:color="auto"/>
            <w:bottom w:val="none" w:sz="0" w:space="0" w:color="auto"/>
            <w:right w:val="none" w:sz="0" w:space="0" w:color="auto"/>
          </w:divBdr>
        </w:div>
        <w:div w:id="734931193">
          <w:marLeft w:val="547"/>
          <w:marRight w:val="0"/>
          <w:marTop w:val="115"/>
          <w:marBottom w:val="0"/>
          <w:divBdr>
            <w:top w:val="none" w:sz="0" w:space="0" w:color="auto"/>
            <w:left w:val="none" w:sz="0" w:space="0" w:color="auto"/>
            <w:bottom w:val="none" w:sz="0" w:space="0" w:color="auto"/>
            <w:right w:val="none" w:sz="0" w:space="0" w:color="auto"/>
          </w:divBdr>
        </w:div>
        <w:div w:id="1064332117">
          <w:marLeft w:val="547"/>
          <w:marRight w:val="0"/>
          <w:marTop w:val="115"/>
          <w:marBottom w:val="0"/>
          <w:divBdr>
            <w:top w:val="none" w:sz="0" w:space="0" w:color="auto"/>
            <w:left w:val="none" w:sz="0" w:space="0" w:color="auto"/>
            <w:bottom w:val="none" w:sz="0" w:space="0" w:color="auto"/>
            <w:right w:val="none" w:sz="0" w:space="0" w:color="auto"/>
          </w:divBdr>
        </w:div>
        <w:div w:id="227545335">
          <w:marLeft w:val="547"/>
          <w:marRight w:val="0"/>
          <w:marTop w:val="115"/>
          <w:marBottom w:val="0"/>
          <w:divBdr>
            <w:top w:val="none" w:sz="0" w:space="0" w:color="auto"/>
            <w:left w:val="none" w:sz="0" w:space="0" w:color="auto"/>
            <w:bottom w:val="none" w:sz="0" w:space="0" w:color="auto"/>
            <w:right w:val="none" w:sz="0" w:space="0" w:color="auto"/>
          </w:divBdr>
        </w:div>
        <w:div w:id="415136050">
          <w:marLeft w:val="547"/>
          <w:marRight w:val="0"/>
          <w:marTop w:val="115"/>
          <w:marBottom w:val="0"/>
          <w:divBdr>
            <w:top w:val="none" w:sz="0" w:space="0" w:color="auto"/>
            <w:left w:val="none" w:sz="0" w:space="0" w:color="auto"/>
            <w:bottom w:val="none" w:sz="0" w:space="0" w:color="auto"/>
            <w:right w:val="none" w:sz="0" w:space="0" w:color="auto"/>
          </w:divBdr>
        </w:div>
      </w:divsChild>
    </w:div>
    <w:div w:id="725758836">
      <w:bodyDiv w:val="1"/>
      <w:marLeft w:val="0"/>
      <w:marRight w:val="0"/>
      <w:marTop w:val="0"/>
      <w:marBottom w:val="0"/>
      <w:divBdr>
        <w:top w:val="none" w:sz="0" w:space="0" w:color="auto"/>
        <w:left w:val="none" w:sz="0" w:space="0" w:color="auto"/>
        <w:bottom w:val="none" w:sz="0" w:space="0" w:color="auto"/>
        <w:right w:val="none" w:sz="0" w:space="0" w:color="auto"/>
      </w:divBdr>
    </w:div>
    <w:div w:id="781074898">
      <w:bodyDiv w:val="1"/>
      <w:marLeft w:val="0"/>
      <w:marRight w:val="0"/>
      <w:marTop w:val="0"/>
      <w:marBottom w:val="0"/>
      <w:divBdr>
        <w:top w:val="none" w:sz="0" w:space="0" w:color="auto"/>
        <w:left w:val="none" w:sz="0" w:space="0" w:color="auto"/>
        <w:bottom w:val="none" w:sz="0" w:space="0" w:color="auto"/>
        <w:right w:val="none" w:sz="0" w:space="0" w:color="auto"/>
      </w:divBdr>
    </w:div>
    <w:div w:id="1388652369">
      <w:bodyDiv w:val="1"/>
      <w:marLeft w:val="0"/>
      <w:marRight w:val="0"/>
      <w:marTop w:val="0"/>
      <w:marBottom w:val="0"/>
      <w:divBdr>
        <w:top w:val="none" w:sz="0" w:space="0" w:color="auto"/>
        <w:left w:val="none" w:sz="0" w:space="0" w:color="auto"/>
        <w:bottom w:val="none" w:sz="0" w:space="0" w:color="auto"/>
        <w:right w:val="none" w:sz="0" w:space="0" w:color="auto"/>
      </w:divBdr>
    </w:div>
    <w:div w:id="1516075090">
      <w:bodyDiv w:val="1"/>
      <w:marLeft w:val="0"/>
      <w:marRight w:val="0"/>
      <w:marTop w:val="0"/>
      <w:marBottom w:val="0"/>
      <w:divBdr>
        <w:top w:val="none" w:sz="0" w:space="0" w:color="auto"/>
        <w:left w:val="none" w:sz="0" w:space="0" w:color="auto"/>
        <w:bottom w:val="none" w:sz="0" w:space="0" w:color="auto"/>
        <w:right w:val="none" w:sz="0" w:space="0" w:color="auto"/>
      </w:divBdr>
    </w:div>
    <w:div w:id="178218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tf23071820.dotx" TargetMode="External"/></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Custom 14">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CF9A439-08CB-4BF0-B5C9-E9020D5951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4D29EE-BCA5-4847-AAAA-8D9E4282C105}">
  <ds:schemaRefs>
    <ds:schemaRef ds:uri="http://schemas.microsoft.com/sharepoint/v3/contenttype/forms"/>
  </ds:schemaRefs>
</ds:datastoreItem>
</file>

<file path=customXml/itemProps4.xml><?xml version="1.0" encoding="utf-8"?>
<ds:datastoreItem xmlns:ds="http://schemas.openxmlformats.org/officeDocument/2006/customXml" ds:itemID="{DED00AEE-3F06-4626-AB25-35C6D09AE97B}">
  <ds:schemaRefs>
    <ds:schemaRef ds:uri="http://schemas.microsoft.com/office/2006/metadata/properties"/>
    <ds:schemaRef ds:uri="http://schemas.microsoft.com/office/infopath/2007/PartnerControls"/>
    <ds:schemaRef ds:uri="71af3243-3dd4-4a8d-8c0d-dd76da1f02a5"/>
  </ds:schemaRefs>
</ds:datastoreItem>
</file>

<file path=customXml/itemProps5.xml><?xml version="1.0" encoding="utf-8"?>
<ds:datastoreItem xmlns:ds="http://schemas.openxmlformats.org/officeDocument/2006/customXml" ds:itemID="{08A6C06B-7D89-481F-A26A-D3F5FDAE3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tf23071820.dotx</Template>
  <TotalTime>0</TotalTime>
  <Pages>22</Pages>
  <Words>9946</Words>
  <Characters>56693</Characters>
  <Application>Microsoft Office Word</Application>
  <DocSecurity>0</DocSecurity>
  <Lines>472</Lines>
  <Paragraphs>133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66506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ModifiedBy/>
  <cp:revision>1</cp:revision>
  <dcterms:created xsi:type="dcterms:W3CDTF">2022-03-19T13:50:00Z</dcterms:created>
  <dcterms:modified xsi:type="dcterms:W3CDTF">2022-06-08T15:19:00Z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