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D8B" w:rsidRDefault="00DD6D8B" w:rsidP="00FA3FA4">
      <w:pPr>
        <w:spacing w:line="360" w:lineRule="auto"/>
        <w:jc w:val="center"/>
        <w:rPr>
          <w:b/>
          <w:color w:val="002060"/>
          <w:sz w:val="24"/>
          <w:szCs w:val="24"/>
          <w:lang w:val="en-US"/>
        </w:rPr>
      </w:pPr>
      <w:bookmarkStart w:id="0" w:name="_Toc213118549"/>
      <w:bookmarkStart w:id="1" w:name="_Toc213164096"/>
      <w:r>
        <w:rPr>
          <w:b/>
          <w:color w:val="002060"/>
          <w:sz w:val="24"/>
          <w:szCs w:val="24"/>
          <w:lang w:val="en-US"/>
        </w:rPr>
        <w:t>T</w:t>
      </w:r>
      <w:r w:rsidRPr="00DD6D8B">
        <w:rPr>
          <w:b/>
          <w:color w:val="002060"/>
          <w:sz w:val="24"/>
          <w:szCs w:val="24"/>
          <w:lang w:val="en-US"/>
        </w:rPr>
        <w:t>HE COURSE TITLE "ENDOCRINOLOGY: NEW ASPECTS IN DIAGNOSIS AND TREATMENT"</w:t>
      </w:r>
    </w:p>
    <w:p w:rsidR="00FA3FA4" w:rsidRPr="002273DF" w:rsidRDefault="009F7D3C" w:rsidP="00FA3FA4">
      <w:pPr>
        <w:spacing w:line="360" w:lineRule="auto"/>
        <w:jc w:val="center"/>
        <w:rPr>
          <w:b/>
          <w:bCs/>
          <w:color w:val="002060"/>
          <w:sz w:val="24"/>
          <w:szCs w:val="24"/>
          <w:lang w:val="en-US"/>
        </w:rPr>
      </w:pPr>
      <w:r w:rsidRPr="002273DF">
        <w:rPr>
          <w:b/>
          <w:color w:val="002060"/>
          <w:sz w:val="24"/>
          <w:szCs w:val="24"/>
          <w:lang w:val="en-US"/>
        </w:rPr>
        <w:t>LECTURE</w:t>
      </w:r>
      <w:r w:rsidR="0062682A" w:rsidRPr="002273DF">
        <w:rPr>
          <w:b/>
          <w:color w:val="002060"/>
          <w:sz w:val="24"/>
          <w:szCs w:val="24"/>
          <w:lang w:val="en-US"/>
        </w:rPr>
        <w:t>_</w:t>
      </w:r>
      <w:r w:rsidR="005229E9">
        <w:rPr>
          <w:b/>
          <w:color w:val="002060"/>
          <w:sz w:val="24"/>
          <w:szCs w:val="24"/>
          <w:lang w:val="uz-Cyrl-UZ"/>
        </w:rPr>
        <w:t>10</w:t>
      </w:r>
      <w:r w:rsidR="0062682A" w:rsidRPr="00E553ED">
        <w:rPr>
          <w:rFonts w:eastAsiaTheme="minorEastAsia"/>
          <w:b/>
          <w:bCs/>
          <w:color w:val="002060"/>
          <w:kern w:val="24"/>
          <w:sz w:val="24"/>
          <w:szCs w:val="24"/>
          <w:lang w:val="en-US"/>
          <w14:shadow w14:blurRad="38100" w14:dist="38100" w14:dir="2700000" w14:sx="100000" w14:sy="100000" w14:kx="0" w14:ky="0" w14:algn="tl">
            <w14:srgbClr w14:val="000000">
              <w14:alpha w14:val="57000"/>
            </w14:srgbClr>
          </w14:shadow>
        </w:rPr>
        <w:t xml:space="preserve"> </w:t>
      </w:r>
      <w:r w:rsidR="005229E9" w:rsidRPr="005229E9">
        <w:rPr>
          <w:b/>
          <w:bCs/>
          <w:color w:val="002060"/>
          <w:sz w:val="24"/>
          <w:szCs w:val="24"/>
          <w:lang w:val="en-US"/>
        </w:rPr>
        <w:t>SELECTED ISSUES OF CLINICAL ENDOCRINOLOGY</w:t>
      </w:r>
      <w:r w:rsidR="005229E9" w:rsidRPr="002273DF">
        <w:rPr>
          <w:b/>
          <w:bCs/>
          <w:color w:val="002060"/>
          <w:sz w:val="24"/>
          <w:szCs w:val="24"/>
          <w:lang w:val="en-US"/>
        </w:rPr>
        <w:t>.</w:t>
      </w:r>
    </w:p>
    <w:p w:rsidR="00FA3FA4" w:rsidRPr="005229E9" w:rsidRDefault="0062682A" w:rsidP="00FA3FA4">
      <w:pPr>
        <w:spacing w:line="360" w:lineRule="auto"/>
        <w:jc w:val="center"/>
        <w:rPr>
          <w:b/>
          <w:bCs/>
          <w:color w:val="002060"/>
          <w:sz w:val="24"/>
          <w:szCs w:val="24"/>
        </w:rPr>
      </w:pPr>
      <w:r w:rsidRPr="002273DF">
        <w:rPr>
          <w:b/>
          <w:bCs/>
          <w:color w:val="002060"/>
          <w:sz w:val="24"/>
          <w:szCs w:val="24"/>
        </w:rPr>
        <w:t>ТЕМА</w:t>
      </w:r>
      <w:r w:rsidRPr="005229E9">
        <w:rPr>
          <w:b/>
          <w:bCs/>
          <w:color w:val="002060"/>
          <w:sz w:val="24"/>
          <w:szCs w:val="24"/>
        </w:rPr>
        <w:t>-</w:t>
      </w:r>
      <w:r w:rsidR="005229E9">
        <w:rPr>
          <w:b/>
          <w:bCs/>
          <w:color w:val="002060"/>
          <w:sz w:val="24"/>
          <w:szCs w:val="24"/>
          <w:lang w:val="uz-Cyrl-UZ"/>
        </w:rPr>
        <w:t>10</w:t>
      </w:r>
      <w:r w:rsidRPr="005229E9">
        <w:rPr>
          <w:b/>
          <w:bCs/>
          <w:color w:val="002060"/>
          <w:sz w:val="24"/>
          <w:szCs w:val="24"/>
        </w:rPr>
        <w:t xml:space="preserve">: </w:t>
      </w:r>
      <w:r w:rsidR="005229E9" w:rsidRPr="005229E9">
        <w:rPr>
          <w:b/>
          <w:bCs/>
          <w:color w:val="002060"/>
          <w:sz w:val="24"/>
          <w:szCs w:val="24"/>
        </w:rPr>
        <w:t>ИЗБРАННЫЕ ВОПРОСЫ КЛИНИЧЕСКОЙ ЭНДОКРИНОЛОГИИ.</w:t>
      </w:r>
    </w:p>
    <w:p w:rsidR="005D1C1F" w:rsidRPr="00FA08A0" w:rsidRDefault="005D1C1F" w:rsidP="005D1C1F">
      <w:pPr>
        <w:jc w:val="center"/>
        <w:rPr>
          <w:b/>
          <w:bCs/>
          <w:color w:val="002060"/>
          <w:sz w:val="24"/>
          <w:szCs w:val="24"/>
          <w:lang w:val="en-US"/>
        </w:rPr>
      </w:pPr>
      <w:r w:rsidRPr="002273DF">
        <w:rPr>
          <w:b/>
          <w:bCs/>
          <w:color w:val="002060"/>
          <w:sz w:val="24"/>
          <w:szCs w:val="24"/>
        </w:rPr>
        <w:t>План</w:t>
      </w:r>
      <w:r w:rsidRPr="00FA08A0">
        <w:rPr>
          <w:b/>
          <w:bCs/>
          <w:color w:val="002060"/>
          <w:sz w:val="24"/>
          <w:szCs w:val="24"/>
          <w:lang w:val="en-US"/>
        </w:rPr>
        <w:t xml:space="preserve"> </w:t>
      </w:r>
      <w:r w:rsidRPr="002273DF">
        <w:rPr>
          <w:b/>
          <w:bCs/>
          <w:color w:val="002060"/>
          <w:sz w:val="24"/>
          <w:szCs w:val="24"/>
        </w:rPr>
        <w:t>лекции</w:t>
      </w:r>
      <w:r w:rsidRPr="00FA08A0">
        <w:rPr>
          <w:b/>
          <w:bCs/>
          <w:color w:val="002060"/>
          <w:sz w:val="24"/>
          <w:szCs w:val="24"/>
          <w:lang w:val="en-US"/>
        </w:rPr>
        <w:t>:</w:t>
      </w:r>
    </w:p>
    <w:p w:rsidR="00FA3FA4" w:rsidRPr="00FA08A0" w:rsidRDefault="00FA3FA4" w:rsidP="00FA3FA4">
      <w:pPr>
        <w:jc w:val="center"/>
        <w:rPr>
          <w:b/>
          <w:color w:val="00B050"/>
          <w:sz w:val="24"/>
          <w:szCs w:val="24"/>
          <w:lang w:val="en-US"/>
        </w:rPr>
      </w:pPr>
    </w:p>
    <w:p w:rsidR="005229E9" w:rsidRPr="005229E9" w:rsidRDefault="005229E9" w:rsidP="005229E9">
      <w:pPr>
        <w:pStyle w:val="af8"/>
        <w:widowControl/>
        <w:numPr>
          <w:ilvl w:val="0"/>
          <w:numId w:val="13"/>
        </w:numPr>
        <w:autoSpaceDE/>
        <w:autoSpaceDN/>
        <w:adjustRightInd/>
        <w:spacing w:after="160" w:line="259" w:lineRule="auto"/>
        <w:jc w:val="both"/>
        <w:rPr>
          <w:sz w:val="24"/>
          <w:szCs w:val="24"/>
          <w:lang w:val="en-US"/>
        </w:rPr>
      </w:pPr>
      <w:r w:rsidRPr="005229E9">
        <w:rPr>
          <w:sz w:val="24"/>
          <w:szCs w:val="24"/>
        </w:rPr>
        <w:t xml:space="preserve">АПУДомы </w:t>
      </w:r>
    </w:p>
    <w:p w:rsidR="005229E9" w:rsidRDefault="005229E9" w:rsidP="005229E9">
      <w:pPr>
        <w:pStyle w:val="af8"/>
        <w:widowControl/>
        <w:numPr>
          <w:ilvl w:val="0"/>
          <w:numId w:val="13"/>
        </w:numPr>
        <w:autoSpaceDE/>
        <w:autoSpaceDN/>
        <w:adjustRightInd/>
        <w:spacing w:after="160" w:line="259" w:lineRule="auto"/>
        <w:jc w:val="both"/>
        <w:rPr>
          <w:sz w:val="24"/>
          <w:szCs w:val="24"/>
        </w:rPr>
      </w:pPr>
      <w:r w:rsidRPr="005229E9">
        <w:rPr>
          <w:sz w:val="24"/>
          <w:szCs w:val="24"/>
        </w:rPr>
        <w:t xml:space="preserve">Множественная эндокринная неоплазия </w:t>
      </w:r>
    </w:p>
    <w:p w:rsidR="005229E9" w:rsidRDefault="005229E9" w:rsidP="005229E9">
      <w:pPr>
        <w:pStyle w:val="af8"/>
        <w:widowControl/>
        <w:numPr>
          <w:ilvl w:val="0"/>
          <w:numId w:val="13"/>
        </w:numPr>
        <w:autoSpaceDE/>
        <w:autoSpaceDN/>
        <w:adjustRightInd/>
        <w:spacing w:after="160" w:line="259" w:lineRule="auto"/>
        <w:jc w:val="both"/>
        <w:rPr>
          <w:sz w:val="24"/>
          <w:szCs w:val="24"/>
        </w:rPr>
      </w:pPr>
      <w:r w:rsidRPr="005229E9">
        <w:rPr>
          <w:sz w:val="24"/>
          <w:szCs w:val="24"/>
        </w:rPr>
        <w:t xml:space="preserve">Хирургическое лечение эндокринных болезней </w:t>
      </w:r>
    </w:p>
    <w:p w:rsidR="005229E9" w:rsidRDefault="005229E9" w:rsidP="005229E9">
      <w:pPr>
        <w:pStyle w:val="af8"/>
        <w:widowControl/>
        <w:numPr>
          <w:ilvl w:val="0"/>
          <w:numId w:val="13"/>
        </w:numPr>
        <w:autoSpaceDE/>
        <w:autoSpaceDN/>
        <w:adjustRightInd/>
        <w:spacing w:after="160" w:line="259" w:lineRule="auto"/>
        <w:jc w:val="both"/>
        <w:rPr>
          <w:sz w:val="24"/>
          <w:szCs w:val="24"/>
        </w:rPr>
      </w:pPr>
      <w:r w:rsidRPr="005229E9">
        <w:rPr>
          <w:sz w:val="24"/>
          <w:szCs w:val="24"/>
        </w:rPr>
        <w:t xml:space="preserve">Поражения кожи при эндокринных болезнях </w:t>
      </w:r>
    </w:p>
    <w:p w:rsidR="005229E9" w:rsidRDefault="005229E9" w:rsidP="005229E9">
      <w:pPr>
        <w:pStyle w:val="af8"/>
        <w:widowControl/>
        <w:numPr>
          <w:ilvl w:val="0"/>
          <w:numId w:val="13"/>
        </w:numPr>
        <w:autoSpaceDE/>
        <w:autoSpaceDN/>
        <w:adjustRightInd/>
        <w:spacing w:after="160" w:line="259" w:lineRule="auto"/>
        <w:jc w:val="both"/>
        <w:rPr>
          <w:sz w:val="24"/>
          <w:szCs w:val="24"/>
        </w:rPr>
      </w:pPr>
      <w:r w:rsidRPr="005229E9">
        <w:rPr>
          <w:sz w:val="24"/>
          <w:szCs w:val="24"/>
        </w:rPr>
        <w:t>Аутоиммунные полигландулярные синдромы</w:t>
      </w:r>
      <w:r>
        <w:rPr>
          <w:sz w:val="24"/>
          <w:szCs w:val="24"/>
          <w:lang w:val="uz-Cyrl-UZ"/>
        </w:rPr>
        <w:t>.</w:t>
      </w:r>
      <w:r w:rsidRPr="005229E9">
        <w:rPr>
          <w:sz w:val="24"/>
          <w:szCs w:val="24"/>
        </w:rPr>
        <w:t xml:space="preserve"> </w:t>
      </w:r>
    </w:p>
    <w:p w:rsidR="00FA3FA4" w:rsidRPr="002273DF" w:rsidRDefault="00280C04" w:rsidP="005229E9">
      <w:pPr>
        <w:pStyle w:val="af8"/>
        <w:widowControl/>
        <w:numPr>
          <w:ilvl w:val="0"/>
          <w:numId w:val="13"/>
        </w:numPr>
        <w:autoSpaceDE/>
        <w:autoSpaceDN/>
        <w:adjustRightInd/>
        <w:spacing w:after="160" w:line="259" w:lineRule="auto"/>
        <w:jc w:val="both"/>
        <w:rPr>
          <w:sz w:val="24"/>
          <w:szCs w:val="24"/>
        </w:rPr>
      </w:pPr>
      <w:r>
        <w:rPr>
          <w:sz w:val="24"/>
          <w:szCs w:val="24"/>
        </w:rPr>
        <w:t>Литература</w:t>
      </w:r>
    </w:p>
    <w:p w:rsidR="00FA3FA4" w:rsidRPr="002273DF" w:rsidRDefault="005D1C1F" w:rsidP="00FA3FA4">
      <w:pPr>
        <w:widowControl/>
        <w:autoSpaceDE/>
        <w:autoSpaceDN/>
        <w:adjustRightInd/>
        <w:spacing w:before="100" w:beforeAutospacing="1" w:after="100" w:afterAutospacing="1"/>
        <w:outlineLvl w:val="1"/>
        <w:rPr>
          <w:sz w:val="36"/>
          <w:szCs w:val="36"/>
        </w:rPr>
      </w:pPr>
      <w:r w:rsidRPr="002273DF">
        <w:rPr>
          <w:bCs/>
          <w:sz w:val="36"/>
          <w:szCs w:val="36"/>
        </w:rPr>
        <w:t>План</w:t>
      </w:r>
      <w:r w:rsidR="00FA3FA4" w:rsidRPr="002273DF">
        <w:rPr>
          <w:bCs/>
          <w:sz w:val="36"/>
          <w:szCs w:val="36"/>
        </w:rPr>
        <w:t xml:space="preserve"> </w:t>
      </w:r>
      <w:r w:rsidRPr="002273DF">
        <w:rPr>
          <w:bCs/>
          <w:sz w:val="36"/>
          <w:szCs w:val="36"/>
          <w:lang w:val="uz-Latn-UZ"/>
        </w:rPr>
        <w:t>1</w:t>
      </w:r>
      <w:r w:rsidR="00FA3FA4" w:rsidRPr="002273DF">
        <w:rPr>
          <w:bCs/>
          <w:sz w:val="36"/>
          <w:szCs w:val="36"/>
        </w:rPr>
        <w:t xml:space="preserve">. </w:t>
      </w:r>
      <w:bookmarkEnd w:id="0"/>
      <w:bookmarkEnd w:id="1"/>
      <w:r w:rsidR="005229E9" w:rsidRPr="005229E9">
        <w:rPr>
          <w:bCs/>
          <w:sz w:val="36"/>
          <w:szCs w:val="36"/>
        </w:rPr>
        <w:t>АПУДомы</w:t>
      </w:r>
    </w:p>
    <w:p w:rsidR="005229E9" w:rsidRPr="005229E9" w:rsidRDefault="005229E9" w:rsidP="005229E9">
      <w:pPr>
        <w:widowControl/>
        <w:autoSpaceDE/>
        <w:autoSpaceDN/>
        <w:adjustRightInd/>
        <w:spacing w:before="30"/>
        <w:ind w:left="300" w:hanging="300"/>
        <w:jc w:val="both"/>
        <w:rPr>
          <w:sz w:val="24"/>
          <w:szCs w:val="24"/>
        </w:rPr>
      </w:pPr>
      <w:bookmarkStart w:id="2" w:name="_Toc213118550"/>
      <w:bookmarkStart w:id="3" w:name="_Toc213164097"/>
      <w:r w:rsidRPr="005229E9">
        <w:rPr>
          <w:sz w:val="24"/>
          <w:szCs w:val="24"/>
        </w:rPr>
        <w:t xml:space="preserve">Термин АПУД (аббревиатура английских слов: </w:t>
      </w:r>
      <w:r w:rsidRPr="005229E9">
        <w:rPr>
          <w:rFonts w:ascii="Arial" w:hAnsi="Arial" w:cs="Arial"/>
          <w:b/>
          <w:bCs/>
          <w:sz w:val="24"/>
          <w:szCs w:val="24"/>
        </w:rPr>
        <w:t>A</w:t>
      </w:r>
      <w:r w:rsidRPr="005229E9">
        <w:rPr>
          <w:sz w:val="24"/>
          <w:szCs w:val="24"/>
        </w:rPr>
        <w:t xml:space="preserve">mine — амин, </w:t>
      </w:r>
      <w:r w:rsidRPr="005229E9">
        <w:rPr>
          <w:rFonts w:ascii="Arial" w:hAnsi="Arial" w:cs="Arial"/>
          <w:b/>
          <w:bCs/>
          <w:sz w:val="24"/>
          <w:szCs w:val="24"/>
        </w:rPr>
        <w:t>P</w:t>
      </w:r>
      <w:r w:rsidRPr="005229E9">
        <w:rPr>
          <w:sz w:val="24"/>
          <w:szCs w:val="24"/>
        </w:rPr>
        <w:t xml:space="preserve">recursor — предшественник, </w:t>
      </w:r>
      <w:r w:rsidRPr="005229E9">
        <w:rPr>
          <w:rFonts w:ascii="Arial" w:hAnsi="Arial" w:cs="Arial"/>
          <w:b/>
          <w:bCs/>
          <w:sz w:val="24"/>
          <w:szCs w:val="24"/>
        </w:rPr>
        <w:t>U</w:t>
      </w:r>
      <w:r w:rsidRPr="005229E9">
        <w:rPr>
          <w:sz w:val="24"/>
          <w:szCs w:val="24"/>
        </w:rPr>
        <w:t xml:space="preserve">ptake — поглощение, утилизация, </w:t>
      </w:r>
      <w:r w:rsidRPr="005229E9">
        <w:rPr>
          <w:rFonts w:ascii="Arial" w:hAnsi="Arial" w:cs="Arial"/>
          <w:b/>
          <w:bCs/>
          <w:sz w:val="24"/>
          <w:szCs w:val="24"/>
        </w:rPr>
        <w:t>D</w:t>
      </w:r>
      <w:r w:rsidRPr="005229E9">
        <w:rPr>
          <w:sz w:val="24"/>
          <w:szCs w:val="24"/>
        </w:rPr>
        <w:t xml:space="preserve">ecarboxylation — декарбоксилирование) был предложен H.G.E. Pearse в 1966 г. для обозначения общих свойств разнообразных нейроэндокринных клеток. Совокупность этих клеток была названа системой АПУД. Все клетки системы АПУД способны накапливать триптофан, гистидин и тирозин и превращать их путем декарбоксилирования в медиаторы — серотонин, гистамин и дофамин. Кроме того, любая клетка системы АПУД потенциально способна синтезировать многие пептидные гормоны. Большая часть клеток системы АПУД происходит из нервного гребня. Многие энтодермальные и мезенхимные клетки могут приобретать свойства клеток системы АПУД под влиянием внешних стимулов.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А. Локализация клеток системы АПУД</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Центральные и периферические нейроэндокринные органы (гипоталамус, гипофиз, периферические ганглии автономной нервной системы, мозговое вещество надпочечников, параганглии).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ЦНС и периферическая нервная система (глиальные клетки и нейробласты).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Нейроэктодермальные клетки в составе эндокринных желез энтодермального происхождения (C-клетки щитовидной железы).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 xml:space="preserve">Эндокринные железы энтодермального происхождения (паращитовидные железы, островки поджелудочной железы, одиночные эндокринные клетки в стенках протоков поджелудочной железы).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5. </w:t>
      </w:r>
      <w:r w:rsidRPr="005229E9">
        <w:rPr>
          <w:sz w:val="24"/>
          <w:szCs w:val="24"/>
        </w:rPr>
        <w:t xml:space="preserve">Слизистая ЖКТ (энтерохромаффинные клетки).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6. </w:t>
      </w:r>
      <w:r w:rsidRPr="005229E9">
        <w:rPr>
          <w:sz w:val="24"/>
          <w:szCs w:val="24"/>
        </w:rPr>
        <w:t xml:space="preserve">Слизистая дыхательных путей (нейроэндокринные клетки легких). </w:t>
      </w:r>
    </w:p>
    <w:p w:rsidR="005229E9" w:rsidRPr="005229E9" w:rsidRDefault="005229E9" w:rsidP="005229E9">
      <w:pPr>
        <w:widowControl/>
        <w:autoSpaceDE/>
        <w:autoSpaceDN/>
        <w:adjustRightInd/>
        <w:spacing w:before="30"/>
        <w:ind w:left="900" w:hanging="300"/>
        <w:jc w:val="both"/>
        <w:rPr>
          <w:sz w:val="24"/>
          <w:szCs w:val="24"/>
        </w:rPr>
      </w:pPr>
      <w:bookmarkStart w:id="4" w:name="I.А.7."/>
      <w:r w:rsidRPr="005229E9">
        <w:rPr>
          <w:rFonts w:ascii="Arial" w:hAnsi="Arial" w:cs="Arial"/>
          <w:b/>
          <w:bCs/>
          <w:sz w:val="24"/>
          <w:szCs w:val="24"/>
        </w:rPr>
        <w:t>7.</w:t>
      </w:r>
      <w:bookmarkEnd w:id="4"/>
      <w:r w:rsidRPr="005229E9">
        <w:rPr>
          <w:rFonts w:ascii="Arial" w:hAnsi="Arial" w:cs="Arial"/>
          <w:b/>
          <w:bCs/>
          <w:sz w:val="24"/>
          <w:szCs w:val="24"/>
        </w:rPr>
        <w:t xml:space="preserve"> </w:t>
      </w:r>
      <w:r w:rsidRPr="005229E9">
        <w:rPr>
          <w:sz w:val="24"/>
          <w:szCs w:val="24"/>
        </w:rPr>
        <w:t xml:space="preserve">Кожа (меланоциты).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Б. Физиология и патофизиология системы АПУД</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lastRenderedPageBreak/>
        <w:t xml:space="preserve">1. </w:t>
      </w:r>
      <w:r w:rsidRPr="005229E9">
        <w:rPr>
          <w:sz w:val="24"/>
          <w:szCs w:val="24"/>
        </w:rPr>
        <w:t xml:space="preserve">Медиаторы и гормоны, секретируемые клетками системы АПУД, регулируют обмен углеводов, кальция и электролитов, сосудистый и мышечный тонус, секрецию и всасывание в ЖКТ, дифференцировку и пролиферацию разных типов клеток.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Как правило, каждая клетка системы АПУД секретирует какой-либо один медиатор или гормон. Однако некоторые клетки одновременно секретируют и медиатор, и гормон.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В норме медиаторы и гормоны секретируются не постоянно, а в ответ на внешние стимулы. При опухолевой трансформации клеток секреция становится нерегулируемой.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 xml:space="preserve">При трансформации клеток спектр секретируемых веществ может изменяться самым неожиданным образом. Например, опухолевые островковые клетки in vitro могут сначала секретировать инсулин, затем холецистокинин или гастрин и, наконец, глюкагон. Таким образом, АПУДомы (опухоли из клеток системы АПУД) могут быть гетерогенными как в отношении клеточного состава, так и в отношении секретируемых веществ. Более того, первичная опухоль и ее метастазы могут секретировать разные медиаторы и гормоны.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5. </w:t>
      </w:r>
      <w:r w:rsidRPr="005229E9">
        <w:rPr>
          <w:sz w:val="24"/>
          <w:szCs w:val="24"/>
        </w:rPr>
        <w:t xml:space="preserve">Клинические проявления АПУДом обычно многообразны. Например, опухоли из энтерохромаффинных клеток ЖКТ приводят к гиперплазии слизистой, гиперсекреции желудочного и панкреатического сока, усиливают перистальтику, вызывают образование камней в желчном пузыре, фиброз брюшины и миокарда и некротические поражения кожи.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6. </w:t>
      </w:r>
      <w:r w:rsidRPr="005229E9">
        <w:rPr>
          <w:sz w:val="24"/>
          <w:szCs w:val="24"/>
        </w:rPr>
        <w:t xml:space="preserve">Трансформация клеток нередко сопровождается нарушениями процессинга гормонов. Поэтому опухолевые клетки могут секретировать прогормоны (например, некоторые инсулиномы секретируют значительные количества проинсулина). Прогормоны вызывают непредсказуемые клинические проявления. С другой стороны, прогормоны служат маркерами АПУДом.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В. Нарушения секреции медиаторов и гормонов при АПУДомах</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Медиаторы и пептидные гормоны, секретируемые клетками системы АПУД, перечислены в табл. 44.1. Гормонально-активные АПУДомы секретируют избыточные количества медиаторов или гормонов и вызывают эндокринные нарушения.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Под влиянием избытка пептидных гормонов нарушается секреция кортикостероидов и гормонов половых желез.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Гормонально-неактивные АПУДомы обычно не сопровождаются эндокринными нарушениями.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 xml:space="preserve">Встречаются гормонально-неактивные АПУДомы, вызывающие эндокринные нарушения. Например, гормонально-неактивная аденома гипофиза может разрушить его ткань и привести к гипопитуитаризму.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Г. Классификация АПУДом. </w:t>
      </w:r>
      <w:r w:rsidRPr="005229E9">
        <w:rPr>
          <w:sz w:val="24"/>
          <w:szCs w:val="24"/>
        </w:rPr>
        <w:t xml:space="preserve">Термин АПУДома (APUDoma) был впервые использован I. Szijj в 1969 г. для описания медуллярного рака щитовидной железы, секретирующего АКТГ. Различают два типа АПУДом.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Ортоэндокринные. </w:t>
      </w:r>
      <w:r w:rsidRPr="005229E9">
        <w:rPr>
          <w:sz w:val="24"/>
          <w:szCs w:val="24"/>
        </w:rPr>
        <w:t xml:space="preserve">Опухолевые клетки локализуются </w:t>
      </w:r>
      <w:r w:rsidRPr="005229E9">
        <w:rPr>
          <w:rFonts w:ascii="Arial" w:hAnsi="Arial" w:cs="Arial"/>
          <w:b/>
          <w:bCs/>
          <w:sz w:val="24"/>
          <w:szCs w:val="24"/>
        </w:rPr>
        <w:t>на своем обычном месте</w:t>
      </w:r>
      <w:r w:rsidRPr="005229E9">
        <w:rPr>
          <w:sz w:val="24"/>
          <w:szCs w:val="24"/>
        </w:rPr>
        <w:t xml:space="preserve"> и секретируют </w:t>
      </w:r>
      <w:r w:rsidRPr="005229E9">
        <w:rPr>
          <w:rFonts w:ascii="Arial" w:hAnsi="Arial" w:cs="Arial"/>
          <w:b/>
          <w:bCs/>
          <w:sz w:val="24"/>
          <w:szCs w:val="24"/>
        </w:rPr>
        <w:t>избыточные количества</w:t>
      </w:r>
      <w:r w:rsidRPr="005229E9">
        <w:rPr>
          <w:sz w:val="24"/>
          <w:szCs w:val="24"/>
        </w:rPr>
        <w:t xml:space="preserve"> медиаторов или гормонов, свойственных нормальным клеткам с той же локализацией. Примеры: </w:t>
      </w:r>
    </w:p>
    <w:p w:rsidR="005229E9" w:rsidRPr="005229E9" w:rsidRDefault="005229E9" w:rsidP="005229E9">
      <w:pPr>
        <w:widowControl/>
        <w:autoSpaceDE/>
        <w:autoSpaceDN/>
        <w:adjustRightInd/>
        <w:spacing w:before="30"/>
        <w:ind w:left="1200" w:hanging="300"/>
        <w:jc w:val="both"/>
        <w:rPr>
          <w:sz w:val="24"/>
          <w:szCs w:val="24"/>
        </w:rPr>
      </w:pPr>
      <w:bookmarkStart w:id="5" w:name="I.Г.1.а."/>
      <w:r w:rsidRPr="005229E9">
        <w:rPr>
          <w:rFonts w:ascii="Arial" w:hAnsi="Arial" w:cs="Arial"/>
          <w:b/>
          <w:bCs/>
          <w:sz w:val="24"/>
          <w:szCs w:val="24"/>
        </w:rPr>
        <w:t>а.</w:t>
      </w:r>
      <w:bookmarkEnd w:id="5"/>
      <w:r w:rsidRPr="005229E9">
        <w:rPr>
          <w:rFonts w:ascii="Arial" w:hAnsi="Arial" w:cs="Arial"/>
          <w:b/>
          <w:bCs/>
          <w:sz w:val="24"/>
          <w:szCs w:val="24"/>
        </w:rPr>
        <w:t xml:space="preserve"> </w:t>
      </w:r>
      <w:r w:rsidRPr="005229E9">
        <w:rPr>
          <w:sz w:val="24"/>
          <w:szCs w:val="24"/>
        </w:rPr>
        <w:t xml:space="preserve">Инсулинома — происходит из бета-клеток островков, локализуется в поджелудочной железе, секретирует избыточные количества инсулина. </w:t>
      </w:r>
    </w:p>
    <w:p w:rsidR="005229E9" w:rsidRPr="005229E9" w:rsidRDefault="005229E9" w:rsidP="005229E9">
      <w:pPr>
        <w:widowControl/>
        <w:autoSpaceDE/>
        <w:autoSpaceDN/>
        <w:adjustRightInd/>
        <w:spacing w:before="30"/>
        <w:ind w:left="1200" w:hanging="300"/>
        <w:jc w:val="both"/>
        <w:rPr>
          <w:sz w:val="24"/>
          <w:szCs w:val="24"/>
        </w:rPr>
      </w:pPr>
      <w:bookmarkStart w:id="6" w:name="I.Г.1.б."/>
      <w:r w:rsidRPr="005229E9">
        <w:rPr>
          <w:rFonts w:ascii="Arial" w:hAnsi="Arial" w:cs="Arial"/>
          <w:b/>
          <w:bCs/>
          <w:sz w:val="24"/>
          <w:szCs w:val="24"/>
        </w:rPr>
        <w:lastRenderedPageBreak/>
        <w:t>б.</w:t>
      </w:r>
      <w:bookmarkEnd w:id="6"/>
      <w:r w:rsidRPr="005229E9">
        <w:rPr>
          <w:rFonts w:ascii="Arial" w:hAnsi="Arial" w:cs="Arial"/>
          <w:b/>
          <w:bCs/>
          <w:sz w:val="24"/>
          <w:szCs w:val="24"/>
        </w:rPr>
        <w:t xml:space="preserve"> </w:t>
      </w:r>
      <w:r w:rsidRPr="005229E9">
        <w:rPr>
          <w:sz w:val="24"/>
          <w:szCs w:val="24"/>
        </w:rPr>
        <w:t xml:space="preserve">Гастринома из G-клеток — происходит из слизистой желудка или двенадцатиперстной кишки, локализуется там же, секретирует избыточные количества гастрина.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Параэндокринные</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bookmarkStart w:id="7" w:name="I.Г.2.а."/>
      <w:r w:rsidRPr="005229E9">
        <w:rPr>
          <w:rFonts w:ascii="Arial" w:hAnsi="Arial" w:cs="Arial"/>
          <w:b/>
          <w:bCs/>
          <w:sz w:val="24"/>
          <w:szCs w:val="24"/>
        </w:rPr>
        <w:t>а.</w:t>
      </w:r>
      <w:bookmarkEnd w:id="7"/>
      <w:r w:rsidRPr="005229E9">
        <w:rPr>
          <w:rFonts w:ascii="Arial" w:hAnsi="Arial" w:cs="Arial"/>
          <w:b/>
          <w:bCs/>
          <w:sz w:val="24"/>
          <w:szCs w:val="24"/>
        </w:rPr>
        <w:t xml:space="preserve"> </w:t>
      </w:r>
      <w:r w:rsidRPr="005229E9">
        <w:rPr>
          <w:sz w:val="24"/>
          <w:szCs w:val="24"/>
        </w:rPr>
        <w:t xml:space="preserve">Опухолевые клетки локализуются на своем обычном месте, но секретируют </w:t>
      </w:r>
      <w:r w:rsidRPr="005229E9">
        <w:rPr>
          <w:rFonts w:ascii="Arial" w:hAnsi="Arial" w:cs="Arial"/>
          <w:b/>
          <w:bCs/>
          <w:sz w:val="24"/>
          <w:szCs w:val="24"/>
        </w:rPr>
        <w:t>медиаторы или гормоны, не свойственные нормальным клеткам</w:t>
      </w:r>
      <w:r w:rsidRPr="005229E9">
        <w:rPr>
          <w:sz w:val="24"/>
          <w:szCs w:val="24"/>
        </w:rPr>
        <w:t xml:space="preserve"> с той же локализацией. Примеры: </w:t>
      </w:r>
    </w:p>
    <w:p w:rsidR="005229E9" w:rsidRPr="005229E9" w:rsidRDefault="005229E9" w:rsidP="005229E9">
      <w:pPr>
        <w:widowControl/>
        <w:autoSpaceDE/>
        <w:autoSpaceDN/>
        <w:adjustRightInd/>
        <w:spacing w:before="30"/>
        <w:ind w:left="1500" w:hanging="300"/>
        <w:jc w:val="both"/>
        <w:rPr>
          <w:sz w:val="24"/>
          <w:szCs w:val="24"/>
        </w:rPr>
      </w:pPr>
      <w:bookmarkStart w:id="8" w:name="I.Г.2.а.1)"/>
      <w:r w:rsidRPr="005229E9">
        <w:rPr>
          <w:rFonts w:ascii="Arial" w:hAnsi="Arial" w:cs="Arial"/>
          <w:b/>
          <w:bCs/>
          <w:sz w:val="24"/>
          <w:szCs w:val="24"/>
        </w:rPr>
        <w:t>1)</w:t>
      </w:r>
      <w:bookmarkEnd w:id="8"/>
      <w:r w:rsidRPr="005229E9">
        <w:rPr>
          <w:rFonts w:ascii="Arial" w:hAnsi="Arial" w:cs="Arial"/>
          <w:b/>
          <w:bCs/>
          <w:sz w:val="24"/>
          <w:szCs w:val="24"/>
        </w:rPr>
        <w:t xml:space="preserve"> </w:t>
      </w:r>
      <w:r w:rsidRPr="005229E9">
        <w:rPr>
          <w:sz w:val="24"/>
          <w:szCs w:val="24"/>
        </w:rPr>
        <w:t xml:space="preserve">Овсяноклеточный рак легкого — нередко секретирует АКТГ и вызывает синдром Кушинга. </w:t>
      </w:r>
    </w:p>
    <w:p w:rsidR="005229E9" w:rsidRPr="005229E9" w:rsidRDefault="005229E9" w:rsidP="005229E9">
      <w:pPr>
        <w:widowControl/>
        <w:autoSpaceDE/>
        <w:autoSpaceDN/>
        <w:adjustRightInd/>
        <w:spacing w:before="30"/>
        <w:ind w:left="1500" w:hanging="300"/>
        <w:jc w:val="both"/>
        <w:rPr>
          <w:sz w:val="24"/>
          <w:szCs w:val="24"/>
        </w:rPr>
      </w:pPr>
      <w:bookmarkStart w:id="9" w:name="I.Г.2.а.2)"/>
      <w:r w:rsidRPr="005229E9">
        <w:rPr>
          <w:rFonts w:ascii="Arial" w:hAnsi="Arial" w:cs="Arial"/>
          <w:b/>
          <w:bCs/>
          <w:sz w:val="24"/>
          <w:szCs w:val="24"/>
        </w:rPr>
        <w:t>2)</w:t>
      </w:r>
      <w:bookmarkEnd w:id="9"/>
      <w:r w:rsidRPr="005229E9">
        <w:rPr>
          <w:rFonts w:ascii="Arial" w:hAnsi="Arial" w:cs="Arial"/>
          <w:b/>
          <w:bCs/>
          <w:sz w:val="24"/>
          <w:szCs w:val="24"/>
        </w:rPr>
        <w:t xml:space="preserve"> </w:t>
      </w:r>
      <w:r w:rsidRPr="005229E9">
        <w:rPr>
          <w:sz w:val="24"/>
          <w:szCs w:val="24"/>
        </w:rPr>
        <w:t xml:space="preserve">Гастринома из островковых клеток — происходит из дельта-клеток, локализуется в поджелудочной железе, но секретирует гастрин, в норме не свойственный дельта-клеткам. </w:t>
      </w:r>
    </w:p>
    <w:p w:rsidR="005229E9" w:rsidRPr="005229E9" w:rsidRDefault="005229E9" w:rsidP="005229E9">
      <w:pPr>
        <w:widowControl/>
        <w:autoSpaceDE/>
        <w:autoSpaceDN/>
        <w:adjustRightInd/>
        <w:spacing w:before="30"/>
        <w:ind w:left="1200" w:hanging="300"/>
        <w:jc w:val="both"/>
        <w:rPr>
          <w:sz w:val="24"/>
          <w:szCs w:val="24"/>
        </w:rPr>
      </w:pPr>
      <w:bookmarkStart w:id="10" w:name="I.Г.2.б."/>
      <w:r w:rsidRPr="005229E9">
        <w:rPr>
          <w:rFonts w:ascii="Arial" w:hAnsi="Arial" w:cs="Arial"/>
          <w:b/>
          <w:bCs/>
          <w:sz w:val="24"/>
          <w:szCs w:val="24"/>
        </w:rPr>
        <w:t>б.</w:t>
      </w:r>
      <w:bookmarkEnd w:id="10"/>
      <w:r w:rsidRPr="005229E9">
        <w:rPr>
          <w:rFonts w:ascii="Arial" w:hAnsi="Arial" w:cs="Arial"/>
          <w:b/>
          <w:bCs/>
          <w:sz w:val="24"/>
          <w:szCs w:val="24"/>
        </w:rPr>
        <w:t xml:space="preserve"> </w:t>
      </w:r>
      <w:r w:rsidRPr="005229E9">
        <w:rPr>
          <w:sz w:val="24"/>
          <w:szCs w:val="24"/>
        </w:rPr>
        <w:t xml:space="preserve">Опухолевые клетки секретируют «нормальные» медиаторы или гормоны, но локализуются </w:t>
      </w:r>
      <w:r w:rsidRPr="005229E9">
        <w:rPr>
          <w:rFonts w:ascii="Arial" w:hAnsi="Arial" w:cs="Arial"/>
          <w:b/>
          <w:bCs/>
          <w:sz w:val="24"/>
          <w:szCs w:val="24"/>
        </w:rPr>
        <w:t>не на своем месте.</w:t>
      </w:r>
      <w:r w:rsidRPr="005229E9">
        <w:rPr>
          <w:sz w:val="24"/>
          <w:szCs w:val="24"/>
        </w:rPr>
        <w:t xml:space="preserve"> Примеры: </w:t>
      </w:r>
    </w:p>
    <w:p w:rsidR="005229E9" w:rsidRPr="005229E9" w:rsidRDefault="005229E9" w:rsidP="005229E9">
      <w:pPr>
        <w:widowControl/>
        <w:autoSpaceDE/>
        <w:autoSpaceDN/>
        <w:adjustRightInd/>
        <w:spacing w:before="30"/>
        <w:ind w:left="1500" w:hanging="300"/>
        <w:jc w:val="both"/>
        <w:rPr>
          <w:sz w:val="24"/>
          <w:szCs w:val="24"/>
        </w:rPr>
      </w:pPr>
      <w:bookmarkStart w:id="11" w:name="I.Г.2.б.1)"/>
      <w:r w:rsidRPr="005229E9">
        <w:rPr>
          <w:rFonts w:ascii="Arial" w:hAnsi="Arial" w:cs="Arial"/>
          <w:b/>
          <w:bCs/>
          <w:sz w:val="24"/>
          <w:szCs w:val="24"/>
        </w:rPr>
        <w:t>1)</w:t>
      </w:r>
      <w:bookmarkEnd w:id="11"/>
      <w:r w:rsidRPr="005229E9">
        <w:rPr>
          <w:rFonts w:ascii="Arial" w:hAnsi="Arial" w:cs="Arial"/>
          <w:b/>
          <w:bCs/>
          <w:sz w:val="24"/>
          <w:szCs w:val="24"/>
        </w:rPr>
        <w:t xml:space="preserve"> </w:t>
      </w:r>
      <w:r w:rsidRPr="005229E9">
        <w:rPr>
          <w:sz w:val="24"/>
          <w:szCs w:val="24"/>
        </w:rPr>
        <w:t xml:space="preserve">Секреция кальцитонина аденомой паращитовидных желез, расположенной в средостении. </w:t>
      </w:r>
    </w:p>
    <w:p w:rsidR="005229E9" w:rsidRPr="005229E9" w:rsidRDefault="005229E9" w:rsidP="005229E9">
      <w:pPr>
        <w:widowControl/>
        <w:autoSpaceDE/>
        <w:autoSpaceDN/>
        <w:adjustRightInd/>
        <w:spacing w:before="30"/>
        <w:ind w:left="1500" w:hanging="300"/>
        <w:jc w:val="both"/>
        <w:rPr>
          <w:sz w:val="24"/>
          <w:szCs w:val="24"/>
        </w:rPr>
      </w:pPr>
      <w:bookmarkStart w:id="12" w:name="I.Г.2.б.2)"/>
      <w:r w:rsidRPr="005229E9">
        <w:rPr>
          <w:rFonts w:ascii="Arial" w:hAnsi="Arial" w:cs="Arial"/>
          <w:b/>
          <w:bCs/>
          <w:sz w:val="24"/>
          <w:szCs w:val="24"/>
        </w:rPr>
        <w:t>2)</w:t>
      </w:r>
      <w:bookmarkEnd w:id="12"/>
      <w:r w:rsidRPr="005229E9">
        <w:rPr>
          <w:rFonts w:ascii="Arial" w:hAnsi="Arial" w:cs="Arial"/>
          <w:b/>
          <w:bCs/>
          <w:sz w:val="24"/>
          <w:szCs w:val="24"/>
        </w:rPr>
        <w:t xml:space="preserve"> </w:t>
      </w:r>
      <w:r w:rsidRPr="005229E9">
        <w:rPr>
          <w:sz w:val="24"/>
          <w:szCs w:val="24"/>
        </w:rPr>
        <w:t xml:space="preserve">Секреция катехоламинов вненадпочечниковой феохромоцитомой.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II. Ортоэндокринные АПУДомы ЖКТ и поджелудочной железы</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А. Карциноиды</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Эти АПУДомы встречаются чаще всего. Впервые они были описаны S. Oberndorfer в 1907 г. Карциноиды развиваются в любом месте ЖКТ, включая пищевод, желудок, двенадцатиперстную кишку, тонкую кишку, аппендикс, толстую кишку, прямую кишку, желчные протоки, поджелудочную железу и печень. Кроме того, карциноиды могут возникать в дивертикуле Меккеля, гортани, тимусе, легких, молочных железах, яичках, яичниках и мочеиспускательном канале. У больных с этими опухолями развивается </w:t>
      </w:r>
      <w:r w:rsidRPr="005229E9">
        <w:rPr>
          <w:rFonts w:ascii="Arial" w:hAnsi="Arial" w:cs="Arial"/>
          <w:b/>
          <w:bCs/>
          <w:sz w:val="24"/>
          <w:szCs w:val="24"/>
        </w:rPr>
        <w:t>карциноидный синдром.</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Карциноиды секретируют главным образом</w:t>
      </w:r>
      <w:r w:rsidRPr="005229E9">
        <w:rPr>
          <w:rFonts w:ascii="Arial" w:hAnsi="Arial" w:cs="Arial"/>
          <w:b/>
          <w:bCs/>
          <w:sz w:val="24"/>
          <w:szCs w:val="24"/>
        </w:rPr>
        <w:t xml:space="preserve"> серотонин.</w:t>
      </w:r>
      <w:r w:rsidRPr="005229E9">
        <w:rPr>
          <w:sz w:val="24"/>
          <w:szCs w:val="24"/>
        </w:rPr>
        <w:t xml:space="preserve"> В меньших количествах секретируются брадикинин, 5-гидрокситриптофан, простагландины, ВИП и гистамин.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3. Классическая триада признаков карциноидного синдрома:</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а. Приливы и гиперемия,</w:t>
      </w:r>
      <w:r w:rsidRPr="005229E9">
        <w:rPr>
          <w:sz w:val="24"/>
          <w:szCs w:val="24"/>
        </w:rPr>
        <w:t xml:space="preserve"> обусловленные периодическими выбросами больших количеств брадикинина, 5-гидрокситриптофана и простагландинов. Иногда эти проявления удается облегчить, назначая одновременно H</w:t>
      </w:r>
      <w:r w:rsidRPr="005229E9">
        <w:rPr>
          <w:sz w:val="24"/>
          <w:szCs w:val="24"/>
          <w:vertAlign w:val="subscript"/>
        </w:rPr>
        <w:t>1</w:t>
      </w:r>
      <w:r w:rsidRPr="005229E9">
        <w:rPr>
          <w:sz w:val="24"/>
          <w:szCs w:val="24"/>
        </w:rPr>
        <w:t>-блокатор дифенгидрамин и H</w:t>
      </w:r>
      <w:r w:rsidRPr="005229E9">
        <w:rPr>
          <w:sz w:val="24"/>
          <w:szCs w:val="24"/>
          <w:vertAlign w:val="subscript"/>
        </w:rPr>
        <w:t>2</w:t>
      </w:r>
      <w:r w:rsidRPr="005229E9">
        <w:rPr>
          <w:sz w:val="24"/>
          <w:szCs w:val="24"/>
        </w:rPr>
        <w:t xml:space="preserve">-блокатор циметидин.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б. Понос</w:t>
      </w:r>
      <w:r w:rsidRPr="005229E9">
        <w:rPr>
          <w:sz w:val="24"/>
          <w:szCs w:val="24"/>
        </w:rPr>
        <w:t xml:space="preserve"> вызван прежде всего избытком серотонина, в меньшей степени — избытком простагландинов и брадикинина. Для лечения используют антагонисты серотонина ципрогептадин и метисергид.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в. Поражения клапанов сердца. </w:t>
      </w:r>
      <w:r w:rsidRPr="005229E9">
        <w:rPr>
          <w:sz w:val="24"/>
          <w:szCs w:val="24"/>
        </w:rPr>
        <w:t xml:space="preserve">Чаще всего наблюдается трикуспидальная недостаточность (створки постоянно приоткрыты), реже — стеноз трехстворчатого клапана. Поражения клапанов обусловлены их фиброзом (прямое действие серотонина).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4. Другие частые проявления карциноидного синдрома:</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Бронхоспазм </w:t>
      </w:r>
      <w:r w:rsidRPr="005229E9">
        <w:rPr>
          <w:sz w:val="24"/>
          <w:szCs w:val="24"/>
        </w:rPr>
        <w:t>из-за избытка</w:t>
      </w:r>
      <w:r w:rsidRPr="005229E9">
        <w:rPr>
          <w:rFonts w:ascii="Arial" w:hAnsi="Arial" w:cs="Arial"/>
          <w:b/>
          <w:bCs/>
          <w:sz w:val="24"/>
          <w:szCs w:val="24"/>
        </w:rPr>
        <w:t xml:space="preserve"> </w:t>
      </w:r>
      <w:r w:rsidRPr="005229E9">
        <w:rPr>
          <w:sz w:val="24"/>
          <w:szCs w:val="24"/>
        </w:rPr>
        <w:t xml:space="preserve">брадикинина, гистамина и простагландинов. Его также удается устранить метисергидом.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lastRenderedPageBreak/>
        <w:t>б. Пеллагроподобные поражения кожи</w:t>
      </w:r>
      <w:r w:rsidRPr="005229E9">
        <w:rPr>
          <w:sz w:val="24"/>
          <w:szCs w:val="24"/>
        </w:rPr>
        <w:t xml:space="preserve"> вызваны дефицитом триптофана. Опухоль поглощает более 50% триптофана, циркулирующего в крови. В результате нормальные клетки получают недостаточное количество триптофана для синтеза никотиновой кислоты. Для лечения пеллагроподобных поражений назначают никотиновую кислоту.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5. Проявления, вызванные избытком серотонина:</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Стенокардия вследствие спазма коронарных артерий.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w:t>
      </w:r>
      <w:r w:rsidRPr="005229E9">
        <w:rPr>
          <w:sz w:val="24"/>
          <w:szCs w:val="24"/>
        </w:rPr>
        <w:t xml:space="preserve">Эндокардиальный фиброз.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в. </w:t>
      </w:r>
      <w:r w:rsidRPr="005229E9">
        <w:rPr>
          <w:sz w:val="24"/>
          <w:szCs w:val="24"/>
        </w:rPr>
        <w:t xml:space="preserve">Артропатия.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г. </w:t>
      </w:r>
      <w:r w:rsidRPr="005229E9">
        <w:rPr>
          <w:sz w:val="24"/>
          <w:szCs w:val="24"/>
        </w:rPr>
        <w:t xml:space="preserve">Нарушение толерантности к глюкозе. </w:t>
      </w:r>
    </w:p>
    <w:p w:rsidR="005229E9" w:rsidRPr="005229E9" w:rsidRDefault="005229E9" w:rsidP="005229E9">
      <w:pPr>
        <w:widowControl/>
        <w:autoSpaceDE/>
        <w:autoSpaceDN/>
        <w:adjustRightInd/>
        <w:spacing w:before="30"/>
        <w:ind w:left="1200" w:hanging="300"/>
        <w:jc w:val="both"/>
        <w:rPr>
          <w:sz w:val="24"/>
          <w:szCs w:val="24"/>
        </w:rPr>
      </w:pPr>
      <w:bookmarkStart w:id="13" w:name="II.А.5.д."/>
      <w:r w:rsidRPr="005229E9">
        <w:rPr>
          <w:rFonts w:ascii="Arial" w:hAnsi="Arial" w:cs="Arial"/>
          <w:b/>
          <w:bCs/>
          <w:sz w:val="24"/>
          <w:szCs w:val="24"/>
        </w:rPr>
        <w:t>д.</w:t>
      </w:r>
      <w:bookmarkEnd w:id="13"/>
      <w:r w:rsidRPr="005229E9">
        <w:rPr>
          <w:rFonts w:ascii="Arial" w:hAnsi="Arial" w:cs="Arial"/>
          <w:b/>
          <w:bCs/>
          <w:sz w:val="24"/>
          <w:szCs w:val="24"/>
        </w:rPr>
        <w:t xml:space="preserve"> </w:t>
      </w:r>
      <w:r w:rsidRPr="005229E9">
        <w:rPr>
          <w:sz w:val="24"/>
          <w:szCs w:val="24"/>
        </w:rPr>
        <w:t xml:space="preserve">Артериальная гипотония.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6. </w:t>
      </w:r>
      <w:r w:rsidRPr="005229E9">
        <w:rPr>
          <w:sz w:val="24"/>
          <w:szCs w:val="24"/>
        </w:rPr>
        <w:t>Первичные карциноиды клинически проявляются всего лишь у 5—10%. Это объясняется очень быстрым разрушением серотонина в печени (T</w:t>
      </w:r>
      <w:r w:rsidRPr="005229E9">
        <w:rPr>
          <w:sz w:val="24"/>
          <w:szCs w:val="24"/>
          <w:vertAlign w:val="subscript"/>
        </w:rPr>
        <w:t>1/2</w:t>
      </w:r>
      <w:r w:rsidRPr="005229E9">
        <w:rPr>
          <w:sz w:val="24"/>
          <w:szCs w:val="24"/>
        </w:rPr>
        <w:t xml:space="preserve"> серотонина &lt; 1 мин). При метастазах карциноидов в печень симптомы появляются у 40—45% больных.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7. Диагностика</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bookmarkStart w:id="14" w:name="II.А.7.а."/>
      <w:r w:rsidRPr="005229E9">
        <w:rPr>
          <w:rFonts w:ascii="Arial" w:hAnsi="Arial" w:cs="Arial"/>
          <w:b/>
          <w:bCs/>
          <w:sz w:val="24"/>
          <w:szCs w:val="24"/>
        </w:rPr>
        <w:t>а.</w:t>
      </w:r>
      <w:bookmarkEnd w:id="14"/>
      <w:r w:rsidRPr="005229E9">
        <w:rPr>
          <w:rFonts w:ascii="Arial" w:hAnsi="Arial" w:cs="Arial"/>
          <w:b/>
          <w:bCs/>
          <w:sz w:val="24"/>
          <w:szCs w:val="24"/>
        </w:rPr>
        <w:t xml:space="preserve"> Гормонально-неактивный карциноид.</w:t>
      </w:r>
      <w:r w:rsidRPr="005229E9">
        <w:rPr>
          <w:sz w:val="24"/>
          <w:szCs w:val="24"/>
        </w:rPr>
        <w:t xml:space="preserve"> Проявления карциноидного синдрома отсутствуют. Симптомы обусловлены прямым воздействием опухоли на ЖКТ и включают боль в животе, болезненность при пальпации, тошноту, недомогание, потерю веса, кишечную непроходимость, обструкцию желчных путей, желудочно-кишечное кровотечение. Диагноз устанавливают путем эндоскопии, рентгенологического исследования или КТ, а также с помощью биопсии и гистологического исследования. </w:t>
      </w:r>
    </w:p>
    <w:p w:rsidR="005229E9" w:rsidRPr="005229E9" w:rsidRDefault="005229E9" w:rsidP="005229E9">
      <w:pPr>
        <w:widowControl/>
        <w:autoSpaceDE/>
        <w:autoSpaceDN/>
        <w:adjustRightInd/>
        <w:spacing w:before="30"/>
        <w:ind w:left="1200" w:hanging="300"/>
        <w:jc w:val="both"/>
        <w:rPr>
          <w:sz w:val="24"/>
          <w:szCs w:val="24"/>
        </w:rPr>
      </w:pPr>
      <w:bookmarkStart w:id="15" w:name="II.А.7.б."/>
      <w:r w:rsidRPr="005229E9">
        <w:rPr>
          <w:rFonts w:ascii="Arial" w:hAnsi="Arial" w:cs="Arial"/>
          <w:b/>
          <w:bCs/>
          <w:sz w:val="24"/>
          <w:szCs w:val="24"/>
        </w:rPr>
        <w:t>б.</w:t>
      </w:r>
      <w:bookmarkEnd w:id="15"/>
      <w:r w:rsidRPr="005229E9">
        <w:rPr>
          <w:rFonts w:ascii="Arial" w:hAnsi="Arial" w:cs="Arial"/>
          <w:b/>
          <w:bCs/>
          <w:sz w:val="24"/>
          <w:szCs w:val="24"/>
        </w:rPr>
        <w:t xml:space="preserve"> Гормонально-активный карциноид. </w:t>
      </w:r>
      <w:r w:rsidRPr="005229E9">
        <w:rPr>
          <w:sz w:val="24"/>
          <w:szCs w:val="24"/>
        </w:rPr>
        <w:t xml:space="preserve">У больных с карциноидным синдромом измеряют суточную экскрецию метаболита серотонина — 5-гидроксииндолуксусной кислоты. Диагноз карциноида не вызывает сомнений, если экскреция 5-гидроксииндолуксусной кислоты у больного без нарушений всасывания в кишечнике превышает 9 мг/сут, а у больного с нарушениями всасывания — 30 мг/сут.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8. Лечение. </w:t>
      </w:r>
      <w:r w:rsidRPr="005229E9">
        <w:rPr>
          <w:sz w:val="24"/>
          <w:szCs w:val="24"/>
        </w:rPr>
        <w:t>Радикальное лечение — это</w:t>
      </w:r>
      <w:r w:rsidRPr="005229E9">
        <w:rPr>
          <w:rFonts w:ascii="Arial" w:hAnsi="Arial" w:cs="Arial"/>
          <w:b/>
          <w:bCs/>
          <w:sz w:val="24"/>
          <w:szCs w:val="24"/>
        </w:rPr>
        <w:t xml:space="preserve"> </w:t>
      </w:r>
      <w:r w:rsidRPr="005229E9">
        <w:rPr>
          <w:sz w:val="24"/>
          <w:szCs w:val="24"/>
        </w:rPr>
        <w:t xml:space="preserve">удаление первичной опухоли и, если возможно, метастазов в печени и пораженных лимфоузлов. Такой подход целесообразен, поскольку карциноиды и их метастазы растут медленно. Если метастазы удалить невозможно, можно назначить паллиативное лечение </w:t>
      </w:r>
      <w:r w:rsidRPr="005229E9">
        <w:rPr>
          <w:rFonts w:ascii="Arial" w:hAnsi="Arial" w:cs="Arial"/>
          <w:b/>
          <w:bCs/>
          <w:sz w:val="24"/>
          <w:szCs w:val="24"/>
        </w:rPr>
        <w:t>октреотидом</w:t>
      </w:r>
      <w:r w:rsidRPr="005229E9">
        <w:rPr>
          <w:sz w:val="24"/>
          <w:szCs w:val="24"/>
        </w:rPr>
        <w:t xml:space="preserve"> — длительно действующим аналогом соматостатина. Имеются сообщения, что октреотид устраняет симптомы и замедляет рост карциноидов.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Б. Инсулинома. </w:t>
      </w:r>
      <w:r w:rsidRPr="005229E9">
        <w:rPr>
          <w:sz w:val="24"/>
          <w:szCs w:val="24"/>
        </w:rPr>
        <w:t xml:space="preserve">Эта опухоль состоит из инсулинсекретирующих клеток и почти всегда происходит из бета-клеток островков поджелудочной железы. Имеются сообщения об инсулиномах, возникших из энтерохромаффинных клеток кишечника. Инсулинома в поджелудочной железе обычно доброкачественная, солидная, одиночная. У детей инсулинома иногда сопровождается гиперплазией бета-клеток или незидиобластозом. Нередко инсулинома оказывается компонентом МЭН типа I (см. гл. 45, п. II.А).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Симптомы</w:t>
      </w:r>
      <w:r w:rsidRPr="005229E9">
        <w:rPr>
          <w:sz w:val="24"/>
          <w:szCs w:val="24"/>
        </w:rPr>
        <w:t xml:space="preserve"> обусловлены гипогликемией, вызванной нерегулируемой избыточной секрецией инсулина.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Диагностика</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Определяют уровень инсулина в плазме методом РИА. Наиболее информативно определение инсулина во время приступа гипогликемии. Диагноз не вызывает </w:t>
      </w:r>
      <w:r w:rsidRPr="005229E9">
        <w:rPr>
          <w:sz w:val="24"/>
          <w:szCs w:val="24"/>
        </w:rPr>
        <w:lastRenderedPageBreak/>
        <w:t xml:space="preserve">сомнений, если на фоне гипогликемии (при концентрации глюкозы в крови &lt; 1,7 ммоль/л) уровень инсулина в плазме &gt; 72 пмоль/л. Обычно уровень инсулина превышает 144 пмоль/л.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w:t>
      </w:r>
      <w:r w:rsidRPr="005229E9">
        <w:rPr>
          <w:sz w:val="24"/>
          <w:szCs w:val="24"/>
        </w:rPr>
        <w:t xml:space="preserve">В редких случаях опухоль удается визуализировать с помощью КТ или МРТ. УЗИ выявляет только очень крупные солидные инсулиномы.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Лечение. </w:t>
      </w:r>
      <w:r w:rsidRPr="005229E9">
        <w:rPr>
          <w:sz w:val="24"/>
          <w:szCs w:val="24"/>
        </w:rPr>
        <w:t xml:space="preserve">Радикальное лечение — удаление опухоли. Если инсулинома расположена в хвосте поджелудочной железы, проводят резекцию хвоста. Если инсулинома расположена в теле или головке железы, ее вылущивают. Когда опухоль имеет злокачественный характер, дает множественные метастазы и ее нельзя удалить полностью, прибегают к медикаментозному лечению диазоксидом или октреотидом. Эти препараты подавляют секрецию инсулина и снижают тяжесть гипогликемии. Применяют также глюкокортикоиды (эти препараты обладают контринсулярным эффектом).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В. Глюкагонома. </w:t>
      </w:r>
      <w:r w:rsidRPr="005229E9">
        <w:rPr>
          <w:sz w:val="24"/>
          <w:szCs w:val="24"/>
        </w:rPr>
        <w:t xml:space="preserve">Чаще всего это злокачественная опухоль, возникшая из альфа-клеток островков поджелудочной железы. Первичная опухоль, как правило, крупная, солидная, одиночная. Хотя первичная опухоль растет медленно, к моменту ее выявления у 60—85% больных уже имеются метастазы.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Клиническая картина. </w:t>
      </w:r>
      <w:r w:rsidRPr="005229E9">
        <w:rPr>
          <w:sz w:val="24"/>
          <w:szCs w:val="24"/>
        </w:rPr>
        <w:t xml:space="preserve">Наиболее характерные признаки глюкагономы — поражения кожи, сахарный диабет с легким течением, анемия и потеря веса. Реже отмечаются глоссит, истончение волос, дистрофия ногтей, понос.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а. Некролитическая мигрирующая эритема</w:t>
      </w:r>
      <w:r w:rsidRPr="005229E9">
        <w:rPr>
          <w:sz w:val="24"/>
          <w:szCs w:val="24"/>
        </w:rPr>
        <w:t xml:space="preserve"> — патогномоничный симптом глюкагономы. На коже появляется сыпь в виде папул с запавшим центром и четко ограниченным краем. Папулы превращаются в везикулы, затем подвергаются эрозии и образуют корки или чешуйки. На месте эрозий остаются участки гиперпигментации. Некролитическая мигрирующая эритема чаще всего локализуется на лице, нижней части живота и в местах, подвергающихся трению, — в паховой области или на бедрах. Иногда эритема осложняется присоединившейся инфекцией.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б. Сахарный диабет</w:t>
      </w:r>
      <w:r w:rsidRPr="005229E9">
        <w:rPr>
          <w:sz w:val="24"/>
          <w:szCs w:val="24"/>
        </w:rPr>
        <w:t xml:space="preserve"> обусловлен контринсулярным действием глюкагона. Иногда он протекает бессимптомно и обнаруживается только при пероральном тесте на толерантность к глюкозе. Характерные особенности сахарного диабета при глюкагономе: редко возникают кетонемия и диабетический кетоацидоз, отсутствуют микроангиопатические осложнения. У большинства больных сахарный диабет поддается диете. Около 25% больных нуждаются в инсулине.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Диагностика</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Уровень глюкагона в плазме повышен.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w:t>
      </w:r>
      <w:r w:rsidRPr="005229E9">
        <w:rPr>
          <w:sz w:val="24"/>
          <w:szCs w:val="24"/>
        </w:rPr>
        <w:t xml:space="preserve">В некоторых случаях может быть повышен и уровень инсулина (компенсаторная реакция на избыток глюкагона).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в. </w:t>
      </w:r>
      <w:r w:rsidRPr="005229E9">
        <w:rPr>
          <w:sz w:val="24"/>
          <w:szCs w:val="24"/>
        </w:rPr>
        <w:t xml:space="preserve">Для визуализации опухоли применяют УЗИ, КТ, МРТ и ангиографию поджелудочной железы.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3. Лечение</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Радикальное лечение — удаление опухоли. Таким способом удается излечить треть больных.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lastRenderedPageBreak/>
        <w:t xml:space="preserve">б. </w:t>
      </w:r>
      <w:r w:rsidRPr="005229E9">
        <w:rPr>
          <w:sz w:val="24"/>
          <w:szCs w:val="24"/>
        </w:rPr>
        <w:t xml:space="preserve">Для медикаментозного лечения применяют внутриартериальное введение стрептозоцина или полихимиотерапию (различные сочетания стрептозоцина, фторурацила, доксорубицина и дакарбазина). Химиотерапия позволяет облегчить симптомы, обусловленные метастазами в печени. Иногда удается снизить уровень глюкагона с помощью октреотида.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Г. Соматостатинома. </w:t>
      </w:r>
      <w:r w:rsidRPr="005229E9">
        <w:rPr>
          <w:sz w:val="24"/>
          <w:szCs w:val="24"/>
        </w:rPr>
        <w:t xml:space="preserve">Соматостатин секретируется дельта-клетками островков поджелудочной железы и подавляет секрецию инсулина и глюкагона. Кроме того, соматостатин подавляет секрецию СТГ в аденогипофизе. Соматостатиномы — это злокачественные опухоли, секретирующие избыточные количества соматостатина. Ортоэндокринные соматостатиномы (происходящие из дельта-клеток) встречаются в 60% случаев. 35—38% соматостатином возникает из энтерохромаффинных клеток тонкой кишки. Описаны случаи секреции соматостатина мелкоклеточным раком легкого, медуллярным раком щитовидной железы и феохромоцитомой. Как правило, опухоли непанкреатического происхождения секретируют меньше соматостатина, чем панкреатические опухоли, и нередко протекают бессимптомно. У 83% больных с панкреатическими соматостатиномами к моменту их выявления уже имеются метастазы. Следует отметить, что соматостатиному до сих пор не обнаружили ни у одного больного с МЭН типа I, но обнаружили у нескольких больных с МЭН типа IIa.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Клиническая картина</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а. Патогномоничные проявления:</w:t>
      </w:r>
      <w:r w:rsidRPr="005229E9">
        <w:rPr>
          <w:sz w:val="24"/>
          <w:szCs w:val="24"/>
        </w:rPr>
        <w:t xml:space="preserve"> легкий сахарный диабет, стеаторея, желчнокаменная болезнь.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б. Другие признаки:</w:t>
      </w:r>
      <w:r w:rsidRPr="005229E9">
        <w:rPr>
          <w:sz w:val="24"/>
          <w:szCs w:val="24"/>
        </w:rPr>
        <w:t xml:space="preserve"> диспепсия, понос, анемия, похудание.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Диагностика. </w:t>
      </w:r>
      <w:r w:rsidRPr="005229E9">
        <w:rPr>
          <w:sz w:val="24"/>
          <w:szCs w:val="24"/>
        </w:rPr>
        <w:t xml:space="preserve">Уровень соматостатина в плазме повышен на фоне снижения уровней инсулина и глюкагона. Пониженный уровень глюкагона — характерное отличие соматостатиномы от глюкагономы.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3. Лечение</w:t>
      </w:r>
      <w:r w:rsidRPr="005229E9">
        <w:rPr>
          <w:sz w:val="24"/>
          <w:szCs w:val="24"/>
        </w:rPr>
        <w:t xml:space="preserve"> — удаление опухоли. Иногда удается добиться регрессии метастазов с помощью стрептозоцина.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Д. Гастринома из G-клеток. </w:t>
      </w:r>
      <w:r w:rsidRPr="005229E9">
        <w:rPr>
          <w:sz w:val="24"/>
          <w:szCs w:val="24"/>
        </w:rPr>
        <w:t xml:space="preserve">Это доброкачественная или злокачественная опухоль, происходящая из G-клеток двенадцатиперстной кишки или желудка, секретирующая избыточные количества гастрина. Секреция гастрина резко усиливается после приема пищи. Избыток гастрина стимулирует обкладочные клетки желудка, что приводит к гиперхлоргидрии и к изъязвлению слизистой тонкой кишки.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Клиническая картина</w:t>
      </w:r>
      <w:r w:rsidRPr="005229E9">
        <w:rPr>
          <w:sz w:val="24"/>
          <w:szCs w:val="24"/>
        </w:rPr>
        <w:t xml:space="preserve"> определяется уровнем гастрина и изменяется от почти бессимптомной язвы двенадцатиперстной кишки до острой прободной язвы тощей кишки. Клинические проявления гастриномы из G-клеток могут быть неотличимы от проявлений гастриномы из островковых клеток (см. гл. 44, п. IV.Б). Поэтому симптомокомплекс, вызванный гастриномой из G-клеток, нередко называют </w:t>
      </w:r>
      <w:r w:rsidRPr="005229E9">
        <w:rPr>
          <w:rFonts w:ascii="Arial" w:hAnsi="Arial" w:cs="Arial"/>
          <w:b/>
          <w:bCs/>
          <w:sz w:val="24"/>
          <w:szCs w:val="24"/>
        </w:rPr>
        <w:t>псевдосиндромом Золлингера—Эллисона.</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У больных с гастриномой из G-клеток </w:t>
      </w:r>
      <w:r w:rsidRPr="005229E9">
        <w:rPr>
          <w:rFonts w:ascii="Arial" w:hAnsi="Arial" w:cs="Arial"/>
          <w:b/>
          <w:bCs/>
          <w:sz w:val="24"/>
          <w:szCs w:val="24"/>
        </w:rPr>
        <w:t>секреция гастрина не усиливается после введения секретина</w:t>
      </w:r>
      <w:r w:rsidRPr="005229E9">
        <w:rPr>
          <w:sz w:val="24"/>
          <w:szCs w:val="24"/>
        </w:rPr>
        <w:t xml:space="preserve">. В этом заключается отличие гастриномы из G-клеток от гастриномы из островковых клеток.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3. Лечение</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Поскольку гастриномы из G-клеток растут медленно и далеко не всегда метастазируют, рекомендуется </w:t>
      </w:r>
      <w:r w:rsidRPr="005229E9">
        <w:rPr>
          <w:rFonts w:ascii="Arial" w:hAnsi="Arial" w:cs="Arial"/>
          <w:b/>
          <w:bCs/>
          <w:sz w:val="24"/>
          <w:szCs w:val="24"/>
        </w:rPr>
        <w:t>начинать с медикаментозного лечения.</w:t>
      </w:r>
      <w:r w:rsidRPr="005229E9">
        <w:rPr>
          <w:sz w:val="24"/>
          <w:szCs w:val="24"/>
        </w:rPr>
        <w:t xml:space="preserve"> Для </w:t>
      </w:r>
      <w:r w:rsidRPr="005229E9">
        <w:rPr>
          <w:sz w:val="24"/>
          <w:szCs w:val="24"/>
        </w:rPr>
        <w:lastRenderedPageBreak/>
        <w:t>подавления секреции соляной кислоты назначают ингибиторы H</w:t>
      </w:r>
      <w:r w:rsidRPr="005229E9">
        <w:rPr>
          <w:sz w:val="24"/>
          <w:szCs w:val="24"/>
          <w:vertAlign w:val="superscript"/>
        </w:rPr>
        <w:t>+</w:t>
      </w:r>
      <w:r w:rsidRPr="005229E9">
        <w:rPr>
          <w:sz w:val="24"/>
          <w:szCs w:val="24"/>
        </w:rPr>
        <w:t>,K</w:t>
      </w:r>
      <w:r w:rsidRPr="005229E9">
        <w:rPr>
          <w:sz w:val="24"/>
          <w:szCs w:val="24"/>
          <w:vertAlign w:val="superscript"/>
        </w:rPr>
        <w:t>+</w:t>
      </w:r>
      <w:r w:rsidRPr="005229E9">
        <w:rPr>
          <w:sz w:val="24"/>
          <w:szCs w:val="24"/>
        </w:rPr>
        <w:t>-АТФазы, например омепразол. Используют также H</w:t>
      </w:r>
      <w:r w:rsidRPr="005229E9">
        <w:rPr>
          <w:sz w:val="24"/>
          <w:szCs w:val="24"/>
          <w:vertAlign w:val="subscript"/>
        </w:rPr>
        <w:t>2</w:t>
      </w:r>
      <w:r w:rsidRPr="005229E9">
        <w:rPr>
          <w:sz w:val="24"/>
          <w:szCs w:val="24"/>
        </w:rPr>
        <w:t xml:space="preserve">-блокаторы (циметидин). Для подавления секреции гастрина и роста опухоли назначают октреотид. В большинстве случаев медикаментозное лечение позволяет избежать операции.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б. Хирургическое лечение</w:t>
      </w:r>
      <w:r w:rsidRPr="005229E9">
        <w:rPr>
          <w:sz w:val="24"/>
          <w:szCs w:val="24"/>
        </w:rPr>
        <w:t xml:space="preserve"> — антрумэктомия. Обычно после этой операции симптомы язвенной болезни полностью исчезают. Если нет уверенности в полном удалении опухоли и в отсутствии метастазов, проводят гастрэктомию.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III. Другие ортоэндокринные АПУДомы</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А. Аденогипофиз</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Клиническая картина</w:t>
      </w:r>
      <w:r w:rsidRPr="005229E9">
        <w:rPr>
          <w:sz w:val="24"/>
          <w:szCs w:val="24"/>
        </w:rPr>
        <w:t xml:space="preserve"> зависит от того, какой гормон аденогипофиза секретируется в избытке.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АКТГ вызывает синдром Кушинга.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w:t>
      </w:r>
      <w:r w:rsidRPr="005229E9">
        <w:rPr>
          <w:sz w:val="24"/>
          <w:szCs w:val="24"/>
        </w:rPr>
        <w:t xml:space="preserve">МСГ вызывает гиперпигментацию.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в. </w:t>
      </w:r>
      <w:r w:rsidRPr="005229E9">
        <w:rPr>
          <w:sz w:val="24"/>
          <w:szCs w:val="24"/>
        </w:rPr>
        <w:t xml:space="preserve">СТГ вызывает акромегалию или гигантизм. </w:t>
      </w:r>
    </w:p>
    <w:p w:rsidR="005229E9" w:rsidRPr="005229E9" w:rsidRDefault="005229E9" w:rsidP="005229E9">
      <w:pPr>
        <w:widowControl/>
        <w:autoSpaceDE/>
        <w:autoSpaceDN/>
        <w:adjustRightInd/>
        <w:spacing w:before="30"/>
        <w:ind w:left="1200" w:hanging="300"/>
        <w:jc w:val="both"/>
        <w:rPr>
          <w:sz w:val="24"/>
          <w:szCs w:val="24"/>
        </w:rPr>
      </w:pPr>
      <w:bookmarkStart w:id="16" w:name="III.А.1.г."/>
      <w:r w:rsidRPr="005229E9">
        <w:rPr>
          <w:rFonts w:ascii="Arial" w:hAnsi="Arial" w:cs="Arial"/>
          <w:b/>
          <w:bCs/>
          <w:sz w:val="24"/>
          <w:szCs w:val="24"/>
        </w:rPr>
        <w:t>г.</w:t>
      </w:r>
      <w:bookmarkEnd w:id="16"/>
      <w:r w:rsidRPr="005229E9">
        <w:rPr>
          <w:rFonts w:ascii="Arial" w:hAnsi="Arial" w:cs="Arial"/>
          <w:b/>
          <w:bCs/>
          <w:sz w:val="24"/>
          <w:szCs w:val="24"/>
        </w:rPr>
        <w:t xml:space="preserve"> </w:t>
      </w:r>
      <w:r w:rsidRPr="005229E9">
        <w:rPr>
          <w:sz w:val="24"/>
          <w:szCs w:val="24"/>
        </w:rPr>
        <w:t xml:space="preserve">Пролактин вызывает галакторею.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Лечение</w:t>
      </w:r>
      <w:r w:rsidRPr="005229E9">
        <w:rPr>
          <w:sz w:val="24"/>
          <w:szCs w:val="24"/>
        </w:rPr>
        <w:t xml:space="preserve"> — лучевая терапия (разрушение аденогипофиза) с последующей заместительной гормональной терапией (см. гл. 6).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Б. Щитовидная железа. </w:t>
      </w:r>
      <w:r w:rsidRPr="005229E9">
        <w:rPr>
          <w:sz w:val="24"/>
          <w:szCs w:val="24"/>
        </w:rPr>
        <w:t xml:space="preserve">Медуллярный рак щитовидной железы секретирует кальцитонин и простагландины. Повышение уровня кальцитонина клинически не проявляется, а повышение уровня простагландинов часто вызывает понос. Медуллярный рак щитовидной железы нередко является компонентом МЭН типов IIa и IIb. </w:t>
      </w:r>
      <w:r w:rsidRPr="005229E9">
        <w:rPr>
          <w:rFonts w:ascii="Arial" w:hAnsi="Arial" w:cs="Arial"/>
          <w:b/>
          <w:bCs/>
          <w:sz w:val="24"/>
          <w:szCs w:val="24"/>
        </w:rPr>
        <w:t>Лечение</w:t>
      </w:r>
      <w:r w:rsidRPr="005229E9">
        <w:rPr>
          <w:sz w:val="24"/>
          <w:szCs w:val="24"/>
        </w:rPr>
        <w:t> —</w:t>
      </w:r>
      <w:r w:rsidRPr="005229E9">
        <w:rPr>
          <w:rFonts w:ascii="Arial" w:hAnsi="Arial" w:cs="Arial"/>
          <w:b/>
          <w:bCs/>
          <w:sz w:val="24"/>
          <w:szCs w:val="24"/>
        </w:rPr>
        <w:t xml:space="preserve"> </w:t>
      </w:r>
      <w:r w:rsidRPr="005229E9">
        <w:rPr>
          <w:sz w:val="24"/>
          <w:szCs w:val="24"/>
        </w:rPr>
        <w:t xml:space="preserve">тиреоэктомия и, при необходимости, лимфаденэктомия (см. гл. 30).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В. Мозговое вещество надпочечников и симпатические</w:t>
      </w:r>
      <w:r w:rsidRPr="005229E9">
        <w:rPr>
          <w:sz w:val="24"/>
          <w:szCs w:val="24"/>
        </w:rPr>
        <w:t xml:space="preserve"> </w:t>
      </w:r>
      <w:r w:rsidRPr="005229E9">
        <w:rPr>
          <w:rFonts w:ascii="Arial" w:hAnsi="Arial" w:cs="Arial"/>
          <w:b/>
          <w:bCs/>
          <w:sz w:val="24"/>
          <w:szCs w:val="24"/>
        </w:rPr>
        <w:t>ганглии</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Феохромоцитома.</w:t>
      </w:r>
      <w:r w:rsidRPr="005229E9">
        <w:rPr>
          <w:sz w:val="24"/>
          <w:szCs w:val="24"/>
        </w:rPr>
        <w:t xml:space="preserve"> Обычно это доброкачественная, высокодифференцированная опухоль, не дающая метастазов (см. гл. 13). Феохромоцитома может быть компонентом МЭН типов IIa и IIb.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Нейробластома.</w:t>
      </w:r>
      <w:r w:rsidRPr="005229E9">
        <w:rPr>
          <w:sz w:val="24"/>
          <w:szCs w:val="24"/>
        </w:rPr>
        <w:t xml:space="preserve"> Это весьма злокачественная опухоль, секретирующая катехоламины. Нейробластома поражает главным образом детей. Лечение: хирургическое вмешательство, лучевая терапия, химиотерапия. Прогноз неблагоприятный (см. гл. 14).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3. Ганглионевромы и параганглиомы</w:t>
      </w:r>
      <w:r w:rsidRPr="005229E9">
        <w:rPr>
          <w:sz w:val="24"/>
          <w:szCs w:val="24"/>
        </w:rPr>
        <w:t xml:space="preserve"> сходны с нейробластомами, но прогноз несколько лучше.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IV. Параэндокринные АПУДомы</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А. Опухоли, вызывающие синдром Кушинга</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Эктопический синдром Кушинга</w:t>
      </w:r>
      <w:r w:rsidRPr="005229E9">
        <w:rPr>
          <w:sz w:val="24"/>
          <w:szCs w:val="24"/>
        </w:rPr>
        <w:t xml:space="preserve"> — самый распространенный среди синдромов, обусловленных параэндокринными АПУДомами. Чаще всего встречаются: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Мелкоклеточный рак легкого.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w:t>
      </w:r>
      <w:r w:rsidRPr="005229E9">
        <w:rPr>
          <w:sz w:val="24"/>
          <w:szCs w:val="24"/>
        </w:rPr>
        <w:t xml:space="preserve">Карциноиды ЖКТ или бронхов.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в. </w:t>
      </w:r>
      <w:r w:rsidRPr="005229E9">
        <w:rPr>
          <w:sz w:val="24"/>
          <w:szCs w:val="24"/>
        </w:rPr>
        <w:t xml:space="preserve">Тимома. </w:t>
      </w:r>
    </w:p>
    <w:p w:rsidR="005229E9" w:rsidRPr="005229E9" w:rsidRDefault="005229E9" w:rsidP="005229E9">
      <w:pPr>
        <w:widowControl/>
        <w:autoSpaceDE/>
        <w:autoSpaceDN/>
        <w:adjustRightInd/>
        <w:spacing w:before="30"/>
        <w:ind w:left="1200" w:hanging="300"/>
        <w:jc w:val="both"/>
        <w:rPr>
          <w:sz w:val="24"/>
          <w:szCs w:val="24"/>
        </w:rPr>
      </w:pPr>
      <w:bookmarkStart w:id="17" w:name="IV.А.1.г."/>
      <w:r w:rsidRPr="005229E9">
        <w:rPr>
          <w:rFonts w:ascii="Arial" w:hAnsi="Arial" w:cs="Arial"/>
          <w:b/>
          <w:bCs/>
          <w:sz w:val="24"/>
          <w:szCs w:val="24"/>
        </w:rPr>
        <w:t>г.</w:t>
      </w:r>
      <w:bookmarkEnd w:id="17"/>
      <w:r w:rsidRPr="005229E9">
        <w:rPr>
          <w:rFonts w:ascii="Arial" w:hAnsi="Arial" w:cs="Arial"/>
          <w:b/>
          <w:bCs/>
          <w:sz w:val="24"/>
          <w:szCs w:val="24"/>
        </w:rPr>
        <w:t xml:space="preserve"> </w:t>
      </w:r>
      <w:r w:rsidRPr="005229E9">
        <w:rPr>
          <w:sz w:val="24"/>
          <w:szCs w:val="24"/>
        </w:rPr>
        <w:t xml:space="preserve">Опухоли из островковых клеток. </w:t>
      </w:r>
    </w:p>
    <w:p w:rsidR="005229E9" w:rsidRPr="005229E9" w:rsidRDefault="005229E9" w:rsidP="005229E9">
      <w:pPr>
        <w:widowControl/>
        <w:autoSpaceDE/>
        <w:autoSpaceDN/>
        <w:adjustRightInd/>
        <w:spacing w:before="30"/>
        <w:ind w:left="1200" w:hanging="300"/>
        <w:jc w:val="both"/>
        <w:rPr>
          <w:sz w:val="24"/>
          <w:szCs w:val="24"/>
        </w:rPr>
      </w:pPr>
      <w:bookmarkStart w:id="18" w:name="IV.А.1.д."/>
      <w:r w:rsidRPr="005229E9">
        <w:rPr>
          <w:rFonts w:ascii="Arial" w:hAnsi="Arial" w:cs="Arial"/>
          <w:b/>
          <w:bCs/>
          <w:sz w:val="24"/>
          <w:szCs w:val="24"/>
        </w:rPr>
        <w:t>д.</w:t>
      </w:r>
      <w:bookmarkEnd w:id="18"/>
      <w:r w:rsidRPr="005229E9">
        <w:rPr>
          <w:rFonts w:ascii="Arial" w:hAnsi="Arial" w:cs="Arial"/>
          <w:b/>
          <w:bCs/>
          <w:sz w:val="24"/>
          <w:szCs w:val="24"/>
        </w:rPr>
        <w:t xml:space="preserve"> </w:t>
      </w:r>
      <w:r w:rsidRPr="005229E9">
        <w:rPr>
          <w:sz w:val="24"/>
          <w:szCs w:val="24"/>
        </w:rPr>
        <w:t xml:space="preserve">Медуллярный рак щитовидной железы. </w:t>
      </w:r>
    </w:p>
    <w:p w:rsidR="005229E9" w:rsidRPr="005229E9" w:rsidRDefault="005229E9" w:rsidP="005229E9">
      <w:pPr>
        <w:widowControl/>
        <w:autoSpaceDE/>
        <w:autoSpaceDN/>
        <w:adjustRightInd/>
        <w:spacing w:before="30"/>
        <w:ind w:left="1200" w:hanging="300"/>
        <w:jc w:val="both"/>
        <w:rPr>
          <w:sz w:val="24"/>
          <w:szCs w:val="24"/>
        </w:rPr>
      </w:pPr>
      <w:bookmarkStart w:id="19" w:name="IV.А.1.е."/>
      <w:r w:rsidRPr="005229E9">
        <w:rPr>
          <w:rFonts w:ascii="Arial" w:hAnsi="Arial" w:cs="Arial"/>
          <w:b/>
          <w:bCs/>
          <w:sz w:val="24"/>
          <w:szCs w:val="24"/>
        </w:rPr>
        <w:t>е.</w:t>
      </w:r>
      <w:bookmarkEnd w:id="19"/>
      <w:r w:rsidRPr="005229E9">
        <w:rPr>
          <w:rFonts w:ascii="Arial" w:hAnsi="Arial" w:cs="Arial"/>
          <w:b/>
          <w:bCs/>
          <w:sz w:val="24"/>
          <w:szCs w:val="24"/>
        </w:rPr>
        <w:t xml:space="preserve"> </w:t>
      </w:r>
      <w:r w:rsidRPr="005229E9">
        <w:rPr>
          <w:sz w:val="24"/>
          <w:szCs w:val="24"/>
        </w:rPr>
        <w:t xml:space="preserve">Феохромоцитома. </w:t>
      </w:r>
    </w:p>
    <w:p w:rsidR="005229E9" w:rsidRPr="005229E9" w:rsidRDefault="005229E9" w:rsidP="005229E9">
      <w:pPr>
        <w:widowControl/>
        <w:autoSpaceDE/>
        <w:autoSpaceDN/>
        <w:adjustRightInd/>
        <w:spacing w:before="30"/>
        <w:ind w:left="900"/>
        <w:jc w:val="both"/>
        <w:rPr>
          <w:sz w:val="24"/>
          <w:szCs w:val="24"/>
        </w:rPr>
      </w:pPr>
      <w:r w:rsidRPr="005229E9">
        <w:rPr>
          <w:sz w:val="24"/>
          <w:szCs w:val="24"/>
        </w:rPr>
        <w:t xml:space="preserve">Иногда синдром Кушинга наблюдается у больных с первичными опухолями яичников, печени и молочной железы. Интересно, что в 1928 г., за 4 года до того, как H. W. Cushing </w:t>
      </w:r>
      <w:r w:rsidRPr="005229E9">
        <w:rPr>
          <w:sz w:val="24"/>
          <w:szCs w:val="24"/>
        </w:rPr>
        <w:lastRenderedPageBreak/>
        <w:t xml:space="preserve">описал симптомокомплекс, которому было присвоено его имя, W. H. Brown наблюдал у больного раком легкого клиническую картину, характерную для повышенной активности коры надпочечников.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Клиническая картина</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Гипокалиемия вплоть до гипокалиемического алкалоза.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w:t>
      </w:r>
      <w:r w:rsidRPr="005229E9">
        <w:rPr>
          <w:sz w:val="24"/>
          <w:szCs w:val="24"/>
        </w:rPr>
        <w:t xml:space="preserve">Гипергликемия.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в. </w:t>
      </w:r>
      <w:r w:rsidRPr="005229E9">
        <w:rPr>
          <w:sz w:val="24"/>
          <w:szCs w:val="24"/>
        </w:rPr>
        <w:t xml:space="preserve">Артериальная гипертония.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г. </w:t>
      </w:r>
      <w:r w:rsidRPr="005229E9">
        <w:rPr>
          <w:sz w:val="24"/>
          <w:szCs w:val="24"/>
        </w:rPr>
        <w:t xml:space="preserve">Гирсутизм.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д. </w:t>
      </w:r>
      <w:r w:rsidRPr="005229E9">
        <w:rPr>
          <w:sz w:val="24"/>
          <w:szCs w:val="24"/>
        </w:rPr>
        <w:t xml:space="preserve">Отеки.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е. </w:t>
      </w:r>
      <w:r w:rsidRPr="005229E9">
        <w:rPr>
          <w:sz w:val="24"/>
          <w:szCs w:val="24"/>
        </w:rPr>
        <w:t xml:space="preserve">Выраженная слабость и гипотрофия мышц. </w:t>
      </w:r>
    </w:p>
    <w:p w:rsidR="005229E9" w:rsidRPr="005229E9" w:rsidRDefault="005229E9" w:rsidP="005229E9">
      <w:pPr>
        <w:widowControl/>
        <w:autoSpaceDE/>
        <w:autoSpaceDN/>
        <w:adjustRightInd/>
        <w:spacing w:before="30"/>
        <w:ind w:left="900"/>
        <w:jc w:val="both"/>
        <w:rPr>
          <w:sz w:val="24"/>
          <w:szCs w:val="24"/>
        </w:rPr>
      </w:pPr>
      <w:r w:rsidRPr="005229E9">
        <w:rPr>
          <w:sz w:val="24"/>
          <w:szCs w:val="24"/>
        </w:rPr>
        <w:t xml:space="preserve">Надо подчеркнуть, что признаки, патогномоничные для гипофизарного и экзогенного синдрома Кушинга (ожирение туловища, стрии, лунообразное лицо, жировой горбик, гиперпигментация), при эктопическом синдроме Кушинга встречаются далеко не всегда. Эти признаки, а также остеопороз более характерны для медленно растущих карциноидов, тимом и феохромоцитом.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Лабораторная диагностика. </w:t>
      </w:r>
      <w:r w:rsidRPr="005229E9">
        <w:rPr>
          <w:sz w:val="24"/>
          <w:szCs w:val="24"/>
        </w:rPr>
        <w:t xml:space="preserve">Эктопический синдром Кушинга характеризуется значительным повышением уровня АКТГ в плазме. Поэтому если у больного с симптомами, указанными выше, в гл. 44, пп. IV.А.2.а—е, уровень АКТГ превышает 200 пг/мл, следует заподозрить эктопический синдром Кушинга. Для подтверждения диагноза исследуют суточный ритм секреции кортизола и проводят длинную пробу с дексаметазоном (см. гл. 12, п. IV.Б).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Суточный ритм секреции кортизола. </w:t>
      </w:r>
      <w:r w:rsidRPr="005229E9">
        <w:rPr>
          <w:sz w:val="24"/>
          <w:szCs w:val="24"/>
        </w:rPr>
        <w:t xml:space="preserve">Измеряют уровень кортизола в сыворотке в 8:00 и в 18:00. При эктопическом синдроме Кушинга уровни кортизола обычно превышают 40 мкг/мл как в утренние, так и в вечерние часы, что свидетельствует об отсутствии суточного ритма секреции кортизола.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б. Длинная проба с дексаметазоном</w:t>
      </w:r>
      <w:r w:rsidRPr="005229E9">
        <w:rPr>
          <w:sz w:val="24"/>
          <w:szCs w:val="24"/>
        </w:rPr>
        <w:t xml:space="preserve">. Больной принимает по 2 мг дексаметазона каждые 6 ч на протяжении 2 сут. На 3-и сутки, в 8:00, измеряют уровни кортизола в сыворотке и АКТГ в плазме. У 95% больных с эктопическим синдромом Кушинга секреция кортизола и АКТГ не подавляется или подавляется незначительно (уровни гормонов снижаются менее чем на 40%).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 xml:space="preserve">Если результаты лабораторных исследований подтверждают эктопический синдром Кушинга, приступают к поискам опухоли.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5. Лечение. </w:t>
      </w:r>
      <w:r w:rsidRPr="005229E9">
        <w:rPr>
          <w:sz w:val="24"/>
          <w:szCs w:val="24"/>
        </w:rPr>
        <w:t xml:space="preserve">В зависимости от локализации и гистологического строения опухоли выбирают хирургическое вмешательство, лучевую терапию либо химиотерапию. Если не удалось удалить или разрушить первичную опухоль, можно назначить лекарственные средства, подавляющие секрецию кортикостероидов: аминоглутетимид, метирапон или митотан. В редких случаях требуется двусторонняя адреналэктомия.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Б. Гастринома из островковых клеток (синдром Золлингера—Эллисона). </w:t>
      </w:r>
      <w:r w:rsidRPr="005229E9">
        <w:rPr>
          <w:sz w:val="24"/>
          <w:szCs w:val="24"/>
        </w:rPr>
        <w:t xml:space="preserve">В 1955 г. R. M. Zollinzer и E. H. Ellison описали двух больных с острой язвой тощей кишки и опухолями из островковых клеток (но не из бета-клеток). Клиническая картина была обусловлена секрецией больших количеств гастрина опухолевыми клетками, поэтому опухоль была названа гастриномой. Позже было установлено, что гастрин секретируется трансформированными дельта-клетками островков поджелудочной железы. Гастриномы из островковых клеток обычно многоочаговые, в 25% случаев — доброкачественные. У </w:t>
      </w:r>
      <w:r w:rsidRPr="005229E9">
        <w:rPr>
          <w:sz w:val="24"/>
          <w:szCs w:val="24"/>
        </w:rPr>
        <w:lastRenderedPageBreak/>
        <w:t xml:space="preserve">60—75% больных к моменту выявления опухоли уже имеются метастазы. Гастриномы из островковых клеток составляют около 10% всех АПУДом. У 1 из 1000 больных с язвенной болезнью двенадцатиперстной кишки ее причиной оказывается гастринома из островковых клеток. В 30—50% случаев гастринома из островковых клеток является компонентом МЭН типа I.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Клинические проявления</w:t>
      </w:r>
      <w:r w:rsidRPr="005229E9">
        <w:rPr>
          <w:sz w:val="24"/>
          <w:szCs w:val="24"/>
        </w:rPr>
        <w:t xml:space="preserve"> гастриномы обусловлены в первую очередь гиперхлоргидрией.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а. Тяжелая язвенная болезнь,</w:t>
      </w:r>
      <w:r w:rsidRPr="005229E9">
        <w:rPr>
          <w:sz w:val="24"/>
          <w:szCs w:val="24"/>
        </w:rPr>
        <w:t xml:space="preserve"> проявляющаяся сильными болями. Язвы, как правило, множественные, часто рецидивируют и нередко имеют атипичную локализацию.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б. Понос</w:t>
      </w:r>
      <w:r w:rsidRPr="005229E9">
        <w:rPr>
          <w:sz w:val="24"/>
          <w:szCs w:val="24"/>
        </w:rPr>
        <w:t xml:space="preserve"> в 15—20% случаев бывает основным симптомом заболевания и может предшествовать симптомам язвенной болезни.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Диагностика</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Методом РИА измеряют уровень гастрина в сыворотке натощак. При гастриноме уровень гастрина превышает 300 пг/мл.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w:t>
      </w:r>
      <w:r w:rsidRPr="005229E9">
        <w:rPr>
          <w:sz w:val="24"/>
          <w:szCs w:val="24"/>
        </w:rPr>
        <w:t xml:space="preserve">Если уровень гастрина натощак находится в пределах нормы, измеряют его уровень после приема пищи или после стимуляции секретином. У больных с гастриномой из островковых клеток уровень гастрина после приема пищи или стимуляции секретином возрастает гораздо сильнее, чем в норме.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в. </w:t>
      </w:r>
      <w:r w:rsidRPr="005229E9">
        <w:rPr>
          <w:sz w:val="24"/>
          <w:szCs w:val="24"/>
        </w:rPr>
        <w:t xml:space="preserve">У 60—70% больных неметастазирующую опухоль не удается визуализировать с помощью УЗИ, КТ или МРТ. В таких случаях для топической диагностики применяют селективную флебографию со стимуляцией секретином.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г. </w:t>
      </w:r>
      <w:r w:rsidRPr="005229E9">
        <w:rPr>
          <w:sz w:val="24"/>
          <w:szCs w:val="24"/>
        </w:rPr>
        <w:t xml:space="preserve">У 30—50% больных имеются симптомы МЭН типа I.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Лечение. </w:t>
      </w:r>
      <w:r w:rsidRPr="005229E9">
        <w:rPr>
          <w:sz w:val="24"/>
          <w:szCs w:val="24"/>
        </w:rPr>
        <w:t>Для медикаментозного лечения используют H</w:t>
      </w:r>
      <w:r w:rsidRPr="005229E9">
        <w:rPr>
          <w:sz w:val="24"/>
          <w:szCs w:val="24"/>
          <w:vertAlign w:val="subscript"/>
        </w:rPr>
        <w:t>2</w:t>
      </w:r>
      <w:r w:rsidRPr="005229E9">
        <w:rPr>
          <w:sz w:val="24"/>
          <w:szCs w:val="24"/>
        </w:rPr>
        <w:t>-блокаторы — циметидин, ранитидин или ингибитор H</w:t>
      </w:r>
      <w:r w:rsidRPr="005229E9">
        <w:rPr>
          <w:sz w:val="24"/>
          <w:szCs w:val="24"/>
          <w:vertAlign w:val="superscript"/>
        </w:rPr>
        <w:t>+</w:t>
      </w:r>
      <w:r w:rsidRPr="005229E9">
        <w:rPr>
          <w:sz w:val="24"/>
          <w:szCs w:val="24"/>
        </w:rPr>
        <w:t>,K</w:t>
      </w:r>
      <w:r w:rsidRPr="005229E9">
        <w:rPr>
          <w:sz w:val="24"/>
          <w:szCs w:val="24"/>
          <w:vertAlign w:val="superscript"/>
        </w:rPr>
        <w:t>+</w:t>
      </w:r>
      <w:r w:rsidRPr="005229E9">
        <w:rPr>
          <w:sz w:val="24"/>
          <w:szCs w:val="24"/>
        </w:rPr>
        <w:t xml:space="preserve">-АТФазы омепразол. Гораздо лучшие результаты дает удаление опухоли. Если это невозможно, проводят антрумэктомию или гастрэктомию.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В. ВИПома. </w:t>
      </w:r>
      <w:r w:rsidRPr="005229E9">
        <w:rPr>
          <w:sz w:val="24"/>
          <w:szCs w:val="24"/>
        </w:rPr>
        <w:t xml:space="preserve">Эта опухоль происходит из островковых клеток и секретирует ВИП. В норме ВИП образуется только клетками слизистой кишечника. Источником ВИП могут оказаться также мелкоклеточный рак легкого и нейробластома. ВИПома служит причиной </w:t>
      </w:r>
      <w:r w:rsidRPr="005229E9">
        <w:rPr>
          <w:rFonts w:ascii="Arial" w:hAnsi="Arial" w:cs="Arial"/>
          <w:b/>
          <w:bCs/>
          <w:sz w:val="24"/>
          <w:szCs w:val="24"/>
        </w:rPr>
        <w:t>панкреатической холеры</w:t>
      </w:r>
      <w:r w:rsidRPr="005229E9">
        <w:rPr>
          <w:sz w:val="24"/>
          <w:szCs w:val="24"/>
        </w:rPr>
        <w:t xml:space="preserve"> (синдрома Вернера—Моррисона). В большинстве случаев ВИПомы — крупные злокачественные опухоли, локализующиеся в теле и хвосте поджелудочной железы. У 60% больных к моменту выявления опухоли имеются метастазы. Клиническая картина при ВИПоме обусловлена избытком ВИП и, в меньшей степени, — избытком простагландинов. Простагландины могут секретироваться как самой опухолью, так и другими клетками под влиянием ВИП.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Основные клинические проявления ВИПомы</w:t>
      </w:r>
      <w:r w:rsidRPr="005229E9">
        <w:rPr>
          <w:sz w:val="24"/>
          <w:szCs w:val="24"/>
        </w:rPr>
        <w:t xml:space="preserve"> называют панкреатической холерой: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Водянистый жидкий стул (до 3 л/сут).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w:t>
      </w:r>
      <w:r w:rsidRPr="005229E9">
        <w:rPr>
          <w:sz w:val="24"/>
          <w:szCs w:val="24"/>
        </w:rPr>
        <w:t xml:space="preserve">Гипокалиемия.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в. </w:t>
      </w:r>
      <w:r w:rsidRPr="005229E9">
        <w:rPr>
          <w:sz w:val="24"/>
          <w:szCs w:val="24"/>
        </w:rPr>
        <w:t xml:space="preserve">Метаболический ацидоз. </w:t>
      </w:r>
    </w:p>
    <w:p w:rsidR="005229E9" w:rsidRPr="005229E9" w:rsidRDefault="005229E9" w:rsidP="005229E9">
      <w:pPr>
        <w:widowControl/>
        <w:autoSpaceDE/>
        <w:autoSpaceDN/>
        <w:adjustRightInd/>
        <w:spacing w:before="30"/>
        <w:ind w:left="1200" w:hanging="300"/>
        <w:jc w:val="both"/>
        <w:rPr>
          <w:sz w:val="24"/>
          <w:szCs w:val="24"/>
        </w:rPr>
      </w:pPr>
      <w:bookmarkStart w:id="20" w:name="IV.В.1.г."/>
      <w:r w:rsidRPr="005229E9">
        <w:rPr>
          <w:rFonts w:ascii="Arial" w:hAnsi="Arial" w:cs="Arial"/>
          <w:b/>
          <w:bCs/>
          <w:sz w:val="24"/>
          <w:szCs w:val="24"/>
        </w:rPr>
        <w:t>г.</w:t>
      </w:r>
      <w:bookmarkEnd w:id="20"/>
      <w:r w:rsidRPr="005229E9">
        <w:rPr>
          <w:rFonts w:ascii="Arial" w:hAnsi="Arial" w:cs="Arial"/>
          <w:b/>
          <w:bCs/>
          <w:sz w:val="24"/>
          <w:szCs w:val="24"/>
        </w:rPr>
        <w:t xml:space="preserve"> </w:t>
      </w:r>
      <w:r w:rsidRPr="005229E9">
        <w:rPr>
          <w:sz w:val="24"/>
          <w:szCs w:val="24"/>
        </w:rPr>
        <w:t xml:space="preserve">Гипо- или ахлоргидрия.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Другие проявления. </w:t>
      </w:r>
      <w:r w:rsidRPr="005229E9">
        <w:rPr>
          <w:sz w:val="24"/>
          <w:szCs w:val="24"/>
        </w:rPr>
        <w:t xml:space="preserve">У половины больных наблюдается гипергликемия, обусловленная гипокалиемией и усилением гликогенолиза в печени под влиянием ВИП. У 30% больных отмечается гиперкальциемия. У 20% больных бывают приливы.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lastRenderedPageBreak/>
        <w:t xml:space="preserve">3. Лечение. </w:t>
      </w:r>
      <w:r w:rsidRPr="005229E9">
        <w:rPr>
          <w:sz w:val="24"/>
          <w:szCs w:val="24"/>
        </w:rPr>
        <w:t xml:space="preserve">Предпочтительно удаление опухоли. Если опухоль неоперабельна, применяют ингибиторы синтеза простагландинов (индометацин) и октреотид.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 xml:space="preserve">V. Синдромы МЭН. </w:t>
      </w:r>
      <w:r w:rsidRPr="005229E9">
        <w:rPr>
          <w:sz w:val="24"/>
          <w:szCs w:val="24"/>
        </w:rPr>
        <w:t xml:space="preserve">Как ортоэндокринные, так и параэндокринные АПУДомы довольно часто встречаются в определенных сочетаниях. Заболевания, вызванные несколькими АПУДомами, происходящими из разных эндокринных желез, относят к синдромам МЭН (см. также гл. 45). Синдромы МЭН генетически детерминированы и наследуются аутосомно-рецессивно. Эти синдромы могут быть обусловлены не только АПУДомами, но и гиперплазией клеток системы АПУД. Разные эндокринные нарушения при МЭН могут проявляться одновременно, но чаще проявляются последовательно, с интервалом в несколько лет.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А. МЭН типа I (синдром Вермера). </w:t>
      </w:r>
      <w:r w:rsidRPr="005229E9">
        <w:rPr>
          <w:sz w:val="24"/>
          <w:szCs w:val="24"/>
        </w:rPr>
        <w:t xml:space="preserve">Этот синдром обусловлен мутацией гена супрессии опухолей на 11-й хромосоме (см. гл. 45, п. II.А.2). Компоненты синдрома: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Гиперплазия паращитовидных желез, </w:t>
      </w:r>
      <w:r w:rsidRPr="005229E9">
        <w:rPr>
          <w:sz w:val="24"/>
          <w:szCs w:val="24"/>
        </w:rPr>
        <w:t xml:space="preserve">приводящая к </w:t>
      </w:r>
      <w:r w:rsidRPr="005229E9">
        <w:rPr>
          <w:rFonts w:ascii="Arial" w:hAnsi="Arial" w:cs="Arial"/>
          <w:b/>
          <w:bCs/>
          <w:sz w:val="24"/>
          <w:szCs w:val="24"/>
        </w:rPr>
        <w:t>гиперпаратиреозу.</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Опухоли аденогипофиза</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Пролактинома (пролактин-секретирующая аденома) вызывает галакторею и аменорею.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w:t>
      </w:r>
      <w:r w:rsidRPr="005229E9">
        <w:rPr>
          <w:sz w:val="24"/>
          <w:szCs w:val="24"/>
        </w:rPr>
        <w:t xml:space="preserve">СТГ-секретирующая аденома вызывает акромегалию или гигантизм.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в. </w:t>
      </w:r>
      <w:r w:rsidRPr="005229E9">
        <w:rPr>
          <w:sz w:val="24"/>
          <w:szCs w:val="24"/>
        </w:rPr>
        <w:t xml:space="preserve">АКТГ-секретирующая аденома секретирует АКТГ либо МСГ. В первом случае развивается синдром Кушинга, во втором — гиперпигментация.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г. </w:t>
      </w:r>
      <w:r w:rsidRPr="005229E9">
        <w:rPr>
          <w:sz w:val="24"/>
          <w:szCs w:val="24"/>
        </w:rPr>
        <w:t xml:space="preserve">ТТГ-секретирующая аденома (встречается редко) приводит к тиреотоксикозу.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д. </w:t>
      </w:r>
      <w:r w:rsidRPr="005229E9">
        <w:rPr>
          <w:sz w:val="24"/>
          <w:szCs w:val="24"/>
        </w:rPr>
        <w:t xml:space="preserve">ЛГ- или ФСГ-секретирующие аденомы могут вызывать феминизацию или маскулинизацию.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3. Опухоли из островковых клеток и их клинические проявления</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bookmarkStart w:id="21" w:name="V.А.3.а."/>
      <w:r w:rsidRPr="005229E9">
        <w:rPr>
          <w:rFonts w:ascii="Arial" w:hAnsi="Arial" w:cs="Arial"/>
          <w:b/>
          <w:bCs/>
          <w:sz w:val="24"/>
          <w:szCs w:val="24"/>
        </w:rPr>
        <w:t>а.</w:t>
      </w:r>
      <w:bookmarkEnd w:id="21"/>
      <w:r w:rsidRPr="005229E9">
        <w:rPr>
          <w:rFonts w:ascii="Arial" w:hAnsi="Arial" w:cs="Arial"/>
          <w:b/>
          <w:bCs/>
          <w:sz w:val="24"/>
          <w:szCs w:val="24"/>
        </w:rPr>
        <w:t xml:space="preserve"> </w:t>
      </w:r>
      <w:r w:rsidRPr="005229E9">
        <w:rPr>
          <w:sz w:val="24"/>
          <w:szCs w:val="24"/>
        </w:rPr>
        <w:t xml:space="preserve">Гастринома — синдром Золлингера—Эллисона. </w:t>
      </w:r>
    </w:p>
    <w:p w:rsidR="005229E9" w:rsidRPr="005229E9" w:rsidRDefault="005229E9" w:rsidP="005229E9">
      <w:pPr>
        <w:widowControl/>
        <w:autoSpaceDE/>
        <w:autoSpaceDN/>
        <w:adjustRightInd/>
        <w:spacing w:before="30"/>
        <w:ind w:left="1200" w:hanging="300"/>
        <w:jc w:val="both"/>
        <w:rPr>
          <w:sz w:val="24"/>
          <w:szCs w:val="24"/>
        </w:rPr>
      </w:pPr>
      <w:bookmarkStart w:id="22" w:name="V.А.3.б."/>
      <w:r w:rsidRPr="005229E9">
        <w:rPr>
          <w:rFonts w:ascii="Arial" w:hAnsi="Arial" w:cs="Arial"/>
          <w:b/>
          <w:bCs/>
          <w:sz w:val="24"/>
          <w:szCs w:val="24"/>
        </w:rPr>
        <w:t>б.</w:t>
      </w:r>
      <w:bookmarkEnd w:id="22"/>
      <w:r w:rsidRPr="005229E9">
        <w:rPr>
          <w:rFonts w:ascii="Arial" w:hAnsi="Arial" w:cs="Arial"/>
          <w:b/>
          <w:bCs/>
          <w:sz w:val="24"/>
          <w:szCs w:val="24"/>
        </w:rPr>
        <w:t xml:space="preserve"> </w:t>
      </w:r>
      <w:r w:rsidRPr="005229E9">
        <w:rPr>
          <w:sz w:val="24"/>
          <w:szCs w:val="24"/>
        </w:rPr>
        <w:t xml:space="preserve">ВИПома — панкреатическая холера. </w:t>
      </w:r>
    </w:p>
    <w:p w:rsidR="005229E9" w:rsidRPr="005229E9" w:rsidRDefault="005229E9" w:rsidP="005229E9">
      <w:pPr>
        <w:widowControl/>
        <w:autoSpaceDE/>
        <w:autoSpaceDN/>
        <w:adjustRightInd/>
        <w:spacing w:before="30"/>
        <w:ind w:left="1200" w:hanging="300"/>
        <w:jc w:val="both"/>
        <w:rPr>
          <w:sz w:val="24"/>
          <w:szCs w:val="24"/>
        </w:rPr>
      </w:pPr>
      <w:bookmarkStart w:id="23" w:name="V.А.3.в."/>
      <w:r w:rsidRPr="005229E9">
        <w:rPr>
          <w:rFonts w:ascii="Arial" w:hAnsi="Arial" w:cs="Arial"/>
          <w:b/>
          <w:bCs/>
          <w:sz w:val="24"/>
          <w:szCs w:val="24"/>
        </w:rPr>
        <w:t>в.</w:t>
      </w:r>
      <w:bookmarkEnd w:id="23"/>
      <w:r w:rsidRPr="005229E9">
        <w:rPr>
          <w:rFonts w:ascii="Arial" w:hAnsi="Arial" w:cs="Arial"/>
          <w:b/>
          <w:bCs/>
          <w:sz w:val="24"/>
          <w:szCs w:val="24"/>
        </w:rPr>
        <w:t xml:space="preserve"> </w:t>
      </w:r>
      <w:r w:rsidRPr="005229E9">
        <w:rPr>
          <w:sz w:val="24"/>
          <w:szCs w:val="24"/>
        </w:rPr>
        <w:t xml:space="preserve">АКТГ-секретирующая негипофизарная опухоль — эктопический синдром Кушинга. </w:t>
      </w:r>
    </w:p>
    <w:p w:rsidR="005229E9" w:rsidRPr="005229E9" w:rsidRDefault="005229E9" w:rsidP="005229E9">
      <w:pPr>
        <w:widowControl/>
        <w:autoSpaceDE/>
        <w:autoSpaceDN/>
        <w:adjustRightInd/>
        <w:spacing w:before="30"/>
        <w:ind w:left="1200" w:hanging="300"/>
        <w:jc w:val="both"/>
        <w:rPr>
          <w:sz w:val="24"/>
          <w:szCs w:val="24"/>
        </w:rPr>
      </w:pPr>
      <w:bookmarkStart w:id="24" w:name="V.А.3.г."/>
      <w:r w:rsidRPr="005229E9">
        <w:rPr>
          <w:rFonts w:ascii="Arial" w:hAnsi="Arial" w:cs="Arial"/>
          <w:b/>
          <w:bCs/>
          <w:sz w:val="24"/>
          <w:szCs w:val="24"/>
        </w:rPr>
        <w:t>г.</w:t>
      </w:r>
      <w:bookmarkEnd w:id="24"/>
      <w:r w:rsidRPr="005229E9">
        <w:rPr>
          <w:rFonts w:ascii="Arial" w:hAnsi="Arial" w:cs="Arial"/>
          <w:b/>
          <w:bCs/>
          <w:sz w:val="24"/>
          <w:szCs w:val="24"/>
        </w:rPr>
        <w:t xml:space="preserve"> </w:t>
      </w:r>
      <w:r w:rsidRPr="005229E9">
        <w:rPr>
          <w:sz w:val="24"/>
          <w:szCs w:val="24"/>
        </w:rPr>
        <w:t xml:space="preserve">ПТГ-секретирующая опухоль — гиперпаратиреоз. </w:t>
      </w:r>
    </w:p>
    <w:p w:rsidR="005229E9" w:rsidRPr="005229E9" w:rsidRDefault="005229E9" w:rsidP="005229E9">
      <w:pPr>
        <w:widowControl/>
        <w:autoSpaceDE/>
        <w:autoSpaceDN/>
        <w:adjustRightInd/>
        <w:spacing w:before="30"/>
        <w:ind w:left="1200" w:hanging="300"/>
        <w:jc w:val="both"/>
        <w:rPr>
          <w:sz w:val="24"/>
          <w:szCs w:val="24"/>
        </w:rPr>
      </w:pPr>
      <w:bookmarkStart w:id="25" w:name="V.А.3.д."/>
      <w:r w:rsidRPr="005229E9">
        <w:rPr>
          <w:rFonts w:ascii="Arial" w:hAnsi="Arial" w:cs="Arial"/>
          <w:b/>
          <w:bCs/>
          <w:sz w:val="24"/>
          <w:szCs w:val="24"/>
        </w:rPr>
        <w:t>д.</w:t>
      </w:r>
      <w:bookmarkEnd w:id="25"/>
      <w:r w:rsidRPr="005229E9">
        <w:rPr>
          <w:rFonts w:ascii="Arial" w:hAnsi="Arial" w:cs="Arial"/>
          <w:b/>
          <w:bCs/>
          <w:sz w:val="24"/>
          <w:szCs w:val="24"/>
        </w:rPr>
        <w:t xml:space="preserve"> </w:t>
      </w:r>
      <w:r w:rsidRPr="005229E9">
        <w:rPr>
          <w:sz w:val="24"/>
          <w:szCs w:val="24"/>
        </w:rPr>
        <w:t xml:space="preserve">Инсулинома — гиперинсулинемия и гипогликемия. </w:t>
      </w:r>
    </w:p>
    <w:p w:rsidR="005229E9" w:rsidRPr="005229E9" w:rsidRDefault="005229E9" w:rsidP="005229E9">
      <w:pPr>
        <w:widowControl/>
        <w:autoSpaceDE/>
        <w:autoSpaceDN/>
        <w:adjustRightInd/>
        <w:spacing w:before="30"/>
        <w:ind w:left="1200" w:hanging="300"/>
        <w:jc w:val="both"/>
        <w:rPr>
          <w:sz w:val="24"/>
          <w:szCs w:val="24"/>
        </w:rPr>
      </w:pPr>
      <w:bookmarkStart w:id="26" w:name="V.А.3.е."/>
      <w:r w:rsidRPr="005229E9">
        <w:rPr>
          <w:rFonts w:ascii="Arial" w:hAnsi="Arial" w:cs="Arial"/>
          <w:b/>
          <w:bCs/>
          <w:sz w:val="24"/>
          <w:szCs w:val="24"/>
        </w:rPr>
        <w:t>е.</w:t>
      </w:r>
      <w:bookmarkEnd w:id="26"/>
      <w:r w:rsidRPr="005229E9">
        <w:rPr>
          <w:rFonts w:ascii="Arial" w:hAnsi="Arial" w:cs="Arial"/>
          <w:b/>
          <w:bCs/>
          <w:sz w:val="24"/>
          <w:szCs w:val="24"/>
        </w:rPr>
        <w:t xml:space="preserve"> </w:t>
      </w:r>
      <w:r w:rsidRPr="005229E9">
        <w:rPr>
          <w:sz w:val="24"/>
          <w:szCs w:val="24"/>
        </w:rPr>
        <w:t xml:space="preserve">Глюкагонома — умеренная гипергликемия, некролитическая мигрирующая эритема. </w:t>
      </w:r>
    </w:p>
    <w:p w:rsidR="005229E9" w:rsidRPr="005229E9" w:rsidRDefault="005229E9" w:rsidP="005229E9">
      <w:pPr>
        <w:widowControl/>
        <w:autoSpaceDE/>
        <w:autoSpaceDN/>
        <w:adjustRightInd/>
        <w:spacing w:before="30"/>
        <w:ind w:left="1200" w:hanging="300"/>
        <w:jc w:val="both"/>
        <w:rPr>
          <w:sz w:val="24"/>
          <w:szCs w:val="24"/>
        </w:rPr>
      </w:pPr>
      <w:bookmarkStart w:id="27" w:name="V.А.3.ж."/>
      <w:r w:rsidRPr="005229E9">
        <w:rPr>
          <w:rFonts w:ascii="Arial" w:hAnsi="Arial" w:cs="Arial"/>
          <w:b/>
          <w:bCs/>
          <w:sz w:val="24"/>
          <w:szCs w:val="24"/>
        </w:rPr>
        <w:t>ж.</w:t>
      </w:r>
      <w:bookmarkEnd w:id="27"/>
      <w:r w:rsidRPr="005229E9">
        <w:rPr>
          <w:rFonts w:ascii="Arial" w:hAnsi="Arial" w:cs="Arial"/>
          <w:b/>
          <w:bCs/>
          <w:sz w:val="24"/>
          <w:szCs w:val="24"/>
        </w:rPr>
        <w:t xml:space="preserve"> Опухоли, секретирующие панкреатический полипептид. </w:t>
      </w:r>
      <w:r w:rsidRPr="005229E9">
        <w:rPr>
          <w:sz w:val="24"/>
          <w:szCs w:val="24"/>
        </w:rPr>
        <w:t xml:space="preserve">Этот полипептид в норме секретируется PP-клетками островков и в физиологических концентрациях действует как антагонист холецистокинина, т. е. подавляет секрецию панкреатического сока и расслабляет гладкие мышцы желчного пузыря. У лиц с ожирением и у больных с муковисцидозом, поражающим поджелудочную железу, уровень панкреатического полипептида понижен. У больных с МЭН типа I прием пищи усиливает секрецию этого полипептида. Более того, базальная секреция панкреатического полипептида у больных с МЭН типа I также значительно усилена по сравнению с нормой. Таким образом, панкреатический полипептид является маркером опухолей из островковых клеток при МЭН типа I.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Б. МЭН типа IIa (синдром Сиппла)</w:t>
      </w:r>
      <w:r w:rsidRPr="005229E9">
        <w:rPr>
          <w:sz w:val="24"/>
          <w:szCs w:val="24"/>
        </w:rPr>
        <w:t xml:space="preserve"> Этот синдром обусловлен мутациями онкогена c-ret на 10-й хромосоме (см. гл. 45, п. II.Г). Компоненты синдрома: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Медуллярный рак щитовидной железы</w:t>
      </w:r>
      <w:r w:rsidRPr="005229E9">
        <w:rPr>
          <w:sz w:val="24"/>
          <w:szCs w:val="24"/>
        </w:rPr>
        <w:t xml:space="preserve"> обычно поражает обе доли и образует множественные мелкие непальпируемые узлы. Гистологический диагноз устанавливают по результатам биопсии (по наличию амилоида, содержащего предшественник </w:t>
      </w:r>
      <w:r w:rsidRPr="005229E9">
        <w:rPr>
          <w:sz w:val="24"/>
          <w:szCs w:val="24"/>
        </w:rPr>
        <w:lastRenderedPageBreak/>
        <w:t xml:space="preserve">кальцитонина). Важнейший биохимический маркер медуллярного рака щитовидной железы — повышенный уровень кальцитонина в сыворотке. Эта опухоль может секретировать также АКТГ и простагландины.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Надпочечниковая феохромоцитома</w:t>
      </w:r>
      <w:r w:rsidRPr="005229E9">
        <w:rPr>
          <w:sz w:val="24"/>
          <w:szCs w:val="24"/>
        </w:rPr>
        <w:t xml:space="preserve"> в 70% случаев бывает двусторонней и редко — злокачественной. Феохромоцитома может возникнуть и в симпатических ганглиях любой локализации — от средостения до мочевого пузыря. Если у больного с МЭН типа IIa планируется тиреоэктомия, предварительно удаляют феохромоцитому, поскольку общая анестезия может вызвать катехоламиновый криз у больного с феохромоцитомой.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3. Вторичная гиперплазия паращитовидных желез</w:t>
      </w:r>
      <w:r w:rsidRPr="005229E9">
        <w:rPr>
          <w:sz w:val="24"/>
          <w:szCs w:val="24"/>
        </w:rPr>
        <w:t xml:space="preserve"> после тиреоэктомии по поводу медуллярного рака щитовидной железы приводит к повышению уровня ПТГ (поскольку после тиреоэктомии значительно увеличивается содержание кальцитонина в крови).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В. МЭН типа IIb</w:t>
      </w:r>
      <w:r w:rsidRPr="005229E9">
        <w:rPr>
          <w:sz w:val="24"/>
          <w:szCs w:val="24"/>
        </w:rPr>
        <w:t xml:space="preserve"> </w:t>
      </w:r>
    </w:p>
    <w:p w:rsidR="005229E9" w:rsidRPr="005229E9" w:rsidRDefault="005229E9" w:rsidP="005229E9">
      <w:pPr>
        <w:widowControl/>
        <w:autoSpaceDE/>
        <w:autoSpaceDN/>
        <w:adjustRightInd/>
        <w:spacing w:before="30"/>
        <w:ind w:left="600"/>
        <w:jc w:val="both"/>
        <w:rPr>
          <w:sz w:val="24"/>
          <w:szCs w:val="24"/>
        </w:rPr>
      </w:pPr>
      <w:r w:rsidRPr="005229E9">
        <w:rPr>
          <w:sz w:val="24"/>
          <w:szCs w:val="24"/>
        </w:rPr>
        <w:t xml:space="preserve">Этот синдром сходен с МЭН типа IIa и обусловлен близкими генетическими дефектами. Кроме медуллярного рака щитовидной железы и феохромоцитомы, МЭН типа IIb включает следующие компоненты: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Множественные невромы слизистых полости рта, губ и языка.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Марфаноподобная внешность.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Прогения.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 xml:space="preserve">Воронкообразная грудь. </w:t>
      </w:r>
    </w:p>
    <w:p w:rsidR="005229E9" w:rsidRPr="005229E9" w:rsidRDefault="005229E9" w:rsidP="005229E9">
      <w:pPr>
        <w:widowControl/>
        <w:autoSpaceDE/>
        <w:autoSpaceDN/>
        <w:adjustRightInd/>
        <w:spacing w:before="30"/>
        <w:ind w:left="600"/>
        <w:jc w:val="both"/>
        <w:rPr>
          <w:sz w:val="24"/>
          <w:szCs w:val="24"/>
        </w:rPr>
      </w:pPr>
      <w:r w:rsidRPr="005229E9">
        <w:rPr>
          <w:sz w:val="24"/>
          <w:szCs w:val="24"/>
        </w:rPr>
        <w:t xml:space="preserve">МЭН типа IIb обычно протекает тяжелее, чем МЭН типа IIa. Гиперпаратиреоз нехарактерен.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Г. Лечение синдромов МЭН. </w:t>
      </w:r>
      <w:r w:rsidRPr="005229E9">
        <w:rPr>
          <w:sz w:val="24"/>
          <w:szCs w:val="24"/>
        </w:rPr>
        <w:t xml:space="preserve">При любых синдромах МЭН наиболее действенно хирургическое лечение.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При лечении АПУДом из островковых клеток хирургическое вмешательство должно быть максимально экономным. Например, если у больного МЭН типа I опухоли из островковых клеток локализуются в хвосте, теле и головке поджелудочной железы, то лечение может включать резекцию хвоста и вылущивание опухолей тела и головки, но не панкреатэктомию. </w:t>
      </w:r>
    </w:p>
    <w:p w:rsidR="00330439" w:rsidRPr="0033043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Больным МЭН типов IIa и IIb показана двусторонняя адреналэктомия, а затем тиреоэктомия с лимфаденэктомией. </w:t>
      </w:r>
      <w:r w:rsidR="00330439" w:rsidRPr="00330439">
        <w:rPr>
          <w:sz w:val="24"/>
          <w:szCs w:val="24"/>
        </w:rPr>
        <w:t xml:space="preserve"> </w:t>
      </w:r>
    </w:p>
    <w:p w:rsidR="00D92FF2" w:rsidRDefault="00D92FF2" w:rsidP="00D92FF2">
      <w:pPr>
        <w:widowControl/>
        <w:autoSpaceDE/>
        <w:autoSpaceDN/>
        <w:adjustRightInd/>
        <w:spacing w:before="100" w:beforeAutospacing="1" w:after="100" w:afterAutospacing="1"/>
        <w:jc w:val="both"/>
        <w:outlineLvl w:val="1"/>
        <w:rPr>
          <w:bCs/>
          <w:sz w:val="36"/>
          <w:szCs w:val="36"/>
        </w:rPr>
      </w:pPr>
      <w:r w:rsidRPr="00587101">
        <w:rPr>
          <w:bCs/>
          <w:sz w:val="36"/>
          <w:szCs w:val="36"/>
        </w:rPr>
        <w:t xml:space="preserve">План </w:t>
      </w:r>
      <w:r w:rsidRPr="00587101">
        <w:rPr>
          <w:bCs/>
          <w:sz w:val="36"/>
          <w:szCs w:val="36"/>
          <w:lang w:val="uz-Latn-UZ"/>
        </w:rPr>
        <w:t>2</w:t>
      </w:r>
      <w:r w:rsidRPr="00587101">
        <w:rPr>
          <w:bCs/>
          <w:sz w:val="36"/>
          <w:szCs w:val="36"/>
        </w:rPr>
        <w:t xml:space="preserve">. </w:t>
      </w:r>
      <w:r w:rsidR="005229E9" w:rsidRPr="005229E9">
        <w:rPr>
          <w:bCs/>
          <w:sz w:val="36"/>
          <w:szCs w:val="36"/>
        </w:rPr>
        <w:t>Множественная эндокринная неоплазия</w:t>
      </w:r>
    </w:p>
    <w:p w:rsidR="005229E9" w:rsidRPr="005229E9" w:rsidRDefault="005229E9" w:rsidP="005229E9">
      <w:pPr>
        <w:widowControl/>
        <w:autoSpaceDE/>
        <w:autoSpaceDN/>
        <w:adjustRightInd/>
        <w:spacing w:before="30"/>
        <w:ind w:left="600" w:hanging="300"/>
        <w:jc w:val="both"/>
        <w:rPr>
          <w:sz w:val="24"/>
          <w:szCs w:val="24"/>
        </w:rPr>
      </w:pPr>
      <w:r w:rsidRPr="005229E9">
        <w:rPr>
          <w:sz w:val="24"/>
          <w:szCs w:val="24"/>
        </w:rPr>
        <w:t xml:space="preserve">Под этим названием объединяют группу синдромов, вызванных опухолями или гиперплазией </w:t>
      </w:r>
      <w:r w:rsidRPr="005229E9">
        <w:rPr>
          <w:rFonts w:ascii="Arial" w:hAnsi="Arial" w:cs="Arial"/>
          <w:b/>
          <w:bCs/>
          <w:sz w:val="24"/>
          <w:szCs w:val="24"/>
        </w:rPr>
        <w:t>нескольких</w:t>
      </w:r>
      <w:r w:rsidRPr="005229E9">
        <w:rPr>
          <w:sz w:val="24"/>
          <w:szCs w:val="24"/>
        </w:rPr>
        <w:t xml:space="preserve"> эндокринных желез.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Б. Главные черты синдромов МЭН</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Многообразные эндокринные и метаболические нарушения.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Симптомы обусловлены нарушениями секреции одного или нескольких гормонов.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Опухоли часто бывают злокачественными.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 xml:space="preserve">Большинство опухолей имеет нейроэктодермальное происхождение.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5. </w:t>
      </w:r>
      <w:r w:rsidRPr="005229E9">
        <w:rPr>
          <w:sz w:val="24"/>
          <w:szCs w:val="24"/>
        </w:rPr>
        <w:t xml:space="preserve">Нередко синдромы МЭН сопровождаются дисплазией других органов и тканей.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lastRenderedPageBreak/>
        <w:t xml:space="preserve">6. </w:t>
      </w:r>
      <w:r w:rsidRPr="005229E9">
        <w:rPr>
          <w:sz w:val="24"/>
          <w:szCs w:val="24"/>
        </w:rPr>
        <w:t xml:space="preserve">Как спорадические, так и семейные случаи МЭН обусловлены генетическими дефектами и наследуются аутосомно-доминантно.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В. Историческая справка</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Связь между множественными эндокринными нарушениями и множественными опухолями эндокринных желез была замечена патологоанатомами еще в конце прошлого столетия. Однако современные представления о синдромах МЭН начали формироваться в 50-е годы нашего века. Сначала P. Wermer обнаружил у нескольких больных сочетание гиперплазии паращитовидных желез, опухолей гипофиза и опухолей из островковых клеток и предложил называть этот синдром множественным эндокринным аденоматозом (современное название — МЭН типа I). Несколько позже J. H. Sipple описал синдром, включающий медуллярный рак щитовидной железы и феохромоцитому. Сегодня этот синдром принято называть МЭН типа IIa. Затем R. N. Schimke выделил разновидность этого синдрома, проявляющуюся множественными невромами и другими наследственными нарушениями (МЭН типа IIb).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Некоторые наследственные синдромы, традиционно считающиеся самостоятельными заболеваниями, могут быть компонентами синдромов МЭН. Например, некоторые эндокринологи рассматривают синдром Золлингера—Эллисона как компонент МЭН типа I.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Г. Генетика. </w:t>
      </w:r>
      <w:r w:rsidRPr="005229E9">
        <w:rPr>
          <w:sz w:val="24"/>
          <w:szCs w:val="24"/>
        </w:rPr>
        <w:t xml:space="preserve">Все синдромы МЭН наследуются аутосомно-доминантно и характеризуются высокой пенетрантностью. В половине случаев МЭН возникает спорадически, т. е. обусловлена вновь появившейся мутацией в половых или соматических клетках. Риск заболевания у ребенка больного со спорадической МЭН составляет 50%. В семьях с МЭН риск превышает 75%. Генеалогические, цитогенетические и молекулярно-генетические исследования выявили мутации, лежащие в основе известных типов МЭН. Эти мутации можно обнаружить путем ПЦР с последующей гибридизацией с сайт-специфичными олигонуклеотидами и рассчитать индивидуальный и семейный риск МЭН.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Д. Патогенез</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Гипотезы.</w:t>
      </w:r>
      <w:r w:rsidRPr="005229E9">
        <w:rPr>
          <w:sz w:val="24"/>
          <w:szCs w:val="24"/>
        </w:rPr>
        <w:t xml:space="preserve"> Опухоли, характерные для синдромов МЭН, происходят из клеток системы АПУД (см. гл. 44). Согласно теории H. Pearse (1966 г.), все клетки системы АПУД являются производными клеток нейроэктодермы (нервного гребня). Предполагают, что синдромы МЭН обусловлены мутациями в клетках нервного гребня. Эти мутации наследуются клетками эндокринных желез и других клеток системы АПУД и приводят к их опухолевой трансформации. В пользу этой гипотезы свидетельствует обнаружение так называемых </w:t>
      </w:r>
      <w:r w:rsidRPr="005229E9">
        <w:rPr>
          <w:rFonts w:ascii="Arial" w:hAnsi="Arial" w:cs="Arial"/>
          <w:b/>
          <w:bCs/>
          <w:sz w:val="24"/>
          <w:szCs w:val="24"/>
        </w:rPr>
        <w:t>смешанных типов МЭН,</w:t>
      </w:r>
      <w:r w:rsidRPr="005229E9">
        <w:rPr>
          <w:sz w:val="24"/>
          <w:szCs w:val="24"/>
        </w:rPr>
        <w:t xml:space="preserve"> включающих гиперплазию одиночных клеток системы АПУД или опухоли из таких клеток. К смешанным типам МЭН относят, например, </w:t>
      </w:r>
      <w:r w:rsidRPr="005229E9">
        <w:rPr>
          <w:rFonts w:ascii="Arial" w:hAnsi="Arial" w:cs="Arial"/>
          <w:b/>
          <w:bCs/>
          <w:sz w:val="24"/>
          <w:szCs w:val="24"/>
        </w:rPr>
        <w:t xml:space="preserve">нейрофиброматоз с признаками МЭН типов I, IIa и IIb. </w:t>
      </w:r>
      <w:r w:rsidRPr="005229E9">
        <w:rPr>
          <w:sz w:val="24"/>
          <w:szCs w:val="24"/>
        </w:rPr>
        <w:t xml:space="preserve">Против этой гипотезы говорит тот факт, что при синдромах МЭН нередко встречаются новообразования, имеющие энтодермальное или мезенхимное происхождение. Не исключено, что мутация вызывает трансформацию клеток только в одной эндокринной железе, а сопутствующие нарушения имеют вторичный характер и вызваны гиперсекрецией гормона клетками первичной опухоли. Известно, например, что при МЭН типа I гиперсекреция инсулина клетками инсулиномы вызывает гиперплазию аденогипофиза.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Особенности патогенеза МЭН</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lastRenderedPageBreak/>
        <w:t xml:space="preserve">а. </w:t>
      </w:r>
      <w:r w:rsidRPr="005229E9">
        <w:rPr>
          <w:sz w:val="24"/>
          <w:szCs w:val="24"/>
        </w:rPr>
        <w:t xml:space="preserve">Как правило, в каждой эндокринной железе имеется несколько очагов гиперплазии или опухолевого роста (поскольку любая эндокринная клетка потенциально способна к трансформации).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w:t>
      </w:r>
      <w:r w:rsidRPr="005229E9">
        <w:rPr>
          <w:sz w:val="24"/>
          <w:szCs w:val="24"/>
        </w:rPr>
        <w:t xml:space="preserve">Вначале возникает гиперплазия, затем доброкачественная и, наконец, злокачественная опухоль. Поэтому заболевание развивается постепенно и может не проявляться до 35—40 лет. </w:t>
      </w:r>
    </w:p>
    <w:p w:rsidR="005229E9" w:rsidRPr="005229E9" w:rsidRDefault="005229E9" w:rsidP="005229E9">
      <w:pPr>
        <w:widowControl/>
        <w:autoSpaceDE/>
        <w:autoSpaceDN/>
        <w:adjustRightInd/>
        <w:spacing w:before="30"/>
        <w:ind w:left="1200" w:hanging="300"/>
        <w:jc w:val="both"/>
        <w:rPr>
          <w:sz w:val="24"/>
          <w:szCs w:val="24"/>
        </w:rPr>
      </w:pPr>
      <w:bookmarkStart w:id="28" w:name="I.Д.2.в."/>
      <w:r w:rsidRPr="005229E9">
        <w:rPr>
          <w:rFonts w:ascii="Arial" w:hAnsi="Arial" w:cs="Arial"/>
          <w:b/>
          <w:bCs/>
          <w:sz w:val="24"/>
          <w:szCs w:val="24"/>
        </w:rPr>
        <w:t>в.</w:t>
      </w:r>
      <w:bookmarkEnd w:id="28"/>
      <w:r w:rsidRPr="005229E9">
        <w:rPr>
          <w:rFonts w:ascii="Arial" w:hAnsi="Arial" w:cs="Arial"/>
          <w:b/>
          <w:bCs/>
          <w:sz w:val="24"/>
          <w:szCs w:val="24"/>
        </w:rPr>
        <w:t xml:space="preserve"> </w:t>
      </w:r>
      <w:r w:rsidRPr="005229E9">
        <w:rPr>
          <w:sz w:val="24"/>
          <w:szCs w:val="24"/>
        </w:rPr>
        <w:t xml:space="preserve">Клиническая картина и лабораторные показатели зависят от того, на какой стадии развития опухоли выявлено заболевание.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 xml:space="preserve">II. Классификация. </w:t>
      </w:r>
      <w:r w:rsidRPr="005229E9">
        <w:rPr>
          <w:sz w:val="24"/>
          <w:szCs w:val="24"/>
        </w:rPr>
        <w:t xml:space="preserve">Синдромы МЭН классифицируют по основным клиническим проявлениям. Эти проявления обусловлены нарушениями секреции гормонов и зависят от того, в каких эндокринных железах имеется гиперплазия или опухоль. Нередко встречаются симптомокомплексы, не укладывающиеся в принятую классификацию. Тем не менее большинство эндокринологов считает, что эти симптомокомплексы не нужно рассматривать как новые типы МЭН. Например, не следует причислять к синдромам МЭН периферические нейрофиброматозы, болезнь Гиппеля—Линдау и синдром Мак-Кьюна—Олбрайта. В то же время необходимо учитывать эндокринные проявления этих заболеваний.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А. МЭН типа I (синдром Вермера)</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Компоненты синдрома</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а. Гиперпаратиреоз</w:t>
      </w:r>
      <w:r w:rsidRPr="005229E9">
        <w:rPr>
          <w:sz w:val="24"/>
          <w:szCs w:val="24"/>
        </w:rPr>
        <w:t xml:space="preserve"> встречается более чем у 90% больных и обусловлен гиперплазией нескольких паращитовидных желез. Поражения почек и костей наблюдаются не всегда.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б. Опухоли аденогипофиза</w:t>
      </w:r>
      <w:r w:rsidRPr="005229E9">
        <w:rPr>
          <w:sz w:val="24"/>
          <w:szCs w:val="24"/>
        </w:rPr>
        <w:t xml:space="preserve"> отмечаются более чем у 50% больных. Обычно эти опухоли не секретируют гормоны. Активно растущие злокачественные опухоли сдавливают и разрушают гипофиз и приводят к гипопитуитаризму. Реже встречаются аденомы, секретирующие пролактин, СТГ или АКТГ. Такие аденомы вызывают, соответственно, галакторею и аменорею, акромегалию или гипофизарный синдром Кушинга. Небольшие гормонально-неактивные опухоли обычно выявляются лишь с помощью КТ и МРТ при подозрении на МЭН типа I. Гиперплазия соматотропных клеток или СТГ-секретирующая аденома могут быть вызваны эктопической продукцией соматолиберина опухолями островковых клеток, надпочечников или злокачественными опухолями, происходящими из других клеток системы АПУД. Удаление эктопических источников соматолиберина иногда позволяет добиться полной регрессии СТГ-секретирующей аденомы.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в. Опухоли из островковых клеток</w:t>
      </w:r>
      <w:r w:rsidRPr="005229E9">
        <w:rPr>
          <w:sz w:val="24"/>
          <w:szCs w:val="24"/>
        </w:rPr>
        <w:t xml:space="preserve"> имеются более чем у 50% больных. Обычно они множественные и происходят как из бета-клеток, так и из других островковых клеток. Наиболее распространены инсулиномы, глюкагономы, гастриномы и ВИПомы. Симптом инсулиномы — гипогликемия; симптомы глюкагономы — гипергликемия и некролитическая мигрирующая эритема. Гастриномы проявляются синдромом Золлингера—Эллисона. Больные с этим синдромом страдают язвенной болезнью и другими нарушениями ЖКТ. Проявление ВИПомы — панкреатическая холера (водянистый стул, гипокалиемия, ахлоргидрия, метаболический ацидоз). </w:t>
      </w:r>
    </w:p>
    <w:p w:rsidR="005229E9" w:rsidRPr="005229E9" w:rsidRDefault="005229E9" w:rsidP="005229E9">
      <w:pPr>
        <w:widowControl/>
        <w:autoSpaceDE/>
        <w:autoSpaceDN/>
        <w:adjustRightInd/>
        <w:spacing w:before="30"/>
        <w:ind w:left="1200" w:hanging="300"/>
        <w:jc w:val="both"/>
        <w:rPr>
          <w:sz w:val="24"/>
          <w:szCs w:val="24"/>
        </w:rPr>
      </w:pPr>
      <w:bookmarkStart w:id="29" w:name="II.А.1.г."/>
      <w:r w:rsidRPr="005229E9">
        <w:rPr>
          <w:rFonts w:ascii="Arial" w:hAnsi="Arial" w:cs="Arial"/>
          <w:b/>
          <w:bCs/>
          <w:sz w:val="24"/>
          <w:szCs w:val="24"/>
        </w:rPr>
        <w:t>г.</w:t>
      </w:r>
      <w:bookmarkEnd w:id="29"/>
      <w:r w:rsidRPr="005229E9">
        <w:rPr>
          <w:rFonts w:ascii="Arial" w:hAnsi="Arial" w:cs="Arial"/>
          <w:b/>
          <w:bCs/>
          <w:sz w:val="24"/>
          <w:szCs w:val="24"/>
        </w:rPr>
        <w:t xml:space="preserve"> Опухоли надпочечников.</w:t>
      </w:r>
      <w:r w:rsidRPr="005229E9">
        <w:rPr>
          <w:sz w:val="24"/>
          <w:szCs w:val="24"/>
        </w:rPr>
        <w:t xml:space="preserve"> У 40% больных имеется гиперплазия или аденома надпочечников. Гиперсекреции глюкокортикоидов обычно нет, и потому </w:t>
      </w:r>
      <w:r w:rsidRPr="005229E9">
        <w:rPr>
          <w:sz w:val="24"/>
          <w:szCs w:val="24"/>
        </w:rPr>
        <w:lastRenderedPageBreak/>
        <w:t xml:space="preserve">гиперплазию и аденому обнаруживают случайно либо при детальном обследовании (при КТ). </w:t>
      </w:r>
    </w:p>
    <w:p w:rsidR="005229E9" w:rsidRPr="005229E9" w:rsidRDefault="005229E9" w:rsidP="005229E9">
      <w:pPr>
        <w:widowControl/>
        <w:autoSpaceDE/>
        <w:autoSpaceDN/>
        <w:adjustRightInd/>
        <w:spacing w:before="30"/>
        <w:ind w:left="1200" w:hanging="300"/>
        <w:jc w:val="both"/>
        <w:rPr>
          <w:sz w:val="24"/>
          <w:szCs w:val="24"/>
        </w:rPr>
      </w:pPr>
      <w:bookmarkStart w:id="30" w:name="II.А.1.д."/>
      <w:r w:rsidRPr="005229E9">
        <w:rPr>
          <w:rFonts w:ascii="Arial" w:hAnsi="Arial" w:cs="Arial"/>
          <w:b/>
          <w:bCs/>
          <w:sz w:val="24"/>
          <w:szCs w:val="24"/>
        </w:rPr>
        <w:t>д.</w:t>
      </w:r>
      <w:bookmarkEnd w:id="30"/>
      <w:r w:rsidRPr="005229E9">
        <w:rPr>
          <w:rFonts w:ascii="Arial" w:hAnsi="Arial" w:cs="Arial"/>
          <w:b/>
          <w:bCs/>
          <w:sz w:val="24"/>
          <w:szCs w:val="24"/>
        </w:rPr>
        <w:t xml:space="preserve"> Заболевания щитовидной железы</w:t>
      </w:r>
      <w:r w:rsidRPr="005229E9">
        <w:rPr>
          <w:sz w:val="24"/>
          <w:szCs w:val="24"/>
        </w:rPr>
        <w:t xml:space="preserve"> имеются примерно у 20% больных. Обычно это аденомы или злокачественные опухоли (кроме медуллярного рака). Реже встречаются тиреотоксикоз, коллоидный зоб и хронический лимфоцитарный тиреоидит. </w:t>
      </w:r>
    </w:p>
    <w:p w:rsidR="005229E9" w:rsidRPr="005229E9" w:rsidRDefault="005229E9" w:rsidP="005229E9">
      <w:pPr>
        <w:widowControl/>
        <w:autoSpaceDE/>
        <w:autoSpaceDN/>
        <w:adjustRightInd/>
        <w:spacing w:before="30"/>
        <w:ind w:left="1200" w:hanging="300"/>
        <w:jc w:val="both"/>
        <w:rPr>
          <w:sz w:val="24"/>
          <w:szCs w:val="24"/>
        </w:rPr>
      </w:pPr>
      <w:bookmarkStart w:id="31" w:name="II.А.1.е."/>
      <w:r w:rsidRPr="005229E9">
        <w:rPr>
          <w:rFonts w:ascii="Arial" w:hAnsi="Arial" w:cs="Arial"/>
          <w:b/>
          <w:bCs/>
          <w:sz w:val="24"/>
          <w:szCs w:val="24"/>
        </w:rPr>
        <w:t>е.</w:t>
      </w:r>
      <w:bookmarkEnd w:id="31"/>
      <w:r w:rsidRPr="005229E9">
        <w:rPr>
          <w:rFonts w:ascii="Arial" w:hAnsi="Arial" w:cs="Arial"/>
          <w:b/>
          <w:bCs/>
          <w:sz w:val="24"/>
          <w:szCs w:val="24"/>
        </w:rPr>
        <w:t xml:space="preserve"> Редкие сопутствующие нарушения: </w:t>
      </w:r>
      <w:r w:rsidRPr="005229E9">
        <w:rPr>
          <w:sz w:val="24"/>
          <w:szCs w:val="24"/>
        </w:rPr>
        <w:t xml:space="preserve">рак легкого, липомы, полипоз желудка, опухоли яичек, шванномы.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Этиология и патогенез. </w:t>
      </w:r>
      <w:r w:rsidRPr="005229E9">
        <w:rPr>
          <w:sz w:val="24"/>
          <w:szCs w:val="24"/>
        </w:rPr>
        <w:t xml:space="preserve">Установлено, что причиной МЭН типа I служат мутации </w:t>
      </w:r>
      <w:r w:rsidRPr="005229E9">
        <w:rPr>
          <w:rFonts w:ascii="Arial" w:hAnsi="Arial" w:cs="Arial"/>
          <w:b/>
          <w:bCs/>
          <w:sz w:val="24"/>
          <w:szCs w:val="24"/>
        </w:rPr>
        <w:t>гена супрессии опухолей</w:t>
      </w:r>
      <w:r w:rsidRPr="005229E9">
        <w:rPr>
          <w:sz w:val="24"/>
          <w:szCs w:val="24"/>
        </w:rPr>
        <w:t xml:space="preserve"> (11q13). Этот ген кодирует белок </w:t>
      </w:r>
      <w:r w:rsidRPr="005229E9">
        <w:rPr>
          <w:rFonts w:ascii="Arial" w:hAnsi="Arial" w:cs="Arial"/>
          <w:b/>
          <w:bCs/>
          <w:sz w:val="24"/>
          <w:szCs w:val="24"/>
        </w:rPr>
        <w:t xml:space="preserve">мэнин, </w:t>
      </w:r>
      <w:r w:rsidRPr="005229E9">
        <w:rPr>
          <w:sz w:val="24"/>
          <w:szCs w:val="24"/>
        </w:rPr>
        <w:t xml:space="preserve">регулирующий пролиферацию клеток — производных нервного гребня. Недостаточность мэнина приводит к гиперплазии, а отсутствие мэнина — к опухолевой трансформации этих клеток. Еще одна предполагаемая причина МЭН типа I — повышенный уровень фактора роста фибробластов в сыворотке. Известно, что фактор роста фибробластов стимулирует пролиферацию клеток паращитовидных желез.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Диагностика и схема обследования. </w:t>
      </w:r>
      <w:r w:rsidRPr="005229E9">
        <w:rPr>
          <w:sz w:val="24"/>
          <w:szCs w:val="24"/>
        </w:rPr>
        <w:t xml:space="preserve">Заболевание чаще всего проявляется между 20 и 40 годами, но может возникнуть и до 10 лет. Первым проявлением МЭН типа I обычно бывает гиперпаратиреоз. Если обнаружен гиперпаратиреоз и есть подозрение, что он является компонентом МЭН типа I, больного повторно обследуют, чтобы выявить другие проявления синдрома. Если диагноз МЭН типа I установлен, обязательно обследуют членов семьи больного. Обследование необходимо и больным с синдромом Золлингера—Эллисона, поскольку у 50% из них имеется МЭН типа I. Иногда гипергастринемия бывает следствием гиперпаратиреоза и исчезает после паратиреоэктомии. Обследование включает: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Определение уровня кальция в сыворотке.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w:t>
      </w:r>
      <w:r w:rsidRPr="005229E9">
        <w:rPr>
          <w:sz w:val="24"/>
          <w:szCs w:val="24"/>
        </w:rPr>
        <w:t xml:space="preserve">Определение уровня пролактина в сыворотке.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в. </w:t>
      </w:r>
      <w:r w:rsidRPr="005229E9">
        <w:rPr>
          <w:sz w:val="24"/>
          <w:szCs w:val="24"/>
        </w:rPr>
        <w:t xml:space="preserve">Определение уровня гастрина и панкреатического полипептида в сыворотке.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г. </w:t>
      </w:r>
      <w:r w:rsidRPr="005229E9">
        <w:rPr>
          <w:sz w:val="24"/>
          <w:szCs w:val="24"/>
        </w:rPr>
        <w:t xml:space="preserve">Выявление гипогликемии (например, определение уровня глюкозы в крови натощак). </w:t>
      </w:r>
    </w:p>
    <w:p w:rsidR="005229E9" w:rsidRPr="005229E9" w:rsidRDefault="005229E9" w:rsidP="005229E9">
      <w:pPr>
        <w:widowControl/>
        <w:autoSpaceDE/>
        <w:autoSpaceDN/>
        <w:adjustRightInd/>
        <w:spacing w:before="30"/>
        <w:ind w:left="1200" w:hanging="300"/>
        <w:jc w:val="both"/>
        <w:rPr>
          <w:sz w:val="24"/>
          <w:szCs w:val="24"/>
        </w:rPr>
      </w:pPr>
      <w:bookmarkStart w:id="32" w:name="II.А.3.д."/>
      <w:r w:rsidRPr="005229E9">
        <w:rPr>
          <w:rFonts w:ascii="Arial" w:hAnsi="Arial" w:cs="Arial"/>
          <w:b/>
          <w:bCs/>
          <w:sz w:val="24"/>
          <w:szCs w:val="24"/>
        </w:rPr>
        <w:t>д.</w:t>
      </w:r>
      <w:bookmarkEnd w:id="32"/>
      <w:r w:rsidRPr="005229E9">
        <w:rPr>
          <w:rFonts w:ascii="Arial" w:hAnsi="Arial" w:cs="Arial"/>
          <w:b/>
          <w:bCs/>
          <w:sz w:val="24"/>
          <w:szCs w:val="24"/>
        </w:rPr>
        <w:t xml:space="preserve"> </w:t>
      </w:r>
      <w:r w:rsidRPr="005229E9">
        <w:rPr>
          <w:sz w:val="24"/>
          <w:szCs w:val="24"/>
        </w:rPr>
        <w:t xml:space="preserve">КТ или МРТ головы для выявления бессимптомных поражений гипофиза. Визуализация поджелудочной железы малоинформативна, поскольку не позволяет выявлять опухоли из островковых клеток на ранних стадиях развития. Поэтому показаны гормонально-метаболические исследования, в том числе измерение базального уровня инсулина, глюкагона, панкреатического полипептида, соматостатина и гастрина, а также оценка секреции этих гормонов после приема пищи.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Б. МЭН типа IIa (синдром Сиппла)</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Компоненты синдрома</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а. Медуллярный рак щитовидной железы</w:t>
      </w:r>
      <w:r w:rsidRPr="005229E9">
        <w:rPr>
          <w:sz w:val="24"/>
          <w:szCs w:val="24"/>
        </w:rPr>
        <w:t xml:space="preserve"> обнаруживается почти у всех больных. Опухоли обычно многоочаговые; их развитию предшествует гиперплазия C-клеток. Опухоли секретируют кальцитонин, реже — АКТГ или серотонин. Патофизиологическая роль усиленной секреции кальцитонина не выяснена. Показано, что повышение уровня кальцитонина не приводит к гипокальциемии. Повышенный уровень кальцитонина — важнейший маркер медуллярного рака щитовидной железы.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lastRenderedPageBreak/>
        <w:t>б. Феохромоцитома</w:t>
      </w:r>
      <w:r w:rsidRPr="005229E9">
        <w:rPr>
          <w:sz w:val="24"/>
          <w:szCs w:val="24"/>
        </w:rPr>
        <w:t xml:space="preserve"> </w:t>
      </w:r>
    </w:p>
    <w:p w:rsidR="005229E9" w:rsidRPr="005229E9" w:rsidRDefault="005229E9" w:rsidP="005229E9">
      <w:pPr>
        <w:widowControl/>
        <w:autoSpaceDE/>
        <w:autoSpaceDN/>
        <w:adjustRightInd/>
        <w:spacing w:before="30"/>
        <w:ind w:left="1500" w:hanging="300"/>
        <w:jc w:val="both"/>
        <w:rPr>
          <w:sz w:val="24"/>
          <w:szCs w:val="24"/>
        </w:rPr>
      </w:pPr>
      <w:bookmarkStart w:id="33" w:name="II.Б.1.б.1)"/>
      <w:r w:rsidRPr="005229E9">
        <w:rPr>
          <w:rFonts w:ascii="Arial" w:hAnsi="Arial" w:cs="Arial"/>
          <w:b/>
          <w:bCs/>
          <w:sz w:val="24"/>
          <w:szCs w:val="24"/>
        </w:rPr>
        <w:t>1)</w:t>
      </w:r>
      <w:bookmarkEnd w:id="33"/>
      <w:r w:rsidRPr="005229E9">
        <w:rPr>
          <w:rFonts w:ascii="Arial" w:hAnsi="Arial" w:cs="Arial"/>
          <w:b/>
          <w:bCs/>
          <w:sz w:val="24"/>
          <w:szCs w:val="24"/>
        </w:rPr>
        <w:t xml:space="preserve"> </w:t>
      </w:r>
      <w:r w:rsidRPr="005229E9">
        <w:rPr>
          <w:sz w:val="24"/>
          <w:szCs w:val="24"/>
        </w:rPr>
        <w:t xml:space="preserve">Эти опухоли выявляются более чем в 70% случаев. Обычно они двусторонние, многоочаговые; расположены в надпочечниках или в параганглиях. Феохромоцитомы вызывают артериальную гипертонию. Как правило, они возникают в возрасте 20—40 лет. </w:t>
      </w:r>
    </w:p>
    <w:p w:rsidR="005229E9" w:rsidRPr="005229E9" w:rsidRDefault="005229E9" w:rsidP="005229E9">
      <w:pPr>
        <w:widowControl/>
        <w:autoSpaceDE/>
        <w:autoSpaceDN/>
        <w:adjustRightInd/>
        <w:spacing w:before="30"/>
        <w:ind w:left="1500" w:hanging="300"/>
        <w:jc w:val="both"/>
        <w:rPr>
          <w:sz w:val="24"/>
          <w:szCs w:val="24"/>
        </w:rPr>
      </w:pPr>
      <w:bookmarkStart w:id="34" w:name="II.Б.1.б.2)"/>
      <w:r w:rsidRPr="005229E9">
        <w:rPr>
          <w:rFonts w:ascii="Arial" w:hAnsi="Arial" w:cs="Arial"/>
          <w:b/>
          <w:bCs/>
          <w:sz w:val="24"/>
          <w:szCs w:val="24"/>
        </w:rPr>
        <w:t>2)</w:t>
      </w:r>
      <w:bookmarkEnd w:id="34"/>
      <w:r w:rsidRPr="005229E9">
        <w:rPr>
          <w:rFonts w:ascii="Arial" w:hAnsi="Arial" w:cs="Arial"/>
          <w:b/>
          <w:bCs/>
          <w:sz w:val="24"/>
          <w:szCs w:val="24"/>
        </w:rPr>
        <w:t xml:space="preserve"> </w:t>
      </w:r>
      <w:r w:rsidRPr="005229E9">
        <w:rPr>
          <w:sz w:val="24"/>
          <w:szCs w:val="24"/>
        </w:rPr>
        <w:t xml:space="preserve">J. R. Zeller и соавт. обнаружили у 11 больных с феохромоцитомой различные опухоли из островковых клеток. Иные опухоли, характерные для синдромов МЭН, отсутствовали. Эти исследователи рекомендуют обследовать всех больных с феохромоцитомой на предмет выявления опухолей из островковых клеток. С этой целью проводят визуализацию поджелудочной железы: УЗИ, сцинтиграфию, КТ или МРТ, а также гормонально-метаболические исследования. </w:t>
      </w:r>
    </w:p>
    <w:p w:rsidR="005229E9" w:rsidRPr="005229E9" w:rsidRDefault="005229E9" w:rsidP="005229E9">
      <w:pPr>
        <w:widowControl/>
        <w:autoSpaceDE/>
        <w:autoSpaceDN/>
        <w:adjustRightInd/>
        <w:spacing w:before="30"/>
        <w:ind w:left="1500" w:hanging="300"/>
        <w:jc w:val="both"/>
        <w:rPr>
          <w:sz w:val="24"/>
          <w:szCs w:val="24"/>
        </w:rPr>
      </w:pPr>
      <w:bookmarkStart w:id="35" w:name="II.Б.1.б.3)"/>
      <w:r w:rsidRPr="005229E9">
        <w:rPr>
          <w:rFonts w:ascii="Arial" w:hAnsi="Arial" w:cs="Arial"/>
          <w:b/>
          <w:bCs/>
          <w:sz w:val="24"/>
          <w:szCs w:val="24"/>
        </w:rPr>
        <w:t>3)</w:t>
      </w:r>
      <w:bookmarkEnd w:id="35"/>
      <w:r w:rsidRPr="005229E9">
        <w:rPr>
          <w:rFonts w:ascii="Arial" w:hAnsi="Arial" w:cs="Arial"/>
          <w:b/>
          <w:bCs/>
          <w:sz w:val="24"/>
          <w:szCs w:val="24"/>
        </w:rPr>
        <w:t xml:space="preserve"> </w:t>
      </w:r>
      <w:r w:rsidRPr="005229E9">
        <w:rPr>
          <w:sz w:val="24"/>
          <w:szCs w:val="24"/>
        </w:rPr>
        <w:t>Для выявления надпочечниковых и вненадпочечниковых феохромоцитом и их метастазов лучше всего подходит сцинтиграфия с мета-</w:t>
      </w:r>
      <w:r w:rsidRPr="005229E9">
        <w:rPr>
          <w:sz w:val="24"/>
          <w:szCs w:val="24"/>
          <w:vertAlign w:val="superscript"/>
        </w:rPr>
        <w:t>131</w:t>
      </w:r>
      <w:r w:rsidRPr="005229E9">
        <w:rPr>
          <w:sz w:val="24"/>
          <w:szCs w:val="24"/>
        </w:rPr>
        <w:t>I-бензилгуанидином или мета-</w:t>
      </w:r>
      <w:r w:rsidRPr="005229E9">
        <w:rPr>
          <w:sz w:val="24"/>
          <w:szCs w:val="24"/>
          <w:vertAlign w:val="superscript"/>
        </w:rPr>
        <w:t>123</w:t>
      </w:r>
      <w:r w:rsidRPr="005229E9">
        <w:rPr>
          <w:sz w:val="24"/>
          <w:szCs w:val="24"/>
        </w:rPr>
        <w:t xml:space="preserve">I-бензилгуанидином. Иногда она позволяет выявить и медуллярный рак щитовидной железы. Для сцинтиграфии используют также </w:t>
      </w:r>
      <w:r w:rsidRPr="005229E9">
        <w:rPr>
          <w:sz w:val="24"/>
          <w:szCs w:val="24"/>
          <w:vertAlign w:val="superscript"/>
        </w:rPr>
        <w:t>99m</w:t>
      </w:r>
      <w:r w:rsidRPr="005229E9">
        <w:rPr>
          <w:sz w:val="24"/>
          <w:szCs w:val="24"/>
        </w:rPr>
        <w:t xml:space="preserve">Tc-димеркаптоянтарную кислоту.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в. Гиперпаратиреоз</w:t>
      </w:r>
      <w:r w:rsidRPr="005229E9">
        <w:rPr>
          <w:sz w:val="24"/>
          <w:szCs w:val="24"/>
        </w:rPr>
        <w:t xml:space="preserve">, обусловленный гиперплазией паращитовидных желез, встречается примерно у 50% больных. По-видимому, усиленная секреция кальцитонина не является причиной гиперпаратиреоза, поскольку он бывает и у больных без медуллярного рака щитовидной железы.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Варианты МЭН типа IIa. </w:t>
      </w:r>
      <w:r w:rsidRPr="005229E9">
        <w:rPr>
          <w:sz w:val="24"/>
          <w:szCs w:val="24"/>
        </w:rPr>
        <w:t xml:space="preserve">Все варианты этого синдрома обусловлены мутациями протоонкогена c-ret (см. гл. 45, п. II.Г).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Классическая МЭН типа IIa: </w:t>
      </w:r>
      <w:r w:rsidRPr="005229E9">
        <w:rPr>
          <w:sz w:val="24"/>
          <w:szCs w:val="24"/>
        </w:rPr>
        <w:t xml:space="preserve">сочетание медуллярного рака щитовидной железы, феохромоцитомы и гиперплазии или опухолей паращитовидных желез. Этот вариант может быть обусловлен мутациями в половых клетках и соматическими мутациями.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Семейный изолированный медуллярный рак щитовидной железы. </w:t>
      </w:r>
      <w:r w:rsidRPr="005229E9">
        <w:rPr>
          <w:sz w:val="24"/>
          <w:szCs w:val="24"/>
        </w:rPr>
        <w:t xml:space="preserve">Этот вариант МЭН типа IIa редко включает другие опухоли. Рак щитовидной железы обусловлен множественными мутациями в половых клетках. Вариант характеризуется высокой пенетрантностью.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в. МЭН типа IIa с первичным амилоидозом кожи. </w:t>
      </w:r>
      <w:r w:rsidRPr="005229E9">
        <w:rPr>
          <w:sz w:val="24"/>
          <w:szCs w:val="24"/>
        </w:rPr>
        <w:t xml:space="preserve">Наблюдаются красно-коричневые высыпания (пятна или узелки) между лопатками или на голенях, сопровождающиеся мучительным зудом. </w:t>
      </w:r>
    </w:p>
    <w:p w:rsidR="005229E9" w:rsidRPr="005229E9" w:rsidRDefault="005229E9" w:rsidP="005229E9">
      <w:pPr>
        <w:widowControl/>
        <w:autoSpaceDE/>
        <w:autoSpaceDN/>
        <w:adjustRightInd/>
        <w:spacing w:before="30"/>
        <w:ind w:left="1200" w:hanging="300"/>
        <w:jc w:val="both"/>
        <w:rPr>
          <w:sz w:val="24"/>
          <w:szCs w:val="24"/>
        </w:rPr>
      </w:pPr>
      <w:bookmarkStart w:id="36" w:name="II.Б.2.г."/>
      <w:r w:rsidRPr="005229E9">
        <w:rPr>
          <w:rFonts w:ascii="Arial" w:hAnsi="Arial" w:cs="Arial"/>
          <w:b/>
          <w:bCs/>
          <w:sz w:val="24"/>
          <w:szCs w:val="24"/>
        </w:rPr>
        <w:t>г.</w:t>
      </w:r>
      <w:bookmarkEnd w:id="36"/>
      <w:r w:rsidRPr="005229E9">
        <w:rPr>
          <w:rFonts w:ascii="Arial" w:hAnsi="Arial" w:cs="Arial"/>
          <w:b/>
          <w:bCs/>
          <w:sz w:val="24"/>
          <w:szCs w:val="24"/>
        </w:rPr>
        <w:t xml:space="preserve"> МЭН типа IIa с болезнью Гиршспрунга.</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Диагностика и схема обследования. </w:t>
      </w:r>
      <w:r w:rsidRPr="005229E9">
        <w:rPr>
          <w:sz w:val="24"/>
          <w:szCs w:val="24"/>
        </w:rPr>
        <w:t xml:space="preserve">Ближайших родственников больных МЭН типа IIa обследуют ежегодно. Обследование включает: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Определение базального уровня кальция и кальцитонина в сыворотке.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w:t>
      </w:r>
      <w:r w:rsidRPr="005229E9">
        <w:rPr>
          <w:sz w:val="24"/>
          <w:szCs w:val="24"/>
        </w:rPr>
        <w:t xml:space="preserve">Стимуляционные пробы с пентагастрином или кальцием. Поскольку пентагастрин и кальций стимулируют выброс кальцитонина, эти пробы позволяют выявить гиперплазию C-клеток и медуллярный рак щитовидной железы.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в. </w:t>
      </w:r>
      <w:r w:rsidRPr="005229E9">
        <w:rPr>
          <w:sz w:val="24"/>
          <w:szCs w:val="24"/>
        </w:rPr>
        <w:t xml:space="preserve">Определение уровня катехоламинов, ванилилминдальной кислоты и метанефринов.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г. </w:t>
      </w:r>
      <w:r w:rsidRPr="005229E9">
        <w:rPr>
          <w:sz w:val="24"/>
          <w:szCs w:val="24"/>
        </w:rPr>
        <w:t xml:space="preserve">Определение уровня АКТГ.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д. </w:t>
      </w:r>
      <w:r w:rsidRPr="005229E9">
        <w:rPr>
          <w:sz w:val="24"/>
          <w:szCs w:val="24"/>
        </w:rPr>
        <w:t xml:space="preserve">Выявление раково-эмбрионального антигена позволяет диагностировать медуллярный рак щитовидной железы, если уровень кальцитонина не повышен.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В. МЭН типа IIb</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lastRenderedPageBreak/>
        <w:t>1. Компоненты синдрома</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а. Медуллярный рак щитовидной железы</w:t>
      </w:r>
      <w:r w:rsidRPr="005229E9">
        <w:rPr>
          <w:sz w:val="24"/>
          <w:szCs w:val="24"/>
        </w:rPr>
        <w:t xml:space="preserve"> имеется почти у всех больных. Единственное средство лечения — тиреоэктомия. Чем раньше проведена операция, тем лучше прогноз.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б. Феохромоцитома</w:t>
      </w:r>
      <w:r w:rsidRPr="005229E9">
        <w:rPr>
          <w:sz w:val="24"/>
          <w:szCs w:val="24"/>
        </w:rPr>
        <w:t xml:space="preserve"> встречается примерно у трети больных.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в. Гиперпаратиреоз</w:t>
      </w:r>
      <w:r w:rsidRPr="005229E9">
        <w:rPr>
          <w:sz w:val="24"/>
          <w:szCs w:val="24"/>
        </w:rPr>
        <w:t xml:space="preserve"> встречается менее чем у 5% больных.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г. Множественные невромы слизистых </w:t>
      </w:r>
      <w:r w:rsidRPr="005229E9">
        <w:rPr>
          <w:sz w:val="24"/>
          <w:szCs w:val="24"/>
        </w:rPr>
        <w:t xml:space="preserve">находят более чем у 95% больных. Невромы особенно заметны на губах, веках и языке и придают лицу характерный вид.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д. </w:t>
      </w:r>
      <w:r w:rsidRPr="005229E9">
        <w:rPr>
          <w:sz w:val="24"/>
          <w:szCs w:val="24"/>
        </w:rPr>
        <w:t xml:space="preserve">Другие частые проявления МЭН типа IIb: марфаноподобная внешность, прогения, воронкообразная грудь, утолщение нервов роговицы, ганглионевромы ЖКТ, мегаколон. Утолщение нервов роговицы иногда наблюдают и при МЭН типа IIa. </w:t>
      </w:r>
    </w:p>
    <w:p w:rsidR="005229E9" w:rsidRPr="005229E9" w:rsidRDefault="005229E9" w:rsidP="005229E9">
      <w:pPr>
        <w:widowControl/>
        <w:autoSpaceDE/>
        <w:autoSpaceDN/>
        <w:adjustRightInd/>
        <w:spacing w:before="30"/>
        <w:ind w:left="1200" w:hanging="300"/>
        <w:jc w:val="both"/>
        <w:rPr>
          <w:sz w:val="24"/>
          <w:szCs w:val="24"/>
        </w:rPr>
      </w:pPr>
      <w:bookmarkStart w:id="37" w:name="II.В.1.е."/>
      <w:r w:rsidRPr="005229E9">
        <w:rPr>
          <w:rFonts w:ascii="Arial" w:hAnsi="Arial" w:cs="Arial"/>
          <w:b/>
          <w:bCs/>
          <w:sz w:val="24"/>
          <w:szCs w:val="24"/>
        </w:rPr>
        <w:t>е.</w:t>
      </w:r>
      <w:bookmarkEnd w:id="37"/>
      <w:r w:rsidRPr="005229E9">
        <w:rPr>
          <w:rFonts w:ascii="Arial" w:hAnsi="Arial" w:cs="Arial"/>
          <w:b/>
          <w:bCs/>
          <w:sz w:val="24"/>
          <w:szCs w:val="24"/>
        </w:rPr>
        <w:t xml:space="preserve"> </w:t>
      </w:r>
      <w:r w:rsidRPr="005229E9">
        <w:rPr>
          <w:sz w:val="24"/>
          <w:szCs w:val="24"/>
        </w:rPr>
        <w:t xml:space="preserve">Нарушения ЖКТ (понос, нарушения перистальтики, запоры) могут возникать в раннем детском возрасте и быть первыми признаками МЭН типа IIb.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Диагностика и схема обследования. </w:t>
      </w:r>
      <w:r w:rsidRPr="005229E9">
        <w:rPr>
          <w:sz w:val="24"/>
          <w:szCs w:val="24"/>
        </w:rPr>
        <w:t xml:space="preserve">МЭН типа IIb прогрессирует медленно, поэтому гормонально-метаболические нарушения развиваются достаточно поздно. Первостепенное значение для диагноза имеют клинические проявления болезни: множественные невромы, утолщение нервов роговицы, артериальная гипертония, нарушения ЖКТ. Патогномоничный признак — невромы век и языка. Ранние изменения нервов можно обнаружить при микроскопическом исследовании биоптатов кожи. Гормонально-метаболические исследования такие же, как при МЭН типа IIa. Прогноз при МЭН типа IIb хуже, чем при МЭН типа IIa, поскольку опухоли щитовидной железы и феохромоцитомы при МЭН типа IIb характеризуются более быстрым ростом и большей склонностью к метастазированию.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Г. Генетические дефекты при МЭН типов IIa и IIb</w:t>
      </w:r>
      <w:r w:rsidRPr="005229E9">
        <w:rPr>
          <w:sz w:val="24"/>
          <w:szCs w:val="24"/>
        </w:rPr>
        <w:t xml:space="preserve"> </w:t>
      </w:r>
    </w:p>
    <w:p w:rsidR="005229E9" w:rsidRPr="005229E9" w:rsidRDefault="005229E9" w:rsidP="005229E9">
      <w:pPr>
        <w:widowControl/>
        <w:autoSpaceDE/>
        <w:autoSpaceDN/>
        <w:adjustRightInd/>
        <w:spacing w:before="30"/>
        <w:ind w:left="600"/>
        <w:jc w:val="both"/>
        <w:rPr>
          <w:sz w:val="24"/>
          <w:szCs w:val="24"/>
        </w:rPr>
      </w:pPr>
      <w:r w:rsidRPr="005229E9">
        <w:rPr>
          <w:sz w:val="24"/>
          <w:szCs w:val="24"/>
        </w:rPr>
        <w:t xml:space="preserve">У 93—95% больных обнаруживают точечные мутации протоонкогена c-ret (10q11). Этот протоонкоген кодирует рецептор нейротропного фактора, регулирующего пролиферацию и дифференцировку клеток — производных нервного гребня. Мутации c-ret приводят к активации тирозинкиназы рецептора и к трансформации нейроэктодермальных клеток. Мутации могут затрагивать разные кодоны c-ret. Например, у всех больных классической МЭН типа IIa и МЭН типа IIa с первичным амилоидозом кожи имеются мутации в кодоне 634, а при сопутствующей болезни Гиршспрунга — мутации в кодонах 634, 609, 618 и 620. Расшифровка генетических дефектов, лежащих в основе синдромов МЭН, позволяет оценивать риск заболевания у родственников больных и планировать профилактические мероприятия.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III. Лечение синдромов МЭН</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А. </w:t>
      </w:r>
      <w:r w:rsidRPr="005229E9">
        <w:rPr>
          <w:sz w:val="24"/>
          <w:szCs w:val="24"/>
        </w:rPr>
        <w:t xml:space="preserve">Выбор лечения определяется клиническими проявлениями заболевания, особенностями роста опухолей и возможными осложнениями. Например, медуллярный рак щитовидной железы почти всегда многоочаговый (независимо от того, пальпируется он или нет). Поэтому больным с медуллярным раком щитовидной железы показана тиреоэктомия.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Б. </w:t>
      </w:r>
      <w:r w:rsidRPr="005229E9">
        <w:rPr>
          <w:sz w:val="24"/>
          <w:szCs w:val="24"/>
        </w:rPr>
        <w:t xml:space="preserve">Опухоли из островковых клеток также многоочаговые, однако в большинстве случаев панкреатэктомия не нужна. Например, если у больного МЭН типа I опухоли из островковых клеток локализуются в хвосте, теле и головке поджелудочной железы, то лечение может включать резекцию хвоста и вылущивание опухолей тела и головки. </w:t>
      </w:r>
      <w:r w:rsidRPr="005229E9">
        <w:rPr>
          <w:sz w:val="24"/>
          <w:szCs w:val="24"/>
        </w:rPr>
        <w:lastRenderedPageBreak/>
        <w:t xml:space="preserve">Одновременно проводят паратиреоэктомию с аутотрансплантацией одной из желез или ее фрагментов в подфасциальное пространство предплечья.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В. </w:t>
      </w:r>
      <w:r w:rsidRPr="005229E9">
        <w:rPr>
          <w:sz w:val="24"/>
          <w:szCs w:val="24"/>
        </w:rPr>
        <w:t xml:space="preserve">Если гипергастринемия обусловлена не гастриномой, а гиперпаратиреозом, она исчезает или значительно снижается после паратиреоэктомии.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Г. </w:t>
      </w:r>
      <w:r w:rsidRPr="005229E9">
        <w:rPr>
          <w:sz w:val="24"/>
          <w:szCs w:val="24"/>
        </w:rPr>
        <w:t xml:space="preserve">При феохромоцитоме рекомендуется двусторонняя адреналэктомия, поскольку феохромоцитома часто поражает оба надпочечника и склонна к рецидивам.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Д. </w:t>
      </w:r>
      <w:r w:rsidRPr="005229E9">
        <w:rPr>
          <w:sz w:val="24"/>
          <w:szCs w:val="24"/>
        </w:rPr>
        <w:t>План лечения составляют с учетом всех компонентов синдрома.</w:t>
      </w:r>
      <w:r w:rsidRPr="005229E9">
        <w:rPr>
          <w:rFonts w:ascii="Arial" w:hAnsi="Arial" w:cs="Arial"/>
          <w:b/>
          <w:bCs/>
          <w:sz w:val="24"/>
          <w:szCs w:val="24"/>
        </w:rPr>
        <w:t xml:space="preserve"> </w:t>
      </w:r>
      <w:r w:rsidRPr="005229E9">
        <w:rPr>
          <w:sz w:val="24"/>
          <w:szCs w:val="24"/>
        </w:rPr>
        <w:t xml:space="preserve">Например, если одновременно имеются медуллярный рак щитовидной железы и феохромоцитома, то сначала проводят операцию на надпочечниках, чтобы предотвратить катехоламиновый криз во время операции на щитовидной железе.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Е. </w:t>
      </w:r>
      <w:r w:rsidRPr="005229E9">
        <w:rPr>
          <w:sz w:val="24"/>
          <w:szCs w:val="24"/>
        </w:rPr>
        <w:t xml:space="preserve">Чем раньше поставлен диагноз и чем радикальнее методы лечения, тем лучше прогноз и выше шансы излечить больного. </w:t>
      </w:r>
    </w:p>
    <w:p w:rsidR="005229E9" w:rsidRDefault="005229E9" w:rsidP="00D92FF2">
      <w:pPr>
        <w:widowControl/>
        <w:autoSpaceDE/>
        <w:autoSpaceDN/>
        <w:adjustRightInd/>
        <w:spacing w:before="100" w:beforeAutospacing="1" w:after="100" w:afterAutospacing="1"/>
        <w:jc w:val="both"/>
        <w:outlineLvl w:val="1"/>
        <w:rPr>
          <w:bCs/>
          <w:sz w:val="36"/>
          <w:szCs w:val="36"/>
        </w:rPr>
      </w:pPr>
    </w:p>
    <w:p w:rsidR="00330439" w:rsidRDefault="00330439" w:rsidP="00330439">
      <w:pPr>
        <w:widowControl/>
        <w:autoSpaceDE/>
        <w:autoSpaceDN/>
        <w:adjustRightInd/>
        <w:spacing w:before="100" w:beforeAutospacing="1" w:after="100" w:afterAutospacing="1"/>
        <w:jc w:val="both"/>
        <w:outlineLvl w:val="1"/>
        <w:rPr>
          <w:bCs/>
          <w:sz w:val="36"/>
          <w:szCs w:val="36"/>
          <w:lang w:val="uz-Cyrl-UZ"/>
        </w:rPr>
      </w:pPr>
      <w:bookmarkStart w:id="38" w:name="_Toc213118551"/>
      <w:bookmarkStart w:id="39" w:name="_Toc213164098"/>
      <w:bookmarkEnd w:id="2"/>
      <w:bookmarkEnd w:id="3"/>
      <w:r w:rsidRPr="00587101">
        <w:rPr>
          <w:bCs/>
          <w:sz w:val="36"/>
          <w:szCs w:val="36"/>
        </w:rPr>
        <w:t xml:space="preserve">План </w:t>
      </w:r>
      <w:r>
        <w:rPr>
          <w:bCs/>
          <w:sz w:val="36"/>
          <w:szCs w:val="36"/>
          <w:lang w:val="uz-Cyrl-UZ"/>
        </w:rPr>
        <w:t>3</w:t>
      </w:r>
      <w:r w:rsidRPr="00587101">
        <w:rPr>
          <w:bCs/>
          <w:sz w:val="36"/>
          <w:szCs w:val="36"/>
        </w:rPr>
        <w:t xml:space="preserve">. </w:t>
      </w:r>
      <w:r w:rsidR="005229E9" w:rsidRPr="005229E9">
        <w:rPr>
          <w:bCs/>
          <w:sz w:val="36"/>
          <w:szCs w:val="36"/>
        </w:rPr>
        <w:t>Хирургическое лечение эндокринных болезней</w:t>
      </w:r>
      <w:r w:rsidR="005229E9">
        <w:rPr>
          <w:bCs/>
          <w:sz w:val="36"/>
          <w:szCs w:val="36"/>
          <w:lang w:val="uz-Cyrl-UZ"/>
        </w:rPr>
        <w:t>.</w:t>
      </w:r>
    </w:p>
    <w:p w:rsidR="005229E9" w:rsidRPr="005229E9" w:rsidRDefault="005229E9" w:rsidP="005229E9">
      <w:pPr>
        <w:widowControl/>
        <w:autoSpaceDE/>
        <w:autoSpaceDN/>
        <w:adjustRightInd/>
        <w:spacing w:before="100" w:beforeAutospacing="1" w:after="100" w:afterAutospacing="1"/>
        <w:jc w:val="both"/>
        <w:rPr>
          <w:sz w:val="36"/>
          <w:szCs w:val="36"/>
        </w:rPr>
      </w:pPr>
      <w:r w:rsidRPr="005229E9">
        <w:rPr>
          <w:rFonts w:ascii="Arial" w:hAnsi="Arial" w:cs="Arial"/>
          <w:b/>
          <w:bCs/>
          <w:sz w:val="36"/>
          <w:szCs w:val="36"/>
        </w:rPr>
        <w:t xml:space="preserve">Опухоли щитовидной железы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 xml:space="preserve">I. Общие сведения. </w:t>
      </w:r>
      <w:r w:rsidRPr="005229E9">
        <w:rPr>
          <w:sz w:val="24"/>
          <w:szCs w:val="24"/>
        </w:rPr>
        <w:t xml:space="preserve">Узлы щитовидной железы находят примерно у 4% населения США, заболеваемость раком щитовидной железы составляет 40:1 млн в год, а смертность — 6:1 млн в год. Поэтому тактику лечения (диспансерное наблюдение, супрессивная терапия левотироксином или тиреоэктомия) всегда выбирают индивидуально. Чаще всего встречается папиллярный рак щитовидной железы, который развивается медленно и характеризуется благоприятным прогнозом. Однако при некоторых опухолях щитовидной железы прогноз крайне неблагоприятный.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А. Признаки доброкачественности узла щитовидной железы</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Многоузловой зоб.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Диффузный зоб.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Доброкачественные узлы щитовидной железы и отсутствие рака щитовидной железы в семейном анамнезе.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 xml:space="preserve">Высокий титр антитиреоидных антител (хронический лимфоцитарный тиреоидит).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5. </w:t>
      </w:r>
      <w:r w:rsidRPr="005229E9">
        <w:rPr>
          <w:sz w:val="24"/>
          <w:szCs w:val="24"/>
        </w:rPr>
        <w:t xml:space="preserve">Повышенный уровень ТТГ.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6. </w:t>
      </w:r>
      <w:r w:rsidRPr="005229E9">
        <w:rPr>
          <w:sz w:val="24"/>
          <w:szCs w:val="24"/>
        </w:rPr>
        <w:t xml:space="preserve">Кистозная структура узла.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7. </w:t>
      </w:r>
      <w:r w:rsidRPr="005229E9">
        <w:rPr>
          <w:sz w:val="24"/>
          <w:szCs w:val="24"/>
        </w:rPr>
        <w:t xml:space="preserve">Уменьшение узла при лечении левотироксином. </w:t>
      </w:r>
    </w:p>
    <w:p w:rsidR="005229E9" w:rsidRPr="005229E9" w:rsidRDefault="005229E9" w:rsidP="005229E9">
      <w:pPr>
        <w:widowControl/>
        <w:autoSpaceDE/>
        <w:autoSpaceDN/>
        <w:adjustRightInd/>
        <w:spacing w:before="30"/>
        <w:ind w:left="900" w:hanging="300"/>
        <w:jc w:val="both"/>
        <w:rPr>
          <w:sz w:val="24"/>
          <w:szCs w:val="24"/>
        </w:rPr>
      </w:pPr>
      <w:bookmarkStart w:id="40" w:name="I.А.8."/>
      <w:r w:rsidRPr="005229E9">
        <w:rPr>
          <w:rFonts w:ascii="Arial" w:hAnsi="Arial" w:cs="Arial"/>
          <w:b/>
          <w:bCs/>
          <w:sz w:val="24"/>
          <w:szCs w:val="24"/>
        </w:rPr>
        <w:t>8.</w:t>
      </w:r>
      <w:bookmarkEnd w:id="40"/>
      <w:r w:rsidRPr="005229E9">
        <w:rPr>
          <w:rFonts w:ascii="Arial" w:hAnsi="Arial" w:cs="Arial"/>
          <w:b/>
          <w:bCs/>
          <w:sz w:val="24"/>
          <w:szCs w:val="24"/>
        </w:rPr>
        <w:t xml:space="preserve"> </w:t>
      </w:r>
      <w:r w:rsidRPr="005229E9">
        <w:rPr>
          <w:sz w:val="24"/>
          <w:szCs w:val="24"/>
        </w:rPr>
        <w:t xml:space="preserve">Отсутствие признаков злокачественного перерождения при аспирационной биопсии.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Б. Признаки злокачественности узла щитовидной железы</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Одиночный узел.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Холодный узел по данным сцинтиграфии (см. гл. 30, п. II.Б.4).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Облучение головы или шеи в прошлом.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 xml:space="preserve">В семейном анамнезе случаи рака щитовидной железы, МЭН типа IIa (медуллярный рак щитовидной железы, гиперпаратиреоз и феохромоцитома) или кауденовской болезни.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lastRenderedPageBreak/>
        <w:t xml:space="preserve">5. </w:t>
      </w:r>
      <w:r w:rsidRPr="005229E9">
        <w:rPr>
          <w:sz w:val="24"/>
          <w:szCs w:val="24"/>
        </w:rPr>
        <w:t xml:space="preserve">Рак другой доли щитовидной железы в анамнезе.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6. </w:t>
      </w:r>
      <w:r w:rsidRPr="005229E9">
        <w:rPr>
          <w:sz w:val="24"/>
          <w:szCs w:val="24"/>
        </w:rPr>
        <w:t xml:space="preserve">Мужской пол и возраст моложе 40 лет.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7. </w:t>
      </w:r>
      <w:r w:rsidRPr="005229E9">
        <w:rPr>
          <w:sz w:val="24"/>
          <w:szCs w:val="24"/>
        </w:rPr>
        <w:t xml:space="preserve">Быстрый рост узла. </w:t>
      </w:r>
    </w:p>
    <w:p w:rsidR="005229E9" w:rsidRPr="005229E9" w:rsidRDefault="005229E9" w:rsidP="005229E9">
      <w:pPr>
        <w:widowControl/>
        <w:autoSpaceDE/>
        <w:autoSpaceDN/>
        <w:adjustRightInd/>
        <w:spacing w:before="30"/>
        <w:ind w:left="900" w:hanging="300"/>
        <w:jc w:val="both"/>
        <w:rPr>
          <w:sz w:val="24"/>
          <w:szCs w:val="24"/>
        </w:rPr>
      </w:pPr>
      <w:bookmarkStart w:id="41" w:name="I.Б.8."/>
      <w:r w:rsidRPr="005229E9">
        <w:rPr>
          <w:rFonts w:ascii="Arial" w:hAnsi="Arial" w:cs="Arial"/>
          <w:b/>
          <w:bCs/>
          <w:sz w:val="24"/>
          <w:szCs w:val="24"/>
        </w:rPr>
        <w:t>8.</w:t>
      </w:r>
      <w:bookmarkEnd w:id="41"/>
      <w:r w:rsidRPr="005229E9">
        <w:rPr>
          <w:rFonts w:ascii="Arial" w:hAnsi="Arial" w:cs="Arial"/>
          <w:b/>
          <w:bCs/>
          <w:sz w:val="24"/>
          <w:szCs w:val="24"/>
        </w:rPr>
        <w:t xml:space="preserve"> </w:t>
      </w:r>
      <w:r w:rsidRPr="005229E9">
        <w:rPr>
          <w:sz w:val="24"/>
          <w:szCs w:val="24"/>
        </w:rPr>
        <w:t xml:space="preserve">Плотный узел при пальпации. </w:t>
      </w:r>
    </w:p>
    <w:p w:rsidR="005229E9" w:rsidRPr="005229E9" w:rsidRDefault="005229E9" w:rsidP="005229E9">
      <w:pPr>
        <w:widowControl/>
        <w:autoSpaceDE/>
        <w:autoSpaceDN/>
        <w:adjustRightInd/>
        <w:spacing w:before="30"/>
        <w:ind w:left="900" w:hanging="300"/>
        <w:jc w:val="both"/>
        <w:rPr>
          <w:sz w:val="24"/>
          <w:szCs w:val="24"/>
        </w:rPr>
      </w:pPr>
      <w:bookmarkStart w:id="42" w:name="I.Б.9."/>
      <w:r w:rsidRPr="005229E9">
        <w:rPr>
          <w:rFonts w:ascii="Arial" w:hAnsi="Arial" w:cs="Arial"/>
          <w:b/>
          <w:bCs/>
          <w:sz w:val="24"/>
          <w:szCs w:val="24"/>
        </w:rPr>
        <w:t>9.</w:t>
      </w:r>
      <w:bookmarkEnd w:id="42"/>
      <w:r w:rsidRPr="005229E9">
        <w:rPr>
          <w:rFonts w:ascii="Arial" w:hAnsi="Arial" w:cs="Arial"/>
          <w:b/>
          <w:bCs/>
          <w:sz w:val="24"/>
          <w:szCs w:val="24"/>
        </w:rPr>
        <w:t xml:space="preserve"> </w:t>
      </w:r>
      <w:r w:rsidRPr="005229E9">
        <w:rPr>
          <w:sz w:val="24"/>
          <w:szCs w:val="24"/>
        </w:rPr>
        <w:t xml:space="preserve">Солидный или смешанный солидно-кистозный узел при УЗИ. </w:t>
      </w:r>
    </w:p>
    <w:p w:rsidR="005229E9" w:rsidRPr="005229E9" w:rsidRDefault="005229E9" w:rsidP="005229E9">
      <w:pPr>
        <w:widowControl/>
        <w:autoSpaceDE/>
        <w:autoSpaceDN/>
        <w:adjustRightInd/>
        <w:spacing w:before="30"/>
        <w:ind w:left="900" w:hanging="300"/>
        <w:jc w:val="both"/>
        <w:rPr>
          <w:sz w:val="24"/>
          <w:szCs w:val="24"/>
        </w:rPr>
      </w:pPr>
      <w:bookmarkStart w:id="43" w:name="I.Б.10."/>
      <w:r w:rsidRPr="005229E9">
        <w:rPr>
          <w:rFonts w:ascii="Arial" w:hAnsi="Arial" w:cs="Arial"/>
          <w:b/>
          <w:bCs/>
          <w:sz w:val="24"/>
          <w:szCs w:val="24"/>
        </w:rPr>
        <w:t>10.</w:t>
      </w:r>
      <w:bookmarkEnd w:id="43"/>
      <w:r w:rsidRPr="005229E9">
        <w:rPr>
          <w:rFonts w:ascii="Arial" w:hAnsi="Arial" w:cs="Arial"/>
          <w:b/>
          <w:bCs/>
          <w:sz w:val="24"/>
          <w:szCs w:val="24"/>
        </w:rPr>
        <w:t xml:space="preserve"> </w:t>
      </w:r>
      <w:r w:rsidRPr="005229E9">
        <w:rPr>
          <w:sz w:val="24"/>
          <w:szCs w:val="24"/>
        </w:rPr>
        <w:t xml:space="preserve">Пальпируемые лимфоузлы на стороне поражения. </w:t>
      </w:r>
    </w:p>
    <w:p w:rsidR="005229E9" w:rsidRPr="005229E9" w:rsidRDefault="005229E9" w:rsidP="005229E9">
      <w:pPr>
        <w:widowControl/>
        <w:autoSpaceDE/>
        <w:autoSpaceDN/>
        <w:adjustRightInd/>
        <w:spacing w:before="30"/>
        <w:ind w:left="900" w:hanging="300"/>
        <w:jc w:val="both"/>
        <w:rPr>
          <w:sz w:val="24"/>
          <w:szCs w:val="24"/>
        </w:rPr>
      </w:pPr>
      <w:bookmarkStart w:id="44" w:name="I.Б.11."/>
      <w:r w:rsidRPr="005229E9">
        <w:rPr>
          <w:rFonts w:ascii="Arial" w:hAnsi="Arial" w:cs="Arial"/>
          <w:b/>
          <w:bCs/>
          <w:sz w:val="24"/>
          <w:szCs w:val="24"/>
        </w:rPr>
        <w:t>11.</w:t>
      </w:r>
      <w:bookmarkEnd w:id="44"/>
      <w:r w:rsidRPr="005229E9">
        <w:rPr>
          <w:rFonts w:ascii="Arial" w:hAnsi="Arial" w:cs="Arial"/>
          <w:b/>
          <w:bCs/>
          <w:sz w:val="24"/>
          <w:szCs w:val="24"/>
        </w:rPr>
        <w:t xml:space="preserve"> </w:t>
      </w:r>
      <w:r w:rsidRPr="005229E9">
        <w:rPr>
          <w:sz w:val="24"/>
          <w:szCs w:val="24"/>
        </w:rPr>
        <w:t xml:space="preserve">Дисфагия, охриплость голоса. </w:t>
      </w:r>
    </w:p>
    <w:p w:rsidR="005229E9" w:rsidRPr="005229E9" w:rsidRDefault="005229E9" w:rsidP="005229E9">
      <w:pPr>
        <w:widowControl/>
        <w:autoSpaceDE/>
        <w:autoSpaceDN/>
        <w:adjustRightInd/>
        <w:spacing w:before="30"/>
        <w:ind w:left="900" w:hanging="300"/>
        <w:jc w:val="both"/>
        <w:rPr>
          <w:sz w:val="24"/>
          <w:szCs w:val="24"/>
        </w:rPr>
      </w:pPr>
      <w:bookmarkStart w:id="45" w:name="I.Б.12."/>
      <w:r w:rsidRPr="005229E9">
        <w:rPr>
          <w:rFonts w:ascii="Arial" w:hAnsi="Arial" w:cs="Arial"/>
          <w:b/>
          <w:bCs/>
          <w:sz w:val="24"/>
          <w:szCs w:val="24"/>
        </w:rPr>
        <w:t>12.</w:t>
      </w:r>
      <w:bookmarkEnd w:id="45"/>
      <w:r w:rsidRPr="005229E9">
        <w:rPr>
          <w:rFonts w:ascii="Arial" w:hAnsi="Arial" w:cs="Arial"/>
          <w:b/>
          <w:bCs/>
          <w:sz w:val="24"/>
          <w:szCs w:val="24"/>
        </w:rPr>
        <w:t xml:space="preserve"> </w:t>
      </w:r>
      <w:r w:rsidRPr="005229E9">
        <w:rPr>
          <w:sz w:val="24"/>
          <w:szCs w:val="24"/>
        </w:rPr>
        <w:t xml:space="preserve">Опухолевые клетки или клетки с косвенными признаками злокачественного перерождения при аспирационной биопсии.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В. Рак щитовидной железы</w:t>
      </w:r>
      <w:r w:rsidRPr="005229E9">
        <w:rPr>
          <w:sz w:val="24"/>
          <w:szCs w:val="24"/>
        </w:rPr>
        <w:t xml:space="preserve"> возникает у 5—7% больных после облучения головы и шеи. Риск рака щитовидной железы особенно велик, когда доза облучения, поглощенная щитовидной железой, находится в пределах 0,065—30 Гр. Низкодозовая лучевая терапия также повышает риск опухолей паращитовидных, слюнных и молочных желез.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Г. </w:t>
      </w:r>
      <w:r w:rsidRPr="005229E9">
        <w:rPr>
          <w:sz w:val="24"/>
          <w:szCs w:val="24"/>
        </w:rPr>
        <w:t xml:space="preserve">У 40% больных с одиночным узлом щитовидной железы, ранее получавших низкодозовую лучевую терапию, имеется рак щитовидной железы. В 60% случаев именно этот узел является злокачественной опухолью, а в 40% она локализуется в другом участке щитовидной железы.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Д. </w:t>
      </w:r>
      <w:r w:rsidRPr="005229E9">
        <w:rPr>
          <w:sz w:val="24"/>
          <w:szCs w:val="24"/>
        </w:rPr>
        <w:t xml:space="preserve">У большинства больных с узлами щитовидной железы сохраняется эутиреоз. Для оценки функции щитовидной железы определяют уровень ТТГ в сыворотке (самый чувствительный метод). При гипотиреозе уровень ТТГ повышен, при тиреотоксикозе — снижен.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Е. Доброкачественные новообразования</w:t>
      </w:r>
      <w:r w:rsidRPr="005229E9">
        <w:rPr>
          <w:sz w:val="24"/>
          <w:szCs w:val="24"/>
        </w:rPr>
        <w:t xml:space="preserve"> щитовидной железы: коллоидный узел, инволютивный узел, аденома, киста, узлы (очаги воспаления) при подостром и хроническом тиреоидите.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Ж. Злокачественные новообразования</w:t>
      </w:r>
      <w:r w:rsidRPr="005229E9">
        <w:rPr>
          <w:sz w:val="24"/>
          <w:szCs w:val="24"/>
        </w:rPr>
        <w:t xml:space="preserve"> щитовидной железы: дифференцированный рак (папиллярный, папиллярно-фолликулярный и фолликулярный), рак из клеток Гюртле, медуллярный рак, недифференцированный рак, лимфосаркома, тератома, плоскоклеточный рак, а также метастазы других опухолей.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 xml:space="preserve">II. Обследование. </w:t>
      </w:r>
      <w:r w:rsidRPr="005229E9">
        <w:rPr>
          <w:sz w:val="24"/>
          <w:szCs w:val="24"/>
        </w:rPr>
        <w:t xml:space="preserve">При одиночных узлах и многоузловом зобе с одним растущим узлом показаны определение уровня ТТГ в сыворотке и аспирационная биопсия узла с последующим цитологическим исследованием. Злокачественные новообразования удаляют, при доброкачественных можно ограничиться диспансерным наблюдением. Если при цитологическом исследовании узла обнаружены фолликулярные структуры, показана сцинтиграфия щитовидной железы с изотопами йода или </w:t>
      </w:r>
      <w:r w:rsidRPr="005229E9">
        <w:rPr>
          <w:sz w:val="24"/>
          <w:szCs w:val="24"/>
          <w:vertAlign w:val="superscript"/>
        </w:rPr>
        <w:t>99m</w:t>
      </w:r>
      <w:r w:rsidRPr="005229E9">
        <w:rPr>
          <w:sz w:val="24"/>
          <w:szCs w:val="24"/>
        </w:rPr>
        <w:t xml:space="preserve">Tc-пертехнетатом. Если при сцинтиграфии фолликулярный узел выглядит горячим, продолжают наблюдение; если узел холодный и имеет размеры более 2 см, его надо удалить. Такой подход безопасен и дешев, но неприменим для больных, которые ранее получали лучевую терапию. У таких больных новообразования щитовидной железы множественные и поэтому при обнаружении одиночного холодного узла показана тиреоэктомия.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III. Хирургическое лечение</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А. Показания</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Растущий узел.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Облучение головы и шеи или лучевая терапия болезней щитовидной железы в анамнезе.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lastRenderedPageBreak/>
        <w:t xml:space="preserve">3. </w:t>
      </w:r>
      <w:r w:rsidRPr="005229E9">
        <w:rPr>
          <w:sz w:val="24"/>
          <w:szCs w:val="24"/>
        </w:rPr>
        <w:t xml:space="preserve">Очень плотный узел.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 xml:space="preserve">Злокачественное или подозрительное новообразование при цитологическом исследовании. </w:t>
      </w:r>
    </w:p>
    <w:p w:rsidR="005229E9" w:rsidRPr="005229E9" w:rsidRDefault="005229E9" w:rsidP="005229E9">
      <w:pPr>
        <w:widowControl/>
        <w:autoSpaceDE/>
        <w:autoSpaceDN/>
        <w:adjustRightInd/>
        <w:spacing w:before="30"/>
        <w:ind w:left="600"/>
        <w:jc w:val="both"/>
        <w:rPr>
          <w:sz w:val="24"/>
          <w:szCs w:val="24"/>
        </w:rPr>
      </w:pPr>
      <w:r w:rsidRPr="005229E9">
        <w:rPr>
          <w:sz w:val="24"/>
          <w:szCs w:val="24"/>
        </w:rPr>
        <w:t xml:space="preserve">Минимальный объем операции — резекция доли, в которой находится подозрительный узел (гемитиреоэктомия), и перешейка.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Б. Множественные узлы. </w:t>
      </w:r>
      <w:r w:rsidRPr="005229E9">
        <w:rPr>
          <w:sz w:val="24"/>
          <w:szCs w:val="24"/>
        </w:rPr>
        <w:t xml:space="preserve">Назначают супрессивную терапию левотироксином, 200 мкг/сут внутрь в течение 3—6 мес. Проводят аспирационную биопсию (иглой 23 G) всех подозрительных участков и узлов в пределах многоузлового зоба с последующим цитологическим исследованием. Через 3—6 мес лечения левотироксином размеры доброкачественных узлов должны уменьшиться на 50% и более. Уменьшение узлов происходит примерно у половины больных. В таких случаях супрессивную терапию продолжают. Если размеры узла не уменьшаются, проводят повторную биопсию; если узел увеличился — его удаляют. Надежный метод оценки размеров узла — УЗИ с частотой излучения 10 МГц. Кроме того, об уменьшении узла можно судить по снижению уровня тиреоглобулина в сыворотке.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В. Одиночный узел. </w:t>
      </w:r>
      <w:r w:rsidRPr="005229E9">
        <w:rPr>
          <w:sz w:val="24"/>
          <w:szCs w:val="24"/>
        </w:rPr>
        <w:t xml:space="preserve">Если цитологическое исследование свидетельствует о доброкачественности узла, внутрь назначают левотироксин, 150—200 мкг/сут. Если при сцинтиграфии выявлен теплый или горячий узел, также назначают левотироксин. Если при цитологическом исследовании выявлено злокачественное или подозрительное новообразование, необходима операция.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Г. Больные, ранее получавшие лучевую терапию. </w:t>
      </w:r>
      <w:r w:rsidRPr="005229E9">
        <w:rPr>
          <w:sz w:val="24"/>
          <w:szCs w:val="24"/>
        </w:rPr>
        <w:t xml:space="preserve">Из-за высокого риска рака щитовидной железы (примерно 40%) показано удаление любого пальпируемого узла. Проводят тиреоэктомию, субтотальную резекцию щитовидной железы либо гемитиреоэктомию с резекцией перешейка и последующей супрессивной терапией левотироксином.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Д. Объем операции. </w:t>
      </w:r>
      <w:r w:rsidRPr="005229E9">
        <w:rPr>
          <w:sz w:val="24"/>
          <w:szCs w:val="24"/>
        </w:rPr>
        <w:t xml:space="preserve">Вопрос об объеме операции при подозрительных узлах щитовидной железы до сих пор остается спорным. При любом подозрительном новообразовании (за исключением мелких узлов, локализованных в перешейке) нужна как минимум гемитиреоэктомия с резекцией перешейка. Лишь при локализации узла в перешейке можно ограничиться экономной резекцией с последующей биопсией. При дифференцированном раке щитовидной железы, особенно если размеры опухоли превышают 1,5 см, субтотальная резекция щитовидной железы и тиреоэктомия надежнее, однако частота осложнений после таких вмешательств выше, чем после гемитиреоэктомии. Тиреоэктомия оправдана только при медуллярном раке. Кроме того, к ней прибегают при дифференцированном раке щитовидной железы, если риск осложнений (гипопаратиреоза и повреждения возвратного гортанного нерва) оценивается менее чем в 2%. Преимущества тиреоэктомии: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Удаление всех опухолевых клеток.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Возможность применения изотопов йода для уничтожения метастазов.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Меньшая частота рецидивов.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 xml:space="preserve">Не нужна супрессивная терапия левотироксином.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5. </w:t>
      </w:r>
      <w:r w:rsidRPr="005229E9">
        <w:rPr>
          <w:sz w:val="24"/>
          <w:szCs w:val="24"/>
        </w:rPr>
        <w:t xml:space="preserve">Исключена возможность трансформации дифференцированного рака в недифференцированный. </w:t>
      </w:r>
    </w:p>
    <w:p w:rsidR="005229E9" w:rsidRPr="005229E9" w:rsidRDefault="005229E9" w:rsidP="005229E9">
      <w:pPr>
        <w:widowControl/>
        <w:autoSpaceDE/>
        <w:autoSpaceDN/>
        <w:adjustRightInd/>
        <w:spacing w:before="30"/>
        <w:ind w:left="600"/>
        <w:jc w:val="both"/>
        <w:rPr>
          <w:sz w:val="24"/>
          <w:szCs w:val="24"/>
        </w:rPr>
      </w:pPr>
      <w:r w:rsidRPr="005229E9">
        <w:rPr>
          <w:sz w:val="24"/>
          <w:szCs w:val="24"/>
        </w:rPr>
        <w:lastRenderedPageBreak/>
        <w:t xml:space="preserve">Если папиллярный или папиллярно-фолликулярный рак не выходит за пределы доли щитовидной железы, можно ограничиться гемитиреоэктомией с резекцией перешейка; эта операция дает хорошие отдаленные результаты. При наличии пальпируемых лимфоузлов показано футлярно-фасциальное иссечение шейных лимфоузлов с сохранением грудино-ключично-сосцевидной мышцы и внутренней яремной вены.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Е. Другие способы лечения</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После операции всем больным с дифференцированным раком щитовидной железы внутрь назначают </w:t>
      </w:r>
      <w:r w:rsidRPr="005229E9">
        <w:rPr>
          <w:rFonts w:ascii="Arial" w:hAnsi="Arial" w:cs="Arial"/>
          <w:b/>
          <w:bCs/>
          <w:sz w:val="24"/>
          <w:szCs w:val="24"/>
        </w:rPr>
        <w:t>тиреоидные гормоны</w:t>
      </w:r>
      <w:r w:rsidRPr="005229E9">
        <w:rPr>
          <w:sz w:val="24"/>
          <w:szCs w:val="24"/>
        </w:rPr>
        <w:t xml:space="preserve"> в дозах, достаточных для подавления секреции ТТГ: левотироксин, 150—250 мкг/сут, либо лиотиронин, 75—100 мкг/сут.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Для выявления остаточной опухолевой ткани и метастазов после операции применяют обзорную сцинтиграфию с изотопами йода. Для разрушения метастазов и оставшейся ткани щитовидной железы используют </w:t>
      </w:r>
      <w:r w:rsidRPr="005229E9">
        <w:rPr>
          <w:sz w:val="24"/>
          <w:szCs w:val="24"/>
          <w:vertAlign w:val="superscript"/>
        </w:rPr>
        <w:t>131</w:t>
      </w:r>
      <w:r w:rsidRPr="005229E9">
        <w:rPr>
          <w:sz w:val="24"/>
          <w:szCs w:val="24"/>
        </w:rPr>
        <w:t xml:space="preserve">I.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Показания к назначению </w:t>
      </w:r>
      <w:r w:rsidRPr="005229E9">
        <w:rPr>
          <w:rFonts w:ascii="Arial" w:hAnsi="Arial" w:cs="Arial"/>
          <w:b/>
          <w:bCs/>
          <w:sz w:val="24"/>
          <w:szCs w:val="24"/>
          <w:vertAlign w:val="superscript"/>
        </w:rPr>
        <w:t>131</w:t>
      </w:r>
      <w:r w:rsidRPr="005229E9">
        <w:rPr>
          <w:rFonts w:ascii="Arial" w:hAnsi="Arial" w:cs="Arial"/>
          <w:b/>
          <w:bCs/>
          <w:sz w:val="24"/>
          <w:szCs w:val="24"/>
        </w:rPr>
        <w:t>I</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bookmarkStart w:id="46" w:name="III.Е.3.а."/>
      <w:r w:rsidRPr="005229E9">
        <w:rPr>
          <w:rFonts w:ascii="Arial" w:hAnsi="Arial" w:cs="Arial"/>
          <w:b/>
          <w:bCs/>
          <w:sz w:val="24"/>
          <w:szCs w:val="24"/>
        </w:rPr>
        <w:t>а.</w:t>
      </w:r>
      <w:bookmarkEnd w:id="46"/>
      <w:r w:rsidRPr="005229E9">
        <w:rPr>
          <w:rFonts w:ascii="Arial" w:hAnsi="Arial" w:cs="Arial"/>
          <w:b/>
          <w:bCs/>
          <w:sz w:val="24"/>
          <w:szCs w:val="24"/>
        </w:rPr>
        <w:t xml:space="preserve"> </w:t>
      </w:r>
      <w:r w:rsidRPr="005229E9">
        <w:rPr>
          <w:sz w:val="24"/>
          <w:szCs w:val="24"/>
        </w:rPr>
        <w:t xml:space="preserve">Дифференцированный рак щитовидной железы, если размер опухоли превышает 2 см. </w:t>
      </w:r>
    </w:p>
    <w:p w:rsidR="005229E9" w:rsidRPr="005229E9" w:rsidRDefault="005229E9" w:rsidP="005229E9">
      <w:pPr>
        <w:widowControl/>
        <w:autoSpaceDE/>
        <w:autoSpaceDN/>
        <w:adjustRightInd/>
        <w:spacing w:before="30"/>
        <w:ind w:left="1200" w:hanging="300"/>
        <w:jc w:val="both"/>
        <w:rPr>
          <w:sz w:val="24"/>
          <w:szCs w:val="24"/>
        </w:rPr>
      </w:pPr>
      <w:bookmarkStart w:id="47" w:name="III.Е.3.б."/>
      <w:r w:rsidRPr="005229E9">
        <w:rPr>
          <w:rFonts w:ascii="Arial" w:hAnsi="Arial" w:cs="Arial"/>
          <w:b/>
          <w:bCs/>
          <w:sz w:val="24"/>
          <w:szCs w:val="24"/>
        </w:rPr>
        <w:t>б.</w:t>
      </w:r>
      <w:bookmarkEnd w:id="47"/>
      <w:r w:rsidRPr="005229E9">
        <w:rPr>
          <w:rFonts w:ascii="Arial" w:hAnsi="Arial" w:cs="Arial"/>
          <w:b/>
          <w:bCs/>
          <w:sz w:val="24"/>
          <w:szCs w:val="24"/>
        </w:rPr>
        <w:t xml:space="preserve"> </w:t>
      </w:r>
      <w:r w:rsidRPr="005229E9">
        <w:rPr>
          <w:sz w:val="24"/>
          <w:szCs w:val="24"/>
        </w:rPr>
        <w:t xml:space="preserve">Множественные опухоли. </w:t>
      </w:r>
    </w:p>
    <w:p w:rsidR="005229E9" w:rsidRPr="005229E9" w:rsidRDefault="005229E9" w:rsidP="005229E9">
      <w:pPr>
        <w:widowControl/>
        <w:autoSpaceDE/>
        <w:autoSpaceDN/>
        <w:adjustRightInd/>
        <w:spacing w:before="30"/>
        <w:ind w:left="1200" w:hanging="300"/>
        <w:jc w:val="both"/>
        <w:rPr>
          <w:sz w:val="24"/>
          <w:szCs w:val="24"/>
        </w:rPr>
      </w:pPr>
      <w:bookmarkStart w:id="48" w:name="III.Е.3.в."/>
      <w:r w:rsidRPr="005229E9">
        <w:rPr>
          <w:rFonts w:ascii="Arial" w:hAnsi="Arial" w:cs="Arial"/>
          <w:b/>
          <w:bCs/>
          <w:sz w:val="24"/>
          <w:szCs w:val="24"/>
        </w:rPr>
        <w:t>в.</w:t>
      </w:r>
      <w:bookmarkEnd w:id="48"/>
      <w:r w:rsidRPr="005229E9">
        <w:rPr>
          <w:rFonts w:ascii="Arial" w:hAnsi="Arial" w:cs="Arial"/>
          <w:b/>
          <w:bCs/>
          <w:sz w:val="24"/>
          <w:szCs w:val="24"/>
        </w:rPr>
        <w:t xml:space="preserve"> </w:t>
      </w:r>
      <w:r w:rsidRPr="005229E9">
        <w:rPr>
          <w:sz w:val="24"/>
          <w:szCs w:val="24"/>
        </w:rPr>
        <w:t xml:space="preserve">Опухоль простирается до границы резекции. </w:t>
      </w:r>
    </w:p>
    <w:p w:rsidR="005229E9" w:rsidRPr="005229E9" w:rsidRDefault="005229E9" w:rsidP="005229E9">
      <w:pPr>
        <w:widowControl/>
        <w:autoSpaceDE/>
        <w:autoSpaceDN/>
        <w:adjustRightInd/>
        <w:spacing w:before="30"/>
        <w:ind w:left="1200" w:hanging="300"/>
        <w:jc w:val="both"/>
        <w:rPr>
          <w:sz w:val="24"/>
          <w:szCs w:val="24"/>
        </w:rPr>
      </w:pPr>
      <w:bookmarkStart w:id="49" w:name="III.Е.3.г."/>
      <w:r w:rsidRPr="005229E9">
        <w:rPr>
          <w:rFonts w:ascii="Arial" w:hAnsi="Arial" w:cs="Arial"/>
          <w:b/>
          <w:bCs/>
          <w:sz w:val="24"/>
          <w:szCs w:val="24"/>
        </w:rPr>
        <w:t>г.</w:t>
      </w:r>
      <w:bookmarkEnd w:id="49"/>
      <w:r w:rsidRPr="005229E9">
        <w:rPr>
          <w:rFonts w:ascii="Arial" w:hAnsi="Arial" w:cs="Arial"/>
          <w:b/>
          <w:bCs/>
          <w:sz w:val="24"/>
          <w:szCs w:val="24"/>
        </w:rPr>
        <w:t xml:space="preserve"> </w:t>
      </w:r>
      <w:r w:rsidRPr="005229E9">
        <w:rPr>
          <w:sz w:val="24"/>
          <w:szCs w:val="24"/>
        </w:rPr>
        <w:t xml:space="preserve">Инвазивный рост опухоли. </w:t>
      </w:r>
    </w:p>
    <w:p w:rsidR="005229E9" w:rsidRPr="005229E9" w:rsidRDefault="005229E9" w:rsidP="005229E9">
      <w:pPr>
        <w:widowControl/>
        <w:autoSpaceDE/>
        <w:autoSpaceDN/>
        <w:adjustRightInd/>
        <w:spacing w:before="30"/>
        <w:ind w:left="1200" w:hanging="300"/>
        <w:jc w:val="both"/>
        <w:rPr>
          <w:sz w:val="24"/>
          <w:szCs w:val="24"/>
        </w:rPr>
      </w:pPr>
      <w:bookmarkStart w:id="50" w:name="III.Е.3.д."/>
      <w:r w:rsidRPr="005229E9">
        <w:rPr>
          <w:rFonts w:ascii="Arial" w:hAnsi="Arial" w:cs="Arial"/>
          <w:b/>
          <w:bCs/>
          <w:sz w:val="24"/>
          <w:szCs w:val="24"/>
        </w:rPr>
        <w:t>д.</w:t>
      </w:r>
      <w:bookmarkEnd w:id="50"/>
      <w:r w:rsidRPr="005229E9">
        <w:rPr>
          <w:rFonts w:ascii="Arial" w:hAnsi="Arial" w:cs="Arial"/>
          <w:b/>
          <w:bCs/>
          <w:sz w:val="24"/>
          <w:szCs w:val="24"/>
        </w:rPr>
        <w:t xml:space="preserve"> </w:t>
      </w:r>
      <w:r w:rsidRPr="005229E9">
        <w:rPr>
          <w:sz w:val="24"/>
          <w:szCs w:val="24"/>
        </w:rPr>
        <w:t xml:space="preserve">Метастазы в регионарные лимфоузлы или отдаленные метастазы.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4. Показания к лучевой терапии</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Инвазивный рост опухоли или метастазирующий рак щитовидной железы, клетки которого не поглощают </w:t>
      </w:r>
      <w:r w:rsidRPr="005229E9">
        <w:rPr>
          <w:sz w:val="24"/>
          <w:szCs w:val="24"/>
          <w:vertAlign w:val="superscript"/>
        </w:rPr>
        <w:t>131</w:t>
      </w:r>
      <w:r w:rsidRPr="005229E9">
        <w:rPr>
          <w:sz w:val="24"/>
          <w:szCs w:val="24"/>
        </w:rPr>
        <w:t xml:space="preserve">I.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w:t>
      </w:r>
      <w:r w:rsidRPr="005229E9">
        <w:rPr>
          <w:sz w:val="24"/>
          <w:szCs w:val="24"/>
        </w:rPr>
        <w:t xml:space="preserve">Отдаленные метастазы.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в. </w:t>
      </w:r>
      <w:r w:rsidRPr="005229E9">
        <w:rPr>
          <w:sz w:val="24"/>
          <w:szCs w:val="24"/>
        </w:rPr>
        <w:t xml:space="preserve">Недифференцированный рак щитовидной железы.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г. </w:t>
      </w:r>
      <w:r w:rsidRPr="005229E9">
        <w:rPr>
          <w:sz w:val="24"/>
          <w:szCs w:val="24"/>
        </w:rPr>
        <w:t xml:space="preserve">Неоперабельный медуллярный рак.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5. Химиотерапию</w:t>
      </w:r>
      <w:r w:rsidRPr="005229E9">
        <w:rPr>
          <w:sz w:val="24"/>
          <w:szCs w:val="24"/>
        </w:rPr>
        <w:t xml:space="preserve"> применяют при неоперабельных опухолях, рецидивах и при недифференцированном раке щитовидной железы. Наилучшие результаты дает </w:t>
      </w:r>
      <w:r w:rsidRPr="005229E9">
        <w:rPr>
          <w:rFonts w:ascii="Arial" w:hAnsi="Arial" w:cs="Arial"/>
          <w:b/>
          <w:bCs/>
          <w:sz w:val="24"/>
          <w:szCs w:val="24"/>
        </w:rPr>
        <w:t>доксорубицин</w:t>
      </w:r>
      <w:r w:rsidRPr="005229E9">
        <w:rPr>
          <w:sz w:val="24"/>
          <w:szCs w:val="24"/>
        </w:rPr>
        <w:t xml:space="preserve">. Химиотерапию обычно сочетают с лучевой терапией.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Ж. Последующее наблюдение</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Обследования проводят 1—2 раза в год. Обращают внимание на боль в костях, кашель, головную боль. Тщательно пальпируют шею в поисках объемных образований и увеличенных лимфоузлов.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Через 3 мес после тиреоэктомии больным, у которых размеры опухоли превышали 2 см, проводят обзорную сцинтиграфию с изотопами йода. Для того чтобы повысить уровень ТТГ в сыворотке, за 6 нед до исследования отменяют левотироксин и переводят больного на лиотиронин; через 4 нед отменяют лиотиронин; еще через 2 нед проводят обзорную сцинтиграфию. Возможны и другие схемы подготовки к исследованию (см. гл. 30, п. III.Г.1). Если поглощение йода отсутствует и нет других признаков рецидива, необходимость в повторных исследованиях отпадает. </w:t>
      </w:r>
    </w:p>
    <w:p w:rsidR="005229E9" w:rsidRPr="005229E9" w:rsidRDefault="005229E9" w:rsidP="005229E9">
      <w:pPr>
        <w:widowControl/>
        <w:autoSpaceDE/>
        <w:autoSpaceDN/>
        <w:adjustRightInd/>
        <w:spacing w:before="30"/>
        <w:ind w:left="900" w:hanging="300"/>
        <w:jc w:val="both"/>
        <w:rPr>
          <w:sz w:val="24"/>
          <w:szCs w:val="24"/>
        </w:rPr>
      </w:pPr>
      <w:bookmarkStart w:id="51" w:name="III.Ж.3."/>
      <w:r w:rsidRPr="005229E9">
        <w:rPr>
          <w:rFonts w:ascii="Arial" w:hAnsi="Arial" w:cs="Arial"/>
          <w:b/>
          <w:bCs/>
          <w:sz w:val="24"/>
          <w:szCs w:val="24"/>
        </w:rPr>
        <w:t>3.</w:t>
      </w:r>
      <w:bookmarkEnd w:id="51"/>
      <w:r w:rsidRPr="005229E9">
        <w:rPr>
          <w:rFonts w:ascii="Arial" w:hAnsi="Arial" w:cs="Arial"/>
          <w:b/>
          <w:bCs/>
          <w:sz w:val="24"/>
          <w:szCs w:val="24"/>
        </w:rPr>
        <w:t xml:space="preserve"> </w:t>
      </w:r>
      <w:r w:rsidRPr="005229E9">
        <w:rPr>
          <w:sz w:val="24"/>
          <w:szCs w:val="24"/>
        </w:rPr>
        <w:t xml:space="preserve">Чтобы выяснить, получает ли больной достаточное количество тиреоидных гормонов, определяют уровень ТТГ в сыворотке. </w:t>
      </w:r>
    </w:p>
    <w:p w:rsidR="005229E9" w:rsidRPr="005229E9" w:rsidRDefault="005229E9" w:rsidP="005229E9">
      <w:pPr>
        <w:widowControl/>
        <w:autoSpaceDE/>
        <w:autoSpaceDN/>
        <w:adjustRightInd/>
        <w:spacing w:before="30"/>
        <w:ind w:left="900" w:hanging="300"/>
        <w:jc w:val="both"/>
        <w:rPr>
          <w:sz w:val="24"/>
          <w:szCs w:val="24"/>
        </w:rPr>
      </w:pPr>
      <w:bookmarkStart w:id="52" w:name="III.Ж.4."/>
      <w:r w:rsidRPr="005229E9">
        <w:rPr>
          <w:rFonts w:ascii="Arial" w:hAnsi="Arial" w:cs="Arial"/>
          <w:b/>
          <w:bCs/>
          <w:sz w:val="24"/>
          <w:szCs w:val="24"/>
        </w:rPr>
        <w:t>4.</w:t>
      </w:r>
      <w:bookmarkEnd w:id="52"/>
      <w:r w:rsidRPr="005229E9">
        <w:rPr>
          <w:rFonts w:ascii="Arial" w:hAnsi="Arial" w:cs="Arial"/>
          <w:b/>
          <w:bCs/>
          <w:sz w:val="24"/>
          <w:szCs w:val="24"/>
        </w:rPr>
        <w:t xml:space="preserve"> </w:t>
      </w:r>
      <w:r w:rsidRPr="005229E9">
        <w:rPr>
          <w:sz w:val="24"/>
          <w:szCs w:val="24"/>
        </w:rPr>
        <w:t xml:space="preserve">Самый надежный маркер рецидивов и метастазов рака щитовидной железы — уровень тиреоглобулина в сыворотке. Если он возрастает, показана повторная обзорная </w:t>
      </w:r>
      <w:r w:rsidRPr="005229E9">
        <w:rPr>
          <w:sz w:val="24"/>
          <w:szCs w:val="24"/>
        </w:rPr>
        <w:lastRenderedPageBreak/>
        <w:t xml:space="preserve">сцинтиграфия. При медуллярном раке определяют базальный уровень кальцитонина в сыворотке и проводят пробы со стимуляцией пентагастрином или кальцием; кроме того, определяют раково-эмбриональный антиген. </w:t>
      </w:r>
    </w:p>
    <w:p w:rsidR="005229E9" w:rsidRPr="005229E9" w:rsidRDefault="005229E9" w:rsidP="005229E9">
      <w:pPr>
        <w:widowControl/>
        <w:autoSpaceDE/>
        <w:autoSpaceDN/>
        <w:adjustRightInd/>
        <w:spacing w:before="30"/>
        <w:ind w:left="900" w:hanging="300"/>
        <w:jc w:val="both"/>
        <w:rPr>
          <w:sz w:val="24"/>
          <w:szCs w:val="24"/>
        </w:rPr>
      </w:pPr>
      <w:bookmarkStart w:id="53" w:name="III.Ж.5."/>
      <w:r w:rsidRPr="005229E9">
        <w:rPr>
          <w:rFonts w:ascii="Arial" w:hAnsi="Arial" w:cs="Arial"/>
          <w:b/>
          <w:bCs/>
          <w:sz w:val="24"/>
          <w:szCs w:val="24"/>
        </w:rPr>
        <w:t>5.</w:t>
      </w:r>
      <w:bookmarkEnd w:id="53"/>
      <w:r w:rsidRPr="005229E9">
        <w:rPr>
          <w:rFonts w:ascii="Arial" w:hAnsi="Arial" w:cs="Arial"/>
          <w:b/>
          <w:bCs/>
          <w:sz w:val="24"/>
          <w:szCs w:val="24"/>
        </w:rPr>
        <w:t xml:space="preserve"> </w:t>
      </w:r>
      <w:r w:rsidRPr="005229E9">
        <w:rPr>
          <w:sz w:val="24"/>
          <w:szCs w:val="24"/>
        </w:rPr>
        <w:t xml:space="preserve">Больным раком щитовидной железы показана ежегодная рентгенография грудной клетки для выявления метастазов в легких. Обзорная сцинтиграфия ненадежна, поскольку только 60% легочных метастазов поглощают йод.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З. Прогноз.</w:t>
      </w:r>
      <w:r w:rsidRPr="005229E9">
        <w:rPr>
          <w:sz w:val="24"/>
          <w:szCs w:val="24"/>
        </w:rPr>
        <w:t xml:space="preserve"> При дифференцированном раке (папиллярном, папиллярно-фолликулярном, фолликулярном) прогноз благоприятный. Выделяют четыре стадии развития таких опухолей (классификация ДеГрута):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Стадия 1:</w:t>
      </w:r>
      <w:r w:rsidRPr="005229E9">
        <w:rPr>
          <w:sz w:val="24"/>
          <w:szCs w:val="24"/>
        </w:rPr>
        <w:t xml:space="preserve"> опухоль не выходит за пределы щитовидной железы.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Стадия 2:</w:t>
      </w:r>
      <w:r w:rsidRPr="005229E9">
        <w:rPr>
          <w:sz w:val="24"/>
          <w:szCs w:val="24"/>
        </w:rPr>
        <w:t xml:space="preserve"> поражены щитовидная железа и регионарные лимфоузлы. </w:t>
      </w:r>
    </w:p>
    <w:p w:rsidR="005229E9" w:rsidRPr="005229E9" w:rsidRDefault="005229E9" w:rsidP="005229E9">
      <w:pPr>
        <w:widowControl/>
        <w:autoSpaceDE/>
        <w:autoSpaceDN/>
        <w:adjustRightInd/>
        <w:spacing w:before="30"/>
        <w:ind w:left="900" w:hanging="300"/>
        <w:jc w:val="both"/>
        <w:rPr>
          <w:sz w:val="24"/>
          <w:szCs w:val="24"/>
        </w:rPr>
      </w:pPr>
      <w:bookmarkStart w:id="54" w:name="III.З.3."/>
      <w:r w:rsidRPr="005229E9">
        <w:rPr>
          <w:rFonts w:ascii="Arial" w:hAnsi="Arial" w:cs="Arial"/>
          <w:b/>
          <w:bCs/>
          <w:sz w:val="24"/>
          <w:szCs w:val="24"/>
        </w:rPr>
        <w:t>3.</w:t>
      </w:r>
      <w:bookmarkEnd w:id="54"/>
      <w:r w:rsidRPr="005229E9">
        <w:rPr>
          <w:rFonts w:ascii="Arial" w:hAnsi="Arial" w:cs="Arial"/>
          <w:b/>
          <w:bCs/>
          <w:sz w:val="24"/>
          <w:szCs w:val="24"/>
        </w:rPr>
        <w:t xml:space="preserve"> Стадия 3:</w:t>
      </w:r>
      <w:r w:rsidRPr="005229E9">
        <w:rPr>
          <w:sz w:val="24"/>
          <w:szCs w:val="24"/>
        </w:rPr>
        <w:t xml:space="preserve"> опухоль прорастает в окружающие ткани. </w:t>
      </w:r>
    </w:p>
    <w:p w:rsidR="005229E9" w:rsidRPr="005229E9" w:rsidRDefault="005229E9" w:rsidP="005229E9">
      <w:pPr>
        <w:widowControl/>
        <w:autoSpaceDE/>
        <w:autoSpaceDN/>
        <w:adjustRightInd/>
        <w:spacing w:before="30"/>
        <w:ind w:left="900" w:hanging="300"/>
        <w:jc w:val="both"/>
        <w:rPr>
          <w:sz w:val="24"/>
          <w:szCs w:val="24"/>
        </w:rPr>
      </w:pPr>
      <w:bookmarkStart w:id="55" w:name="III.З.4."/>
      <w:r w:rsidRPr="005229E9">
        <w:rPr>
          <w:rFonts w:ascii="Arial" w:hAnsi="Arial" w:cs="Arial"/>
          <w:b/>
          <w:bCs/>
          <w:sz w:val="24"/>
          <w:szCs w:val="24"/>
        </w:rPr>
        <w:t>4.</w:t>
      </w:r>
      <w:bookmarkEnd w:id="55"/>
      <w:r w:rsidRPr="005229E9">
        <w:rPr>
          <w:rFonts w:ascii="Arial" w:hAnsi="Arial" w:cs="Arial"/>
          <w:b/>
          <w:bCs/>
          <w:sz w:val="24"/>
          <w:szCs w:val="24"/>
        </w:rPr>
        <w:t xml:space="preserve"> Стадия 4:</w:t>
      </w:r>
      <w:r w:rsidRPr="005229E9">
        <w:rPr>
          <w:sz w:val="24"/>
          <w:szCs w:val="24"/>
        </w:rPr>
        <w:t xml:space="preserve"> отдаленные метастазы. </w:t>
      </w:r>
    </w:p>
    <w:p w:rsidR="005229E9" w:rsidRPr="005229E9" w:rsidRDefault="005229E9" w:rsidP="005229E9">
      <w:pPr>
        <w:widowControl/>
        <w:autoSpaceDE/>
        <w:autoSpaceDN/>
        <w:adjustRightInd/>
        <w:spacing w:before="30"/>
        <w:ind w:left="600"/>
        <w:jc w:val="both"/>
        <w:rPr>
          <w:sz w:val="24"/>
          <w:szCs w:val="24"/>
        </w:rPr>
      </w:pPr>
      <w:r w:rsidRPr="005229E9">
        <w:rPr>
          <w:sz w:val="24"/>
          <w:szCs w:val="24"/>
        </w:rPr>
        <w:t xml:space="preserve">Прогноз зависит от стадии заболевания и от возраста больного (менее благоприятный у мужчин старше 40 лет и женщин старше 50 лет). При дифференцированном раке выживаемость в течение 15 лет составляет 80%. При медуллярном раке щитовидной железы прогноз значительно хуже; выживаемость в течение 5 лет составляет 50%. При недифференцированном раке щитовидной железы прогноз крайне неблагоприятный. </w:t>
      </w:r>
    </w:p>
    <w:p w:rsidR="005229E9" w:rsidRPr="005229E9" w:rsidRDefault="005229E9" w:rsidP="005229E9">
      <w:pPr>
        <w:widowControl/>
        <w:autoSpaceDE/>
        <w:autoSpaceDN/>
        <w:adjustRightInd/>
        <w:spacing w:before="100" w:beforeAutospacing="1" w:after="100" w:afterAutospacing="1"/>
        <w:jc w:val="both"/>
        <w:rPr>
          <w:sz w:val="36"/>
          <w:szCs w:val="36"/>
        </w:rPr>
      </w:pPr>
      <w:r w:rsidRPr="005229E9">
        <w:rPr>
          <w:rFonts w:ascii="Arial" w:hAnsi="Arial" w:cs="Arial"/>
          <w:b/>
          <w:bCs/>
          <w:sz w:val="36"/>
          <w:szCs w:val="36"/>
        </w:rPr>
        <w:t xml:space="preserve">Тиреотоксикоз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 xml:space="preserve">IV. Общие сведения. </w:t>
      </w:r>
      <w:r w:rsidRPr="005229E9">
        <w:rPr>
          <w:sz w:val="24"/>
          <w:szCs w:val="24"/>
        </w:rPr>
        <w:t>Самые частые причины тиреотоксикоза — диффузный токсический зоб (болезнь Грейвса), многоузловой токсический зоб и токсическая аденома щитовидной железы. Более редкие причины — передозировка тиреоидных гормонов; подострый гранулематозный тиреоидит; T</w:t>
      </w:r>
      <w:r w:rsidRPr="005229E9">
        <w:rPr>
          <w:sz w:val="24"/>
          <w:szCs w:val="24"/>
          <w:vertAlign w:val="subscript"/>
        </w:rPr>
        <w:t>4</w:t>
      </w:r>
      <w:r w:rsidRPr="005229E9">
        <w:rPr>
          <w:sz w:val="24"/>
          <w:szCs w:val="24"/>
        </w:rPr>
        <w:t>- и T</w:t>
      </w:r>
      <w:r w:rsidRPr="005229E9">
        <w:rPr>
          <w:sz w:val="24"/>
          <w:szCs w:val="24"/>
          <w:vertAlign w:val="subscript"/>
        </w:rPr>
        <w:t>3</w:t>
      </w:r>
      <w:r w:rsidRPr="005229E9">
        <w:rPr>
          <w:sz w:val="24"/>
          <w:szCs w:val="24"/>
        </w:rPr>
        <w:t xml:space="preserve">-секретирующая тератома яичника; пузырный занос и хориокарцинома; ТТГ-секретирующая аденома гипофиза. При диффузном токсическом зобе кроме поражения щитовидной железы наблюдаются экзофтальм, претибиальная микседема и поражения пальцев (симптом барабанных палочек). При других формах тиреотоксикоза эти проявления отсутствуют.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А. Симптомы:</w:t>
      </w:r>
      <w:r w:rsidRPr="005229E9">
        <w:rPr>
          <w:sz w:val="24"/>
          <w:szCs w:val="24"/>
        </w:rPr>
        <w:t xml:space="preserve"> нервозность, эмоциональная неуравновешенность, быстрая утомляемость, потливость, непереносимость жары, сердцебиение, частый стул, полиурия, нарушения менструального цикла, бесплодие, резь в глазах, похудание, мышечная слабость, выпадение волос вплоть до алопеции, гинекомастия. При физикальном исследовании: кожа горячая и влажная, зоб, тахикардия, мерцательная аритмия, усиление ахиллова рефлекса.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Б. Лабораторная диагностика. </w:t>
      </w:r>
      <w:r w:rsidRPr="005229E9">
        <w:rPr>
          <w:sz w:val="24"/>
          <w:szCs w:val="24"/>
        </w:rPr>
        <w:t>Обычно повышены общий T</w:t>
      </w:r>
      <w:r w:rsidRPr="005229E9">
        <w:rPr>
          <w:sz w:val="24"/>
          <w:szCs w:val="24"/>
          <w:vertAlign w:val="subscript"/>
        </w:rPr>
        <w:t>3</w:t>
      </w:r>
      <w:r w:rsidRPr="005229E9">
        <w:rPr>
          <w:sz w:val="24"/>
          <w:szCs w:val="24"/>
        </w:rPr>
        <w:t>, общий T</w:t>
      </w:r>
      <w:r w:rsidRPr="005229E9">
        <w:rPr>
          <w:sz w:val="24"/>
          <w:szCs w:val="24"/>
          <w:vertAlign w:val="subscript"/>
        </w:rPr>
        <w:t>4</w:t>
      </w:r>
      <w:r w:rsidRPr="005229E9">
        <w:rPr>
          <w:sz w:val="24"/>
          <w:szCs w:val="24"/>
        </w:rPr>
        <w:t>, свободный T</w:t>
      </w:r>
      <w:r w:rsidRPr="005229E9">
        <w:rPr>
          <w:sz w:val="24"/>
          <w:szCs w:val="24"/>
          <w:vertAlign w:val="subscript"/>
        </w:rPr>
        <w:t>4</w:t>
      </w:r>
      <w:r w:rsidRPr="005229E9">
        <w:rPr>
          <w:sz w:val="24"/>
          <w:szCs w:val="24"/>
        </w:rPr>
        <w:t>, поглощение T</w:t>
      </w:r>
      <w:r w:rsidRPr="005229E9">
        <w:rPr>
          <w:sz w:val="24"/>
          <w:szCs w:val="24"/>
          <w:vertAlign w:val="subscript"/>
        </w:rPr>
        <w:t>3</w:t>
      </w:r>
      <w:r w:rsidRPr="005229E9">
        <w:rPr>
          <w:sz w:val="24"/>
          <w:szCs w:val="24"/>
        </w:rPr>
        <w:t xml:space="preserve"> смолой, уровень тиреоглобулина, титр антитиреоидных антител и поглощение радиоактивного йода щитовидной железой. Базальный уровень ТТГ снижен; в стимуляционной пробе с тиролиберином реакция на тиролиберин отсутствует или ослаблена; в супрессивной пробе с T</w:t>
      </w:r>
      <w:r w:rsidRPr="005229E9">
        <w:rPr>
          <w:sz w:val="24"/>
          <w:szCs w:val="24"/>
          <w:vertAlign w:val="subscript"/>
        </w:rPr>
        <w:t>3</w:t>
      </w:r>
      <w:r w:rsidRPr="005229E9">
        <w:rPr>
          <w:sz w:val="24"/>
          <w:szCs w:val="24"/>
        </w:rPr>
        <w:t xml:space="preserve"> (лиотиронин, 100 мкг/сут в течение 1 нед) уровень общего T</w:t>
      </w:r>
      <w:r w:rsidRPr="005229E9">
        <w:rPr>
          <w:sz w:val="24"/>
          <w:szCs w:val="24"/>
          <w:vertAlign w:val="subscript"/>
        </w:rPr>
        <w:t>4</w:t>
      </w:r>
      <w:r w:rsidRPr="005229E9">
        <w:rPr>
          <w:sz w:val="24"/>
          <w:szCs w:val="24"/>
        </w:rPr>
        <w:t xml:space="preserve"> и поглощение радиоактивного йода щитовидной железой не снижаются или снижаются незначительно. Другие признаки: низкий уровень холестерина в плазме, лимфоцитоз, гиперкальциурия, изредка — гиперкальциемия.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V. Дифференциальная диагностика.</w:t>
      </w:r>
      <w:r w:rsidRPr="005229E9">
        <w:rPr>
          <w:sz w:val="24"/>
          <w:szCs w:val="24"/>
        </w:rPr>
        <w:t xml:space="preserve"> Клиническую картину тиреотоксикоза иногда имитируют невроз тревоги, феохромоцитома, анемия и цирроз печени. Диагноз </w:t>
      </w:r>
      <w:r w:rsidRPr="005229E9">
        <w:rPr>
          <w:sz w:val="24"/>
          <w:szCs w:val="24"/>
        </w:rPr>
        <w:lastRenderedPageBreak/>
        <w:t>тиреотоксикоза подтверждается наличием зоба, тахикардией в покое, повышенным уровнем T</w:t>
      </w:r>
      <w:r w:rsidRPr="005229E9">
        <w:rPr>
          <w:sz w:val="24"/>
          <w:szCs w:val="24"/>
          <w:vertAlign w:val="subscript"/>
        </w:rPr>
        <w:t>3</w:t>
      </w:r>
      <w:r w:rsidRPr="005229E9">
        <w:rPr>
          <w:sz w:val="24"/>
          <w:szCs w:val="24"/>
        </w:rPr>
        <w:t xml:space="preserve"> и повышенным поглощением радиоактивного йода щитовидной железой. При подостром тиреоидите, передозировке тиреоидных гормонов и T</w:t>
      </w:r>
      <w:r w:rsidRPr="005229E9">
        <w:rPr>
          <w:sz w:val="24"/>
          <w:szCs w:val="24"/>
          <w:vertAlign w:val="subscript"/>
        </w:rPr>
        <w:t>4</w:t>
      </w:r>
      <w:r w:rsidRPr="005229E9">
        <w:rPr>
          <w:sz w:val="24"/>
          <w:szCs w:val="24"/>
        </w:rPr>
        <w:t>- и T</w:t>
      </w:r>
      <w:r w:rsidRPr="005229E9">
        <w:rPr>
          <w:sz w:val="24"/>
          <w:szCs w:val="24"/>
          <w:vertAlign w:val="subscript"/>
        </w:rPr>
        <w:t>3</w:t>
      </w:r>
      <w:r w:rsidRPr="005229E9">
        <w:rPr>
          <w:sz w:val="24"/>
          <w:szCs w:val="24"/>
        </w:rPr>
        <w:t xml:space="preserve">-секретирующей тератоме яичника поглощение радиоактивного йода щитовидной железой снижено; при диффузном токсическом зобе, многоузловом токсическом зобе и токсической аденоме щитовидной железы этот показатель повышен.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VI. Лечение.</w:t>
      </w:r>
      <w:r w:rsidRPr="005229E9">
        <w:rPr>
          <w:sz w:val="24"/>
          <w:szCs w:val="24"/>
        </w:rPr>
        <w:t xml:space="preserve"> Для лечения тиреотоксикоза используют антитиреоидные средства, </w:t>
      </w:r>
      <w:r w:rsidRPr="005229E9">
        <w:rPr>
          <w:sz w:val="24"/>
          <w:szCs w:val="24"/>
          <w:vertAlign w:val="superscript"/>
        </w:rPr>
        <w:t>131</w:t>
      </w:r>
      <w:r w:rsidRPr="005229E9">
        <w:rPr>
          <w:sz w:val="24"/>
          <w:szCs w:val="24"/>
        </w:rPr>
        <w:t xml:space="preserve">I или субтотальную резекцию щитовидной железы. Антитиреоидные средства эффективны при небольшом зобе и легком тиреотоксикозе; при крупном зобе требуется </w:t>
      </w:r>
      <w:r w:rsidRPr="005229E9">
        <w:rPr>
          <w:sz w:val="24"/>
          <w:szCs w:val="24"/>
          <w:vertAlign w:val="superscript"/>
        </w:rPr>
        <w:t>131</w:t>
      </w:r>
      <w:r w:rsidRPr="005229E9">
        <w:rPr>
          <w:sz w:val="24"/>
          <w:szCs w:val="24"/>
        </w:rPr>
        <w:t xml:space="preserve">I или хирургическое вмешательство. Подготовка больного к радикальному лечению обязательно включает применение антитиреоидных средств.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А. Антитиреоидные средства</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Назначают внутрь пропилтиоурацил, по 100—150 мг каждые 6 ч, или тиамазол, по 10—30 мг каждые 8 ч.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Через 18 мес лечения примерно у 30% больных функция щитовидной железы нормализуется и после отмены препарата сохраняется эутиреоз. По мере восстановления функции щитовидной железы дозы антитиреоидных средств постепенно уменьшают.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Антитиреоидные средства иногда вызывают агранулоцитоз. Каждого больного предупреждают, что при повышении температуры и появлении боли в горле надо прекратить прием препарата и обратиться к врачу. Если число лейкоцитов падает ниже 4500 мкл</w:t>
      </w:r>
      <w:r w:rsidRPr="005229E9">
        <w:rPr>
          <w:sz w:val="24"/>
          <w:szCs w:val="24"/>
          <w:vertAlign w:val="superscript"/>
        </w:rPr>
        <w:t>–1</w:t>
      </w:r>
      <w:r w:rsidRPr="005229E9">
        <w:rPr>
          <w:sz w:val="24"/>
          <w:szCs w:val="24"/>
        </w:rPr>
        <w:t xml:space="preserve">, а содержание гранулоцитов — ниже 45%, антитиреоидные средства отменяют.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При подготовке больных с тяжелым тиреотоксикозом к операции применяют пропранолол (по 5—40 мг внутрь 4 раза в сутки). Прием препарата продолжают и в течение нескольких суток после тиреоэктомии, так как T</w:t>
      </w:r>
      <w:r w:rsidRPr="005229E9">
        <w:rPr>
          <w:sz w:val="24"/>
          <w:szCs w:val="24"/>
          <w:vertAlign w:val="subscript"/>
        </w:rPr>
        <w:t>1/2</w:t>
      </w:r>
      <w:r w:rsidRPr="005229E9">
        <w:rPr>
          <w:sz w:val="24"/>
          <w:szCs w:val="24"/>
        </w:rPr>
        <w:t xml:space="preserve"> для T</w:t>
      </w:r>
      <w:r w:rsidRPr="005229E9">
        <w:rPr>
          <w:sz w:val="24"/>
          <w:szCs w:val="24"/>
          <w:vertAlign w:val="subscript"/>
        </w:rPr>
        <w:t>4</w:t>
      </w:r>
      <w:r w:rsidRPr="005229E9">
        <w:rPr>
          <w:sz w:val="24"/>
          <w:szCs w:val="24"/>
        </w:rPr>
        <w:t xml:space="preserve"> составляет 1 нед (препарат медленно выводится из организма). Пропранолол противопоказан при бронхиальной астме и сердечной недостаточности.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Б. Лечение </w:t>
      </w:r>
      <w:r w:rsidRPr="005229E9">
        <w:rPr>
          <w:rFonts w:ascii="Arial" w:hAnsi="Arial" w:cs="Arial"/>
          <w:b/>
          <w:bCs/>
          <w:sz w:val="24"/>
          <w:szCs w:val="24"/>
          <w:vertAlign w:val="superscript"/>
        </w:rPr>
        <w:t>131</w:t>
      </w:r>
      <w:r w:rsidRPr="005229E9">
        <w:rPr>
          <w:rFonts w:ascii="Arial" w:hAnsi="Arial" w:cs="Arial"/>
          <w:b/>
          <w:bCs/>
          <w:sz w:val="24"/>
          <w:szCs w:val="24"/>
        </w:rPr>
        <w:t>I</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Этот способ лечения применяют у больных старше 45 лет с небольшим зобом, при рецидивирующем зобе и у больных с высоким риском рака щитовидной железы.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rFonts w:ascii="Arial" w:hAnsi="Arial" w:cs="Arial"/>
          <w:b/>
          <w:bCs/>
          <w:sz w:val="24"/>
          <w:szCs w:val="24"/>
          <w:vertAlign w:val="superscript"/>
        </w:rPr>
        <w:t>131</w:t>
      </w:r>
      <w:r w:rsidRPr="005229E9">
        <w:rPr>
          <w:rFonts w:ascii="Arial" w:hAnsi="Arial" w:cs="Arial"/>
          <w:b/>
          <w:bCs/>
          <w:sz w:val="24"/>
          <w:szCs w:val="24"/>
        </w:rPr>
        <w:t>I противопоказан беременным, детям</w:t>
      </w:r>
      <w:r w:rsidRPr="005229E9">
        <w:rPr>
          <w:sz w:val="24"/>
          <w:szCs w:val="24"/>
        </w:rPr>
        <w:t xml:space="preserve"> (за редкими исключениями) и больным с холодным узлом в диффузно увеличенной щитовидной железе (вероятность рака щитовидной железы составляет 25%).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Практически у всех больных, получавших </w:t>
      </w:r>
      <w:r w:rsidRPr="005229E9">
        <w:rPr>
          <w:sz w:val="24"/>
          <w:szCs w:val="24"/>
          <w:vertAlign w:val="superscript"/>
        </w:rPr>
        <w:t>131</w:t>
      </w:r>
      <w:r w:rsidRPr="005229E9">
        <w:rPr>
          <w:sz w:val="24"/>
          <w:szCs w:val="24"/>
        </w:rPr>
        <w:t xml:space="preserve">I, в конце концов развивается гипотиреоз. Риск развития гипотиреоза в первый год после лечения зависит от дозы </w:t>
      </w:r>
      <w:r w:rsidRPr="005229E9">
        <w:rPr>
          <w:sz w:val="24"/>
          <w:szCs w:val="24"/>
          <w:vertAlign w:val="superscript"/>
        </w:rPr>
        <w:t>131</w:t>
      </w:r>
      <w:r w:rsidRPr="005229E9">
        <w:rPr>
          <w:sz w:val="24"/>
          <w:szCs w:val="24"/>
        </w:rPr>
        <w:t xml:space="preserve">I. В дальнейшем частота гипотиреоза возрастает примерно на 3% в год независимо от введенной дозы.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В. Субтотальная резекция щитовидной железы</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Это метод выбора для молодых больных, у которых медикаментозное лечение неэффективно (в том числе для детей и беременных); для больных с крупным диффузным или узловым зобом (с высоким поглощением радиоактивного йода щитовидной железой) и для больных с деменцией и другими психическими расстройствами, которые вряд ли будут регулярно принимать антитиреоидные </w:t>
      </w:r>
      <w:r w:rsidRPr="005229E9">
        <w:rPr>
          <w:sz w:val="24"/>
          <w:szCs w:val="24"/>
        </w:rPr>
        <w:lastRenderedPageBreak/>
        <w:t xml:space="preserve">препараты. Субтотальная резекция щитовидной железы — наилучший метод лечения диффузного токсического зоба при условии, что операцию проводит опытный хирург.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В предоперационном периоде необходимо нормализовать уровень тиреоидных гормонов с помощью антитиреоидных средств. За 10 сут до операции назначают также препараты йода (насыщенный раствор йодида калия или раствор Люголя, по 3 капли 2 раза в сутки).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Осложнения субтотальной тиреоэктомии включают гипопаратиреоз и повреждение возвратного гортанного нерва, что приводит к охриплости голоса (в 1% случаев). Примерно у 15% больных после операции развивается гипотиреоз, а у 5% — рецидив тиреотоксикоза. Частота осложнений зависит от объема оставшейся ткани щитовидной железы.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 xml:space="preserve">Следует оставлять не более 4—8 г ткани щитовидной железы. У детей во избежание рецидива тиреотоксикоза объем оставшейся ткани должен быть еще меньше.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VII. Тиреотоксический криз</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А. </w:t>
      </w:r>
      <w:r w:rsidRPr="005229E9">
        <w:rPr>
          <w:sz w:val="24"/>
          <w:szCs w:val="24"/>
        </w:rPr>
        <w:t>Это лавинообразное нарастание проявлений тиреотоксикоза из-за резкого повышения уровня T</w:t>
      </w:r>
      <w:r w:rsidRPr="005229E9">
        <w:rPr>
          <w:sz w:val="24"/>
          <w:szCs w:val="24"/>
          <w:vertAlign w:val="subscript"/>
        </w:rPr>
        <w:t>3</w:t>
      </w:r>
      <w:r w:rsidRPr="005229E9">
        <w:rPr>
          <w:sz w:val="24"/>
          <w:szCs w:val="24"/>
        </w:rPr>
        <w:t xml:space="preserve"> и T</w:t>
      </w:r>
      <w:r w:rsidRPr="005229E9">
        <w:rPr>
          <w:sz w:val="24"/>
          <w:szCs w:val="24"/>
          <w:vertAlign w:val="subscript"/>
        </w:rPr>
        <w:t>4</w:t>
      </w:r>
      <w:r w:rsidRPr="005229E9">
        <w:rPr>
          <w:sz w:val="24"/>
          <w:szCs w:val="24"/>
        </w:rPr>
        <w:t xml:space="preserve">. Симптомы: высокая лихорадка, тахикардия, рвота, понос, психомоторное возбуждение, размашистый тремор, сердечная недостаточность с высоким сердечным выбросом. Провоцирующие факторы: инфекции, хирургические вмешательства, травмы.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Б. Лечение:</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Устранение причины криза.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Пропранолол: под контролем ЭКГ в/в струйно медленно вводят 1—2 мг, затем переходят к инфузии со скоростью 50—100 мкг/мин (общая доза 2—10 мг). Улучшение обычно наступает через 10 мин; эффект сохраняется 3—4 ч.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Йодид натрия, 1—2 г в/в каждые 8 ч, блокирует высвобождение тиреоидных гормонов.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Пропилтиоурацил, по 300 мг внутрь каждые 6 ч. Препарат подавляет превращение T</w:t>
      </w:r>
      <w:r w:rsidRPr="005229E9">
        <w:rPr>
          <w:sz w:val="24"/>
          <w:szCs w:val="24"/>
          <w:vertAlign w:val="subscript"/>
        </w:rPr>
        <w:t>4</w:t>
      </w:r>
      <w:r w:rsidRPr="005229E9">
        <w:rPr>
          <w:sz w:val="24"/>
          <w:szCs w:val="24"/>
        </w:rPr>
        <w:t xml:space="preserve"> в T</w:t>
      </w:r>
      <w:r w:rsidRPr="005229E9">
        <w:rPr>
          <w:sz w:val="24"/>
          <w:szCs w:val="24"/>
          <w:vertAlign w:val="subscript"/>
        </w:rPr>
        <w:t>3</w:t>
      </w:r>
      <w:r w:rsidRPr="005229E9">
        <w:rPr>
          <w:sz w:val="24"/>
          <w:szCs w:val="24"/>
        </w:rPr>
        <w:t xml:space="preserve"> в периферических тканях, а также синтез тиреоидных гормонов.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5. </w:t>
      </w:r>
      <w:r w:rsidRPr="005229E9">
        <w:rPr>
          <w:sz w:val="24"/>
          <w:szCs w:val="24"/>
        </w:rPr>
        <w:t xml:space="preserve">Ингаляция кислорода, инфузионная терапия, транквилизаторы, охлаждающие процедуры и парацетамол (аспирин противопоказан), глюкокортикоиды (гидрокортизон, 300 мг/сут в/в).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VIII. Тяжелый экзофтальм</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А. </w:t>
      </w:r>
      <w:r w:rsidRPr="005229E9">
        <w:rPr>
          <w:sz w:val="24"/>
          <w:szCs w:val="24"/>
        </w:rPr>
        <w:t xml:space="preserve">Уточняют диагноз: выясняют, действительно ли экзофтальм обусловлен диффузным токсическим зобом.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Б. Лечение</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Назначают антитиреоидные средства для нормализации уровней T</w:t>
      </w:r>
      <w:r w:rsidRPr="005229E9">
        <w:rPr>
          <w:sz w:val="24"/>
          <w:szCs w:val="24"/>
          <w:vertAlign w:val="subscript"/>
        </w:rPr>
        <w:t>3</w:t>
      </w:r>
      <w:r w:rsidRPr="005229E9">
        <w:rPr>
          <w:sz w:val="24"/>
          <w:szCs w:val="24"/>
        </w:rPr>
        <w:t xml:space="preserve"> и T</w:t>
      </w:r>
      <w:r w:rsidRPr="005229E9">
        <w:rPr>
          <w:sz w:val="24"/>
          <w:szCs w:val="24"/>
          <w:vertAlign w:val="subscript"/>
        </w:rPr>
        <w:t>4</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Оценивают степень смещения глазных яблок и отека конъюнктивы, проверяют остроту зрения.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Приподнимают изголовье кровати, назначают глазные капли с гипромеллозой, защищают глаза от света и пыли (темные очки или повязка).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 xml:space="preserve">Назначают глюкокортикоиды (преднизон, 60 мг/сут внутрь, не дольше 6 нед).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5. </w:t>
      </w:r>
      <w:r w:rsidRPr="005229E9">
        <w:rPr>
          <w:sz w:val="24"/>
          <w:szCs w:val="24"/>
        </w:rPr>
        <w:t xml:space="preserve">Другие методы лечения: облучение глазниц, латеральная блефарорафия, хирургическая декомпрессия глазницы.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 xml:space="preserve">IX. Тиреотоксикоз у беременных. </w:t>
      </w:r>
      <w:r w:rsidRPr="005229E9">
        <w:rPr>
          <w:sz w:val="24"/>
          <w:szCs w:val="24"/>
        </w:rPr>
        <w:t xml:space="preserve">Лечение всегда начинают с антитиреоидных средств. После достижения эутиреоза либо продолжают медикаментозное лечение, используя </w:t>
      </w:r>
      <w:r w:rsidRPr="005229E9">
        <w:rPr>
          <w:sz w:val="24"/>
          <w:szCs w:val="24"/>
        </w:rPr>
        <w:lastRenderedPageBreak/>
        <w:t xml:space="preserve">минимальные дозы препаратов, либо прибегают к субтотальной резекции щитовидной железы. Операцию проводят во II триместре беременности. Хирургическое вмешательство рекомендуется тем больным, которые не соблюдают предписаний врача; при резистентности к антитиреоидным средствам (для достижения эутиреоза требуются слишком большие дозы препаратов); при побочных реакциях на препараты. Лечение </w:t>
      </w:r>
      <w:r w:rsidRPr="005229E9">
        <w:rPr>
          <w:sz w:val="24"/>
          <w:szCs w:val="24"/>
          <w:vertAlign w:val="superscript"/>
        </w:rPr>
        <w:t>131</w:t>
      </w:r>
      <w:r w:rsidRPr="005229E9">
        <w:rPr>
          <w:sz w:val="24"/>
          <w:szCs w:val="24"/>
        </w:rPr>
        <w:t xml:space="preserve">I противопоказано. </w:t>
      </w:r>
    </w:p>
    <w:p w:rsidR="005229E9" w:rsidRPr="005229E9" w:rsidRDefault="005229E9" w:rsidP="005229E9">
      <w:pPr>
        <w:widowControl/>
        <w:autoSpaceDE/>
        <w:autoSpaceDN/>
        <w:adjustRightInd/>
        <w:spacing w:before="100" w:beforeAutospacing="1" w:after="100" w:afterAutospacing="1"/>
        <w:jc w:val="both"/>
        <w:rPr>
          <w:sz w:val="36"/>
          <w:szCs w:val="36"/>
        </w:rPr>
      </w:pPr>
      <w:r w:rsidRPr="005229E9">
        <w:rPr>
          <w:rFonts w:ascii="Arial" w:hAnsi="Arial" w:cs="Arial"/>
          <w:b/>
          <w:bCs/>
          <w:sz w:val="36"/>
          <w:szCs w:val="36"/>
        </w:rPr>
        <w:t xml:space="preserve">Другие заболевания щитовидной железы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X. Тиреоидит</w:t>
      </w:r>
      <w:r w:rsidRPr="005229E9">
        <w:rPr>
          <w:sz w:val="24"/>
          <w:szCs w:val="24"/>
        </w:rPr>
        <w:t xml:space="preserve"> (см. также гл. 29). Различают острый (бактериальный) тиреоидит, подострый (гранулематозный или лимфоцитарный) тиреоидит и хронический (лимфоцитарный или фиброзный) тиреоидит.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А. Острый тиреоидит</w:t>
      </w:r>
      <w:r w:rsidRPr="005229E9">
        <w:rPr>
          <w:sz w:val="24"/>
          <w:szCs w:val="24"/>
        </w:rPr>
        <w:t xml:space="preserve"> сопровождается лихорадкой, болью и отеком железы. Диагноз устанавливают с помощью аспирационной биопсии. Лечение — дренирование щитовидной железы и антибиотики.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Б. Подострые тиреоидиты</w:t>
      </w:r>
      <w:r w:rsidRPr="005229E9">
        <w:rPr>
          <w:sz w:val="24"/>
          <w:szCs w:val="24"/>
        </w:rPr>
        <w:t xml:space="preserve"> протекают бессимптомно либо сопровождаются болью, отеком железы, слабостью и общим недомоганием. Часто развивается преходящий тиреотоксикоз. Характерны повышение СОЭ, уровней гамма-глобулинов и тиреоидных гормонов в сыворотке, снижение или отсутствие поглощения радиоактивного йода щитовидной железой. Заболевание проходит самопроизвольно и не требует хирургического вмешательства. Для лечения используют аспирин, иногда глюкокортикоиды.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В. Хронический лимфоцитарный тиреоидит</w:t>
      </w:r>
      <w:r w:rsidRPr="005229E9">
        <w:rPr>
          <w:sz w:val="24"/>
          <w:szCs w:val="24"/>
        </w:rPr>
        <w:t xml:space="preserve"> проявляется зобом, а у 25% больных — гипотиреозом. Иногда в щитовидной железе пальпируется одиночный узел. Жалобы на удушье, дисфагию и боль редки. Характерен высокий титр антитиреоидных антител. Хирургическое вмешательство показано при выраженных местных симптомах, появлении подозрительного одиночного узла (риск рака щитовидной железы) и при быстром увеличении размеров железы (риск лимфосаркомы).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Г. </w:t>
      </w:r>
      <w:r w:rsidRPr="005229E9">
        <w:rPr>
          <w:sz w:val="24"/>
          <w:szCs w:val="24"/>
        </w:rPr>
        <w:t xml:space="preserve">Редкая форма хронического тиреоидита — </w:t>
      </w:r>
      <w:r w:rsidRPr="005229E9">
        <w:rPr>
          <w:rFonts w:ascii="Arial" w:hAnsi="Arial" w:cs="Arial"/>
          <w:b/>
          <w:bCs/>
          <w:sz w:val="24"/>
          <w:szCs w:val="24"/>
        </w:rPr>
        <w:t>хронический фиброзный тиреоидит</w:t>
      </w:r>
      <w:r w:rsidRPr="005229E9">
        <w:rPr>
          <w:sz w:val="24"/>
          <w:szCs w:val="24"/>
        </w:rPr>
        <w:t xml:space="preserve"> (тиреоидит Риделя). Заболевание нередко имитирует недифференцированный рак щитовидной железы, поскольку железа приобретает плотную, «деревянистую» консистенцию, а процесс распространяется на прилежащие мышцы.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 xml:space="preserve">XI. Пороки развития щитовидной железы. </w:t>
      </w:r>
      <w:r w:rsidRPr="005229E9">
        <w:rPr>
          <w:sz w:val="24"/>
          <w:szCs w:val="24"/>
        </w:rPr>
        <w:t xml:space="preserve">При нарушениях эмбрионального развития щитовидной железы возможно образование зоба корня языка (эктопической щитовидной железы) и щитовидно-язычной кисты (срединной кисты шеи), которые могут быть расположены в любом месте по ходу щитовидно-язычного протока, начиная от слепого отверстия языка. Щитовидно-язычную кисту нередко приходится удалять — по косметическим соображениям, при инфицировании или для постановки гистологического диагноза. В 1% случаев при гистологическом исследовании выявляют папиллярный или плоскоклеточный рак. Зоб корня языка бывает трудно гистологически отличить от метастазов рака щитовидной железы. Зоб корня языка и щитовидно-язычная киста всегда располагаются по средней линии шеи, тогда как метастазы рака в лимфоузлы располагаются латерально. </w:t>
      </w:r>
    </w:p>
    <w:p w:rsidR="005229E9" w:rsidRPr="005229E9" w:rsidRDefault="005229E9" w:rsidP="005229E9">
      <w:pPr>
        <w:widowControl/>
        <w:autoSpaceDE/>
        <w:autoSpaceDN/>
        <w:adjustRightInd/>
        <w:spacing w:before="100" w:beforeAutospacing="1" w:after="100" w:afterAutospacing="1"/>
        <w:jc w:val="both"/>
        <w:rPr>
          <w:sz w:val="36"/>
          <w:szCs w:val="36"/>
        </w:rPr>
      </w:pPr>
      <w:r w:rsidRPr="005229E9">
        <w:rPr>
          <w:rFonts w:ascii="Arial" w:hAnsi="Arial" w:cs="Arial"/>
          <w:b/>
          <w:bCs/>
          <w:sz w:val="36"/>
          <w:szCs w:val="36"/>
        </w:rPr>
        <w:t xml:space="preserve">Гиперпаратиреоз и гиперкальциемия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lastRenderedPageBreak/>
        <w:t xml:space="preserve">XII. Общие сведения. </w:t>
      </w:r>
      <w:r w:rsidRPr="005229E9">
        <w:rPr>
          <w:sz w:val="24"/>
          <w:szCs w:val="24"/>
        </w:rPr>
        <w:t xml:space="preserve">Распространенность гиперпаратиреоза составляет примерно 1:700; это самая частая причина гиперкальциемии. Остальные причины гиперкальциемии перечислены в табл. 47.1. У госпитализированных больных среди причин гиперкальциемии на первом месте стоят злокачественные новообразования; более чем у 80% больных обнаруживают крупную первичную опухоль либо метастазы в кости. Диагноз гиперпаратиреоза устанавливают по увеличению концентраций кальция и ПТГ в сыворотке либо путем исключения других причин гиперкальциемии.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 xml:space="preserve">XIII. Клиническая картина. </w:t>
      </w:r>
      <w:r w:rsidRPr="005229E9">
        <w:rPr>
          <w:sz w:val="24"/>
          <w:szCs w:val="24"/>
        </w:rPr>
        <w:t xml:space="preserve">Проявления гиперпаратиреоза неспецифичны и разнообразны. Многие больные подолгу лечатся от почечной колики, остеодистрофии, желудочно-кишечных нарушений, депрессии, мышечной слабости. Типичны жалобы на полидипсию, полиурию, никтурию, запоры, нарастающую утомляемость, боли в мышцах и костях. Гиперпаратиреозу часто сопутствуют артериальная гипертония, мочекаменная болезнь, нефрокальциноз, подагра, псевдоподагра, хондрокальциноз, язвенная болезнь, панкреатит. Изредка заболевание носит семейный характер. В этом случае гиперпаратиреоз является одним из проявлений МЭН типа I (опухоли паращитовидных желез, островков поджелудочной железы и гипофиза) или МЭН типа IIa (медуллярный рак щитовидной железы, феохромоцитома и опухоли паращитовидных желез). У больных МЭН, как правило, отмечается гиперплазия всех четырех паращитовидных желез, тогда как у больных с приобретенным гиперпаратиреозом (85% всех случаев гиперпаратиреоза) поражена лишь одна железа (аденома).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XIV. Диагностика</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А. Анамнез. </w:t>
      </w:r>
      <w:r w:rsidRPr="005229E9">
        <w:rPr>
          <w:sz w:val="24"/>
          <w:szCs w:val="24"/>
        </w:rPr>
        <w:t xml:space="preserve">Обследуя больного с гиперкальциемией, нужно учитывать все возможные причины этого состояния (см. табл. 47.1). Выясняют: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Как давно появились симптомы гиперкальциемии.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Не злоупотреблял ли больной молочными продуктами; не принимал ли чрезмерные количества витаминов D и A, антацидов, питьевой соды, диуретиков, лития.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Нет ли в анамнезе артериальной гипертонии, мочекаменной болезни, язвенной болезни, подагры, панкреатита; нет ли боли в костях, сердцебиения, похудания. </w:t>
      </w:r>
    </w:p>
    <w:p w:rsidR="005229E9" w:rsidRPr="005229E9" w:rsidRDefault="005229E9" w:rsidP="005229E9">
      <w:pPr>
        <w:widowControl/>
        <w:autoSpaceDE/>
        <w:autoSpaceDN/>
        <w:adjustRightInd/>
        <w:spacing w:before="30"/>
        <w:ind w:left="600"/>
        <w:jc w:val="both"/>
        <w:rPr>
          <w:sz w:val="24"/>
          <w:szCs w:val="24"/>
        </w:rPr>
      </w:pPr>
      <w:r w:rsidRPr="005229E9">
        <w:rPr>
          <w:sz w:val="24"/>
          <w:szCs w:val="24"/>
        </w:rPr>
        <w:t xml:space="preserve">Если симптомы гиперкальциемии отмечаются в течение года и более, весьма вероятен гиперпаратиреоз; если же симптомы появляются внезапно и быстро нарастают, причиной скорей всего является злокачественное новообразование.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Б. Физикальное исследование</w:t>
      </w:r>
      <w:r w:rsidRPr="005229E9">
        <w:rPr>
          <w:sz w:val="24"/>
          <w:szCs w:val="24"/>
        </w:rPr>
        <w:t xml:space="preserve"> мало что дает для диагностики первичного гиперпаратиреоза, но помогает исключить другие причины гиперкальциемии. У 35% больных выявляют артериальную гипертонию. У 5% больных пальпируются паращитовидные железы и отмечается лентовидная кератопатия. У больных, поступивших с гиперкальциемическим кризом, паращитовидные железы пальпируются в 40% случаев.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В. Лабораторная диагностика</w:t>
      </w:r>
      <w:r w:rsidRPr="005229E9">
        <w:rPr>
          <w:sz w:val="24"/>
          <w:szCs w:val="24"/>
        </w:rPr>
        <w:t xml:space="preserve"> (см. табл. 47.2). Поскольку гиперкальциемия иногда носит перемежающийся (приступообразный) характер, кровь для исследований берут несколько раз. Обязательно определяют ПТГ, АМК, концентрации фосфата, хлорида, белка, мочевой кислоты и креатинина и активность щелочной фосфатазы в сыворотке; проводят рентгенографию грудной клетки, общий анализ мочи и измеряют концентрацию кальция в моче.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Низкий уровень </w:t>
      </w:r>
      <w:r w:rsidRPr="005229E9">
        <w:rPr>
          <w:rFonts w:ascii="Arial" w:hAnsi="Arial" w:cs="Arial"/>
          <w:b/>
          <w:bCs/>
          <w:sz w:val="24"/>
          <w:szCs w:val="24"/>
        </w:rPr>
        <w:t>фосфата в сыворотке</w:t>
      </w:r>
      <w:r w:rsidRPr="005229E9">
        <w:rPr>
          <w:sz w:val="24"/>
          <w:szCs w:val="24"/>
        </w:rPr>
        <w:t xml:space="preserve"> у больного с гиперкальциемией позволяет заподозрить первичный гиперпаратиреоз. Гипофосфатемия (уровень фосфата &lt; 0,8 ммоль/л) встречается у половины больных первичным гиперпаратиреозом; у </w:t>
      </w:r>
      <w:r w:rsidRPr="005229E9">
        <w:rPr>
          <w:sz w:val="24"/>
          <w:szCs w:val="24"/>
        </w:rPr>
        <w:lastRenderedPageBreak/>
        <w:t xml:space="preserve">другой половины уровень фосфата находится на нижней границе нормы (0,8—0,96 ммоль/л). Гипофосфатемия также встречается при тяжелой паранеопластической гиперкальциемии. Повышенный уровень фосфата в сыворотке означает иную, не связанную с патологией паращитовидных желез причину гиперкальциемии.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При первичном гиперпаратиреозе повышен уровень </w:t>
      </w:r>
      <w:r w:rsidRPr="005229E9">
        <w:rPr>
          <w:rFonts w:ascii="Arial" w:hAnsi="Arial" w:cs="Arial"/>
          <w:b/>
          <w:bCs/>
          <w:sz w:val="24"/>
          <w:szCs w:val="24"/>
        </w:rPr>
        <w:t>хлорида в сыворотке:</w:t>
      </w:r>
      <w:r w:rsidRPr="005229E9">
        <w:rPr>
          <w:sz w:val="24"/>
          <w:szCs w:val="24"/>
        </w:rPr>
        <w:t xml:space="preserve"> у 40% больных &gt; 107 мэкв/л, у остальных &gt; 102 мэкв/л. ПТГ усиливает канальцевую секрецию бикарбоната, что приводит к гиперхлоремическому ацидозу. Если отношение хлорид/фосфат </w:t>
      </w:r>
      <w:r w:rsidRPr="005229E9">
        <w:rPr>
          <w:rFonts w:ascii="Symbol" w:hAnsi="Symbol"/>
          <w:sz w:val="24"/>
          <w:szCs w:val="24"/>
        </w:rPr>
        <w:t></w:t>
      </w:r>
      <w:r w:rsidRPr="005229E9">
        <w:rPr>
          <w:sz w:val="24"/>
          <w:szCs w:val="24"/>
        </w:rPr>
        <w:t xml:space="preserve"> 33, следует заподозрить первичный гиперпаратиреоз. Для паранеопластической гиперкальциемии, саркоидоза, синдрома Бернетта и гипервитаминоза D характерен метаболический алкалоз.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У большинства больных первичным гиперпаратиреозом </w:t>
      </w:r>
      <w:r w:rsidRPr="005229E9">
        <w:rPr>
          <w:rFonts w:ascii="Arial" w:hAnsi="Arial" w:cs="Arial"/>
          <w:b/>
          <w:bCs/>
          <w:sz w:val="24"/>
          <w:szCs w:val="24"/>
        </w:rPr>
        <w:t>повышен</w:t>
      </w:r>
      <w:r w:rsidRPr="005229E9">
        <w:rPr>
          <w:sz w:val="24"/>
          <w:szCs w:val="24"/>
        </w:rPr>
        <w:t xml:space="preserve"> </w:t>
      </w:r>
      <w:r w:rsidRPr="005229E9">
        <w:rPr>
          <w:rFonts w:ascii="Arial" w:hAnsi="Arial" w:cs="Arial"/>
          <w:b/>
          <w:bCs/>
          <w:sz w:val="24"/>
          <w:szCs w:val="24"/>
        </w:rPr>
        <w:t xml:space="preserve">уровень ПТГ </w:t>
      </w:r>
      <w:r w:rsidRPr="005229E9">
        <w:rPr>
          <w:sz w:val="24"/>
          <w:szCs w:val="24"/>
        </w:rPr>
        <w:t>в сыворотке. При гиперкальциемии, обусловленной другими причинами, уровень ПТГ снижен (когда измеряют ПТГ</w:t>
      </w:r>
      <w:r w:rsidRPr="005229E9">
        <w:rPr>
          <w:sz w:val="24"/>
          <w:szCs w:val="24"/>
          <w:vertAlign w:val="subscript"/>
        </w:rPr>
        <w:t>1—84</w:t>
      </w:r>
      <w:r w:rsidRPr="005229E9">
        <w:rPr>
          <w:sz w:val="24"/>
          <w:szCs w:val="24"/>
        </w:rPr>
        <w:t xml:space="preserve">). При паранеопластической гиперкальциемии, как правило, повышен уровень ПТГ-подобных пептидов, а уровень самого ПТГ в сыворотке снижен. Солидные опухоли крайне редко секретируют ПТГ (за исключением рака паращитовидных желез). </w:t>
      </w:r>
    </w:p>
    <w:p w:rsidR="005229E9" w:rsidRPr="005229E9" w:rsidRDefault="005229E9" w:rsidP="005229E9">
      <w:pPr>
        <w:widowControl/>
        <w:autoSpaceDE/>
        <w:autoSpaceDN/>
        <w:adjustRightInd/>
        <w:spacing w:before="30"/>
        <w:ind w:left="900" w:hanging="300"/>
        <w:jc w:val="both"/>
        <w:rPr>
          <w:sz w:val="24"/>
          <w:szCs w:val="24"/>
        </w:rPr>
      </w:pPr>
      <w:bookmarkStart w:id="56" w:name="XIV.В.4."/>
      <w:r w:rsidRPr="005229E9">
        <w:rPr>
          <w:rFonts w:ascii="Arial" w:hAnsi="Arial" w:cs="Arial"/>
          <w:b/>
          <w:bCs/>
          <w:sz w:val="24"/>
          <w:szCs w:val="24"/>
        </w:rPr>
        <w:t>4.</w:t>
      </w:r>
      <w:bookmarkEnd w:id="56"/>
      <w:r w:rsidRPr="005229E9">
        <w:rPr>
          <w:rFonts w:ascii="Arial" w:hAnsi="Arial" w:cs="Arial"/>
          <w:b/>
          <w:bCs/>
          <w:sz w:val="24"/>
          <w:szCs w:val="24"/>
        </w:rPr>
        <w:t xml:space="preserve"> </w:t>
      </w:r>
      <w:r w:rsidRPr="005229E9">
        <w:rPr>
          <w:sz w:val="24"/>
          <w:szCs w:val="24"/>
        </w:rPr>
        <w:t xml:space="preserve">У 10% больных первичным гиперпаратиреозом повышена активность </w:t>
      </w:r>
      <w:r w:rsidRPr="005229E9">
        <w:rPr>
          <w:rFonts w:ascii="Arial" w:hAnsi="Arial" w:cs="Arial"/>
          <w:b/>
          <w:bCs/>
          <w:sz w:val="24"/>
          <w:szCs w:val="24"/>
        </w:rPr>
        <w:t>щелочной фосфатазы</w:t>
      </w:r>
      <w:r w:rsidRPr="005229E9">
        <w:rPr>
          <w:sz w:val="24"/>
          <w:szCs w:val="24"/>
        </w:rPr>
        <w:t xml:space="preserve"> (признак поражения костей). При рентгенографии кистей у них обнаруживают субпериостальную резорбцию костной ткани (она особенно заметна на лучевой поверхности средней фаланги указательного пальца). Если активность щелочной фосфатазы резко повышена, а признаков субпериостальной резорбции нет, нужно искать другую причину гиперкальциемии. Для того чтобы установить источник щелочной фосфатазы, определяют активность 5'-нуклеотидазы и лейцинаминопептидазы (ферменты печени, отсутствующие в костной ткани), а также биохимические показатели функции печени. </w:t>
      </w:r>
    </w:p>
    <w:p w:rsidR="005229E9" w:rsidRPr="005229E9" w:rsidRDefault="005229E9" w:rsidP="005229E9">
      <w:pPr>
        <w:widowControl/>
        <w:autoSpaceDE/>
        <w:autoSpaceDN/>
        <w:adjustRightInd/>
        <w:spacing w:before="30"/>
        <w:ind w:left="900" w:hanging="300"/>
        <w:jc w:val="both"/>
        <w:rPr>
          <w:sz w:val="24"/>
          <w:szCs w:val="24"/>
        </w:rPr>
      </w:pPr>
      <w:bookmarkStart w:id="57" w:name="XIV.В.5."/>
      <w:r w:rsidRPr="005229E9">
        <w:rPr>
          <w:rFonts w:ascii="Arial" w:hAnsi="Arial" w:cs="Arial"/>
          <w:b/>
          <w:bCs/>
          <w:sz w:val="24"/>
          <w:szCs w:val="24"/>
        </w:rPr>
        <w:t>5.</w:t>
      </w:r>
      <w:bookmarkEnd w:id="57"/>
      <w:r w:rsidRPr="005229E9">
        <w:rPr>
          <w:rFonts w:ascii="Arial" w:hAnsi="Arial" w:cs="Arial"/>
          <w:b/>
          <w:bCs/>
          <w:sz w:val="24"/>
          <w:szCs w:val="24"/>
        </w:rPr>
        <w:t xml:space="preserve"> </w:t>
      </w:r>
      <w:r w:rsidRPr="005229E9">
        <w:rPr>
          <w:sz w:val="24"/>
          <w:szCs w:val="24"/>
        </w:rPr>
        <w:t xml:space="preserve">Для исключения семейной доброкачественной гиперкальциемии определяют суточную </w:t>
      </w:r>
      <w:r w:rsidRPr="005229E9">
        <w:rPr>
          <w:rFonts w:ascii="Arial" w:hAnsi="Arial" w:cs="Arial"/>
          <w:b/>
          <w:bCs/>
          <w:sz w:val="24"/>
          <w:szCs w:val="24"/>
        </w:rPr>
        <w:t>экскрецию кальция с мочой.</w:t>
      </w:r>
      <w:r w:rsidRPr="005229E9">
        <w:rPr>
          <w:sz w:val="24"/>
          <w:szCs w:val="24"/>
        </w:rPr>
        <w:t xml:space="preserve"> Для этого заболевания характерна гипокальциурия (&lt; 60 мг кальция в суточной порции мочи), хотя уровень ПТГ в сыворотке бывает повышенным. Гиперкальциемия не сопровождается тяжелыми последствиями, и паратиреоэктомия ее не устраняет. </w:t>
      </w:r>
    </w:p>
    <w:p w:rsidR="005229E9" w:rsidRPr="005229E9" w:rsidRDefault="005229E9" w:rsidP="005229E9">
      <w:pPr>
        <w:widowControl/>
        <w:autoSpaceDE/>
        <w:autoSpaceDN/>
        <w:adjustRightInd/>
        <w:spacing w:before="30"/>
        <w:ind w:left="900" w:hanging="300"/>
        <w:jc w:val="both"/>
        <w:rPr>
          <w:sz w:val="24"/>
          <w:szCs w:val="24"/>
        </w:rPr>
      </w:pPr>
      <w:bookmarkStart w:id="58" w:name="XIV.В.6."/>
      <w:r w:rsidRPr="005229E9">
        <w:rPr>
          <w:rFonts w:ascii="Arial" w:hAnsi="Arial" w:cs="Arial"/>
          <w:b/>
          <w:bCs/>
          <w:sz w:val="24"/>
          <w:szCs w:val="24"/>
        </w:rPr>
        <w:t>6.</w:t>
      </w:r>
      <w:bookmarkEnd w:id="58"/>
      <w:r w:rsidRPr="005229E9">
        <w:rPr>
          <w:rFonts w:ascii="Arial" w:hAnsi="Arial" w:cs="Arial"/>
          <w:b/>
          <w:bCs/>
          <w:sz w:val="24"/>
          <w:szCs w:val="24"/>
        </w:rPr>
        <w:t xml:space="preserve"> </w:t>
      </w:r>
      <w:r w:rsidRPr="005229E9">
        <w:rPr>
          <w:sz w:val="24"/>
          <w:szCs w:val="24"/>
        </w:rPr>
        <w:t xml:space="preserve">СОЭ при первичном гиперпаратиреозе нормальная, а в остальных случаях может быть повышена. </w:t>
      </w:r>
    </w:p>
    <w:p w:rsidR="005229E9" w:rsidRPr="005229E9" w:rsidRDefault="005229E9" w:rsidP="005229E9">
      <w:pPr>
        <w:widowControl/>
        <w:autoSpaceDE/>
        <w:autoSpaceDN/>
        <w:adjustRightInd/>
        <w:spacing w:before="30"/>
        <w:ind w:left="900" w:hanging="300"/>
        <w:jc w:val="both"/>
        <w:rPr>
          <w:sz w:val="24"/>
          <w:szCs w:val="24"/>
        </w:rPr>
      </w:pPr>
      <w:bookmarkStart w:id="59" w:name="XIV.В.7."/>
      <w:r w:rsidRPr="005229E9">
        <w:rPr>
          <w:rFonts w:ascii="Arial" w:hAnsi="Arial" w:cs="Arial"/>
          <w:b/>
          <w:bCs/>
          <w:sz w:val="24"/>
          <w:szCs w:val="24"/>
        </w:rPr>
        <w:t>7.</w:t>
      </w:r>
      <w:bookmarkEnd w:id="59"/>
      <w:r w:rsidRPr="005229E9">
        <w:rPr>
          <w:rFonts w:ascii="Arial" w:hAnsi="Arial" w:cs="Arial"/>
          <w:b/>
          <w:bCs/>
          <w:sz w:val="24"/>
          <w:szCs w:val="24"/>
        </w:rPr>
        <w:t xml:space="preserve"> </w:t>
      </w:r>
      <w:r w:rsidRPr="005229E9">
        <w:rPr>
          <w:sz w:val="24"/>
          <w:szCs w:val="24"/>
        </w:rPr>
        <w:t>Другие исследования: определение нефрогенного цАМФ (разности концентраций цАМФ в моче и плазме), экскреторная урография, пробы с дексаметазоном, биопсия кости, определение уровня 1,25(OH)</w:t>
      </w:r>
      <w:r w:rsidRPr="005229E9">
        <w:rPr>
          <w:sz w:val="24"/>
          <w:szCs w:val="24"/>
          <w:vertAlign w:val="subscript"/>
        </w:rPr>
        <w:t>2</w:t>
      </w:r>
      <w:r w:rsidRPr="005229E9">
        <w:rPr>
          <w:sz w:val="24"/>
          <w:szCs w:val="24"/>
        </w:rPr>
        <w:t>D</w:t>
      </w:r>
      <w:r w:rsidRPr="005229E9">
        <w:rPr>
          <w:sz w:val="24"/>
          <w:szCs w:val="24"/>
          <w:vertAlign w:val="subscript"/>
        </w:rPr>
        <w:t>3</w:t>
      </w:r>
      <w:r w:rsidRPr="005229E9">
        <w:rPr>
          <w:sz w:val="24"/>
          <w:szCs w:val="24"/>
        </w:rPr>
        <w:t xml:space="preserve">. Необходимость в этих исследованиях возникает редко.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XV. Лечение</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А. Показания к паратиреоэктомии. </w:t>
      </w:r>
      <w:r w:rsidRPr="005229E9">
        <w:rPr>
          <w:sz w:val="24"/>
          <w:szCs w:val="24"/>
        </w:rPr>
        <w:t>Операция показана при гиперпаратиреозе, который проявляется клинически, а также всем больным, у которых концентрация Ca</w:t>
      </w:r>
      <w:r w:rsidRPr="005229E9">
        <w:rPr>
          <w:sz w:val="24"/>
          <w:szCs w:val="24"/>
          <w:vertAlign w:val="superscript"/>
        </w:rPr>
        <w:t>2+</w:t>
      </w:r>
      <w:r w:rsidRPr="005229E9">
        <w:rPr>
          <w:sz w:val="24"/>
          <w:szCs w:val="24"/>
        </w:rPr>
        <w:t xml:space="preserve"> в сыворотке на 0,25—0,4 ммоль/л превышает верхнюю границу нормы. Многие врачи предпочитают операцию и при бессимптомном первичном гиперпаратиреозе. Паратиреоэктомия не входит в число неотложных хирургических вмешательств; ее проводят после того, как установлен и окончательно подтвержден диагноз. Беременных с первичным гиперпаратиреозом оперируют во II триместре. При гиперкальциемическом кризе </w:t>
      </w:r>
      <w:r w:rsidRPr="005229E9">
        <w:rPr>
          <w:sz w:val="24"/>
          <w:szCs w:val="24"/>
        </w:rPr>
        <w:lastRenderedPageBreak/>
        <w:t xml:space="preserve">операцию начинают немедленно после подтверждения диагноза (предварительно восстанавливают объем внеклеточной жидкости и нормализуют диурез).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Б. Медикаментозное лечение гиперкальциемии. </w:t>
      </w:r>
      <w:r w:rsidRPr="005229E9">
        <w:rPr>
          <w:sz w:val="24"/>
          <w:szCs w:val="24"/>
        </w:rPr>
        <w:t xml:space="preserve">При гиперкальциемическом кризе лечение начинают с инфузионной терапии. После восстановления объема внеклеточной жидкости и устранения гипокалиемии следует установить причину гиперкальциемии и, если нет почечной недостаточности, назначить фуросемид (для усиления экскреции кальция). Во многих случаях инфузионная терапия (до 8 л/сут) и фуросемид в/в (по 100 мг 2 раза в сутки) позволяют нормализовать концентрацию кальция в крови. Независимо от причины гиперкальциемии, эффективны короткие курсы пликамицина (25 мкг/кг/сут в/в), кальцитонина (4 ед/кг п/к каждые 12 ч), фосфата калия или фосфата натрия (в/в). При надпочечниковой недостаточности, гипервитаминозах A и D, а также при саркоидозе назначают глюкокортикоиды. Для долговременного лечения назначают фосфат калия или натрия внутрь. Препараты можно принимать, пока уровень фосфата в сыворотке остается в пределах нормы (или даже несколько превышает верхнюю границу нормы) и сохраняется нормальная функция почек. Для лечения пожилых женщин иногда используют эстрогены в сочетании с фуросемидом и фосфатами. У некоторых больных весьма эффективны дифосфонаты.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В. Топическая диагностика. </w:t>
      </w:r>
      <w:r w:rsidRPr="005229E9">
        <w:rPr>
          <w:sz w:val="24"/>
          <w:szCs w:val="24"/>
        </w:rPr>
        <w:t xml:space="preserve">Даже опытному врачу удается установить локализацию опухоли паращитовидных желез в предоперационном периоде лишь у 75% больных. Для этой цели используют УЗИ с частотой излучения 10 МГц, КТ и субтракционную сцинтиграфию с </w:t>
      </w:r>
      <w:r w:rsidRPr="005229E9">
        <w:rPr>
          <w:sz w:val="24"/>
          <w:szCs w:val="24"/>
          <w:vertAlign w:val="superscript"/>
        </w:rPr>
        <w:t>201</w:t>
      </w:r>
      <w:r w:rsidRPr="005229E9">
        <w:rPr>
          <w:sz w:val="24"/>
          <w:szCs w:val="24"/>
        </w:rPr>
        <w:t xml:space="preserve">Tl и </w:t>
      </w:r>
      <w:r w:rsidRPr="005229E9">
        <w:rPr>
          <w:sz w:val="24"/>
          <w:szCs w:val="24"/>
          <w:vertAlign w:val="superscript"/>
        </w:rPr>
        <w:t>99m</w:t>
      </w:r>
      <w:r w:rsidRPr="005229E9">
        <w:rPr>
          <w:sz w:val="24"/>
          <w:szCs w:val="24"/>
        </w:rPr>
        <w:t xml:space="preserve">Tc. Все эти методы информативны при крупных опухолях, но, к сожалению, часто бессильны при гиперплазии паращитовидных желез. Поскольку опытный хирург в 95% случаев излечивает первичный гиперпаратиреоз без предварительной топической диагностики, эти исследования необязательны. Они показаны больным, которые ранее перенесли хирургическое вмешательство на паращитовидных железах или на щитовидной железе. Инвазивные методы исследования — ангиографию, субтракционную ангиографию и флебографию (селективную катетеризацию непарного щитовидного сплетения) — применяют только после безуспешной операции на паращитовидных железах. Аспирационная биопсия, проводимая под контролем УЗИ или КТ, с последующим цитологическим исследованием позволяет уточнить природу найденных объемных образований. Кроме того, в полученном при биопсии материале определяют ПТГ.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Г. Объем операции</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Большинство хирургов прибегают к ревизии всех четырех паращитовидных желез. </w:t>
      </w:r>
    </w:p>
    <w:p w:rsidR="005229E9" w:rsidRPr="005229E9" w:rsidRDefault="005229E9" w:rsidP="005229E9">
      <w:pPr>
        <w:widowControl/>
        <w:autoSpaceDE/>
        <w:autoSpaceDN/>
        <w:adjustRightInd/>
        <w:spacing w:before="30"/>
        <w:ind w:left="1200" w:hanging="300"/>
        <w:jc w:val="both"/>
        <w:rPr>
          <w:sz w:val="24"/>
          <w:szCs w:val="24"/>
        </w:rPr>
      </w:pPr>
      <w:bookmarkStart w:id="60" w:name="XV.Г.1.а."/>
      <w:r w:rsidRPr="005229E9">
        <w:rPr>
          <w:rFonts w:ascii="Arial" w:hAnsi="Arial" w:cs="Arial"/>
          <w:b/>
          <w:bCs/>
          <w:sz w:val="24"/>
          <w:szCs w:val="24"/>
        </w:rPr>
        <w:t>а.</w:t>
      </w:r>
      <w:bookmarkEnd w:id="60"/>
      <w:r w:rsidRPr="005229E9">
        <w:rPr>
          <w:rFonts w:ascii="Arial" w:hAnsi="Arial" w:cs="Arial"/>
          <w:b/>
          <w:bCs/>
          <w:sz w:val="24"/>
          <w:szCs w:val="24"/>
        </w:rPr>
        <w:t xml:space="preserve"> </w:t>
      </w:r>
      <w:r w:rsidRPr="005229E9">
        <w:rPr>
          <w:sz w:val="24"/>
          <w:szCs w:val="24"/>
        </w:rPr>
        <w:t xml:space="preserve">Если находят одиночную аденому, что имеет место у 85% больных первичным гиперпаратиреозом, удаляют пораженную железу и исследуют остальные. Допустима биопсия одной или нескольких оставшихся паращитовидных желез и даже удаление одной здоровой железы. </w:t>
      </w:r>
    </w:p>
    <w:p w:rsidR="005229E9" w:rsidRPr="005229E9" w:rsidRDefault="005229E9" w:rsidP="005229E9">
      <w:pPr>
        <w:widowControl/>
        <w:autoSpaceDE/>
        <w:autoSpaceDN/>
        <w:adjustRightInd/>
        <w:spacing w:before="30"/>
        <w:ind w:left="1200" w:hanging="300"/>
        <w:jc w:val="both"/>
        <w:rPr>
          <w:sz w:val="24"/>
          <w:szCs w:val="24"/>
        </w:rPr>
      </w:pPr>
      <w:bookmarkStart w:id="61" w:name="XV.Г.1.б."/>
      <w:r w:rsidRPr="005229E9">
        <w:rPr>
          <w:rFonts w:ascii="Arial" w:hAnsi="Arial" w:cs="Arial"/>
          <w:b/>
          <w:bCs/>
          <w:sz w:val="24"/>
          <w:szCs w:val="24"/>
        </w:rPr>
        <w:t>б.</w:t>
      </w:r>
      <w:bookmarkEnd w:id="61"/>
      <w:r w:rsidRPr="005229E9">
        <w:rPr>
          <w:rFonts w:ascii="Arial" w:hAnsi="Arial" w:cs="Arial"/>
          <w:b/>
          <w:bCs/>
          <w:sz w:val="24"/>
          <w:szCs w:val="24"/>
        </w:rPr>
        <w:t xml:space="preserve"> </w:t>
      </w:r>
      <w:r w:rsidRPr="005229E9">
        <w:rPr>
          <w:sz w:val="24"/>
          <w:szCs w:val="24"/>
        </w:rPr>
        <w:t xml:space="preserve">При гиперплазии всех желез (12% случаев) удаляют три железы и проводят субтотальную резекцию четвертой, наименьшей по размеру и наиболее доступной железы, оставляя примерно 50 мг ткани (вес нормальной железы). У таких больных размеры желез могут быть самыми различными. </w:t>
      </w:r>
    </w:p>
    <w:p w:rsidR="005229E9" w:rsidRPr="005229E9" w:rsidRDefault="005229E9" w:rsidP="005229E9">
      <w:pPr>
        <w:widowControl/>
        <w:autoSpaceDE/>
        <w:autoSpaceDN/>
        <w:adjustRightInd/>
        <w:spacing w:before="30"/>
        <w:ind w:left="1200" w:hanging="300"/>
        <w:jc w:val="both"/>
        <w:rPr>
          <w:sz w:val="24"/>
          <w:szCs w:val="24"/>
        </w:rPr>
      </w:pPr>
      <w:bookmarkStart w:id="62" w:name="XV.Г.1.в."/>
      <w:r w:rsidRPr="005229E9">
        <w:rPr>
          <w:rFonts w:ascii="Arial" w:hAnsi="Arial" w:cs="Arial"/>
          <w:b/>
          <w:bCs/>
          <w:sz w:val="24"/>
          <w:szCs w:val="24"/>
        </w:rPr>
        <w:t>в.</w:t>
      </w:r>
      <w:bookmarkEnd w:id="62"/>
      <w:r w:rsidRPr="005229E9">
        <w:rPr>
          <w:rFonts w:ascii="Arial" w:hAnsi="Arial" w:cs="Arial"/>
          <w:b/>
          <w:bCs/>
          <w:sz w:val="24"/>
          <w:szCs w:val="24"/>
        </w:rPr>
        <w:t xml:space="preserve"> </w:t>
      </w:r>
      <w:r w:rsidRPr="005229E9">
        <w:rPr>
          <w:sz w:val="24"/>
          <w:szCs w:val="24"/>
        </w:rPr>
        <w:t xml:space="preserve">Если поражены не все, а несколько желез (4% случаев), пораженные железы удаляют, а остальные подвергают биопсии и маркируют. </w:t>
      </w:r>
    </w:p>
    <w:p w:rsidR="005229E9" w:rsidRPr="005229E9" w:rsidRDefault="005229E9" w:rsidP="005229E9">
      <w:pPr>
        <w:widowControl/>
        <w:autoSpaceDE/>
        <w:autoSpaceDN/>
        <w:adjustRightInd/>
        <w:spacing w:before="30"/>
        <w:ind w:left="1200" w:hanging="300"/>
        <w:jc w:val="both"/>
        <w:rPr>
          <w:sz w:val="24"/>
          <w:szCs w:val="24"/>
        </w:rPr>
      </w:pPr>
      <w:bookmarkStart w:id="63" w:name="XV.Г.1.г."/>
      <w:r w:rsidRPr="005229E9">
        <w:rPr>
          <w:rFonts w:ascii="Arial" w:hAnsi="Arial" w:cs="Arial"/>
          <w:b/>
          <w:bCs/>
          <w:sz w:val="24"/>
          <w:szCs w:val="24"/>
        </w:rPr>
        <w:lastRenderedPageBreak/>
        <w:t>г.</w:t>
      </w:r>
      <w:bookmarkEnd w:id="63"/>
      <w:r w:rsidRPr="005229E9">
        <w:rPr>
          <w:rFonts w:ascii="Arial" w:hAnsi="Arial" w:cs="Arial"/>
          <w:b/>
          <w:bCs/>
          <w:sz w:val="24"/>
          <w:szCs w:val="24"/>
        </w:rPr>
        <w:t xml:space="preserve"> </w:t>
      </w:r>
      <w:r w:rsidRPr="005229E9">
        <w:rPr>
          <w:sz w:val="24"/>
          <w:szCs w:val="24"/>
        </w:rPr>
        <w:t xml:space="preserve">При МЭН типа I и при гиперплазии всех паращитовидных желез вследствие первичного или вторичного гиперпаратиреоза некоторые эндокринологи удаляют все железы и проводят немедленную аутотрансплантацию ткани одной из желез. Мы прибегаем к такой операции только при хроническом тяжелом гиперпаратиреозе, а также у грудных детей с врожденным гиперпаратиреозом. </w:t>
      </w:r>
    </w:p>
    <w:p w:rsidR="005229E9" w:rsidRPr="005229E9" w:rsidRDefault="005229E9" w:rsidP="005229E9">
      <w:pPr>
        <w:widowControl/>
        <w:autoSpaceDE/>
        <w:autoSpaceDN/>
        <w:adjustRightInd/>
        <w:spacing w:before="30"/>
        <w:ind w:left="1200" w:hanging="300"/>
        <w:jc w:val="both"/>
        <w:rPr>
          <w:sz w:val="24"/>
          <w:szCs w:val="24"/>
        </w:rPr>
      </w:pPr>
      <w:bookmarkStart w:id="64" w:name="XV.Г.1.д."/>
      <w:r w:rsidRPr="005229E9">
        <w:rPr>
          <w:rFonts w:ascii="Arial" w:hAnsi="Arial" w:cs="Arial"/>
          <w:b/>
          <w:bCs/>
          <w:sz w:val="24"/>
          <w:szCs w:val="24"/>
        </w:rPr>
        <w:t>д.</w:t>
      </w:r>
      <w:bookmarkEnd w:id="64"/>
      <w:r w:rsidRPr="005229E9">
        <w:rPr>
          <w:rFonts w:ascii="Arial" w:hAnsi="Arial" w:cs="Arial"/>
          <w:b/>
          <w:bCs/>
          <w:sz w:val="24"/>
          <w:szCs w:val="24"/>
        </w:rPr>
        <w:t xml:space="preserve"> </w:t>
      </w:r>
      <w:r w:rsidRPr="005229E9">
        <w:rPr>
          <w:sz w:val="24"/>
          <w:szCs w:val="24"/>
        </w:rPr>
        <w:t xml:space="preserve">Беременных оперируют во II триместре беременности. </w:t>
      </w:r>
    </w:p>
    <w:p w:rsidR="005229E9" w:rsidRPr="005229E9" w:rsidRDefault="005229E9" w:rsidP="005229E9">
      <w:pPr>
        <w:widowControl/>
        <w:autoSpaceDE/>
        <w:autoSpaceDN/>
        <w:adjustRightInd/>
        <w:spacing w:before="30"/>
        <w:ind w:left="1200" w:hanging="300"/>
        <w:jc w:val="both"/>
        <w:rPr>
          <w:sz w:val="24"/>
          <w:szCs w:val="24"/>
        </w:rPr>
      </w:pPr>
      <w:bookmarkStart w:id="65" w:name="XV.Г.1.е."/>
      <w:r w:rsidRPr="005229E9">
        <w:rPr>
          <w:rFonts w:ascii="Arial" w:hAnsi="Arial" w:cs="Arial"/>
          <w:b/>
          <w:bCs/>
          <w:sz w:val="24"/>
          <w:szCs w:val="24"/>
        </w:rPr>
        <w:t>е.</w:t>
      </w:r>
      <w:bookmarkEnd w:id="65"/>
      <w:r w:rsidRPr="005229E9">
        <w:rPr>
          <w:rFonts w:ascii="Arial" w:hAnsi="Arial" w:cs="Arial"/>
          <w:b/>
          <w:bCs/>
          <w:sz w:val="24"/>
          <w:szCs w:val="24"/>
        </w:rPr>
        <w:t xml:space="preserve"> </w:t>
      </w:r>
      <w:r w:rsidRPr="005229E9">
        <w:rPr>
          <w:sz w:val="24"/>
          <w:szCs w:val="24"/>
        </w:rPr>
        <w:t xml:space="preserve">Если опухоль прорастает в окружающие ткани, следует заподозрить рак паращитовидных желез. Пораженную железу удаляют вместе с окружающими тканями, включая долю щитовидной железы. Рак паращитовидных желез нужно исключить у каждого больного с тяжелой гиперкальциемией и пальпируемой паращитовидной железой.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Осложнения</w:t>
      </w:r>
      <w:r w:rsidRPr="005229E9">
        <w:rPr>
          <w:sz w:val="24"/>
          <w:szCs w:val="24"/>
        </w:rPr>
        <w:t xml:space="preserve"> паратиреоэктомии включают кровотечение, повреждение возвратного гортанного нерва, гипокальциемию, инфекции и, изредка — гипомагниемию. Они возникают менее чем у 2% больных. У больных, страдавших до операции тяжелой гиперкальциемией с выраженной остеопенией, может развиться </w:t>
      </w:r>
      <w:r w:rsidRPr="005229E9">
        <w:rPr>
          <w:rFonts w:ascii="Arial" w:hAnsi="Arial" w:cs="Arial"/>
          <w:b/>
          <w:bCs/>
          <w:sz w:val="24"/>
          <w:szCs w:val="24"/>
        </w:rPr>
        <w:t>синдром голодных костей</w:t>
      </w:r>
      <w:r w:rsidRPr="005229E9">
        <w:rPr>
          <w:sz w:val="24"/>
          <w:szCs w:val="24"/>
        </w:rPr>
        <w:t xml:space="preserve"> — тяжелая гипокальциемия, вызванная быстрым поглощением кальция остеобластами.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3. Результаты паратиреоэктомии.</w:t>
      </w:r>
      <w:r w:rsidRPr="005229E9">
        <w:rPr>
          <w:sz w:val="24"/>
          <w:szCs w:val="24"/>
        </w:rPr>
        <w:t xml:space="preserve"> В 75% случаев операция позволяет полностью или частично избавиться от артралгии, боли в костях, почечных колик, утомляемости, мышечной слабости, язвенной болезни. Нормализуются уровни кальция, фосфата и ПТГ в сыворотке, активность щелочной фосфатазы в сыворотке; снижается уровень нефрогенного цАМФ; прекращается субпериостальная резорбция костной ткани, уменьшается остеопороз, снижается экскреция кальция с мочой. </w:t>
      </w:r>
    </w:p>
    <w:p w:rsidR="005229E9" w:rsidRPr="005229E9" w:rsidRDefault="005229E9" w:rsidP="005229E9">
      <w:pPr>
        <w:widowControl/>
        <w:autoSpaceDE/>
        <w:autoSpaceDN/>
        <w:adjustRightInd/>
        <w:spacing w:before="100" w:beforeAutospacing="1" w:after="100" w:afterAutospacing="1"/>
        <w:jc w:val="both"/>
        <w:rPr>
          <w:sz w:val="36"/>
          <w:szCs w:val="36"/>
        </w:rPr>
      </w:pPr>
      <w:r w:rsidRPr="005229E9">
        <w:rPr>
          <w:rFonts w:ascii="Arial" w:hAnsi="Arial" w:cs="Arial"/>
          <w:b/>
          <w:bCs/>
          <w:sz w:val="36"/>
          <w:szCs w:val="36"/>
        </w:rPr>
        <w:t xml:space="preserve">Вторичный гиперпаратиреоз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XVI. Общие сведения.</w:t>
      </w:r>
      <w:r w:rsidRPr="005229E9">
        <w:rPr>
          <w:sz w:val="24"/>
          <w:szCs w:val="24"/>
        </w:rPr>
        <w:t xml:space="preserve"> Чаще всего вторичный гиперпаратиреоз развивается при ХПН, но может возникнуть при гипокальциемии любой этиологии, например при нарушении всасывания кальция в кишечнике.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А. Медикаментозная профилактика гиперпаратиреоза при ХПН</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Назначают диету с низким содержанием фосфора и прием антацидов, связывающих фосфаты в кишечнике (карбонат кальция или гидроксид алюминия).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Назначают препараты кальция внутрь; если проводят диализ, повышают концентрацию кальция в диализате до 3,5 мэкв/л.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Кальцитриол, по 0,25—1 мкг внутрь 2 раза в сутки.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Б. Показания к хирургическому вмешательству</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Произведение кальций </w:t>
      </w:r>
      <w:r w:rsidRPr="005229E9">
        <w:rPr>
          <w:rFonts w:ascii="Symbol" w:hAnsi="Symbol"/>
          <w:sz w:val="24"/>
          <w:szCs w:val="24"/>
        </w:rPr>
        <w:t></w:t>
      </w:r>
      <w:r w:rsidRPr="005229E9">
        <w:rPr>
          <w:sz w:val="24"/>
          <w:szCs w:val="24"/>
        </w:rPr>
        <w:t xml:space="preserve"> фосфат (произведение сывороточных концентраций кальция и фосфата, выраженных в мг%) &gt; 70.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Прогрессирующая почечная остеодистрофия с болями в костях.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Мучительный зуд. </w:t>
      </w:r>
    </w:p>
    <w:p w:rsidR="005229E9" w:rsidRPr="005229E9" w:rsidRDefault="005229E9" w:rsidP="005229E9">
      <w:pPr>
        <w:widowControl/>
        <w:autoSpaceDE/>
        <w:autoSpaceDN/>
        <w:adjustRightInd/>
        <w:spacing w:before="30"/>
        <w:ind w:left="900" w:hanging="300"/>
        <w:jc w:val="both"/>
        <w:rPr>
          <w:sz w:val="24"/>
          <w:szCs w:val="24"/>
        </w:rPr>
      </w:pPr>
      <w:bookmarkStart w:id="66" w:name="XVI.Б.4."/>
      <w:r w:rsidRPr="005229E9">
        <w:rPr>
          <w:rFonts w:ascii="Arial" w:hAnsi="Arial" w:cs="Arial"/>
          <w:b/>
          <w:bCs/>
          <w:sz w:val="24"/>
          <w:szCs w:val="24"/>
        </w:rPr>
        <w:t>4.</w:t>
      </w:r>
      <w:bookmarkEnd w:id="66"/>
      <w:r w:rsidRPr="005229E9">
        <w:rPr>
          <w:rFonts w:ascii="Arial" w:hAnsi="Arial" w:cs="Arial"/>
          <w:b/>
          <w:bCs/>
          <w:sz w:val="24"/>
          <w:szCs w:val="24"/>
        </w:rPr>
        <w:t xml:space="preserve"> </w:t>
      </w:r>
      <w:r w:rsidRPr="005229E9">
        <w:rPr>
          <w:sz w:val="24"/>
          <w:szCs w:val="24"/>
        </w:rPr>
        <w:t xml:space="preserve">Обызвествление мягких тканей. </w:t>
      </w:r>
    </w:p>
    <w:p w:rsidR="005229E9" w:rsidRPr="005229E9" w:rsidRDefault="005229E9" w:rsidP="005229E9">
      <w:pPr>
        <w:widowControl/>
        <w:autoSpaceDE/>
        <w:autoSpaceDN/>
        <w:adjustRightInd/>
        <w:spacing w:before="30"/>
        <w:ind w:left="900" w:hanging="300"/>
        <w:jc w:val="both"/>
        <w:rPr>
          <w:sz w:val="24"/>
          <w:szCs w:val="24"/>
        </w:rPr>
      </w:pPr>
      <w:bookmarkStart w:id="67" w:name="XVI.Б.5."/>
      <w:r w:rsidRPr="005229E9">
        <w:rPr>
          <w:rFonts w:ascii="Arial" w:hAnsi="Arial" w:cs="Arial"/>
          <w:b/>
          <w:bCs/>
          <w:sz w:val="24"/>
          <w:szCs w:val="24"/>
        </w:rPr>
        <w:t>5.</w:t>
      </w:r>
      <w:bookmarkEnd w:id="67"/>
      <w:r w:rsidRPr="005229E9">
        <w:rPr>
          <w:rFonts w:ascii="Arial" w:hAnsi="Arial" w:cs="Arial"/>
          <w:b/>
          <w:bCs/>
          <w:sz w:val="24"/>
          <w:szCs w:val="24"/>
        </w:rPr>
        <w:t xml:space="preserve"> </w:t>
      </w:r>
      <w:r w:rsidRPr="005229E9">
        <w:rPr>
          <w:sz w:val="24"/>
          <w:szCs w:val="24"/>
        </w:rPr>
        <w:t>Концентрация кальция в сыворотке &gt; 2,75 ммоль/л на фоне резко повышенного уровня ПТГ</w:t>
      </w:r>
      <w:r w:rsidRPr="005229E9">
        <w:rPr>
          <w:sz w:val="24"/>
          <w:szCs w:val="24"/>
          <w:vertAlign w:val="subscript"/>
        </w:rPr>
        <w:t>1—84</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bookmarkStart w:id="68" w:name="XVI.Б.6."/>
      <w:r w:rsidRPr="005229E9">
        <w:rPr>
          <w:rFonts w:ascii="Arial" w:hAnsi="Arial" w:cs="Arial"/>
          <w:b/>
          <w:bCs/>
          <w:sz w:val="24"/>
          <w:szCs w:val="24"/>
        </w:rPr>
        <w:lastRenderedPageBreak/>
        <w:t>6.</w:t>
      </w:r>
      <w:bookmarkEnd w:id="68"/>
      <w:r w:rsidRPr="005229E9">
        <w:rPr>
          <w:rFonts w:ascii="Arial" w:hAnsi="Arial" w:cs="Arial"/>
          <w:b/>
          <w:bCs/>
          <w:sz w:val="24"/>
          <w:szCs w:val="24"/>
        </w:rPr>
        <w:t xml:space="preserve"> </w:t>
      </w:r>
      <w:r w:rsidRPr="005229E9">
        <w:rPr>
          <w:sz w:val="24"/>
          <w:szCs w:val="24"/>
        </w:rPr>
        <w:t xml:space="preserve">Кальцифилаксия.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XVII. Хирургическое лечение</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А. </w:t>
      </w:r>
      <w:r w:rsidRPr="005229E9">
        <w:rPr>
          <w:sz w:val="24"/>
          <w:szCs w:val="24"/>
        </w:rPr>
        <w:t xml:space="preserve">Накануне операции проводят </w:t>
      </w:r>
      <w:r w:rsidRPr="005229E9">
        <w:rPr>
          <w:rFonts w:ascii="Arial" w:hAnsi="Arial" w:cs="Arial"/>
          <w:b/>
          <w:bCs/>
          <w:sz w:val="24"/>
          <w:szCs w:val="24"/>
        </w:rPr>
        <w:t>гемодиализ</w:t>
      </w:r>
      <w:r w:rsidRPr="005229E9">
        <w:rPr>
          <w:sz w:val="24"/>
          <w:szCs w:val="24"/>
        </w:rPr>
        <w:t xml:space="preserve"> для коррекции водно-электролитных нарушений и снижения уровня калия.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Б. Объем операции. </w:t>
      </w:r>
      <w:r w:rsidRPr="005229E9">
        <w:rPr>
          <w:sz w:val="24"/>
          <w:szCs w:val="24"/>
        </w:rPr>
        <w:t xml:space="preserve">Удаляют три паращитовидные железы и проводят субтотальную резекцию четвертой, наиболее доступной железы, оставляя 50—60 мг ткани. Почти у 15% таких больных имеется пятая, эктопическая паращитовидная железа, расположенная в тимусе, который также следует удалить. Гистологическое подтверждение диагноза (выявление гиперплазии) обязательно. Менее предпочтительный способ — удаление всех желез с аутотрансплантацией части ткани. 15 кусочков одной железы, каждый размером 1 мм, помещают в мышечные карманы, формируемые на предплечье.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В. После операции</w:t>
      </w:r>
      <w:r w:rsidRPr="005229E9">
        <w:rPr>
          <w:sz w:val="24"/>
          <w:szCs w:val="24"/>
        </w:rPr>
        <w:t xml:space="preserve"> у больных нередко развиваются гипокальциемия и тетания — из-за малого остатка паратиреоидной ткани и кальциевого голодания костей, которое ведет к активному поглощению кальция остеобластами. Назначают внутрь кальцитриол, по 0,25—1 мкг 2 раза в сутки, а также препараты кальция.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Г. Осложнения:</w:t>
      </w:r>
      <w:r w:rsidRPr="005229E9">
        <w:rPr>
          <w:sz w:val="24"/>
          <w:szCs w:val="24"/>
        </w:rPr>
        <w:t xml:space="preserve"> кровотечение, гипопаратиреоз, повреждение возвратного гортанного нерва, инфекции и гиперкалиемия (вплоть до остановки дыхания). Все осложнения, за исключением гипокальциемии, встречаются редко.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Д. Прогноз</w:t>
      </w:r>
      <w:r w:rsidRPr="005229E9">
        <w:rPr>
          <w:sz w:val="24"/>
          <w:szCs w:val="24"/>
        </w:rPr>
        <w:t xml:space="preserve"> после успешной операции благоприятный. Исчезают боли в костях и зуд, состояние больного улучшается. Нужно поддерживать положительный баланс кальция с помощью витамина D, иначе гиперпаратиреоз может рецидивировать. У некоторых больных с вторичным гиперпаратиреозом возникают боли в костях и развивается остеомаляция; причиной обычно служит отложение в костях алюминия. Уровень ПТГ у таких больных повышен в значительно меньшей степени, чем при фиброзно-кистозном остите. </w:t>
      </w:r>
    </w:p>
    <w:p w:rsidR="005229E9" w:rsidRPr="005229E9" w:rsidRDefault="005229E9" w:rsidP="005229E9">
      <w:pPr>
        <w:widowControl/>
        <w:autoSpaceDE/>
        <w:autoSpaceDN/>
        <w:adjustRightInd/>
        <w:spacing w:before="100" w:beforeAutospacing="1" w:after="100" w:afterAutospacing="1"/>
        <w:jc w:val="both"/>
        <w:rPr>
          <w:sz w:val="36"/>
          <w:szCs w:val="36"/>
        </w:rPr>
      </w:pPr>
      <w:r w:rsidRPr="005229E9">
        <w:rPr>
          <w:rFonts w:ascii="Arial" w:hAnsi="Arial" w:cs="Arial"/>
          <w:b/>
          <w:bCs/>
          <w:sz w:val="36"/>
          <w:szCs w:val="36"/>
        </w:rPr>
        <w:t xml:space="preserve">Надпочечники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 xml:space="preserve">XVIII. Общие сведения. </w:t>
      </w:r>
      <w:r w:rsidRPr="005229E9">
        <w:rPr>
          <w:sz w:val="24"/>
          <w:szCs w:val="24"/>
        </w:rPr>
        <w:t xml:space="preserve">Опухоли коры надпочечников вызывают синдром Кушинга или гиперальдостеронизм. Синдром Кушинга может быть вызван и АКТГ-секретирующей опухолью аденогипофиза. Опухоли из мозгового вещества или хромаффинных параганглиев симпатического ствола (феохромоцитомы) приводят к избытку катехоламинов. Гормонально-активные опухоли надпочечников могут секретировать как один, так и несколько гормонов. Иногда опухоли надпочечников бывают гормонально-неактивными. Многие гормонально-неактивные опухоли обнаруживают случайно, во время КТ, МРТ или УЗИ. Если опухоль не проявляется клинически, не секретирует гормоны и не превышает в диаметре 4 см, хирургическое вмешательство необязательно. Показано диспансерное наблюдение и КТ 2 раза в год. Хирургическое вмешательство — адреналэктомия — требуется при гормонально-активных (как злокачественных, так и доброкачественных), растущих, смешанных и гормонально-неактивных опухолях диаметром более 4 см.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 xml:space="preserve">XIX. Первичный гиперальдостеронизм. </w:t>
      </w:r>
      <w:r w:rsidRPr="005229E9">
        <w:rPr>
          <w:sz w:val="24"/>
          <w:szCs w:val="24"/>
        </w:rPr>
        <w:t xml:space="preserve">Это заболевание служит причиной 1% всех случаев артериальной гипертонии. У женщин первичный гиперальдостеронизм встречается вдвое чаще, чем у мужчин. Заболевание нужно исключить у каждого больного с артериальной гипертонией, особенно если она сопровождается мышечной слабостью, полидипсией, </w:t>
      </w:r>
      <w:r w:rsidRPr="005229E9">
        <w:rPr>
          <w:sz w:val="24"/>
          <w:szCs w:val="24"/>
        </w:rPr>
        <w:lastRenderedPageBreak/>
        <w:t xml:space="preserve">головными болями и гипокалиемией. При первичном гиперальдостеронизме повышенная секреция альдостерона обусловлена новообразованием надпочечников. В 75% случаев это </w:t>
      </w:r>
      <w:r w:rsidRPr="005229E9">
        <w:rPr>
          <w:rFonts w:ascii="Arial" w:hAnsi="Arial" w:cs="Arial"/>
          <w:b/>
          <w:bCs/>
          <w:sz w:val="24"/>
          <w:szCs w:val="24"/>
        </w:rPr>
        <w:t>альдостерома</w:t>
      </w:r>
      <w:r w:rsidRPr="005229E9">
        <w:rPr>
          <w:sz w:val="24"/>
          <w:szCs w:val="24"/>
        </w:rPr>
        <w:t xml:space="preserve"> (альдостеронсекретирующая аденома надпочечников), в 25% — гиперплазия коры надпочечника и очень редко — рак надпочечников. Секреция альдостерона выходит из-под контроля ренин-ангиотензиновой системы и АКТГ; избыток альдостерона приводит к задержке натрия, потере калия и подъему АД. </w:t>
      </w:r>
    </w:p>
    <w:p w:rsidR="005229E9" w:rsidRPr="005229E9" w:rsidRDefault="005229E9" w:rsidP="005229E9">
      <w:pPr>
        <w:widowControl/>
        <w:autoSpaceDE/>
        <w:autoSpaceDN/>
        <w:adjustRightInd/>
        <w:spacing w:before="30"/>
        <w:ind w:left="300"/>
        <w:jc w:val="both"/>
        <w:rPr>
          <w:sz w:val="24"/>
          <w:szCs w:val="24"/>
        </w:rPr>
      </w:pPr>
      <w:r w:rsidRPr="005229E9">
        <w:rPr>
          <w:rFonts w:ascii="Arial" w:hAnsi="Arial" w:cs="Arial"/>
          <w:b/>
          <w:bCs/>
          <w:sz w:val="24"/>
          <w:szCs w:val="24"/>
        </w:rPr>
        <w:t xml:space="preserve">Вторичный гиперальдостеронизм </w:t>
      </w:r>
      <w:r w:rsidRPr="005229E9">
        <w:rPr>
          <w:sz w:val="24"/>
          <w:szCs w:val="24"/>
        </w:rPr>
        <w:t xml:space="preserve">развивается при лечении диуретиками, почечной недостаточности, злокачественной артериальной гипертонии, сердечной недостаточности, циррозе печени, а также на фоне приема пероральных контрацептивов. В этом случае секреция альдостерона усиливается в ответ на повышение активности ренин-ангиотензиновой системы. При первичном гиперальдостеронизме АРП снижена, при вторичном — повышена.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А. Диагностика</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bookmarkStart w:id="69" w:name="XIX.А.1."/>
      <w:r w:rsidRPr="005229E9">
        <w:rPr>
          <w:rFonts w:ascii="Arial" w:hAnsi="Arial" w:cs="Arial"/>
          <w:b/>
          <w:bCs/>
          <w:sz w:val="24"/>
          <w:szCs w:val="24"/>
        </w:rPr>
        <w:t>1.</w:t>
      </w:r>
      <w:bookmarkEnd w:id="69"/>
      <w:r w:rsidRPr="005229E9">
        <w:rPr>
          <w:rFonts w:ascii="Arial" w:hAnsi="Arial" w:cs="Arial"/>
          <w:b/>
          <w:bCs/>
          <w:sz w:val="24"/>
          <w:szCs w:val="24"/>
        </w:rPr>
        <w:t xml:space="preserve"> </w:t>
      </w:r>
      <w:r w:rsidRPr="005229E9">
        <w:rPr>
          <w:sz w:val="24"/>
          <w:szCs w:val="24"/>
        </w:rPr>
        <w:t xml:space="preserve">Клиническая картина: артериальная гипертония, головная боль, мышечная слабость, полидипсия, полиурия, никтурия, утомляемость, парестезия. Отеков нет. </w:t>
      </w:r>
    </w:p>
    <w:p w:rsidR="005229E9" w:rsidRPr="005229E9" w:rsidRDefault="005229E9" w:rsidP="005229E9">
      <w:pPr>
        <w:widowControl/>
        <w:autoSpaceDE/>
        <w:autoSpaceDN/>
        <w:adjustRightInd/>
        <w:spacing w:before="30"/>
        <w:ind w:left="900" w:hanging="300"/>
        <w:jc w:val="both"/>
        <w:rPr>
          <w:sz w:val="24"/>
          <w:szCs w:val="24"/>
        </w:rPr>
      </w:pPr>
      <w:bookmarkStart w:id="70" w:name="XIX.А.2."/>
      <w:r w:rsidRPr="005229E9">
        <w:rPr>
          <w:rFonts w:ascii="Arial" w:hAnsi="Arial" w:cs="Arial"/>
          <w:b/>
          <w:bCs/>
          <w:sz w:val="24"/>
          <w:szCs w:val="24"/>
        </w:rPr>
        <w:t>2.</w:t>
      </w:r>
      <w:bookmarkEnd w:id="70"/>
      <w:r w:rsidRPr="005229E9">
        <w:rPr>
          <w:rFonts w:ascii="Arial" w:hAnsi="Arial" w:cs="Arial"/>
          <w:b/>
          <w:bCs/>
          <w:sz w:val="24"/>
          <w:szCs w:val="24"/>
        </w:rPr>
        <w:t xml:space="preserve"> Лабораторная диагностика.</w:t>
      </w:r>
      <w:r w:rsidRPr="005229E9">
        <w:rPr>
          <w:sz w:val="24"/>
          <w:szCs w:val="24"/>
        </w:rPr>
        <w:t xml:space="preserve"> Для</w:t>
      </w:r>
      <w:r w:rsidRPr="005229E9">
        <w:rPr>
          <w:rFonts w:ascii="Arial" w:hAnsi="Arial" w:cs="Arial"/>
          <w:b/>
          <w:bCs/>
          <w:sz w:val="24"/>
          <w:szCs w:val="24"/>
        </w:rPr>
        <w:t xml:space="preserve"> </w:t>
      </w:r>
      <w:r w:rsidRPr="005229E9">
        <w:rPr>
          <w:sz w:val="24"/>
          <w:szCs w:val="24"/>
        </w:rPr>
        <w:t xml:space="preserve">первичного гиперальдостеронизма характерны гипокалиемия, протеинурия, алкалоз, нормальное или повышенное содержание натрия и пониженное содержание хлорида и магния в сыворотке. Повышенный уровень альдостерона в сыворотке и моче, повышенный уровень 18-гидроксикортикостерона в сыворотке и пониженная АРП подтверждают диагноз. Если диагноз все еще неясен, проводят пробу с изотоническим раствором NaCl или ортостатическую пробу с фуросемидом (см. гл. 12, п. XV.А и приложение А, п. XVIII). Перед обследованием отменяют диуретики и назначают диету с высоким содержанием натрия. В течение 4 сут больной должен получать по 1—2 г поваренной соли с каждым приемом пищи. Если развивается гипокалиемия, определяют уровень альдостерона в моче и сыворотке. При первичном гиперальдостеронизме высокая концентрация калия в моче (более 30—40 мэкв/л) сохраняется даже на фоне гипокалиемии. Другие признаки первичного гиперальдостеронизма: </w:t>
      </w:r>
    </w:p>
    <w:p w:rsidR="005229E9" w:rsidRPr="005229E9" w:rsidRDefault="005229E9" w:rsidP="005229E9">
      <w:pPr>
        <w:widowControl/>
        <w:autoSpaceDE/>
        <w:autoSpaceDN/>
        <w:adjustRightInd/>
        <w:spacing w:before="30"/>
        <w:ind w:left="1200" w:hanging="300"/>
        <w:jc w:val="both"/>
        <w:rPr>
          <w:sz w:val="24"/>
          <w:szCs w:val="24"/>
        </w:rPr>
      </w:pPr>
      <w:bookmarkStart w:id="71" w:name="XIX.А.2.а."/>
      <w:r w:rsidRPr="005229E9">
        <w:rPr>
          <w:rFonts w:ascii="Arial" w:hAnsi="Arial" w:cs="Arial"/>
          <w:b/>
          <w:bCs/>
          <w:sz w:val="24"/>
          <w:szCs w:val="24"/>
        </w:rPr>
        <w:t>а.</w:t>
      </w:r>
      <w:bookmarkEnd w:id="71"/>
      <w:r w:rsidRPr="005229E9">
        <w:rPr>
          <w:rFonts w:ascii="Arial" w:hAnsi="Arial" w:cs="Arial"/>
          <w:b/>
          <w:bCs/>
          <w:sz w:val="24"/>
          <w:szCs w:val="24"/>
        </w:rPr>
        <w:t xml:space="preserve"> </w:t>
      </w:r>
      <w:r w:rsidRPr="005229E9">
        <w:rPr>
          <w:sz w:val="24"/>
          <w:szCs w:val="24"/>
        </w:rPr>
        <w:t xml:space="preserve">На фоне диеты с высоким содержанием натрия (2 г с каждым приемом пищи в течение 3—4 сут) уровень альдостерона в сыворотке не падает; а на фоне диеты с низким содержанием натрия 4-часовая ходьба (ортостатическая проба) не приводит к повышению АРП. </w:t>
      </w:r>
    </w:p>
    <w:p w:rsidR="005229E9" w:rsidRPr="005229E9" w:rsidRDefault="005229E9" w:rsidP="005229E9">
      <w:pPr>
        <w:widowControl/>
        <w:autoSpaceDE/>
        <w:autoSpaceDN/>
        <w:adjustRightInd/>
        <w:spacing w:before="30"/>
        <w:ind w:left="1200" w:hanging="300"/>
        <w:jc w:val="both"/>
        <w:rPr>
          <w:sz w:val="24"/>
          <w:szCs w:val="24"/>
        </w:rPr>
      </w:pPr>
      <w:bookmarkStart w:id="72" w:name="XIX.А.2.б."/>
      <w:r w:rsidRPr="005229E9">
        <w:rPr>
          <w:rFonts w:ascii="Arial" w:hAnsi="Arial" w:cs="Arial"/>
          <w:b/>
          <w:bCs/>
          <w:sz w:val="24"/>
          <w:szCs w:val="24"/>
        </w:rPr>
        <w:t>б.</w:t>
      </w:r>
      <w:bookmarkEnd w:id="72"/>
      <w:r w:rsidRPr="005229E9">
        <w:rPr>
          <w:rFonts w:ascii="Arial" w:hAnsi="Arial" w:cs="Arial"/>
          <w:b/>
          <w:bCs/>
          <w:sz w:val="24"/>
          <w:szCs w:val="24"/>
        </w:rPr>
        <w:t xml:space="preserve"> </w:t>
      </w:r>
      <w:r w:rsidRPr="005229E9">
        <w:rPr>
          <w:sz w:val="24"/>
          <w:szCs w:val="24"/>
        </w:rPr>
        <w:t xml:space="preserve">Суточная экскреция альдостерона с мочой превышает 20 мкг (на фоне нормальных концентраций натрия и калия в плазме). </w:t>
      </w:r>
    </w:p>
    <w:p w:rsidR="005229E9" w:rsidRPr="005229E9" w:rsidRDefault="005229E9" w:rsidP="005229E9">
      <w:pPr>
        <w:widowControl/>
        <w:autoSpaceDE/>
        <w:autoSpaceDN/>
        <w:adjustRightInd/>
        <w:spacing w:before="30"/>
        <w:ind w:left="1200" w:hanging="300"/>
        <w:jc w:val="both"/>
        <w:rPr>
          <w:sz w:val="24"/>
          <w:szCs w:val="24"/>
        </w:rPr>
      </w:pPr>
      <w:bookmarkStart w:id="73" w:name="XIX.А.2.в."/>
      <w:r w:rsidRPr="005229E9">
        <w:rPr>
          <w:rFonts w:ascii="Arial" w:hAnsi="Arial" w:cs="Arial"/>
          <w:b/>
          <w:bCs/>
          <w:sz w:val="24"/>
          <w:szCs w:val="24"/>
        </w:rPr>
        <w:t>в.</w:t>
      </w:r>
      <w:bookmarkEnd w:id="73"/>
      <w:r w:rsidRPr="005229E9">
        <w:rPr>
          <w:rFonts w:ascii="Arial" w:hAnsi="Arial" w:cs="Arial"/>
          <w:b/>
          <w:bCs/>
          <w:sz w:val="24"/>
          <w:szCs w:val="24"/>
        </w:rPr>
        <w:t xml:space="preserve"> </w:t>
      </w:r>
      <w:r w:rsidRPr="005229E9">
        <w:rPr>
          <w:sz w:val="24"/>
          <w:szCs w:val="24"/>
        </w:rPr>
        <w:t xml:space="preserve">Лечение спиронолактоном, по 100 мг 4 раза в сутки внутрь в течение 3 сут, устраняет гипокалиемию (у здоровых людей в таких дозах препарат не влияет на уровень калия в плазме). </w:t>
      </w:r>
    </w:p>
    <w:p w:rsidR="005229E9" w:rsidRPr="005229E9" w:rsidRDefault="005229E9" w:rsidP="005229E9">
      <w:pPr>
        <w:widowControl/>
        <w:autoSpaceDE/>
        <w:autoSpaceDN/>
        <w:adjustRightInd/>
        <w:spacing w:before="30"/>
        <w:ind w:left="1200" w:hanging="300"/>
        <w:jc w:val="both"/>
        <w:rPr>
          <w:sz w:val="24"/>
          <w:szCs w:val="24"/>
        </w:rPr>
      </w:pPr>
      <w:bookmarkStart w:id="74" w:name="XIX.А.2.г."/>
      <w:r w:rsidRPr="005229E9">
        <w:rPr>
          <w:rFonts w:ascii="Arial" w:hAnsi="Arial" w:cs="Arial"/>
          <w:b/>
          <w:bCs/>
          <w:sz w:val="24"/>
          <w:szCs w:val="24"/>
        </w:rPr>
        <w:t>г.</w:t>
      </w:r>
      <w:bookmarkEnd w:id="74"/>
      <w:r w:rsidRPr="005229E9">
        <w:rPr>
          <w:rFonts w:ascii="Arial" w:hAnsi="Arial" w:cs="Arial"/>
          <w:b/>
          <w:bCs/>
          <w:sz w:val="24"/>
          <w:szCs w:val="24"/>
        </w:rPr>
        <w:t xml:space="preserve"> </w:t>
      </w:r>
      <w:r w:rsidRPr="005229E9">
        <w:rPr>
          <w:sz w:val="24"/>
          <w:szCs w:val="24"/>
        </w:rPr>
        <w:t xml:space="preserve">Обнаружение опухоли надпочечника при КТ, сцинтиграфии с </w:t>
      </w:r>
      <w:r w:rsidRPr="005229E9">
        <w:rPr>
          <w:sz w:val="24"/>
          <w:szCs w:val="24"/>
          <w:vertAlign w:val="superscript"/>
        </w:rPr>
        <w:t>131</w:t>
      </w:r>
      <w:r w:rsidRPr="005229E9">
        <w:rPr>
          <w:sz w:val="24"/>
          <w:szCs w:val="24"/>
        </w:rPr>
        <w:t xml:space="preserve">I-холестерином или при селективной катетеризации надпочечниковых вен.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Б. Дифференциальная диагностика альдостеромы и гиперплазии надпочечников</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При альдостероме операция всегда дает положительный результат, а при гиперплазии надпочечников она, как правило, бесполезна, поэтому дифференциальный диагноз крайне важен. Проводят ортостатическую пробу (см. гл. 12, п. XV.Б.1). При гиперплазии надпочечников секреция альдостерона неавтономна и потому в положении </w:t>
      </w:r>
      <w:r w:rsidRPr="005229E9">
        <w:rPr>
          <w:sz w:val="24"/>
          <w:szCs w:val="24"/>
        </w:rPr>
        <w:lastRenderedPageBreak/>
        <w:t xml:space="preserve">стоя (при повышении АРП) уровень альдостерона в сыворотке возрастает так же, как в норме. Напротив, при альдостероме секреция альдостерона не регулируется ренин-ангиотензиновой системой, и в ходе ортостатической пробы содержание альдостерона в сыворотке падает.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Другие критерии дифференциального диагноза: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Альдостерома вызывает более тяжелые метаболические нарушения, чем гиперплазия надпочечников.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w:t>
      </w:r>
      <w:r w:rsidRPr="005229E9">
        <w:rPr>
          <w:sz w:val="24"/>
          <w:szCs w:val="24"/>
        </w:rPr>
        <w:t xml:space="preserve">Инфузия ангиотензинамида (синтетический аналог ангиотензина II) у больных с двусторонней диффузной мелкоузелковой гиперплазией коры надпочечников вызывает гораздо больший подъем уровня альдостерона в сыворотке, чем у больных с альдостеромой.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в. </w:t>
      </w:r>
      <w:r w:rsidRPr="005229E9">
        <w:rPr>
          <w:sz w:val="24"/>
          <w:szCs w:val="24"/>
        </w:rPr>
        <w:t xml:space="preserve">Высокий уровень 18-гидроксикортикостерона в сыворотке (&gt; 100 нг%) позволяет заподозрить альдостерому; очень высокий уровень и его резкие колебания характерны для рака коры надпочечников. При гиперплазии надпочечников уровень 18-гидроксикортикостерона обычно &lt; 100 нг% (часто &lt; 50 нг%).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г. </w:t>
      </w:r>
      <w:r w:rsidRPr="005229E9">
        <w:rPr>
          <w:sz w:val="24"/>
          <w:szCs w:val="24"/>
        </w:rPr>
        <w:t xml:space="preserve">Топическая диагностика. Альдостеромы, как правило, бывают односторонние. При гиперплазии обычно поражены оба надпочечника.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В. Лечение</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Медикаментозное лечение.</w:t>
      </w:r>
      <w:r w:rsidRPr="005229E9">
        <w:rPr>
          <w:sz w:val="24"/>
          <w:szCs w:val="24"/>
        </w:rPr>
        <w:t xml:space="preserve"> Калийсберегающие диуретики — </w:t>
      </w:r>
      <w:r w:rsidRPr="005229E9">
        <w:rPr>
          <w:rFonts w:ascii="Arial" w:hAnsi="Arial" w:cs="Arial"/>
          <w:b/>
          <w:bCs/>
          <w:sz w:val="24"/>
          <w:szCs w:val="24"/>
        </w:rPr>
        <w:t>спиронолактон</w:t>
      </w:r>
      <w:r w:rsidRPr="005229E9">
        <w:rPr>
          <w:sz w:val="24"/>
          <w:szCs w:val="24"/>
        </w:rPr>
        <w:t xml:space="preserve"> (конкурентный блокатор рецепторов минералокортикоидов) и амилорид — нормализуют АД и устраняют гипокалиемию. Это — препараты выбора при лечении гиперплазии коры надпочечников и при подготовке больных с альдостеромой к операции. Для коррекции водно-электролитных нарушений добавляют калий в пищу (8 г KCl в сутки) и назначают низкосолевую диету.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Хирургическое лечение</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bookmarkStart w:id="75" w:name="XIX.В.2.а."/>
      <w:r w:rsidRPr="005229E9">
        <w:rPr>
          <w:rFonts w:ascii="Arial" w:hAnsi="Arial" w:cs="Arial"/>
          <w:b/>
          <w:bCs/>
          <w:sz w:val="24"/>
          <w:szCs w:val="24"/>
        </w:rPr>
        <w:t>а.</w:t>
      </w:r>
      <w:bookmarkEnd w:id="75"/>
      <w:r w:rsidRPr="005229E9">
        <w:rPr>
          <w:rFonts w:ascii="Arial" w:hAnsi="Arial" w:cs="Arial"/>
          <w:b/>
          <w:bCs/>
          <w:sz w:val="24"/>
          <w:szCs w:val="24"/>
        </w:rPr>
        <w:t xml:space="preserve"> </w:t>
      </w:r>
      <w:r w:rsidRPr="005229E9">
        <w:rPr>
          <w:sz w:val="24"/>
          <w:szCs w:val="24"/>
        </w:rPr>
        <w:t xml:space="preserve">Хирургическое вмешательство проводят после восстановления водно-электролитного баланса. Обычно используют поясничный внебрюшинный доступ, так как в большинстве случаев локализация опухоли известна заранее, а двусторонние и эктопические опухоли встречаются редко. </w:t>
      </w:r>
    </w:p>
    <w:p w:rsidR="005229E9" w:rsidRPr="005229E9" w:rsidRDefault="005229E9" w:rsidP="005229E9">
      <w:pPr>
        <w:widowControl/>
        <w:autoSpaceDE/>
        <w:autoSpaceDN/>
        <w:adjustRightInd/>
        <w:spacing w:before="30"/>
        <w:ind w:left="1200" w:hanging="300"/>
        <w:jc w:val="both"/>
        <w:rPr>
          <w:sz w:val="24"/>
          <w:szCs w:val="24"/>
        </w:rPr>
      </w:pPr>
      <w:bookmarkStart w:id="76" w:name="XIX.В.2.б."/>
      <w:r w:rsidRPr="005229E9">
        <w:rPr>
          <w:rFonts w:ascii="Arial" w:hAnsi="Arial" w:cs="Arial"/>
          <w:b/>
          <w:bCs/>
          <w:sz w:val="24"/>
          <w:szCs w:val="24"/>
        </w:rPr>
        <w:t>б.</w:t>
      </w:r>
      <w:bookmarkEnd w:id="76"/>
      <w:r w:rsidRPr="005229E9">
        <w:rPr>
          <w:rFonts w:ascii="Arial" w:hAnsi="Arial" w:cs="Arial"/>
          <w:b/>
          <w:bCs/>
          <w:sz w:val="24"/>
          <w:szCs w:val="24"/>
        </w:rPr>
        <w:t xml:space="preserve"> </w:t>
      </w:r>
      <w:r w:rsidRPr="005229E9">
        <w:rPr>
          <w:sz w:val="24"/>
          <w:szCs w:val="24"/>
        </w:rPr>
        <w:t xml:space="preserve">При гиперплазии надпочечников и двусторонняя адреналэктомия, и правосторонняя адреналэктомия в сочетании с субтотальной резекцией левого надпочечника (с сохранением 30% ткани) почти всегда бесполезны. После операции АД нормализуется лишь у немногих больных.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3. Послеоперационный период</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bookmarkStart w:id="77" w:name="XIX.В.3.а."/>
      <w:r w:rsidRPr="005229E9">
        <w:rPr>
          <w:rFonts w:ascii="Arial" w:hAnsi="Arial" w:cs="Arial"/>
          <w:b/>
          <w:bCs/>
          <w:sz w:val="24"/>
          <w:szCs w:val="24"/>
        </w:rPr>
        <w:t>а.</w:t>
      </w:r>
      <w:bookmarkEnd w:id="77"/>
      <w:r w:rsidRPr="005229E9">
        <w:rPr>
          <w:rFonts w:ascii="Arial" w:hAnsi="Arial" w:cs="Arial"/>
          <w:b/>
          <w:bCs/>
          <w:sz w:val="24"/>
          <w:szCs w:val="24"/>
        </w:rPr>
        <w:t xml:space="preserve"> </w:t>
      </w:r>
      <w:r w:rsidRPr="005229E9">
        <w:rPr>
          <w:sz w:val="24"/>
          <w:szCs w:val="24"/>
        </w:rPr>
        <w:t xml:space="preserve">Для большинства больных никакого специального лечения в послеоперационном периоде не требуется. </w:t>
      </w:r>
    </w:p>
    <w:p w:rsidR="005229E9" w:rsidRPr="005229E9" w:rsidRDefault="005229E9" w:rsidP="005229E9">
      <w:pPr>
        <w:widowControl/>
        <w:autoSpaceDE/>
        <w:autoSpaceDN/>
        <w:adjustRightInd/>
        <w:spacing w:before="30"/>
        <w:ind w:left="1200" w:hanging="300"/>
        <w:jc w:val="both"/>
        <w:rPr>
          <w:sz w:val="24"/>
          <w:szCs w:val="24"/>
        </w:rPr>
      </w:pPr>
      <w:bookmarkStart w:id="78" w:name="XIX.В.3.б."/>
      <w:r w:rsidRPr="005229E9">
        <w:rPr>
          <w:rFonts w:ascii="Arial" w:hAnsi="Arial" w:cs="Arial"/>
          <w:b/>
          <w:bCs/>
          <w:sz w:val="24"/>
          <w:szCs w:val="24"/>
        </w:rPr>
        <w:t>б.</w:t>
      </w:r>
      <w:bookmarkEnd w:id="78"/>
      <w:r w:rsidRPr="005229E9">
        <w:rPr>
          <w:rFonts w:ascii="Arial" w:hAnsi="Arial" w:cs="Arial"/>
          <w:b/>
          <w:bCs/>
          <w:sz w:val="24"/>
          <w:szCs w:val="24"/>
        </w:rPr>
        <w:t xml:space="preserve"> </w:t>
      </w:r>
      <w:r w:rsidRPr="005229E9">
        <w:rPr>
          <w:sz w:val="24"/>
          <w:szCs w:val="24"/>
        </w:rPr>
        <w:t xml:space="preserve">Иногда после операции отмечается преходящий гипоальдостеронизм (продолжительностью от 1 сут до 1 мес). В таких случаях требуется инфузионная терапия (0,9% NaCl), а иногда приходится назначать флудрокортизон внутрь в дозе 0,05—0,1 мг/сут. </w:t>
      </w:r>
    </w:p>
    <w:p w:rsidR="005229E9" w:rsidRPr="005229E9" w:rsidRDefault="005229E9" w:rsidP="005229E9">
      <w:pPr>
        <w:widowControl/>
        <w:autoSpaceDE/>
        <w:autoSpaceDN/>
        <w:adjustRightInd/>
        <w:spacing w:before="30"/>
        <w:ind w:left="1200" w:hanging="300"/>
        <w:jc w:val="both"/>
        <w:rPr>
          <w:sz w:val="24"/>
          <w:szCs w:val="24"/>
        </w:rPr>
      </w:pPr>
      <w:bookmarkStart w:id="79" w:name="XIX.В.3.в."/>
      <w:r w:rsidRPr="005229E9">
        <w:rPr>
          <w:rFonts w:ascii="Arial" w:hAnsi="Arial" w:cs="Arial"/>
          <w:b/>
          <w:bCs/>
          <w:sz w:val="24"/>
          <w:szCs w:val="24"/>
        </w:rPr>
        <w:t>в.</w:t>
      </w:r>
      <w:bookmarkEnd w:id="79"/>
      <w:r w:rsidRPr="005229E9">
        <w:rPr>
          <w:rFonts w:ascii="Arial" w:hAnsi="Arial" w:cs="Arial"/>
          <w:b/>
          <w:bCs/>
          <w:sz w:val="24"/>
          <w:szCs w:val="24"/>
        </w:rPr>
        <w:t xml:space="preserve"> </w:t>
      </w:r>
      <w:r w:rsidRPr="005229E9">
        <w:rPr>
          <w:sz w:val="24"/>
          <w:szCs w:val="24"/>
        </w:rPr>
        <w:t xml:space="preserve">После удаления одного из надпочечников глюкокортикоиды, как правило, не нужны. Однако при лихорадке и резкой слабости надо немедленно определить уровень кортизола в сыворотке и начать лечение глюкокортикоидами.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lastRenderedPageBreak/>
        <w:t xml:space="preserve">Г. Прогноз. </w:t>
      </w:r>
      <w:r w:rsidRPr="005229E9">
        <w:rPr>
          <w:sz w:val="24"/>
          <w:szCs w:val="24"/>
        </w:rPr>
        <w:t xml:space="preserve">Эффективность адреналэктомии можно предсказать по реакции больного на спиронолактон в предоперационном периоде. После операции АД снижается у 80% больных с альдостеромой, хотя на это иногда уходит несколько месяцев; уровень калия в крови нормализуется у всех больных. При гиперплазии надпочечников операция не позволяет полностью нормализовать АД, но гипокалиемия, как правило, исчезает.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XX. Синдром Кушинга</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А. Общие сведения. </w:t>
      </w:r>
      <w:r w:rsidRPr="005229E9">
        <w:rPr>
          <w:sz w:val="24"/>
          <w:szCs w:val="24"/>
        </w:rPr>
        <w:t xml:space="preserve">Все формы этого синдрома обусловлены повышением уровня кортизола и кортикостерона в крови. Различают </w:t>
      </w:r>
      <w:r w:rsidRPr="005229E9">
        <w:rPr>
          <w:rFonts w:ascii="Arial" w:hAnsi="Arial" w:cs="Arial"/>
          <w:b/>
          <w:bCs/>
          <w:sz w:val="24"/>
          <w:szCs w:val="24"/>
        </w:rPr>
        <w:t>эндогенный синдром Кушинга,</w:t>
      </w:r>
      <w:r w:rsidRPr="005229E9">
        <w:rPr>
          <w:sz w:val="24"/>
          <w:szCs w:val="24"/>
        </w:rPr>
        <w:t xml:space="preserve"> обусловленный повышенной секрецией глюкокортикоидов, и </w:t>
      </w:r>
      <w:r w:rsidRPr="005229E9">
        <w:rPr>
          <w:rFonts w:ascii="Arial" w:hAnsi="Arial" w:cs="Arial"/>
          <w:b/>
          <w:bCs/>
          <w:sz w:val="24"/>
          <w:szCs w:val="24"/>
        </w:rPr>
        <w:t>экзогенный синдром Кушинга,</w:t>
      </w:r>
      <w:r w:rsidRPr="005229E9">
        <w:rPr>
          <w:sz w:val="24"/>
          <w:szCs w:val="24"/>
        </w:rPr>
        <w:t xml:space="preserve"> вызванный их длительным приемом. Причины эндогенного синдрома Кушинга (см. рис. 47.1):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Доброкачественная или злокачественная опухоль коры надпочечников, секретирующая кортизол (надпочечниковый синдром Кушинга).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Двусторонняя гиперплазия коры надпочечников, вызванная повышенной секрецией АКТГ гипофизом (гипофизарный синдром Кушинга).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Продукция АКТГ злокачественной опухолью (эктопический синдром Кушинга). </w:t>
      </w:r>
    </w:p>
    <w:p w:rsidR="005229E9" w:rsidRPr="005229E9" w:rsidRDefault="005229E9" w:rsidP="005229E9">
      <w:pPr>
        <w:widowControl/>
        <w:autoSpaceDE/>
        <w:autoSpaceDN/>
        <w:adjustRightInd/>
        <w:spacing w:before="30"/>
        <w:ind w:left="600"/>
        <w:jc w:val="both"/>
        <w:rPr>
          <w:sz w:val="24"/>
          <w:szCs w:val="24"/>
        </w:rPr>
      </w:pPr>
      <w:r w:rsidRPr="005229E9">
        <w:rPr>
          <w:sz w:val="24"/>
          <w:szCs w:val="24"/>
        </w:rPr>
        <w:t xml:space="preserve">У женщин синдром Кушинга встречается в 5 раз чаще, чем у мужчин. Возраст большинства больных — 20—40 лет. Возможно как легкое, относительно вялое течение болезни, так и быстрое, заканчивающееся смертью. Повышенная секреция АКТГ гипофизом в 90% случаев обусловлена аденомой гипофиза и в 10% — гиперплазией гипофиза из-за избыточной секреции кортиколиберина. Среди опухолей надпочечников около 50% — доброкачественные. К доброкачественным опухолям относятся аденома надпочечников (кортикостерома) и узловая гиперплазия коры надпочечников. Рак надпочечников чаще встречается у детей. Опухоли надпочечников почти всегда (в 98% случаев) односторонние.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Б. Диагностика и дифференциальная диагностика</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Клиническая картина</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bookmarkStart w:id="80" w:name="XX.Б.1.а."/>
      <w:r w:rsidRPr="005229E9">
        <w:rPr>
          <w:rFonts w:ascii="Arial" w:hAnsi="Arial" w:cs="Arial"/>
          <w:b/>
          <w:bCs/>
          <w:sz w:val="24"/>
          <w:szCs w:val="24"/>
        </w:rPr>
        <w:t>а.</w:t>
      </w:r>
      <w:bookmarkEnd w:id="80"/>
      <w:r w:rsidRPr="005229E9">
        <w:rPr>
          <w:rFonts w:ascii="Arial" w:hAnsi="Arial" w:cs="Arial"/>
          <w:b/>
          <w:bCs/>
          <w:sz w:val="24"/>
          <w:szCs w:val="24"/>
        </w:rPr>
        <w:t xml:space="preserve"> Жалобы:</w:t>
      </w:r>
      <w:r w:rsidRPr="005229E9">
        <w:rPr>
          <w:sz w:val="24"/>
          <w:szCs w:val="24"/>
        </w:rPr>
        <w:t xml:space="preserve"> ожирение, утомляемость, головная боль, мышечная слабость, изменение характера, полиурия, нарушения менструального цикла, импотенция, кровоточивость. </w:t>
      </w:r>
    </w:p>
    <w:p w:rsidR="005229E9" w:rsidRPr="005229E9" w:rsidRDefault="005229E9" w:rsidP="005229E9">
      <w:pPr>
        <w:widowControl/>
        <w:autoSpaceDE/>
        <w:autoSpaceDN/>
        <w:adjustRightInd/>
        <w:spacing w:before="30"/>
        <w:ind w:left="1200" w:hanging="300"/>
        <w:jc w:val="both"/>
        <w:rPr>
          <w:sz w:val="24"/>
          <w:szCs w:val="24"/>
        </w:rPr>
      </w:pPr>
      <w:bookmarkStart w:id="81" w:name="XX.Б.1.б."/>
      <w:r w:rsidRPr="005229E9">
        <w:rPr>
          <w:rFonts w:ascii="Arial" w:hAnsi="Arial" w:cs="Arial"/>
          <w:b/>
          <w:bCs/>
          <w:sz w:val="24"/>
          <w:szCs w:val="24"/>
        </w:rPr>
        <w:t>б.</w:t>
      </w:r>
      <w:bookmarkEnd w:id="81"/>
      <w:r w:rsidRPr="005229E9">
        <w:rPr>
          <w:rFonts w:ascii="Arial" w:hAnsi="Arial" w:cs="Arial"/>
          <w:b/>
          <w:bCs/>
          <w:sz w:val="24"/>
          <w:szCs w:val="24"/>
        </w:rPr>
        <w:t xml:space="preserve"> Осмотр и физикальное исследование:</w:t>
      </w:r>
      <w:r w:rsidRPr="005229E9">
        <w:rPr>
          <w:sz w:val="24"/>
          <w:szCs w:val="24"/>
        </w:rPr>
        <w:t xml:space="preserve"> ожирение туловища, жировой горбик на шее, полнокровное лунообразное лицо, угри, багровые стрии на животе, артериальная гипертония, вирилизация (гирсутизм, алопеция), атрофия кожи, отеки. У детей часто отмечается ожирение и задержка роста. </w:t>
      </w:r>
    </w:p>
    <w:p w:rsidR="005229E9" w:rsidRPr="005229E9" w:rsidRDefault="005229E9" w:rsidP="005229E9">
      <w:pPr>
        <w:widowControl/>
        <w:autoSpaceDE/>
        <w:autoSpaceDN/>
        <w:adjustRightInd/>
        <w:spacing w:before="30"/>
        <w:ind w:left="1200" w:hanging="300"/>
        <w:jc w:val="both"/>
        <w:rPr>
          <w:sz w:val="24"/>
          <w:szCs w:val="24"/>
        </w:rPr>
      </w:pPr>
      <w:bookmarkStart w:id="82" w:name="XX.Б.1.в."/>
      <w:r w:rsidRPr="005229E9">
        <w:rPr>
          <w:rFonts w:ascii="Arial" w:hAnsi="Arial" w:cs="Arial"/>
          <w:b/>
          <w:bCs/>
          <w:sz w:val="24"/>
          <w:szCs w:val="24"/>
        </w:rPr>
        <w:t>в.</w:t>
      </w:r>
      <w:bookmarkEnd w:id="82"/>
      <w:r w:rsidRPr="005229E9">
        <w:rPr>
          <w:rFonts w:ascii="Arial" w:hAnsi="Arial" w:cs="Arial"/>
          <w:b/>
          <w:bCs/>
          <w:sz w:val="24"/>
          <w:szCs w:val="24"/>
        </w:rPr>
        <w:t xml:space="preserve"> </w:t>
      </w:r>
      <w:r w:rsidRPr="005229E9">
        <w:rPr>
          <w:sz w:val="24"/>
          <w:szCs w:val="24"/>
        </w:rPr>
        <w:t xml:space="preserve">Бурное развитие болезни с гипокалиемическим алкалозом, артериальной гипертонией и отеками характерно для эктопического синдрома Кушинга — продукции АКТГ негипофизарным злокачественным новообразованием. Как правило, это — овсяноклеточный рак легкого или карциноид бронхов, значительно реже — опухоли поджелудочной железы, тимуса, щитовидной железы, предстательной железы и других органов.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Лабораторная диагностика </w:t>
      </w:r>
      <w:r w:rsidRPr="005229E9">
        <w:rPr>
          <w:sz w:val="24"/>
          <w:szCs w:val="24"/>
        </w:rPr>
        <w:t xml:space="preserve">(см. также гл. 12, п. IV) </w:t>
      </w:r>
    </w:p>
    <w:p w:rsidR="005229E9" w:rsidRPr="005229E9" w:rsidRDefault="005229E9" w:rsidP="005229E9">
      <w:pPr>
        <w:widowControl/>
        <w:autoSpaceDE/>
        <w:autoSpaceDN/>
        <w:adjustRightInd/>
        <w:spacing w:before="30"/>
        <w:ind w:left="1200" w:hanging="300"/>
        <w:jc w:val="both"/>
        <w:rPr>
          <w:sz w:val="24"/>
          <w:szCs w:val="24"/>
        </w:rPr>
      </w:pPr>
      <w:bookmarkStart w:id="83" w:name="XX.Б.2.а."/>
      <w:r w:rsidRPr="005229E9">
        <w:rPr>
          <w:rFonts w:ascii="Arial" w:hAnsi="Arial" w:cs="Arial"/>
          <w:b/>
          <w:bCs/>
          <w:sz w:val="24"/>
          <w:szCs w:val="24"/>
        </w:rPr>
        <w:t>а.</w:t>
      </w:r>
      <w:bookmarkEnd w:id="83"/>
      <w:r w:rsidRPr="005229E9">
        <w:rPr>
          <w:rFonts w:ascii="Arial" w:hAnsi="Arial" w:cs="Arial"/>
          <w:b/>
          <w:bCs/>
          <w:sz w:val="24"/>
          <w:szCs w:val="24"/>
        </w:rPr>
        <w:t xml:space="preserve"> Суточный ритм секреции кортизола.</w:t>
      </w:r>
      <w:r w:rsidRPr="005229E9">
        <w:rPr>
          <w:sz w:val="24"/>
          <w:szCs w:val="24"/>
        </w:rPr>
        <w:t xml:space="preserve"> В норме максимальный уровень кортизола в сыворотке (5—30 мкг%) отмечается в 6:00—8:00, а минимальный (0—10 мкг%) — в 22:00—24:00. При гипофизарном синдроме Кушинга уровни кортизола в сыворотке и АКТГ в плазме на протяжении суток остаются постоянными. Для подтверждения </w:t>
      </w:r>
      <w:r w:rsidRPr="005229E9">
        <w:rPr>
          <w:sz w:val="24"/>
          <w:szCs w:val="24"/>
        </w:rPr>
        <w:lastRenderedPageBreak/>
        <w:t xml:space="preserve">диагноза и выяснения причины синдрома Кушинга проводят следующие лабораторные исследования. </w:t>
      </w:r>
    </w:p>
    <w:p w:rsidR="005229E9" w:rsidRPr="005229E9" w:rsidRDefault="005229E9" w:rsidP="005229E9">
      <w:pPr>
        <w:widowControl/>
        <w:autoSpaceDE/>
        <w:autoSpaceDN/>
        <w:adjustRightInd/>
        <w:spacing w:before="30"/>
        <w:ind w:left="1200" w:hanging="300"/>
        <w:jc w:val="both"/>
        <w:rPr>
          <w:sz w:val="24"/>
          <w:szCs w:val="24"/>
        </w:rPr>
      </w:pPr>
      <w:bookmarkStart w:id="84" w:name="XX.Б.2.б."/>
      <w:r w:rsidRPr="005229E9">
        <w:rPr>
          <w:rFonts w:ascii="Arial" w:hAnsi="Arial" w:cs="Arial"/>
          <w:b/>
          <w:bCs/>
          <w:sz w:val="24"/>
          <w:szCs w:val="24"/>
        </w:rPr>
        <w:t>б.</w:t>
      </w:r>
      <w:bookmarkEnd w:id="84"/>
      <w:r w:rsidRPr="005229E9">
        <w:rPr>
          <w:rFonts w:ascii="Arial" w:hAnsi="Arial" w:cs="Arial"/>
          <w:b/>
          <w:bCs/>
          <w:sz w:val="24"/>
          <w:szCs w:val="24"/>
        </w:rPr>
        <w:t xml:space="preserve"> Короткая проба с дексаметазоном</w:t>
      </w:r>
      <w:r w:rsidRPr="005229E9">
        <w:rPr>
          <w:sz w:val="24"/>
          <w:szCs w:val="24"/>
        </w:rPr>
        <w:t xml:space="preserve">. В 23:00 больной принимает внутрь 1 мг дексаметазона; в 8:00 на следующее утро определяют уровень кортизола в сыворотке. Если уровень кортизола не падает ниже 5 мкг% (при синдроме Кушинга он обычно снижается лишь до 12 мкг%), проводят дальнейшие исследования. </w:t>
      </w:r>
    </w:p>
    <w:p w:rsidR="005229E9" w:rsidRPr="005229E9" w:rsidRDefault="005229E9" w:rsidP="005229E9">
      <w:pPr>
        <w:widowControl/>
        <w:autoSpaceDE/>
        <w:autoSpaceDN/>
        <w:adjustRightInd/>
        <w:spacing w:before="30"/>
        <w:ind w:left="1200" w:hanging="300"/>
        <w:jc w:val="both"/>
        <w:rPr>
          <w:sz w:val="24"/>
          <w:szCs w:val="24"/>
        </w:rPr>
      </w:pPr>
      <w:bookmarkStart w:id="85" w:name="XX.Б.2.в."/>
      <w:r w:rsidRPr="005229E9">
        <w:rPr>
          <w:rFonts w:ascii="Arial" w:hAnsi="Arial" w:cs="Arial"/>
          <w:b/>
          <w:bCs/>
          <w:sz w:val="24"/>
          <w:szCs w:val="24"/>
        </w:rPr>
        <w:t>в.</w:t>
      </w:r>
      <w:bookmarkEnd w:id="85"/>
      <w:r w:rsidRPr="005229E9">
        <w:rPr>
          <w:rFonts w:ascii="Arial" w:hAnsi="Arial" w:cs="Arial"/>
          <w:b/>
          <w:bCs/>
          <w:sz w:val="24"/>
          <w:szCs w:val="24"/>
        </w:rPr>
        <w:t xml:space="preserve"> Уровень свободного кортизола в моче. </w:t>
      </w:r>
      <w:r w:rsidRPr="005229E9">
        <w:rPr>
          <w:sz w:val="24"/>
          <w:szCs w:val="24"/>
        </w:rPr>
        <w:t xml:space="preserve">Экскреция кортизола с мочой (в норме 30—100 мкг/сут) повышена практически у всех больных с синдромом Кушинга. Если экскреция кортизола превышает 250 мкг/сут, диагноз синдрома Кушинга не вызывает сомнений. Синдром Кушинга диагностируют и в тех случаях, когда экскреция кортизола превышает 120 мкг/сут, а уровень кортизола в сыворотке не снижается под действием дексаметазона. </w:t>
      </w:r>
    </w:p>
    <w:p w:rsidR="005229E9" w:rsidRPr="005229E9" w:rsidRDefault="005229E9" w:rsidP="005229E9">
      <w:pPr>
        <w:widowControl/>
        <w:autoSpaceDE/>
        <w:autoSpaceDN/>
        <w:adjustRightInd/>
        <w:spacing w:before="30"/>
        <w:ind w:left="1200" w:hanging="300"/>
        <w:jc w:val="both"/>
        <w:rPr>
          <w:sz w:val="24"/>
          <w:szCs w:val="24"/>
        </w:rPr>
      </w:pPr>
      <w:bookmarkStart w:id="86" w:name="XX.Б.2.г."/>
      <w:r w:rsidRPr="005229E9">
        <w:rPr>
          <w:rFonts w:ascii="Arial" w:hAnsi="Arial" w:cs="Arial"/>
          <w:b/>
          <w:bCs/>
          <w:sz w:val="24"/>
          <w:szCs w:val="24"/>
        </w:rPr>
        <w:t>г.</w:t>
      </w:r>
      <w:bookmarkEnd w:id="86"/>
      <w:r w:rsidRPr="005229E9">
        <w:rPr>
          <w:rFonts w:ascii="Arial" w:hAnsi="Arial" w:cs="Arial"/>
          <w:b/>
          <w:bCs/>
          <w:sz w:val="24"/>
          <w:szCs w:val="24"/>
        </w:rPr>
        <w:t xml:space="preserve"> </w:t>
      </w:r>
      <w:r w:rsidRPr="005229E9">
        <w:rPr>
          <w:sz w:val="24"/>
          <w:szCs w:val="24"/>
        </w:rPr>
        <w:t xml:space="preserve">Для выяснения причины синдрома Кушинга определяют </w:t>
      </w:r>
      <w:r w:rsidRPr="005229E9">
        <w:rPr>
          <w:rFonts w:ascii="Arial" w:hAnsi="Arial" w:cs="Arial"/>
          <w:b/>
          <w:bCs/>
          <w:sz w:val="24"/>
          <w:szCs w:val="24"/>
        </w:rPr>
        <w:t>уровень АКТГ в плазме</w:t>
      </w:r>
      <w:r w:rsidRPr="005229E9">
        <w:rPr>
          <w:sz w:val="24"/>
          <w:szCs w:val="24"/>
        </w:rPr>
        <w:t xml:space="preserve"> и проводят </w:t>
      </w:r>
      <w:r w:rsidRPr="005229E9">
        <w:rPr>
          <w:rFonts w:ascii="Arial" w:hAnsi="Arial" w:cs="Arial"/>
          <w:b/>
          <w:bCs/>
          <w:sz w:val="24"/>
          <w:szCs w:val="24"/>
        </w:rPr>
        <w:t>длинную пробу с дексаметазоном</w:t>
      </w:r>
      <w:r w:rsidRPr="005229E9">
        <w:rPr>
          <w:sz w:val="24"/>
          <w:szCs w:val="24"/>
        </w:rPr>
        <w:t xml:space="preserve"> (8 мг внутрь за 24 ч, после чего определяют содержание 17-ГКС в суточной моче). Нормальный или повышенный уровень АКТГ в плазме и снижение уровня 17-ГКС в суточной моче свидетельствуют о гипофизарном синдроме Кушинга. Высокая концентрация АКТГ в плазме и отсутствие снижения уровня 17-ГКС в суточной моче указывают на эктопическую продукцию АКТГ. Низкий уровень АКТГ в плазме и отсутствие снижения уровня 17-ГКС в суточной моче указывают на опухоль надпочечника. </w:t>
      </w:r>
    </w:p>
    <w:p w:rsidR="005229E9" w:rsidRPr="005229E9" w:rsidRDefault="005229E9" w:rsidP="005229E9">
      <w:pPr>
        <w:widowControl/>
        <w:autoSpaceDE/>
        <w:autoSpaceDN/>
        <w:adjustRightInd/>
        <w:spacing w:before="30"/>
        <w:ind w:left="1200" w:hanging="300"/>
        <w:jc w:val="both"/>
        <w:rPr>
          <w:sz w:val="24"/>
          <w:szCs w:val="24"/>
        </w:rPr>
      </w:pPr>
      <w:bookmarkStart w:id="87" w:name="XX.Б.2.д."/>
      <w:r w:rsidRPr="005229E9">
        <w:rPr>
          <w:rFonts w:ascii="Arial" w:hAnsi="Arial" w:cs="Arial"/>
          <w:b/>
          <w:bCs/>
          <w:sz w:val="24"/>
          <w:szCs w:val="24"/>
        </w:rPr>
        <w:t>д.</w:t>
      </w:r>
      <w:bookmarkEnd w:id="87"/>
      <w:r w:rsidRPr="005229E9">
        <w:rPr>
          <w:rFonts w:ascii="Arial" w:hAnsi="Arial" w:cs="Arial"/>
          <w:b/>
          <w:bCs/>
          <w:sz w:val="24"/>
          <w:szCs w:val="24"/>
        </w:rPr>
        <w:t xml:space="preserve"> Пробы с метирапоном</w:t>
      </w:r>
      <w:r w:rsidRPr="005229E9">
        <w:rPr>
          <w:sz w:val="24"/>
          <w:szCs w:val="24"/>
        </w:rPr>
        <w:t xml:space="preserve">, который блокирует превращение 11-дезоксикортизола в кортизол. Здоровые люди и некоторые больные с гипофизарным синдромом Кушинга реагируют на метирапон повышением секреции АКТГ, а в моче увеличивается содержание 17-ГКС. При опухолях надпочечников и эктопической продукции АКТГ эта реакция отсутствует. </w:t>
      </w:r>
    </w:p>
    <w:p w:rsidR="005229E9" w:rsidRPr="005229E9" w:rsidRDefault="005229E9" w:rsidP="005229E9">
      <w:pPr>
        <w:widowControl/>
        <w:autoSpaceDE/>
        <w:autoSpaceDN/>
        <w:adjustRightInd/>
        <w:spacing w:before="30"/>
        <w:ind w:left="1200" w:hanging="300"/>
        <w:jc w:val="both"/>
        <w:rPr>
          <w:sz w:val="24"/>
          <w:szCs w:val="24"/>
        </w:rPr>
      </w:pPr>
      <w:bookmarkStart w:id="88" w:name="XX.Б.2.е."/>
      <w:r w:rsidRPr="005229E9">
        <w:rPr>
          <w:rFonts w:ascii="Arial" w:hAnsi="Arial" w:cs="Arial"/>
          <w:b/>
          <w:bCs/>
          <w:sz w:val="24"/>
          <w:szCs w:val="24"/>
        </w:rPr>
        <w:t>е.</w:t>
      </w:r>
      <w:bookmarkEnd w:id="88"/>
      <w:r w:rsidRPr="005229E9">
        <w:rPr>
          <w:rFonts w:ascii="Arial" w:hAnsi="Arial" w:cs="Arial"/>
          <w:b/>
          <w:bCs/>
          <w:sz w:val="24"/>
          <w:szCs w:val="24"/>
        </w:rPr>
        <w:t xml:space="preserve"> Другие исследования.</w:t>
      </w:r>
      <w:r w:rsidRPr="005229E9">
        <w:rPr>
          <w:sz w:val="24"/>
          <w:szCs w:val="24"/>
        </w:rPr>
        <w:t xml:space="preserve"> Локализацию опухоли можно установить с помощью КТ и сцинтиграфии с </w:t>
      </w:r>
      <w:r w:rsidRPr="005229E9">
        <w:rPr>
          <w:sz w:val="24"/>
          <w:szCs w:val="24"/>
          <w:vertAlign w:val="superscript"/>
        </w:rPr>
        <w:t>131</w:t>
      </w:r>
      <w:r w:rsidRPr="005229E9">
        <w:rPr>
          <w:sz w:val="24"/>
          <w:szCs w:val="24"/>
        </w:rPr>
        <w:t xml:space="preserve">I-холестерином. Отличить гипофизарный синдром Кушинга от эктопической продукции АКТГ помогает взятие крови из нижних каменистых синусов.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В. Осложнения и сопутствующие заболевания. </w:t>
      </w:r>
      <w:r w:rsidRPr="005229E9">
        <w:rPr>
          <w:sz w:val="24"/>
          <w:szCs w:val="24"/>
        </w:rPr>
        <w:t xml:space="preserve">У больных с синдромом Кушинга часто встречаются ожирение, гипогонадизм, артериальная гипертония с почечной недостаточностью, психические расстройства, грибковые инфекции, мышечная слабость.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Г. Лечение</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Медикаментозное лечение.</w:t>
      </w:r>
      <w:r w:rsidRPr="005229E9">
        <w:rPr>
          <w:sz w:val="24"/>
          <w:szCs w:val="24"/>
        </w:rPr>
        <w:t xml:space="preserve"> Временного улучшения можно добиться с помощью кетоконазола, метирапона и аминоглутетимида, которые ингибируют синтез кортикостероидов, а также противоопухолевого препарата митотана, оказывающего токсическое действие на кору надпочечников. Митотан применяют и при раке надпочечников.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Хирургическое лечение</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При гипофизарном синдроме Кушинга проводят транссфеноидальную ревизию гипофиза и иссечение аденомы с помощью микрохирургической техники. Альтернативный способ — облучение гипофиза. После операции состояние быстро улучшается, но часто развивается дефицит АКТГ. Эффект облучения сказывается медленнее (почти через 18 мес), после него часто развивается гипопитуитаризм.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lastRenderedPageBreak/>
        <w:t xml:space="preserve">б. </w:t>
      </w:r>
      <w:r w:rsidRPr="005229E9">
        <w:rPr>
          <w:sz w:val="24"/>
          <w:szCs w:val="24"/>
        </w:rPr>
        <w:t xml:space="preserve">При надпочечниковом синдроме Кушинга, а иногда и при гипофизарном (неэффективность облучения или хирургического вмешательства) методом выбора становится </w:t>
      </w:r>
      <w:r w:rsidRPr="005229E9">
        <w:rPr>
          <w:rFonts w:ascii="Arial" w:hAnsi="Arial" w:cs="Arial"/>
          <w:b/>
          <w:bCs/>
          <w:sz w:val="24"/>
          <w:szCs w:val="24"/>
        </w:rPr>
        <w:t>адреналэктомия.</w:t>
      </w:r>
      <w:r w:rsidRPr="005229E9">
        <w:rPr>
          <w:sz w:val="24"/>
          <w:szCs w:val="24"/>
        </w:rPr>
        <w:t xml:space="preserve"> Перед операцией необходимо устранить гипокалиемию и другие водно-электролитные нарушения. При сопутствующем сахарном диабете требуется особая тактика ведения (см. гл. 41, п. XII). Кроме того, перед операцией обязательно назначают кортикостероиды. </w:t>
      </w:r>
    </w:p>
    <w:p w:rsidR="005229E9" w:rsidRPr="005229E9" w:rsidRDefault="005229E9" w:rsidP="005229E9">
      <w:pPr>
        <w:widowControl/>
        <w:autoSpaceDE/>
        <w:autoSpaceDN/>
        <w:adjustRightInd/>
        <w:spacing w:before="30"/>
        <w:ind w:left="1500" w:hanging="300"/>
        <w:jc w:val="both"/>
        <w:rPr>
          <w:sz w:val="24"/>
          <w:szCs w:val="24"/>
        </w:rPr>
      </w:pPr>
      <w:bookmarkStart w:id="89" w:name="XX.Г.2.б.1)"/>
      <w:r w:rsidRPr="005229E9">
        <w:rPr>
          <w:rFonts w:ascii="Arial" w:hAnsi="Arial" w:cs="Arial"/>
          <w:b/>
          <w:bCs/>
          <w:sz w:val="24"/>
          <w:szCs w:val="24"/>
        </w:rPr>
        <w:t>1)</w:t>
      </w:r>
      <w:bookmarkEnd w:id="89"/>
      <w:r w:rsidRPr="005229E9">
        <w:rPr>
          <w:rFonts w:ascii="Arial" w:hAnsi="Arial" w:cs="Arial"/>
          <w:b/>
          <w:bCs/>
          <w:sz w:val="24"/>
          <w:szCs w:val="24"/>
        </w:rPr>
        <w:t xml:space="preserve"> Операция.</w:t>
      </w:r>
      <w:r w:rsidRPr="005229E9">
        <w:rPr>
          <w:sz w:val="24"/>
          <w:szCs w:val="24"/>
        </w:rPr>
        <w:t xml:space="preserve"> При кортикостероме и раке надпочечников проводят одностороннюю адреналэктомию. Если размеры опухоли менее 4 см, лучше использовать поясничный внебрюшинный доступ; в остальных случаях — передний чрезбрюшинный или боковой. При двусторонней гиперплазии надпочечников показана двусторонняя адреналэктомия. </w:t>
      </w:r>
    </w:p>
    <w:p w:rsidR="005229E9" w:rsidRPr="005229E9" w:rsidRDefault="005229E9" w:rsidP="005229E9">
      <w:pPr>
        <w:widowControl/>
        <w:autoSpaceDE/>
        <w:autoSpaceDN/>
        <w:adjustRightInd/>
        <w:spacing w:before="30"/>
        <w:ind w:left="1500" w:hanging="300"/>
        <w:jc w:val="both"/>
        <w:rPr>
          <w:sz w:val="24"/>
          <w:szCs w:val="24"/>
        </w:rPr>
      </w:pPr>
      <w:bookmarkStart w:id="90" w:name="XX.Г.2.б.2)"/>
      <w:r w:rsidRPr="005229E9">
        <w:rPr>
          <w:rFonts w:ascii="Arial" w:hAnsi="Arial" w:cs="Arial"/>
          <w:b/>
          <w:bCs/>
          <w:sz w:val="24"/>
          <w:szCs w:val="24"/>
        </w:rPr>
        <w:t>2)</w:t>
      </w:r>
      <w:bookmarkEnd w:id="90"/>
      <w:r w:rsidRPr="005229E9">
        <w:rPr>
          <w:rFonts w:ascii="Arial" w:hAnsi="Arial" w:cs="Arial"/>
          <w:b/>
          <w:bCs/>
          <w:sz w:val="24"/>
          <w:szCs w:val="24"/>
        </w:rPr>
        <w:t xml:space="preserve"> Послеоперационный период.</w:t>
      </w:r>
      <w:r w:rsidRPr="005229E9">
        <w:rPr>
          <w:sz w:val="24"/>
          <w:szCs w:val="24"/>
        </w:rPr>
        <w:t xml:space="preserve"> Всем больным назначают гидрокортизона натрия сукцинат (по 100 мг в/в каждые 8 ч). После двусторонней адреналэктомии нужна пожизненная заместительная терапия глюкокортикоидами (дозы глюкокортикоидов в пересчете на гидрокортизон должны составлять 20 мг утром и 10 мг вечером). После односторонней адреналэктомии суточную дозу глюкокортикоидов постепенно снижают до физиологического уровня (30 мг/сут в пересчете на гидрокортизон) в течение нескольких недель. Затем переходят к приему через день (см. гл. 12, п. XI.В). Такое лечение сводит к минимуму угнетение гипоталамо-гипофизарно-надпочечниковой системы. Дозу глюкокортикоидов нужно постепенно свести на нет в течение нескольких месяцев. Некоторым больным нужен также флудрокортизон (0,1 мг/сут внутрь). Осложнения операции: раневая инфекция, расхождение швов, изъязвление слизистой желудка и желудочно-кишечное кровотечение, панкреатит, тромбоэмболические осложнения. </w:t>
      </w:r>
    </w:p>
    <w:p w:rsidR="005229E9" w:rsidRPr="005229E9" w:rsidRDefault="005229E9" w:rsidP="005229E9">
      <w:pPr>
        <w:widowControl/>
        <w:autoSpaceDE/>
        <w:autoSpaceDN/>
        <w:adjustRightInd/>
        <w:spacing w:before="30"/>
        <w:ind w:left="1500" w:hanging="300"/>
        <w:jc w:val="both"/>
        <w:rPr>
          <w:sz w:val="24"/>
          <w:szCs w:val="24"/>
        </w:rPr>
      </w:pPr>
      <w:bookmarkStart w:id="91" w:name="XX.Г.2.б.3)"/>
      <w:r w:rsidRPr="005229E9">
        <w:rPr>
          <w:rFonts w:ascii="Arial" w:hAnsi="Arial" w:cs="Arial"/>
          <w:b/>
          <w:bCs/>
          <w:sz w:val="24"/>
          <w:szCs w:val="24"/>
        </w:rPr>
        <w:t>3)</w:t>
      </w:r>
      <w:bookmarkEnd w:id="91"/>
      <w:r w:rsidRPr="005229E9">
        <w:rPr>
          <w:rFonts w:ascii="Arial" w:hAnsi="Arial" w:cs="Arial"/>
          <w:b/>
          <w:bCs/>
          <w:sz w:val="24"/>
          <w:szCs w:val="24"/>
        </w:rPr>
        <w:t xml:space="preserve"> Прогноз</w:t>
      </w:r>
      <w:r w:rsidRPr="005229E9">
        <w:rPr>
          <w:sz w:val="24"/>
          <w:szCs w:val="24"/>
        </w:rPr>
        <w:t xml:space="preserve"> при надпочечниковом и гипофизарном синдроме Кушинга в целом благоприятный. После операций на гипофизе и его облучения развивается гипопитуитаризм; после двусторонней адреналэктомии — надпочечниковая недостаточность. Такие больные нуждаются в пожизненной заместительной глюкокортикоидной терапии. Если двустороннюю адреналэктомию проводят при гипофизарном синдроме Кушинга, почти у 20% больных развивается </w:t>
      </w:r>
      <w:r w:rsidRPr="005229E9">
        <w:rPr>
          <w:rFonts w:ascii="Arial" w:hAnsi="Arial" w:cs="Arial"/>
          <w:b/>
          <w:bCs/>
          <w:sz w:val="24"/>
          <w:szCs w:val="24"/>
        </w:rPr>
        <w:t>синдром Нельсона.</w:t>
      </w:r>
      <w:r w:rsidRPr="005229E9">
        <w:rPr>
          <w:sz w:val="24"/>
          <w:szCs w:val="24"/>
        </w:rPr>
        <w:t xml:space="preserve"> Он обусловлен ростом АКТГ-секретирующей аденомы гипофиза и проявляется гиперпигментацией, головными болями, экзофтальмом и слепотой. Если синдром Кушинга обусловлен раком надпочечников, прогноз крайне неблагоприятный. Лечение митотаном, начатое сразу после адреналэктомии, помогает примерно 20% больных.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 xml:space="preserve">XXI. Феохромоцитома. </w:t>
      </w:r>
      <w:r w:rsidRPr="005229E9">
        <w:rPr>
          <w:sz w:val="24"/>
          <w:szCs w:val="24"/>
        </w:rPr>
        <w:t xml:space="preserve">Это опухоль мозгового вещества надпочечников и хромаффинных параганглиев симпатического ствола, секретирующая катехоламины. Феохромоцитома служит причиной 0,1—0,2% всех случаев артериальной гипертонии. 10% феохромоцитом злокачественны, 10% имеют двустороннюю локализацию и 10% располагаются вне надпочечников. Феохромоцитома может быть одним из проявлений МЭН типа IIa (медуллярный рак щитовидной железы, гиперпаратиреоз и феохромоцитома); она нередко встречается при нейроэктодермальных заболеваниях — нейрофиброматозе, синдроме Стерджа—Вебера, болезни Гиппеля—Линдау и туберозном склерозе. При этих </w:t>
      </w:r>
      <w:r w:rsidRPr="005229E9">
        <w:rPr>
          <w:sz w:val="24"/>
          <w:szCs w:val="24"/>
        </w:rPr>
        <w:lastRenderedPageBreak/>
        <w:t xml:space="preserve">наследственных синдромах, а также у детей чаще встречаются множественные феохромоцитомы.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А. Диагностика</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Клиническая картина</w:t>
      </w:r>
      <w:r w:rsidRPr="005229E9">
        <w:rPr>
          <w:sz w:val="24"/>
          <w:szCs w:val="24"/>
        </w:rPr>
        <w:t xml:space="preserve"> зависит от количества и вида секретируемых опухолью катехоламинов (адреналин, норадреналин, дофамин, их предшественники). </w:t>
      </w:r>
    </w:p>
    <w:p w:rsidR="005229E9" w:rsidRPr="005229E9" w:rsidRDefault="005229E9" w:rsidP="005229E9">
      <w:pPr>
        <w:widowControl/>
        <w:autoSpaceDE/>
        <w:autoSpaceDN/>
        <w:adjustRightInd/>
        <w:spacing w:before="30"/>
        <w:ind w:left="1200" w:hanging="300"/>
        <w:jc w:val="both"/>
        <w:rPr>
          <w:sz w:val="24"/>
          <w:szCs w:val="24"/>
        </w:rPr>
      </w:pPr>
      <w:bookmarkStart w:id="92" w:name="XXI.А.1.а."/>
      <w:r w:rsidRPr="005229E9">
        <w:rPr>
          <w:rFonts w:ascii="Arial" w:hAnsi="Arial" w:cs="Arial"/>
          <w:b/>
          <w:bCs/>
          <w:sz w:val="24"/>
          <w:szCs w:val="24"/>
        </w:rPr>
        <w:t>а.</w:t>
      </w:r>
      <w:bookmarkEnd w:id="92"/>
      <w:r w:rsidRPr="005229E9">
        <w:rPr>
          <w:rFonts w:ascii="Arial" w:hAnsi="Arial" w:cs="Arial"/>
          <w:b/>
          <w:bCs/>
          <w:sz w:val="24"/>
          <w:szCs w:val="24"/>
        </w:rPr>
        <w:t xml:space="preserve"> Жалобы:</w:t>
      </w:r>
      <w:r w:rsidRPr="005229E9">
        <w:rPr>
          <w:sz w:val="24"/>
          <w:szCs w:val="24"/>
        </w:rPr>
        <w:t xml:space="preserve"> потливость, эмоциональная неуравновешенность, тревожность, головные боли, сердцебиение, приливы, боли в груди, запоры. </w:t>
      </w:r>
    </w:p>
    <w:p w:rsidR="005229E9" w:rsidRPr="005229E9" w:rsidRDefault="005229E9" w:rsidP="005229E9">
      <w:pPr>
        <w:widowControl/>
        <w:autoSpaceDE/>
        <w:autoSpaceDN/>
        <w:adjustRightInd/>
        <w:spacing w:before="30"/>
        <w:ind w:left="1200" w:hanging="300"/>
        <w:jc w:val="both"/>
        <w:rPr>
          <w:sz w:val="24"/>
          <w:szCs w:val="24"/>
        </w:rPr>
      </w:pPr>
      <w:bookmarkStart w:id="93" w:name="XXI.А.1.б."/>
      <w:r w:rsidRPr="005229E9">
        <w:rPr>
          <w:rFonts w:ascii="Arial" w:hAnsi="Arial" w:cs="Arial"/>
          <w:b/>
          <w:bCs/>
          <w:sz w:val="24"/>
          <w:szCs w:val="24"/>
        </w:rPr>
        <w:t>б.</w:t>
      </w:r>
      <w:bookmarkEnd w:id="93"/>
      <w:r w:rsidRPr="005229E9">
        <w:rPr>
          <w:rFonts w:ascii="Arial" w:hAnsi="Arial" w:cs="Arial"/>
          <w:b/>
          <w:bCs/>
          <w:sz w:val="24"/>
          <w:szCs w:val="24"/>
        </w:rPr>
        <w:t xml:space="preserve"> Осмотр и физикальное исследование:</w:t>
      </w:r>
      <w:r w:rsidRPr="005229E9">
        <w:rPr>
          <w:sz w:val="24"/>
          <w:szCs w:val="24"/>
        </w:rPr>
        <w:t xml:space="preserve"> артериальная гипертония, тахикардия, бледность кожных покровов, лихорадка, пятна цвета кофе с молоком и иные признаки нейрофиброматоза, другие нейроэктодермальные заболевания, изредка — экзофтальм.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Лабораторная диагностика</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bookmarkStart w:id="94" w:name="XXI.А.2.а."/>
      <w:r w:rsidRPr="005229E9">
        <w:rPr>
          <w:rFonts w:ascii="Arial" w:hAnsi="Arial" w:cs="Arial"/>
          <w:b/>
          <w:bCs/>
          <w:sz w:val="24"/>
          <w:szCs w:val="24"/>
        </w:rPr>
        <w:t>а.</w:t>
      </w:r>
      <w:bookmarkEnd w:id="94"/>
      <w:r w:rsidRPr="005229E9">
        <w:rPr>
          <w:rFonts w:ascii="Arial" w:hAnsi="Arial" w:cs="Arial"/>
          <w:b/>
          <w:bCs/>
          <w:sz w:val="24"/>
          <w:szCs w:val="24"/>
        </w:rPr>
        <w:t xml:space="preserve"> </w:t>
      </w:r>
      <w:r w:rsidRPr="005229E9">
        <w:rPr>
          <w:sz w:val="24"/>
          <w:szCs w:val="24"/>
        </w:rPr>
        <w:t xml:space="preserve">Сначала определяют концентрацию метанефринов и ванилилминдальной кислоты в моче. Одна или обе пробы положительны более чем у 90% больных. Повышенный уровень свободного адреналина или свободного норадреналина в моче подтверждает диагноз. Оценивая результаты исследований, нужно помнить, что стресс повышает содержание катехоламинов до уровня, сопоставимого с тем, который бывает при феохромоцитоме (особенно при опухолях с низкой или непостоянной секреторной активностью). </w:t>
      </w:r>
    </w:p>
    <w:p w:rsidR="005229E9" w:rsidRPr="005229E9" w:rsidRDefault="005229E9" w:rsidP="005229E9">
      <w:pPr>
        <w:widowControl/>
        <w:autoSpaceDE/>
        <w:autoSpaceDN/>
        <w:adjustRightInd/>
        <w:spacing w:before="30"/>
        <w:ind w:left="1200" w:hanging="300"/>
        <w:jc w:val="both"/>
        <w:rPr>
          <w:sz w:val="24"/>
          <w:szCs w:val="24"/>
        </w:rPr>
      </w:pPr>
      <w:bookmarkStart w:id="95" w:name="XXI.А.2.б."/>
      <w:r w:rsidRPr="005229E9">
        <w:rPr>
          <w:rFonts w:ascii="Arial" w:hAnsi="Arial" w:cs="Arial"/>
          <w:b/>
          <w:bCs/>
          <w:sz w:val="24"/>
          <w:szCs w:val="24"/>
        </w:rPr>
        <w:t>б.</w:t>
      </w:r>
      <w:bookmarkEnd w:id="95"/>
      <w:r w:rsidRPr="005229E9">
        <w:rPr>
          <w:rFonts w:ascii="Arial" w:hAnsi="Arial" w:cs="Arial"/>
          <w:b/>
          <w:bCs/>
          <w:sz w:val="24"/>
          <w:szCs w:val="24"/>
        </w:rPr>
        <w:t xml:space="preserve"> Ложноположительные результаты</w:t>
      </w:r>
      <w:r w:rsidRPr="005229E9">
        <w:rPr>
          <w:sz w:val="24"/>
          <w:szCs w:val="24"/>
        </w:rPr>
        <w:t xml:space="preserve"> при определении ванилилминдальной кислоты могут быть получены после употребления кофе, чая, шоколада, ванили, бананов, гвайфенезина, хлорпромазина и налидиксовой кислоты; при определении норадреналина и метанефринов — после приема метилдофы, некоторых средств от насморка (аэрозолей), хинидина, тетрациклина и некоторых флюоресцентных веществ. </w:t>
      </w:r>
    </w:p>
    <w:p w:rsidR="005229E9" w:rsidRPr="005229E9" w:rsidRDefault="005229E9" w:rsidP="005229E9">
      <w:pPr>
        <w:widowControl/>
        <w:autoSpaceDE/>
        <w:autoSpaceDN/>
        <w:adjustRightInd/>
        <w:spacing w:before="30"/>
        <w:ind w:left="1200" w:hanging="300"/>
        <w:jc w:val="both"/>
        <w:rPr>
          <w:sz w:val="24"/>
          <w:szCs w:val="24"/>
        </w:rPr>
      </w:pPr>
      <w:bookmarkStart w:id="96" w:name="XXI.А.2.в."/>
      <w:r w:rsidRPr="005229E9">
        <w:rPr>
          <w:rFonts w:ascii="Arial" w:hAnsi="Arial" w:cs="Arial"/>
          <w:b/>
          <w:bCs/>
          <w:sz w:val="24"/>
          <w:szCs w:val="24"/>
        </w:rPr>
        <w:t>в.</w:t>
      </w:r>
      <w:bookmarkEnd w:id="96"/>
      <w:r w:rsidRPr="005229E9">
        <w:rPr>
          <w:rFonts w:ascii="Arial" w:hAnsi="Arial" w:cs="Arial"/>
          <w:b/>
          <w:bCs/>
          <w:sz w:val="24"/>
          <w:szCs w:val="24"/>
        </w:rPr>
        <w:t xml:space="preserve"> </w:t>
      </w:r>
      <w:r w:rsidRPr="005229E9">
        <w:rPr>
          <w:sz w:val="24"/>
          <w:szCs w:val="24"/>
        </w:rPr>
        <w:t xml:space="preserve">Для феохромоцитомы характерны гипогликемия и глюкозурия. </w:t>
      </w:r>
    </w:p>
    <w:p w:rsidR="005229E9" w:rsidRPr="005229E9" w:rsidRDefault="005229E9" w:rsidP="005229E9">
      <w:pPr>
        <w:widowControl/>
        <w:autoSpaceDE/>
        <w:autoSpaceDN/>
        <w:adjustRightInd/>
        <w:spacing w:before="30"/>
        <w:ind w:left="1200" w:hanging="300"/>
        <w:jc w:val="both"/>
        <w:rPr>
          <w:sz w:val="24"/>
          <w:szCs w:val="24"/>
        </w:rPr>
      </w:pPr>
      <w:bookmarkStart w:id="97" w:name="XXI.А.2.г."/>
      <w:r w:rsidRPr="005229E9">
        <w:rPr>
          <w:rFonts w:ascii="Arial" w:hAnsi="Arial" w:cs="Arial"/>
          <w:b/>
          <w:bCs/>
          <w:sz w:val="24"/>
          <w:szCs w:val="24"/>
        </w:rPr>
        <w:t>г.</w:t>
      </w:r>
      <w:bookmarkEnd w:id="97"/>
      <w:r w:rsidRPr="005229E9">
        <w:rPr>
          <w:rFonts w:ascii="Arial" w:hAnsi="Arial" w:cs="Arial"/>
          <w:b/>
          <w:bCs/>
          <w:sz w:val="24"/>
          <w:szCs w:val="24"/>
        </w:rPr>
        <w:t xml:space="preserve"> Провокационные пробы</w:t>
      </w:r>
      <w:r w:rsidRPr="005229E9">
        <w:rPr>
          <w:sz w:val="24"/>
          <w:szCs w:val="24"/>
        </w:rPr>
        <w:t xml:space="preserve"> опасны и редко бывают необходимыми. Если диагноз все еще неясен, проводят пробу с глюкагоном. </w:t>
      </w:r>
    </w:p>
    <w:p w:rsidR="005229E9" w:rsidRPr="005229E9" w:rsidRDefault="005229E9" w:rsidP="005229E9">
      <w:pPr>
        <w:widowControl/>
        <w:autoSpaceDE/>
        <w:autoSpaceDN/>
        <w:adjustRightInd/>
        <w:spacing w:before="30"/>
        <w:ind w:left="1200" w:hanging="300"/>
        <w:jc w:val="both"/>
        <w:rPr>
          <w:sz w:val="24"/>
          <w:szCs w:val="24"/>
        </w:rPr>
      </w:pPr>
      <w:bookmarkStart w:id="98" w:name="XXI.А.2.д."/>
      <w:r w:rsidRPr="005229E9">
        <w:rPr>
          <w:rFonts w:ascii="Arial" w:hAnsi="Arial" w:cs="Arial"/>
          <w:b/>
          <w:bCs/>
          <w:sz w:val="24"/>
          <w:szCs w:val="24"/>
        </w:rPr>
        <w:t>д.</w:t>
      </w:r>
      <w:bookmarkEnd w:id="98"/>
      <w:r w:rsidRPr="005229E9">
        <w:rPr>
          <w:rFonts w:ascii="Arial" w:hAnsi="Arial" w:cs="Arial"/>
          <w:b/>
          <w:bCs/>
          <w:sz w:val="24"/>
          <w:szCs w:val="24"/>
        </w:rPr>
        <w:t xml:space="preserve"> </w:t>
      </w:r>
      <w:r w:rsidRPr="005229E9">
        <w:rPr>
          <w:sz w:val="24"/>
          <w:szCs w:val="24"/>
        </w:rPr>
        <w:t>Лучший метод топической диагностики при локализации феохромоцитомы в надпочечниках — КТ, а при вненадпочечниковой локализации — сцинтиграфия с мета-</w:t>
      </w:r>
      <w:r w:rsidRPr="005229E9">
        <w:rPr>
          <w:sz w:val="24"/>
          <w:szCs w:val="24"/>
          <w:vertAlign w:val="superscript"/>
        </w:rPr>
        <w:t>131</w:t>
      </w:r>
      <w:r w:rsidRPr="005229E9">
        <w:rPr>
          <w:sz w:val="24"/>
          <w:szCs w:val="24"/>
        </w:rPr>
        <w:t>I-бензилгуанидином или мета-</w:t>
      </w:r>
      <w:r w:rsidRPr="005229E9">
        <w:rPr>
          <w:sz w:val="24"/>
          <w:szCs w:val="24"/>
          <w:vertAlign w:val="superscript"/>
        </w:rPr>
        <w:t>123</w:t>
      </w:r>
      <w:r w:rsidRPr="005229E9">
        <w:rPr>
          <w:sz w:val="24"/>
          <w:szCs w:val="24"/>
        </w:rPr>
        <w:t xml:space="preserve">I-бензилгуанидином.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3. Локализация.</w:t>
      </w:r>
      <w:r w:rsidRPr="005229E9">
        <w:rPr>
          <w:sz w:val="24"/>
          <w:szCs w:val="24"/>
        </w:rPr>
        <w:t xml:space="preserve"> Опухоли, секретирующие норадреналин, могут иметь эктопическую локализацию. Если же не менее 20% общего количества секретируемых катехоламинов приходится на адреналин, то опухоль локализуется в надпочечниках или в аортальном поясничном параганглии. Для злокачественных феохромоцитом, в отличие от доброкачественных, характерна секреция </w:t>
      </w:r>
      <w:r w:rsidRPr="005229E9">
        <w:rPr>
          <w:rFonts w:ascii="Arial" w:hAnsi="Arial" w:cs="Arial"/>
          <w:b/>
          <w:bCs/>
          <w:sz w:val="24"/>
          <w:szCs w:val="24"/>
        </w:rPr>
        <w:t>предшественников катехоламинов.</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4. Дифференциальная диагностика.</w:t>
      </w:r>
      <w:r w:rsidRPr="005229E9">
        <w:rPr>
          <w:sz w:val="24"/>
          <w:szCs w:val="24"/>
        </w:rPr>
        <w:t xml:space="preserve"> Исключают другие формы артериальной гипертонии, тиреотоксикоз, карциноидный синдром, маниакальный приступ и внутричерепные объемные образования, сопровождающиеся психическими нарушениями.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Б. Лечение</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Медикаментозное лечение</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bookmarkStart w:id="99" w:name="XXI.Б.1.а."/>
      <w:r w:rsidRPr="005229E9">
        <w:rPr>
          <w:rFonts w:ascii="Arial" w:hAnsi="Arial" w:cs="Arial"/>
          <w:b/>
          <w:bCs/>
          <w:sz w:val="24"/>
          <w:szCs w:val="24"/>
        </w:rPr>
        <w:t>а.</w:t>
      </w:r>
      <w:bookmarkEnd w:id="99"/>
      <w:r w:rsidRPr="005229E9">
        <w:rPr>
          <w:rFonts w:ascii="Arial" w:hAnsi="Arial" w:cs="Arial"/>
          <w:b/>
          <w:bCs/>
          <w:sz w:val="24"/>
          <w:szCs w:val="24"/>
        </w:rPr>
        <w:t xml:space="preserve"> </w:t>
      </w:r>
      <w:r w:rsidRPr="005229E9">
        <w:rPr>
          <w:sz w:val="24"/>
          <w:szCs w:val="24"/>
        </w:rPr>
        <w:t xml:space="preserve">Альфа-адреноблокатор феноксибензамин назначают по 10—40 мг внутрь 4 раза в сутки, начиная с небольшой дозы (1—3 мг/кг/сут, максимальная доза — 300 мг/сут). </w:t>
      </w:r>
    </w:p>
    <w:p w:rsidR="005229E9" w:rsidRPr="005229E9" w:rsidRDefault="005229E9" w:rsidP="005229E9">
      <w:pPr>
        <w:widowControl/>
        <w:autoSpaceDE/>
        <w:autoSpaceDN/>
        <w:adjustRightInd/>
        <w:spacing w:before="30"/>
        <w:ind w:left="1200" w:hanging="300"/>
        <w:jc w:val="both"/>
        <w:rPr>
          <w:sz w:val="24"/>
          <w:szCs w:val="24"/>
        </w:rPr>
      </w:pPr>
      <w:bookmarkStart w:id="100" w:name="XXI.Б.1.б."/>
      <w:r w:rsidRPr="005229E9">
        <w:rPr>
          <w:rFonts w:ascii="Arial" w:hAnsi="Arial" w:cs="Arial"/>
          <w:b/>
          <w:bCs/>
          <w:sz w:val="24"/>
          <w:szCs w:val="24"/>
        </w:rPr>
        <w:lastRenderedPageBreak/>
        <w:t>б.</w:t>
      </w:r>
      <w:bookmarkEnd w:id="100"/>
      <w:r w:rsidRPr="005229E9">
        <w:rPr>
          <w:rFonts w:ascii="Arial" w:hAnsi="Arial" w:cs="Arial"/>
          <w:b/>
          <w:bCs/>
          <w:sz w:val="24"/>
          <w:szCs w:val="24"/>
        </w:rPr>
        <w:t xml:space="preserve"> </w:t>
      </w:r>
      <w:r w:rsidRPr="005229E9">
        <w:rPr>
          <w:sz w:val="24"/>
          <w:szCs w:val="24"/>
        </w:rPr>
        <w:t xml:space="preserve">Для быстрого снижения АД применяют фентоламин: вводят 1—2,5 мг в/в, затем переходят на инфузию со скоростью 1 мг/мин. Препарат можно принимать и внутрь, по 50 мг 4—6 раз в сутки, но лучше использовать феноксибензамин. Феноксибензамин действует дольше и обладает меньшими побочными эффектами. </w:t>
      </w:r>
    </w:p>
    <w:p w:rsidR="005229E9" w:rsidRPr="005229E9" w:rsidRDefault="005229E9" w:rsidP="005229E9">
      <w:pPr>
        <w:widowControl/>
        <w:autoSpaceDE/>
        <w:autoSpaceDN/>
        <w:adjustRightInd/>
        <w:spacing w:before="30"/>
        <w:ind w:left="1200" w:hanging="300"/>
        <w:jc w:val="both"/>
        <w:rPr>
          <w:sz w:val="24"/>
          <w:szCs w:val="24"/>
        </w:rPr>
      </w:pPr>
      <w:bookmarkStart w:id="101" w:name="XXI.Б.1.в."/>
      <w:r w:rsidRPr="005229E9">
        <w:rPr>
          <w:rFonts w:ascii="Arial" w:hAnsi="Arial" w:cs="Arial"/>
          <w:b/>
          <w:bCs/>
          <w:sz w:val="24"/>
          <w:szCs w:val="24"/>
        </w:rPr>
        <w:t>в.</w:t>
      </w:r>
      <w:bookmarkEnd w:id="101"/>
      <w:r w:rsidRPr="005229E9">
        <w:rPr>
          <w:rFonts w:ascii="Arial" w:hAnsi="Arial" w:cs="Arial"/>
          <w:b/>
          <w:bCs/>
          <w:sz w:val="24"/>
          <w:szCs w:val="24"/>
        </w:rPr>
        <w:t xml:space="preserve"> </w:t>
      </w:r>
      <w:r w:rsidRPr="005229E9">
        <w:rPr>
          <w:sz w:val="24"/>
          <w:szCs w:val="24"/>
        </w:rPr>
        <w:t xml:space="preserve">Нитропруссид натрия — препарат выбора для нормализации АД во время операции. Раньше для этой цели применяли фентоламин. Нитропруссид натрия обладает еще более кратковременным действием, чем фентоламин, и не оказывает инотропного эффекта на сердце. Применяют в/в инфузию 0,01% раствора (50 мг нитропруссида в 250 мл 5% глюкозы). </w:t>
      </w:r>
    </w:p>
    <w:p w:rsidR="005229E9" w:rsidRPr="005229E9" w:rsidRDefault="005229E9" w:rsidP="005229E9">
      <w:pPr>
        <w:widowControl/>
        <w:autoSpaceDE/>
        <w:autoSpaceDN/>
        <w:adjustRightInd/>
        <w:spacing w:before="30"/>
        <w:ind w:left="1200" w:hanging="300"/>
        <w:jc w:val="both"/>
        <w:rPr>
          <w:sz w:val="24"/>
          <w:szCs w:val="24"/>
        </w:rPr>
      </w:pPr>
      <w:bookmarkStart w:id="102" w:name="XXI.Б.1.г."/>
      <w:r w:rsidRPr="005229E9">
        <w:rPr>
          <w:rFonts w:ascii="Arial" w:hAnsi="Arial" w:cs="Arial"/>
          <w:b/>
          <w:bCs/>
          <w:sz w:val="24"/>
          <w:szCs w:val="24"/>
        </w:rPr>
        <w:t>г.</w:t>
      </w:r>
      <w:bookmarkEnd w:id="102"/>
      <w:r w:rsidRPr="005229E9">
        <w:rPr>
          <w:rFonts w:ascii="Arial" w:hAnsi="Arial" w:cs="Arial"/>
          <w:b/>
          <w:bCs/>
          <w:sz w:val="24"/>
          <w:szCs w:val="24"/>
        </w:rPr>
        <w:t xml:space="preserve"> </w:t>
      </w:r>
      <w:r w:rsidRPr="005229E9">
        <w:rPr>
          <w:sz w:val="24"/>
          <w:szCs w:val="24"/>
        </w:rPr>
        <w:t xml:space="preserve">Восстановление ОЦК (инфузионная терапия) в ходе лечения феноксибензамином. </w:t>
      </w:r>
    </w:p>
    <w:p w:rsidR="005229E9" w:rsidRPr="005229E9" w:rsidRDefault="005229E9" w:rsidP="005229E9">
      <w:pPr>
        <w:widowControl/>
        <w:autoSpaceDE/>
        <w:autoSpaceDN/>
        <w:adjustRightInd/>
        <w:spacing w:before="30"/>
        <w:ind w:left="1200" w:hanging="300"/>
        <w:jc w:val="both"/>
        <w:rPr>
          <w:sz w:val="24"/>
          <w:szCs w:val="24"/>
        </w:rPr>
      </w:pPr>
      <w:bookmarkStart w:id="103" w:name="XXI.Б.1.д."/>
      <w:r w:rsidRPr="005229E9">
        <w:rPr>
          <w:rFonts w:ascii="Arial" w:hAnsi="Arial" w:cs="Arial"/>
          <w:b/>
          <w:bCs/>
          <w:sz w:val="24"/>
          <w:szCs w:val="24"/>
        </w:rPr>
        <w:t>д.</w:t>
      </w:r>
      <w:bookmarkEnd w:id="103"/>
      <w:r w:rsidRPr="005229E9">
        <w:rPr>
          <w:rFonts w:ascii="Arial" w:hAnsi="Arial" w:cs="Arial"/>
          <w:b/>
          <w:bCs/>
          <w:sz w:val="24"/>
          <w:szCs w:val="24"/>
        </w:rPr>
        <w:t xml:space="preserve"> </w:t>
      </w:r>
      <w:r w:rsidRPr="005229E9">
        <w:rPr>
          <w:sz w:val="24"/>
          <w:szCs w:val="24"/>
        </w:rPr>
        <w:t xml:space="preserve">Бета-адреноблокатор пропранолол, по 5—40 мг внутрь каждые 6 ч, применяют для устранения тахикардии и лечения аритмий. Препарат назначают только после начала лечения феноксибензамином.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Хирургическое лечение</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bookmarkStart w:id="104" w:name="XXI.Б.2.а."/>
      <w:r w:rsidRPr="005229E9">
        <w:rPr>
          <w:rFonts w:ascii="Arial" w:hAnsi="Arial" w:cs="Arial"/>
          <w:b/>
          <w:bCs/>
          <w:sz w:val="24"/>
          <w:szCs w:val="24"/>
        </w:rPr>
        <w:t>а.</w:t>
      </w:r>
      <w:bookmarkEnd w:id="104"/>
      <w:r w:rsidRPr="005229E9">
        <w:rPr>
          <w:rFonts w:ascii="Arial" w:hAnsi="Arial" w:cs="Arial"/>
          <w:b/>
          <w:bCs/>
          <w:sz w:val="24"/>
          <w:szCs w:val="24"/>
        </w:rPr>
        <w:t xml:space="preserve"> </w:t>
      </w:r>
      <w:r w:rsidRPr="005229E9">
        <w:rPr>
          <w:sz w:val="24"/>
          <w:szCs w:val="24"/>
        </w:rPr>
        <w:t xml:space="preserve">Чтобы избежать артериальной гипотонии после удаления опухоли, необходимо в предоперационном периоде восстановить ОЦК и провести лечение феноксибензамином в течение 10—14 сут. </w:t>
      </w:r>
    </w:p>
    <w:p w:rsidR="005229E9" w:rsidRPr="005229E9" w:rsidRDefault="005229E9" w:rsidP="005229E9">
      <w:pPr>
        <w:widowControl/>
        <w:autoSpaceDE/>
        <w:autoSpaceDN/>
        <w:adjustRightInd/>
        <w:spacing w:before="30"/>
        <w:ind w:left="1200" w:hanging="300"/>
        <w:jc w:val="both"/>
        <w:rPr>
          <w:sz w:val="24"/>
          <w:szCs w:val="24"/>
        </w:rPr>
      </w:pPr>
      <w:bookmarkStart w:id="105" w:name="XXI.Б.2.б."/>
      <w:r w:rsidRPr="005229E9">
        <w:rPr>
          <w:rFonts w:ascii="Arial" w:hAnsi="Arial" w:cs="Arial"/>
          <w:b/>
          <w:bCs/>
          <w:sz w:val="24"/>
          <w:szCs w:val="24"/>
        </w:rPr>
        <w:t>б.</w:t>
      </w:r>
      <w:bookmarkEnd w:id="105"/>
      <w:r w:rsidRPr="005229E9">
        <w:rPr>
          <w:rFonts w:ascii="Arial" w:hAnsi="Arial" w:cs="Arial"/>
          <w:b/>
          <w:bCs/>
          <w:sz w:val="24"/>
          <w:szCs w:val="24"/>
        </w:rPr>
        <w:t xml:space="preserve"> </w:t>
      </w:r>
      <w:r w:rsidRPr="005229E9">
        <w:rPr>
          <w:sz w:val="24"/>
          <w:szCs w:val="24"/>
        </w:rPr>
        <w:t xml:space="preserve">В ходе операции непрерывно регистрируют ЦВД, АД и ЭКГ. </w:t>
      </w:r>
    </w:p>
    <w:p w:rsidR="005229E9" w:rsidRPr="005229E9" w:rsidRDefault="005229E9" w:rsidP="005229E9">
      <w:pPr>
        <w:widowControl/>
        <w:autoSpaceDE/>
        <w:autoSpaceDN/>
        <w:adjustRightInd/>
        <w:spacing w:before="30"/>
        <w:ind w:left="1200" w:hanging="300"/>
        <w:jc w:val="both"/>
        <w:rPr>
          <w:sz w:val="24"/>
          <w:szCs w:val="24"/>
        </w:rPr>
      </w:pPr>
      <w:bookmarkStart w:id="106" w:name="XXI.Б.2.в."/>
      <w:r w:rsidRPr="005229E9">
        <w:rPr>
          <w:rFonts w:ascii="Arial" w:hAnsi="Arial" w:cs="Arial"/>
          <w:b/>
          <w:bCs/>
          <w:sz w:val="24"/>
          <w:szCs w:val="24"/>
        </w:rPr>
        <w:t>в.</w:t>
      </w:r>
      <w:bookmarkEnd w:id="106"/>
      <w:r w:rsidRPr="005229E9">
        <w:rPr>
          <w:rFonts w:ascii="Arial" w:hAnsi="Arial" w:cs="Arial"/>
          <w:b/>
          <w:bCs/>
          <w:sz w:val="24"/>
          <w:szCs w:val="24"/>
        </w:rPr>
        <w:t xml:space="preserve"> </w:t>
      </w:r>
      <w:r w:rsidRPr="005229E9">
        <w:rPr>
          <w:sz w:val="24"/>
          <w:szCs w:val="24"/>
        </w:rPr>
        <w:t xml:space="preserve">Рекомендуется передний чрезбрюшинный доступ, поскольку феохромоцитомы часто бывают множественными и, кроме того, возможна вненадпочечниковая локализация. </w:t>
      </w:r>
    </w:p>
    <w:p w:rsidR="005229E9" w:rsidRPr="005229E9" w:rsidRDefault="005229E9" w:rsidP="005229E9">
      <w:pPr>
        <w:widowControl/>
        <w:autoSpaceDE/>
        <w:autoSpaceDN/>
        <w:adjustRightInd/>
        <w:spacing w:before="30"/>
        <w:ind w:left="1200" w:hanging="300"/>
        <w:jc w:val="both"/>
        <w:rPr>
          <w:sz w:val="24"/>
          <w:szCs w:val="24"/>
        </w:rPr>
      </w:pPr>
      <w:bookmarkStart w:id="107" w:name="XXI.Б.2.г."/>
      <w:r w:rsidRPr="005229E9">
        <w:rPr>
          <w:rFonts w:ascii="Arial" w:hAnsi="Arial" w:cs="Arial"/>
          <w:b/>
          <w:bCs/>
          <w:sz w:val="24"/>
          <w:szCs w:val="24"/>
        </w:rPr>
        <w:t>г.</w:t>
      </w:r>
      <w:bookmarkEnd w:id="107"/>
      <w:r w:rsidRPr="005229E9">
        <w:rPr>
          <w:rFonts w:ascii="Arial" w:hAnsi="Arial" w:cs="Arial"/>
          <w:b/>
          <w:bCs/>
          <w:sz w:val="24"/>
          <w:szCs w:val="24"/>
        </w:rPr>
        <w:t xml:space="preserve"> Осложнения</w:t>
      </w:r>
      <w:r w:rsidRPr="005229E9">
        <w:rPr>
          <w:sz w:val="24"/>
          <w:szCs w:val="24"/>
        </w:rPr>
        <w:t xml:space="preserve">: аритмии, артериальная гипотония, кровотечение, последствия артериальной гипертонии (инсульт, почечная недостаточность, инфаркт миокарда).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В. Прогноз. </w:t>
      </w:r>
      <w:r w:rsidRPr="005229E9">
        <w:rPr>
          <w:sz w:val="24"/>
          <w:szCs w:val="24"/>
        </w:rPr>
        <w:t>Если опухоль доброкачественная, операция дает прекрасные результаты; послеоперационная летальность ниже 5%; АД нормализуется у 95% больных с артериальной гипертонией с кризовым течением и у 65% больных со стойкой артериальной гипертонией. При злокачественных феохромоцитомах прогноз неблагоприятный. Применяют феноксибензамин, метирозин, лучевую терапию, а также уничтожение оставшихся опухолевых клеток с помощью мета-</w:t>
      </w:r>
      <w:r w:rsidRPr="005229E9">
        <w:rPr>
          <w:sz w:val="24"/>
          <w:szCs w:val="24"/>
          <w:vertAlign w:val="superscript"/>
        </w:rPr>
        <w:t>131</w:t>
      </w:r>
      <w:r w:rsidRPr="005229E9">
        <w:rPr>
          <w:sz w:val="24"/>
          <w:szCs w:val="24"/>
        </w:rPr>
        <w:t xml:space="preserve">I-бензилгуанидина. </w:t>
      </w:r>
    </w:p>
    <w:p w:rsidR="005229E9" w:rsidRPr="005229E9" w:rsidRDefault="005229E9" w:rsidP="005229E9">
      <w:pPr>
        <w:widowControl/>
        <w:autoSpaceDE/>
        <w:autoSpaceDN/>
        <w:adjustRightInd/>
        <w:spacing w:before="100" w:beforeAutospacing="1" w:after="100" w:afterAutospacing="1"/>
        <w:jc w:val="both"/>
        <w:rPr>
          <w:sz w:val="36"/>
          <w:szCs w:val="36"/>
        </w:rPr>
      </w:pPr>
      <w:r w:rsidRPr="005229E9">
        <w:rPr>
          <w:rFonts w:ascii="Arial" w:hAnsi="Arial" w:cs="Arial"/>
          <w:b/>
          <w:bCs/>
          <w:sz w:val="36"/>
          <w:szCs w:val="36"/>
        </w:rPr>
        <w:t xml:space="preserve">Вирилизация и феминизация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 xml:space="preserve">XXII. Общие сведения. </w:t>
      </w:r>
      <w:r w:rsidRPr="005229E9">
        <w:rPr>
          <w:sz w:val="24"/>
          <w:szCs w:val="24"/>
        </w:rPr>
        <w:t xml:space="preserve">Вирилизация и феминизация могут быть обусловлены врожденной гиперплазией коры надпочечников, аденомой и раком надпочечников, опухолями яичников и яичек, заболеваниями гипоталамо-гипофизарной системы, лечением андрогенами, прогестагенами и эстрогенами. Среди «надпочечниковых» причин вирилизации самая частая — врожденная гиперплазия коры надпочечников. Под этим названием объединяется несколько семейных заболеваний с аутосомно-рецессивным наследованием, обусловленных недостаточностью одного из ферментов синтеза кортикостероидов. Известны 6 вариантов врожденной гиперплазии коры надпочечников. Заболевание может проявиться в любом возрасте, но чаще всего оно имеет место уже при рождении. Для лечения псевдогермафродитизма при врожденной гиперплазии коры надпочечников применяют не адреналэктомию, а заместительную терапию кортикостероидами и пластические операции на наружных половых органах. Постнатальная вирилизация, обусловленная избытком </w:t>
      </w:r>
      <w:r w:rsidRPr="005229E9">
        <w:rPr>
          <w:sz w:val="24"/>
          <w:szCs w:val="24"/>
        </w:rPr>
        <w:lastRenderedPageBreak/>
        <w:t xml:space="preserve">надпочечниковых андрогенов, как правило, является следствием аденомы или рака надпочечника.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А. Диагностика и дифференциальная диагностика</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Клиническая картина</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bookmarkStart w:id="108" w:name="XXII.А.1.а."/>
      <w:r w:rsidRPr="005229E9">
        <w:rPr>
          <w:rFonts w:ascii="Arial" w:hAnsi="Arial" w:cs="Arial"/>
          <w:b/>
          <w:bCs/>
          <w:sz w:val="24"/>
          <w:szCs w:val="24"/>
        </w:rPr>
        <w:t>а.</w:t>
      </w:r>
      <w:bookmarkEnd w:id="108"/>
      <w:r w:rsidRPr="005229E9">
        <w:rPr>
          <w:rFonts w:ascii="Arial" w:hAnsi="Arial" w:cs="Arial"/>
          <w:b/>
          <w:bCs/>
          <w:sz w:val="24"/>
          <w:szCs w:val="24"/>
        </w:rPr>
        <w:t xml:space="preserve"> </w:t>
      </w:r>
      <w:r w:rsidRPr="005229E9">
        <w:rPr>
          <w:sz w:val="24"/>
          <w:szCs w:val="24"/>
        </w:rPr>
        <w:t xml:space="preserve">Проявления </w:t>
      </w:r>
      <w:r w:rsidRPr="005229E9">
        <w:rPr>
          <w:rFonts w:ascii="Arial" w:hAnsi="Arial" w:cs="Arial"/>
          <w:b/>
          <w:bCs/>
          <w:sz w:val="24"/>
          <w:szCs w:val="24"/>
        </w:rPr>
        <w:t>вирилизации</w:t>
      </w:r>
      <w:r w:rsidRPr="005229E9">
        <w:rPr>
          <w:sz w:val="24"/>
          <w:szCs w:val="24"/>
        </w:rPr>
        <w:t xml:space="preserve"> у новорожденных девочек объединяются термином </w:t>
      </w:r>
      <w:r w:rsidRPr="005229E9">
        <w:rPr>
          <w:rFonts w:ascii="Arial" w:hAnsi="Arial" w:cs="Arial"/>
          <w:b/>
          <w:bCs/>
          <w:sz w:val="24"/>
          <w:szCs w:val="24"/>
        </w:rPr>
        <w:t>псевдогермафродитизм</w:t>
      </w:r>
      <w:r w:rsidRPr="005229E9">
        <w:rPr>
          <w:sz w:val="24"/>
          <w:szCs w:val="24"/>
        </w:rPr>
        <w:t xml:space="preserve"> и включают гипертрофию клитора и частичное или полное сращение губно-мошоночных складок. Без лечения ускоряются рост и созревание скелета, увеличивается мышечная масса, отмечается раннее лобковое оволосение (часто уже на втором году жизни), появляются угри, снижается тембр голоса. У новорожденных мальчиков увеличены половой член и мошонка. При постнатальной вирилизации у женщин отмечаются гирсутизм, гипертрофия клитора, алопеция, мужеподобная внешность, атрофия молочных желез, олигоменорея или аменорея. </w:t>
      </w:r>
    </w:p>
    <w:p w:rsidR="005229E9" w:rsidRPr="005229E9" w:rsidRDefault="005229E9" w:rsidP="005229E9">
      <w:pPr>
        <w:widowControl/>
        <w:autoSpaceDE/>
        <w:autoSpaceDN/>
        <w:adjustRightInd/>
        <w:spacing w:before="30"/>
        <w:ind w:left="1200" w:hanging="300"/>
        <w:jc w:val="both"/>
        <w:rPr>
          <w:sz w:val="24"/>
          <w:szCs w:val="24"/>
        </w:rPr>
      </w:pPr>
      <w:bookmarkStart w:id="109" w:name="XXII.А.1.б."/>
      <w:r w:rsidRPr="005229E9">
        <w:rPr>
          <w:rFonts w:ascii="Arial" w:hAnsi="Arial" w:cs="Arial"/>
          <w:b/>
          <w:bCs/>
          <w:sz w:val="24"/>
          <w:szCs w:val="24"/>
        </w:rPr>
        <w:t>б.</w:t>
      </w:r>
      <w:bookmarkEnd w:id="109"/>
      <w:r w:rsidRPr="005229E9">
        <w:rPr>
          <w:rFonts w:ascii="Arial" w:hAnsi="Arial" w:cs="Arial"/>
          <w:b/>
          <w:bCs/>
          <w:sz w:val="24"/>
          <w:szCs w:val="24"/>
        </w:rPr>
        <w:t xml:space="preserve"> Феминизирующие</w:t>
      </w:r>
      <w:r w:rsidRPr="005229E9">
        <w:rPr>
          <w:sz w:val="24"/>
          <w:szCs w:val="24"/>
        </w:rPr>
        <w:t xml:space="preserve"> (эстрогенсекретирующие) опухоли у мужчин встречаются редко. Эстрогенсекретирующие опухоли яичек обычно удается пальпировать; они бывают болезненными и сопровождаются гинекомастией, угрями и иногда — артериальной гипертонией. Эстрогенсекретирующие опухоли могут приводить к атрофии яичек и полового члена.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Дифференциальная диагностика</w:t>
      </w:r>
      <w:r w:rsidRPr="005229E9">
        <w:rPr>
          <w:sz w:val="24"/>
          <w:szCs w:val="24"/>
        </w:rPr>
        <w:t xml:space="preserve"> синдромов, обусловленных избытком андрогенов и сопровождающихся вирилизацией. </w:t>
      </w:r>
    </w:p>
    <w:p w:rsidR="005229E9" w:rsidRPr="005229E9" w:rsidRDefault="005229E9" w:rsidP="005229E9">
      <w:pPr>
        <w:widowControl/>
        <w:autoSpaceDE/>
        <w:autoSpaceDN/>
        <w:adjustRightInd/>
        <w:spacing w:before="30"/>
        <w:ind w:left="1200" w:hanging="300"/>
        <w:jc w:val="both"/>
        <w:rPr>
          <w:sz w:val="24"/>
          <w:szCs w:val="24"/>
        </w:rPr>
      </w:pPr>
      <w:bookmarkStart w:id="110" w:name="XXII.А.2.а."/>
      <w:r w:rsidRPr="005229E9">
        <w:rPr>
          <w:rFonts w:ascii="Arial" w:hAnsi="Arial" w:cs="Arial"/>
          <w:b/>
          <w:bCs/>
          <w:sz w:val="24"/>
          <w:szCs w:val="24"/>
        </w:rPr>
        <w:t>а.</w:t>
      </w:r>
      <w:bookmarkEnd w:id="110"/>
      <w:r w:rsidRPr="005229E9">
        <w:rPr>
          <w:rFonts w:ascii="Arial" w:hAnsi="Arial" w:cs="Arial"/>
          <w:b/>
          <w:bCs/>
          <w:sz w:val="24"/>
          <w:szCs w:val="24"/>
        </w:rPr>
        <w:t xml:space="preserve"> </w:t>
      </w:r>
      <w:r w:rsidRPr="005229E9">
        <w:rPr>
          <w:sz w:val="24"/>
          <w:szCs w:val="24"/>
        </w:rPr>
        <w:t xml:space="preserve">Патология яичников (синдром поликистозных яичников, гипертекоз, андрогенсекретирующие опухоли, в том числе гранулезоклеточные опухоли, лейдигома, эктопическая ткань надпочечников в яичниках, дисгерминома). </w:t>
      </w:r>
    </w:p>
    <w:p w:rsidR="005229E9" w:rsidRPr="005229E9" w:rsidRDefault="005229E9" w:rsidP="005229E9">
      <w:pPr>
        <w:widowControl/>
        <w:autoSpaceDE/>
        <w:autoSpaceDN/>
        <w:adjustRightInd/>
        <w:spacing w:before="30"/>
        <w:ind w:left="1200" w:hanging="300"/>
        <w:jc w:val="both"/>
        <w:rPr>
          <w:sz w:val="24"/>
          <w:szCs w:val="24"/>
        </w:rPr>
      </w:pPr>
      <w:bookmarkStart w:id="111" w:name="XXII.А.2.б."/>
      <w:r w:rsidRPr="005229E9">
        <w:rPr>
          <w:rFonts w:ascii="Arial" w:hAnsi="Arial" w:cs="Arial"/>
          <w:b/>
          <w:bCs/>
          <w:sz w:val="24"/>
          <w:szCs w:val="24"/>
        </w:rPr>
        <w:t>б.</w:t>
      </w:r>
      <w:bookmarkEnd w:id="111"/>
      <w:r w:rsidRPr="005229E9">
        <w:rPr>
          <w:rFonts w:ascii="Arial" w:hAnsi="Arial" w:cs="Arial"/>
          <w:b/>
          <w:bCs/>
          <w:sz w:val="24"/>
          <w:szCs w:val="24"/>
        </w:rPr>
        <w:t xml:space="preserve"> </w:t>
      </w:r>
      <w:r w:rsidRPr="005229E9">
        <w:rPr>
          <w:sz w:val="24"/>
          <w:szCs w:val="24"/>
        </w:rPr>
        <w:t xml:space="preserve">Патология надпочечников (гиперплазия коры надпочечников, аденома и рак надпочечников). </w:t>
      </w:r>
    </w:p>
    <w:p w:rsidR="005229E9" w:rsidRPr="005229E9" w:rsidRDefault="005229E9" w:rsidP="005229E9">
      <w:pPr>
        <w:widowControl/>
        <w:autoSpaceDE/>
        <w:autoSpaceDN/>
        <w:adjustRightInd/>
        <w:spacing w:before="30"/>
        <w:ind w:left="1200" w:hanging="300"/>
        <w:jc w:val="both"/>
        <w:rPr>
          <w:sz w:val="24"/>
          <w:szCs w:val="24"/>
        </w:rPr>
      </w:pPr>
      <w:bookmarkStart w:id="112" w:name="XXII.А.2.в."/>
      <w:r w:rsidRPr="005229E9">
        <w:rPr>
          <w:rFonts w:ascii="Arial" w:hAnsi="Arial" w:cs="Arial"/>
          <w:b/>
          <w:bCs/>
          <w:sz w:val="24"/>
          <w:szCs w:val="24"/>
        </w:rPr>
        <w:t>в.</w:t>
      </w:r>
      <w:bookmarkEnd w:id="112"/>
      <w:r w:rsidRPr="005229E9">
        <w:rPr>
          <w:rFonts w:ascii="Arial" w:hAnsi="Arial" w:cs="Arial"/>
          <w:b/>
          <w:bCs/>
          <w:sz w:val="24"/>
          <w:szCs w:val="24"/>
        </w:rPr>
        <w:t xml:space="preserve"> </w:t>
      </w:r>
      <w:r w:rsidRPr="005229E9">
        <w:rPr>
          <w:sz w:val="24"/>
          <w:szCs w:val="24"/>
        </w:rPr>
        <w:t xml:space="preserve">Патология гипоталамо-гипофизарной системы (акромегалия, синдром Морганьи). </w:t>
      </w:r>
    </w:p>
    <w:p w:rsidR="005229E9" w:rsidRPr="005229E9" w:rsidRDefault="005229E9" w:rsidP="005229E9">
      <w:pPr>
        <w:widowControl/>
        <w:autoSpaceDE/>
        <w:autoSpaceDN/>
        <w:adjustRightInd/>
        <w:spacing w:before="30"/>
        <w:ind w:left="1200" w:hanging="300"/>
        <w:jc w:val="both"/>
        <w:rPr>
          <w:sz w:val="24"/>
          <w:szCs w:val="24"/>
        </w:rPr>
      </w:pPr>
      <w:bookmarkStart w:id="113" w:name="XXII.А.2.г."/>
      <w:r w:rsidRPr="005229E9">
        <w:rPr>
          <w:rFonts w:ascii="Arial" w:hAnsi="Arial" w:cs="Arial"/>
          <w:b/>
          <w:bCs/>
          <w:sz w:val="24"/>
          <w:szCs w:val="24"/>
        </w:rPr>
        <w:t>г.</w:t>
      </w:r>
      <w:bookmarkEnd w:id="113"/>
      <w:r w:rsidRPr="005229E9">
        <w:rPr>
          <w:rFonts w:ascii="Arial" w:hAnsi="Arial" w:cs="Arial"/>
          <w:b/>
          <w:bCs/>
          <w:sz w:val="24"/>
          <w:szCs w:val="24"/>
        </w:rPr>
        <w:t xml:space="preserve"> </w:t>
      </w:r>
      <w:r w:rsidRPr="005229E9">
        <w:rPr>
          <w:sz w:val="24"/>
          <w:szCs w:val="24"/>
        </w:rPr>
        <w:t xml:space="preserve">Патология плаценты (при беременности, пузырном заносе, хориокарциноме). </w:t>
      </w:r>
    </w:p>
    <w:p w:rsidR="005229E9" w:rsidRPr="005229E9" w:rsidRDefault="005229E9" w:rsidP="005229E9">
      <w:pPr>
        <w:widowControl/>
        <w:autoSpaceDE/>
        <w:autoSpaceDN/>
        <w:adjustRightInd/>
        <w:spacing w:before="30"/>
        <w:ind w:left="1200" w:hanging="300"/>
        <w:jc w:val="both"/>
        <w:rPr>
          <w:sz w:val="24"/>
          <w:szCs w:val="24"/>
        </w:rPr>
      </w:pPr>
      <w:bookmarkStart w:id="114" w:name="XXII.А.2.д."/>
      <w:r w:rsidRPr="005229E9">
        <w:rPr>
          <w:rFonts w:ascii="Arial" w:hAnsi="Arial" w:cs="Arial"/>
          <w:b/>
          <w:bCs/>
          <w:sz w:val="24"/>
          <w:szCs w:val="24"/>
        </w:rPr>
        <w:t>д.</w:t>
      </w:r>
      <w:bookmarkEnd w:id="114"/>
      <w:r w:rsidRPr="005229E9">
        <w:rPr>
          <w:rFonts w:ascii="Arial" w:hAnsi="Arial" w:cs="Arial"/>
          <w:b/>
          <w:bCs/>
          <w:sz w:val="24"/>
          <w:szCs w:val="24"/>
        </w:rPr>
        <w:t xml:space="preserve"> </w:t>
      </w:r>
      <w:r w:rsidRPr="005229E9">
        <w:rPr>
          <w:sz w:val="24"/>
          <w:szCs w:val="24"/>
        </w:rPr>
        <w:t xml:space="preserve">Другие причины (лечение андрогенами и прогестагенами, опухоли тимуса, истинный гермафродитизм).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3. Лабораторная диагностика</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bookmarkStart w:id="115" w:name="XXII.А.3.а."/>
      <w:r w:rsidRPr="005229E9">
        <w:rPr>
          <w:rFonts w:ascii="Arial" w:hAnsi="Arial" w:cs="Arial"/>
          <w:b/>
          <w:bCs/>
          <w:sz w:val="24"/>
          <w:szCs w:val="24"/>
        </w:rPr>
        <w:t>а.</w:t>
      </w:r>
      <w:bookmarkEnd w:id="115"/>
      <w:r w:rsidRPr="005229E9">
        <w:rPr>
          <w:rFonts w:ascii="Arial" w:hAnsi="Arial" w:cs="Arial"/>
          <w:b/>
          <w:bCs/>
          <w:sz w:val="24"/>
          <w:szCs w:val="24"/>
        </w:rPr>
        <w:t xml:space="preserve"> </w:t>
      </w:r>
      <w:r w:rsidRPr="005229E9">
        <w:rPr>
          <w:sz w:val="24"/>
          <w:szCs w:val="24"/>
        </w:rPr>
        <w:t xml:space="preserve">При псевдогермафродитизме цитогенетическое исследование позволяет подтвердить женский пол ребенка. </w:t>
      </w:r>
    </w:p>
    <w:p w:rsidR="005229E9" w:rsidRPr="005229E9" w:rsidRDefault="005229E9" w:rsidP="005229E9">
      <w:pPr>
        <w:widowControl/>
        <w:autoSpaceDE/>
        <w:autoSpaceDN/>
        <w:adjustRightInd/>
        <w:spacing w:before="30"/>
        <w:ind w:left="1200" w:hanging="300"/>
        <w:jc w:val="both"/>
        <w:rPr>
          <w:sz w:val="24"/>
          <w:szCs w:val="24"/>
        </w:rPr>
      </w:pPr>
      <w:bookmarkStart w:id="116" w:name="XXII.А.3.б."/>
      <w:r w:rsidRPr="005229E9">
        <w:rPr>
          <w:rFonts w:ascii="Arial" w:hAnsi="Arial" w:cs="Arial"/>
          <w:b/>
          <w:bCs/>
          <w:sz w:val="24"/>
          <w:szCs w:val="24"/>
        </w:rPr>
        <w:t>б.</w:t>
      </w:r>
      <w:bookmarkEnd w:id="116"/>
      <w:r w:rsidRPr="005229E9">
        <w:rPr>
          <w:rFonts w:ascii="Arial" w:hAnsi="Arial" w:cs="Arial"/>
          <w:b/>
          <w:bCs/>
          <w:sz w:val="24"/>
          <w:szCs w:val="24"/>
        </w:rPr>
        <w:t xml:space="preserve"> </w:t>
      </w:r>
      <w:r w:rsidRPr="005229E9">
        <w:rPr>
          <w:sz w:val="24"/>
          <w:szCs w:val="24"/>
        </w:rPr>
        <w:t xml:space="preserve">Изменения уровней гормонов в крови и моче при врожденной гиперплазии коры надпочечников зависят от того, какой этап синтеза кортикостероидов нарушен. Чаще всего встречается недостаточность </w:t>
      </w:r>
      <w:r w:rsidRPr="005229E9">
        <w:rPr>
          <w:rFonts w:ascii="Arial" w:hAnsi="Arial" w:cs="Arial"/>
          <w:b/>
          <w:bCs/>
          <w:sz w:val="24"/>
          <w:szCs w:val="24"/>
        </w:rPr>
        <w:t>21-гидроксилазы,</w:t>
      </w:r>
      <w:r w:rsidRPr="005229E9">
        <w:rPr>
          <w:sz w:val="24"/>
          <w:szCs w:val="24"/>
        </w:rPr>
        <w:t xml:space="preserve"> что ведет к повышению уровня 17-гидроксипрогестерона в сыворотке. При недостаточности </w:t>
      </w:r>
      <w:r w:rsidRPr="005229E9">
        <w:rPr>
          <w:rFonts w:ascii="Arial" w:hAnsi="Arial" w:cs="Arial"/>
          <w:b/>
          <w:bCs/>
          <w:sz w:val="24"/>
          <w:szCs w:val="24"/>
        </w:rPr>
        <w:t>11бета-гидроксилазы</w:t>
      </w:r>
      <w:r w:rsidRPr="005229E9">
        <w:rPr>
          <w:sz w:val="24"/>
          <w:szCs w:val="24"/>
        </w:rPr>
        <w:t xml:space="preserve"> возрастает уровень 11-дезоксикортизола в сыворотке. В обоих случаях в моче повышается содержание 17-кетостероидов, прегнантриола и тестостерона. При недостаточности </w:t>
      </w:r>
      <w:r w:rsidRPr="005229E9">
        <w:rPr>
          <w:rFonts w:ascii="Arial" w:hAnsi="Arial" w:cs="Arial"/>
          <w:b/>
          <w:bCs/>
          <w:sz w:val="24"/>
          <w:szCs w:val="24"/>
        </w:rPr>
        <w:t>17альфа-гидроксилазы</w:t>
      </w:r>
      <w:r w:rsidRPr="005229E9">
        <w:rPr>
          <w:sz w:val="24"/>
          <w:szCs w:val="24"/>
        </w:rPr>
        <w:t xml:space="preserve"> в моче снижаются уровни 17-кетостероидов и альдостерона и возрастает содержание кортикостерона и дезоксикортикостерона. </w:t>
      </w:r>
    </w:p>
    <w:p w:rsidR="005229E9" w:rsidRPr="005229E9" w:rsidRDefault="005229E9" w:rsidP="005229E9">
      <w:pPr>
        <w:widowControl/>
        <w:autoSpaceDE/>
        <w:autoSpaceDN/>
        <w:adjustRightInd/>
        <w:spacing w:before="30"/>
        <w:ind w:left="1200" w:hanging="300"/>
        <w:jc w:val="both"/>
        <w:rPr>
          <w:sz w:val="24"/>
          <w:szCs w:val="24"/>
        </w:rPr>
      </w:pPr>
      <w:bookmarkStart w:id="117" w:name="XXII.А.3.в."/>
      <w:r w:rsidRPr="005229E9">
        <w:rPr>
          <w:rFonts w:ascii="Arial" w:hAnsi="Arial" w:cs="Arial"/>
          <w:b/>
          <w:bCs/>
          <w:sz w:val="24"/>
          <w:szCs w:val="24"/>
        </w:rPr>
        <w:t>в.</w:t>
      </w:r>
      <w:bookmarkEnd w:id="117"/>
      <w:r w:rsidRPr="005229E9">
        <w:rPr>
          <w:rFonts w:ascii="Arial" w:hAnsi="Arial" w:cs="Arial"/>
          <w:b/>
          <w:bCs/>
          <w:sz w:val="24"/>
          <w:szCs w:val="24"/>
        </w:rPr>
        <w:t xml:space="preserve"> Длинная проба с дексаметазоном</w:t>
      </w:r>
      <w:r w:rsidRPr="005229E9">
        <w:rPr>
          <w:sz w:val="24"/>
          <w:szCs w:val="24"/>
        </w:rPr>
        <w:t xml:space="preserve">. Если дексаметазон (2—4 мг/сут в 4 приема на протяжении 7 сут) снижает уровень 17-кетостероидов до нормы, скорее всего </w:t>
      </w:r>
      <w:r w:rsidRPr="005229E9">
        <w:rPr>
          <w:sz w:val="24"/>
          <w:szCs w:val="24"/>
        </w:rPr>
        <w:lastRenderedPageBreak/>
        <w:t xml:space="preserve">имеет место врожденная гиперплазия коры надпочечников, а не вирилизирующая опухоль надпочечников. </w:t>
      </w:r>
    </w:p>
    <w:p w:rsidR="005229E9" w:rsidRPr="005229E9" w:rsidRDefault="005229E9" w:rsidP="005229E9">
      <w:pPr>
        <w:widowControl/>
        <w:autoSpaceDE/>
        <w:autoSpaceDN/>
        <w:adjustRightInd/>
        <w:spacing w:before="30"/>
        <w:ind w:left="1200" w:hanging="300"/>
        <w:jc w:val="both"/>
        <w:rPr>
          <w:sz w:val="24"/>
          <w:szCs w:val="24"/>
        </w:rPr>
      </w:pPr>
      <w:bookmarkStart w:id="118" w:name="XXII.А.3.г."/>
      <w:r w:rsidRPr="005229E9">
        <w:rPr>
          <w:rFonts w:ascii="Arial" w:hAnsi="Arial" w:cs="Arial"/>
          <w:b/>
          <w:bCs/>
          <w:sz w:val="24"/>
          <w:szCs w:val="24"/>
        </w:rPr>
        <w:t>г.</w:t>
      </w:r>
      <w:bookmarkEnd w:id="118"/>
      <w:r w:rsidRPr="005229E9">
        <w:rPr>
          <w:rFonts w:ascii="Arial" w:hAnsi="Arial" w:cs="Arial"/>
          <w:b/>
          <w:bCs/>
          <w:sz w:val="24"/>
          <w:szCs w:val="24"/>
        </w:rPr>
        <w:t xml:space="preserve"> </w:t>
      </w:r>
      <w:r w:rsidRPr="005229E9">
        <w:rPr>
          <w:sz w:val="24"/>
          <w:szCs w:val="24"/>
        </w:rPr>
        <w:t xml:space="preserve">Если вирилизация не сопровождается резким повышением уровня 17-кетостероидов, нужно определить содержание свободного тестостерона в сыворотке (верхняя граница нормы — 0,06 нмоль/л). Для вирилизирующих опухолей надпочечников характерен высокий базальный уровень тестостерона и его снижение более чем на 50% в ходе пробы с дексаметазоном. Нечувствительные к дексаметазону опухоли надпочечников встречаются очень редко. При патологии яичников уровень тестостерона не снижается под действием дексаметазона. </w:t>
      </w:r>
    </w:p>
    <w:p w:rsidR="005229E9" w:rsidRPr="005229E9" w:rsidRDefault="005229E9" w:rsidP="005229E9">
      <w:pPr>
        <w:widowControl/>
        <w:autoSpaceDE/>
        <w:autoSpaceDN/>
        <w:adjustRightInd/>
        <w:spacing w:before="30"/>
        <w:ind w:left="1200" w:hanging="300"/>
        <w:jc w:val="both"/>
        <w:rPr>
          <w:sz w:val="24"/>
          <w:szCs w:val="24"/>
        </w:rPr>
      </w:pPr>
      <w:bookmarkStart w:id="119" w:name="XXII.А.3.д."/>
      <w:r w:rsidRPr="005229E9">
        <w:rPr>
          <w:rFonts w:ascii="Arial" w:hAnsi="Arial" w:cs="Arial"/>
          <w:b/>
          <w:bCs/>
          <w:sz w:val="24"/>
          <w:szCs w:val="24"/>
        </w:rPr>
        <w:t>д.</w:t>
      </w:r>
      <w:bookmarkEnd w:id="119"/>
      <w:r w:rsidRPr="005229E9">
        <w:rPr>
          <w:rFonts w:ascii="Arial" w:hAnsi="Arial" w:cs="Arial"/>
          <w:b/>
          <w:bCs/>
          <w:sz w:val="24"/>
          <w:szCs w:val="24"/>
        </w:rPr>
        <w:t xml:space="preserve"> </w:t>
      </w:r>
      <w:r w:rsidRPr="005229E9">
        <w:rPr>
          <w:sz w:val="24"/>
          <w:szCs w:val="24"/>
        </w:rPr>
        <w:t xml:space="preserve">Для топической диагностики вирилизирующих и феминизирующих опухолей, которые обычно имеют крупные размеры, используют физикальное исследование, кульдоскопию, КТ и сцинтиграфию с </w:t>
      </w:r>
      <w:r w:rsidRPr="005229E9">
        <w:rPr>
          <w:sz w:val="24"/>
          <w:szCs w:val="24"/>
          <w:vertAlign w:val="superscript"/>
        </w:rPr>
        <w:t>131</w:t>
      </w:r>
      <w:r w:rsidRPr="005229E9">
        <w:rPr>
          <w:sz w:val="24"/>
          <w:szCs w:val="24"/>
        </w:rPr>
        <w:t xml:space="preserve">I-холестерином.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Б. Лечение</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bookmarkStart w:id="120" w:name="XXII.Б.1."/>
      <w:r w:rsidRPr="005229E9">
        <w:rPr>
          <w:rFonts w:ascii="Arial" w:hAnsi="Arial" w:cs="Arial"/>
          <w:b/>
          <w:bCs/>
          <w:sz w:val="24"/>
          <w:szCs w:val="24"/>
        </w:rPr>
        <w:t>1.</w:t>
      </w:r>
      <w:bookmarkEnd w:id="120"/>
      <w:r w:rsidRPr="005229E9">
        <w:rPr>
          <w:rFonts w:ascii="Arial" w:hAnsi="Arial" w:cs="Arial"/>
          <w:b/>
          <w:bCs/>
          <w:sz w:val="24"/>
          <w:szCs w:val="24"/>
        </w:rPr>
        <w:t xml:space="preserve"> Врожденная гиперплазия коры надпочечников.</w:t>
      </w:r>
      <w:r w:rsidRPr="005229E9">
        <w:rPr>
          <w:sz w:val="24"/>
          <w:szCs w:val="24"/>
        </w:rPr>
        <w:t xml:space="preserve"> Новорожденным назначают гидрокортизон, по 10—25 мг/сут внутрь или по 10—25 мг в/м 1 раз в 3 сут. Детям старшего возраста препарат назначают по 25—100 мг/сут внутрь. Дозу подбирают так, чтобы поддерживать нормальную скорость роста и нормальный уровень 17-кетостероидов в моче. </w:t>
      </w:r>
    </w:p>
    <w:p w:rsidR="005229E9" w:rsidRPr="005229E9" w:rsidRDefault="005229E9" w:rsidP="005229E9">
      <w:pPr>
        <w:widowControl/>
        <w:autoSpaceDE/>
        <w:autoSpaceDN/>
        <w:adjustRightInd/>
        <w:spacing w:before="30"/>
        <w:ind w:left="900" w:hanging="300"/>
        <w:jc w:val="both"/>
        <w:rPr>
          <w:sz w:val="24"/>
          <w:szCs w:val="24"/>
        </w:rPr>
      </w:pPr>
      <w:bookmarkStart w:id="121" w:name="XXII.Б.2."/>
      <w:r w:rsidRPr="005229E9">
        <w:rPr>
          <w:rFonts w:ascii="Arial" w:hAnsi="Arial" w:cs="Arial"/>
          <w:b/>
          <w:bCs/>
          <w:sz w:val="24"/>
          <w:szCs w:val="24"/>
        </w:rPr>
        <w:t>2.</w:t>
      </w:r>
      <w:bookmarkEnd w:id="121"/>
      <w:r w:rsidRPr="005229E9">
        <w:rPr>
          <w:rFonts w:ascii="Arial" w:hAnsi="Arial" w:cs="Arial"/>
          <w:b/>
          <w:bCs/>
          <w:sz w:val="24"/>
          <w:szCs w:val="24"/>
        </w:rPr>
        <w:t xml:space="preserve"> Опухоли.</w:t>
      </w:r>
      <w:r w:rsidRPr="005229E9">
        <w:rPr>
          <w:sz w:val="24"/>
          <w:szCs w:val="24"/>
        </w:rPr>
        <w:t xml:space="preserve"> Показано хирургическое вмешательство. Вирилизирующие и феминизирующие опухоли надпочечников обычно односторонние. Используют передний чрезбрюшинный или боковой доступ. Ведение больного в предоперационном и послеоперационном периоде — такое же, как при адреналэктомии при синдроме Кушинга.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В. Прогноз. </w:t>
      </w:r>
      <w:r w:rsidRPr="005229E9">
        <w:rPr>
          <w:sz w:val="24"/>
          <w:szCs w:val="24"/>
        </w:rPr>
        <w:t xml:space="preserve">Если врожденную гиперплазию коры надпочечников распознают сразу после рождения и начинают лечение гидрокортизоном, метаболические нарушения исчезают, а вирилизация не прогрессирует. Пластические операции на наружных половых органах рекомендуется проводить в неонатальном периоде. Если причина вирилизации — опухоль надпочечника, после ее удаления заболевание также не прогрессирует, но проявления вирилизации, особенно низкий тембр голоса, иногда сохраняются. При раке надпочечников прогноз неблагоприятный. </w:t>
      </w:r>
    </w:p>
    <w:p w:rsidR="005229E9" w:rsidRPr="005229E9" w:rsidRDefault="005229E9" w:rsidP="00330439">
      <w:pPr>
        <w:widowControl/>
        <w:autoSpaceDE/>
        <w:autoSpaceDN/>
        <w:adjustRightInd/>
        <w:spacing w:before="100" w:beforeAutospacing="1" w:after="100" w:afterAutospacing="1"/>
        <w:jc w:val="both"/>
        <w:outlineLvl w:val="1"/>
        <w:rPr>
          <w:bCs/>
          <w:sz w:val="36"/>
          <w:szCs w:val="36"/>
        </w:rPr>
      </w:pPr>
    </w:p>
    <w:p w:rsidR="00330439" w:rsidRDefault="00330439" w:rsidP="00330439">
      <w:pPr>
        <w:widowControl/>
        <w:autoSpaceDE/>
        <w:autoSpaceDN/>
        <w:adjustRightInd/>
        <w:spacing w:before="100" w:beforeAutospacing="1" w:after="100" w:afterAutospacing="1"/>
        <w:jc w:val="both"/>
        <w:outlineLvl w:val="1"/>
        <w:rPr>
          <w:bCs/>
          <w:sz w:val="36"/>
          <w:szCs w:val="36"/>
          <w:lang w:val="uz-Cyrl-UZ"/>
        </w:rPr>
      </w:pPr>
      <w:r w:rsidRPr="00587101">
        <w:rPr>
          <w:bCs/>
          <w:sz w:val="36"/>
          <w:szCs w:val="36"/>
        </w:rPr>
        <w:t xml:space="preserve">План </w:t>
      </w:r>
      <w:r>
        <w:rPr>
          <w:bCs/>
          <w:sz w:val="36"/>
          <w:szCs w:val="36"/>
          <w:lang w:val="uz-Cyrl-UZ"/>
        </w:rPr>
        <w:t>4</w:t>
      </w:r>
      <w:r w:rsidRPr="00587101">
        <w:rPr>
          <w:bCs/>
          <w:sz w:val="36"/>
          <w:szCs w:val="36"/>
        </w:rPr>
        <w:t xml:space="preserve">. </w:t>
      </w:r>
      <w:r w:rsidR="005229E9" w:rsidRPr="005229E9">
        <w:rPr>
          <w:bCs/>
          <w:sz w:val="36"/>
          <w:szCs w:val="36"/>
        </w:rPr>
        <w:t>Поражения кожи при эндокринных болезнях</w:t>
      </w:r>
      <w:r w:rsidR="005229E9">
        <w:rPr>
          <w:bCs/>
          <w:sz w:val="36"/>
          <w:szCs w:val="36"/>
          <w:lang w:val="uz-Cyrl-UZ"/>
        </w:rPr>
        <w:t>.</w:t>
      </w:r>
    </w:p>
    <w:p w:rsidR="005229E9" w:rsidRPr="005229E9" w:rsidRDefault="005229E9" w:rsidP="005229E9">
      <w:pPr>
        <w:widowControl/>
        <w:autoSpaceDE/>
        <w:autoSpaceDN/>
        <w:adjustRightInd/>
        <w:spacing w:before="100" w:beforeAutospacing="1" w:after="100" w:afterAutospacing="1"/>
        <w:jc w:val="both"/>
        <w:rPr>
          <w:sz w:val="24"/>
          <w:szCs w:val="24"/>
        </w:rPr>
      </w:pPr>
      <w:r w:rsidRPr="005229E9">
        <w:rPr>
          <w:sz w:val="24"/>
          <w:szCs w:val="24"/>
        </w:rPr>
        <w:t xml:space="preserve">Многие эндокринные заболевания сопровождаются поражением кожи. Если это поражение вызвано </w:t>
      </w:r>
      <w:r w:rsidRPr="005229E9">
        <w:rPr>
          <w:rFonts w:ascii="Arial" w:hAnsi="Arial" w:cs="Arial"/>
          <w:b/>
          <w:bCs/>
          <w:sz w:val="24"/>
          <w:szCs w:val="24"/>
        </w:rPr>
        <w:t>исходным гормонально-метаболическим дефектом</w:t>
      </w:r>
      <w:r w:rsidRPr="005229E9">
        <w:rPr>
          <w:sz w:val="24"/>
          <w:szCs w:val="24"/>
        </w:rPr>
        <w:t xml:space="preserve"> (например, дефицитом гормона), оно проявляется уже на ранних стадиях заболевания и служит важным диагностическим признаком. Поражение кожи, обусловленное вторичными метаболическими нарушениями, развивается как </w:t>
      </w:r>
      <w:r w:rsidRPr="005229E9">
        <w:rPr>
          <w:rFonts w:ascii="Arial" w:hAnsi="Arial" w:cs="Arial"/>
          <w:b/>
          <w:bCs/>
          <w:sz w:val="24"/>
          <w:szCs w:val="24"/>
        </w:rPr>
        <w:t>осложнение основного заболевания.</w:t>
      </w:r>
      <w:r w:rsidRPr="005229E9">
        <w:rPr>
          <w:sz w:val="24"/>
          <w:szCs w:val="24"/>
        </w:rPr>
        <w:t xml:space="preserve"> Наконец, поражение кожи может быть </w:t>
      </w:r>
      <w:r w:rsidRPr="005229E9">
        <w:rPr>
          <w:rFonts w:ascii="Arial" w:hAnsi="Arial" w:cs="Arial"/>
          <w:b/>
          <w:bCs/>
          <w:sz w:val="24"/>
          <w:szCs w:val="24"/>
        </w:rPr>
        <w:t>осложнением лечения</w:t>
      </w:r>
      <w:r w:rsidRPr="005229E9">
        <w:rPr>
          <w:sz w:val="24"/>
          <w:szCs w:val="24"/>
        </w:rPr>
        <w:t xml:space="preserve"> основного заболевания (например, инъекции инсулина вызывают липоатрофию у больных инсулинозависимым сахарным диабетом).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I. Щитовидная железа</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lastRenderedPageBreak/>
        <w:t>А. Тиреотоксикоз</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Кожа</w:t>
      </w:r>
      <w:r w:rsidRPr="005229E9">
        <w:rPr>
          <w:sz w:val="24"/>
          <w:szCs w:val="24"/>
        </w:rPr>
        <w:t xml:space="preserve"> при тиреотоксикозе горячая, гладкая, бархатистая и влажная от пота. Лицо и ладони красные. В тяжелых случаях развивается гиперпигментация.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Волосы и ногти.</w:t>
      </w:r>
      <w:r w:rsidRPr="005229E9">
        <w:rPr>
          <w:sz w:val="24"/>
          <w:szCs w:val="24"/>
        </w:rPr>
        <w:t xml:space="preserve"> Волосы становятся тонкими, мягкими и жирными. Нередко бывает диффузная алопеция. Характерен онихолиз — отделение ногтя от ногтевого ложа, который начинается с безымянного пальца (ноготь Пламмера).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Локальные слизистые отеки </w:t>
      </w:r>
      <w:r w:rsidRPr="005229E9">
        <w:rPr>
          <w:sz w:val="24"/>
          <w:szCs w:val="24"/>
        </w:rPr>
        <w:t xml:space="preserve">развиваются из-за отложения в коже кислых гликозаминогликанов, в частности гиалуроновой кислоты. Очаги поражения имеют вид желтых или красновато-бурых бляшек; типичная локализация — передняя поверхность голеней </w:t>
      </w:r>
      <w:r w:rsidRPr="005229E9">
        <w:rPr>
          <w:rFonts w:ascii="Arial" w:hAnsi="Arial" w:cs="Arial"/>
          <w:b/>
          <w:bCs/>
          <w:sz w:val="24"/>
          <w:szCs w:val="24"/>
        </w:rPr>
        <w:t>(претибиальная микседема).</w:t>
      </w:r>
      <w:r w:rsidRPr="005229E9">
        <w:rPr>
          <w:sz w:val="24"/>
          <w:szCs w:val="24"/>
        </w:rPr>
        <w:t xml:space="preserve"> Кожа напоминает кожуру апельсина, покрыта грубыми волосами; устья волосяных фолликулов расширены. Бляшки холодные на ощупь, безболезненные; при надавливании на них ямки не остаются. Возможен зуд. Претибиальная микседема — характерный признак диффузного токсического зоба. Она может наблюдаться даже у леченных больных с гипо- или эутиреозом. Для больных с претибиальной микседемой характерен высокий титр тиреостимулирующих аутоантител.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4. Изменения дистальных отделов конечностей.</w:t>
      </w:r>
      <w:r w:rsidRPr="005229E9">
        <w:rPr>
          <w:sz w:val="24"/>
          <w:szCs w:val="24"/>
        </w:rPr>
        <w:t xml:space="preserve"> Диффузный токсический зоб иногда сопровождается </w:t>
      </w:r>
      <w:r w:rsidRPr="005229E9">
        <w:rPr>
          <w:rFonts w:ascii="Arial" w:hAnsi="Arial" w:cs="Arial"/>
          <w:b/>
          <w:bCs/>
          <w:sz w:val="24"/>
          <w:szCs w:val="24"/>
        </w:rPr>
        <w:t>гипертрофической остеоартропатией</w:t>
      </w:r>
      <w:r w:rsidRPr="005229E9">
        <w:rPr>
          <w:sz w:val="24"/>
          <w:szCs w:val="24"/>
        </w:rPr>
        <w:t xml:space="preserve"> — деформацией длинных трубчатых костей и дистальных фаланг за счет периостального остеогенеза. Кожа кистей и стоп утолщается, пальцы рук приобретают сходство с барабанными палочками, ногти напоминают часовые стекла. При рентгенографии обнаруживают спикулы — оссификации по ходу сосудов, идущие из надкостницы в кость. Эти изменения обычно сочетаются с претибиальной микседемой.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Б. Гипотиреоз</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Врожденный гипотиреоз.</w:t>
      </w:r>
      <w:r w:rsidRPr="005229E9">
        <w:rPr>
          <w:sz w:val="24"/>
          <w:szCs w:val="24"/>
        </w:rPr>
        <w:t xml:space="preserve"> Характерна сухая, холодная, бледная кожа с желтоватым оттенком. Изменения обусловлены снижением кровотока, анемией, отложением в коже гликозаминогликанов, затянувшейся физиологической желтухой и каротинемией. Потоотделение снижено. Из-за нарушений терморегуляции и гипотермии у ребенка постоянно сохраняется мраморность кожи — сетчатый рисунок, образованный просвечивающими сосудами. Картину дополняют пупочная грыжа, укорочение проксимальных отделов конечностей, широкий приплюснутый нос и высунутый язык.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Приобретенный гипотиреоз.</w:t>
      </w:r>
      <w:r w:rsidRPr="005229E9">
        <w:rPr>
          <w:sz w:val="24"/>
          <w:szCs w:val="24"/>
        </w:rPr>
        <w:t xml:space="preserve"> Клиническая картина во многом похожа на врожденный гипотиреоз. И у взрослых больных, и у детей сухость и шелушение кожи выражены сильнее — как при ксеродермии. Потоотделение нарушено из-за атрофии протоков мерокриновых потовых желез. Из-за отложения в коже кислых гликозаминогликанов развивается слизистый отек — </w:t>
      </w:r>
      <w:r w:rsidRPr="005229E9">
        <w:rPr>
          <w:rFonts w:ascii="Arial" w:hAnsi="Arial" w:cs="Arial"/>
          <w:b/>
          <w:bCs/>
          <w:sz w:val="24"/>
          <w:szCs w:val="24"/>
        </w:rPr>
        <w:t>микседема.</w:t>
      </w:r>
      <w:r w:rsidRPr="005229E9">
        <w:rPr>
          <w:sz w:val="24"/>
          <w:szCs w:val="24"/>
        </w:rPr>
        <w:t xml:space="preserve"> При гипотиреозе микседема имеет генерализованный характер</w:t>
      </w:r>
      <w:r w:rsidRPr="005229E9">
        <w:rPr>
          <w:rFonts w:ascii="Arial" w:hAnsi="Arial" w:cs="Arial"/>
          <w:b/>
          <w:bCs/>
          <w:sz w:val="24"/>
          <w:szCs w:val="24"/>
        </w:rPr>
        <w:t xml:space="preserve"> </w:t>
      </w:r>
      <w:r w:rsidRPr="005229E9">
        <w:rPr>
          <w:sz w:val="24"/>
          <w:szCs w:val="24"/>
        </w:rPr>
        <w:t>(в отличие от</w:t>
      </w:r>
      <w:r w:rsidRPr="005229E9">
        <w:rPr>
          <w:rFonts w:ascii="Arial" w:hAnsi="Arial" w:cs="Arial"/>
          <w:b/>
          <w:bCs/>
          <w:sz w:val="24"/>
          <w:szCs w:val="24"/>
        </w:rPr>
        <w:t xml:space="preserve"> </w:t>
      </w:r>
      <w:r w:rsidRPr="005229E9">
        <w:rPr>
          <w:sz w:val="24"/>
          <w:szCs w:val="24"/>
        </w:rPr>
        <w:t xml:space="preserve">локальных слизистых отеков при тиреотоксикозе). Кожа становится одутловатой, тестообразной, бледной, отечной; на ней не остается ямок после надавливания. Изменения особенно выражены на лице и веках.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3. Волосы.</w:t>
      </w:r>
      <w:r w:rsidRPr="005229E9">
        <w:rPr>
          <w:sz w:val="24"/>
          <w:szCs w:val="24"/>
        </w:rPr>
        <w:t xml:space="preserve"> На волосистой части головы — диффузная алопеция. Оставшиеся волосы жесткие и сухие. Характерно выпадение наружной трети бровей. Оволосение лобка и подмышечных впадин скудное. У детей на руках, ногах и спине иногда наблюдается гипертрихоз, который при лечении исчезает.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lastRenderedPageBreak/>
        <w:t>II. Надпочечники</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А. Первичная надпочечниковая недостаточность (болезнь Аддисона)</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Постепенно развивается генерализованная гиперпигментация, которую часто принимают за сохранившийся с лета загар. Кожа приобретает равномерный бронзовый цвет, темнеют околососковые кружки, кожа наружных половых органов, родимые пятна, складки на ладонях и стопах, а также недавние рубцы. На твердом небе и на деснах появляются сине-черные гиперпигментированные пятна. Полагают, что гиперпигментация обусловлена избыточной секрецией МСГ.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Волосы</w:t>
      </w:r>
      <w:r w:rsidRPr="005229E9">
        <w:rPr>
          <w:sz w:val="24"/>
          <w:szCs w:val="24"/>
        </w:rPr>
        <w:t xml:space="preserve"> на лобке и в подмышечных впадинах редеют. На </w:t>
      </w:r>
      <w:r w:rsidRPr="005229E9">
        <w:rPr>
          <w:rFonts w:ascii="Arial" w:hAnsi="Arial" w:cs="Arial"/>
          <w:b/>
          <w:bCs/>
          <w:sz w:val="24"/>
          <w:szCs w:val="24"/>
        </w:rPr>
        <w:t>ногтях</w:t>
      </w:r>
      <w:r w:rsidRPr="005229E9">
        <w:rPr>
          <w:sz w:val="24"/>
          <w:szCs w:val="24"/>
        </w:rPr>
        <w:t xml:space="preserve"> могут появиться темные гиперпигментированные полосы.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Первичная надпочечниковая недостаточность нередко сочетается с </w:t>
      </w:r>
      <w:r w:rsidRPr="005229E9">
        <w:rPr>
          <w:rFonts w:ascii="Arial" w:hAnsi="Arial" w:cs="Arial"/>
          <w:b/>
          <w:bCs/>
          <w:sz w:val="24"/>
          <w:szCs w:val="24"/>
        </w:rPr>
        <w:t>витилиго.</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Б. Синдром Кушинга. Эндогенный синдром Кушинга</w:t>
      </w:r>
      <w:r w:rsidRPr="005229E9">
        <w:rPr>
          <w:sz w:val="24"/>
          <w:szCs w:val="24"/>
        </w:rPr>
        <w:t xml:space="preserve"> включает 3 варианта заболевания: гипофизарный синдром Кушинга (болезнь Кушинга), надпочечниковый синдром Кушинга (опухоли надпочечников и узловая гиперплазия коры надпочечников) и эктопический синдром Кушинга. Гипофизарный и надпочечниковый синдромы сопровождаются избыточной продукцией не только глюкокортикоидов, но и андрогенов. При </w:t>
      </w:r>
      <w:r w:rsidRPr="005229E9">
        <w:rPr>
          <w:rFonts w:ascii="Arial" w:hAnsi="Arial" w:cs="Arial"/>
          <w:b/>
          <w:bCs/>
          <w:sz w:val="24"/>
          <w:szCs w:val="24"/>
        </w:rPr>
        <w:t>экзогенном синдроме Кушинга</w:t>
      </w:r>
      <w:r w:rsidRPr="005229E9">
        <w:rPr>
          <w:sz w:val="24"/>
          <w:szCs w:val="24"/>
        </w:rPr>
        <w:t xml:space="preserve"> (результат лечения глюкокортикоидами) избытка андрогенов нет.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Внешний вид.</w:t>
      </w:r>
      <w:r w:rsidRPr="005229E9">
        <w:rPr>
          <w:sz w:val="24"/>
          <w:szCs w:val="24"/>
        </w:rPr>
        <w:t xml:space="preserve"> Полнокровное лунообразное лицо, багровый румянец, телеангиэктазии и усиленный рост пушковых волос, особенно на висках и щеках. Для поздних стадий болезни характерны атрофия кожи и кровоточивость.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Стрии</w:t>
      </w:r>
      <w:r w:rsidRPr="005229E9">
        <w:rPr>
          <w:sz w:val="24"/>
          <w:szCs w:val="24"/>
        </w:rPr>
        <w:t xml:space="preserve"> возникают в местах растяжения кожи в результате атрофии дермы и эпидермиса. Кровеносные сосуды, просвечивающие сквозь истонченную кожу, придают стриям характерный багровый цвет. У некоторых больных наблюдается гиперпигментация стрий вследствие отложения меланина.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Из-за избытка кортикостероидов</w:t>
      </w:r>
      <w:r w:rsidRPr="005229E9">
        <w:rPr>
          <w:rFonts w:ascii="Arial" w:hAnsi="Arial" w:cs="Arial"/>
          <w:b/>
          <w:bCs/>
          <w:sz w:val="24"/>
          <w:szCs w:val="24"/>
        </w:rPr>
        <w:t xml:space="preserve"> </w:t>
      </w:r>
      <w:r w:rsidRPr="005229E9">
        <w:rPr>
          <w:sz w:val="24"/>
          <w:szCs w:val="24"/>
        </w:rPr>
        <w:t>на лице, плечах, груди и спине</w:t>
      </w:r>
      <w:r w:rsidRPr="005229E9">
        <w:rPr>
          <w:rFonts w:ascii="Arial" w:hAnsi="Arial" w:cs="Arial"/>
          <w:b/>
          <w:bCs/>
          <w:sz w:val="24"/>
          <w:szCs w:val="24"/>
        </w:rPr>
        <w:t xml:space="preserve"> </w:t>
      </w:r>
      <w:r w:rsidRPr="005229E9">
        <w:rPr>
          <w:sz w:val="24"/>
          <w:szCs w:val="24"/>
        </w:rPr>
        <w:t>появляются</w:t>
      </w:r>
      <w:r w:rsidRPr="005229E9">
        <w:rPr>
          <w:rFonts w:ascii="Arial" w:hAnsi="Arial" w:cs="Arial"/>
          <w:b/>
          <w:bCs/>
          <w:sz w:val="24"/>
          <w:szCs w:val="24"/>
        </w:rPr>
        <w:t xml:space="preserve"> угри.</w:t>
      </w:r>
      <w:r w:rsidRPr="005229E9">
        <w:rPr>
          <w:sz w:val="24"/>
          <w:szCs w:val="24"/>
        </w:rPr>
        <w:t xml:space="preserve"> Высыпания мономорфные, находятся на одной и той же стадии развития. Обычно это перифолликулярные ороговевающие папулы, хотя впоследствии они могут превратиться в пустулы. Комедоны встречаются редко.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 xml:space="preserve">Перераспределение </w:t>
      </w:r>
      <w:r w:rsidRPr="005229E9">
        <w:rPr>
          <w:rFonts w:ascii="Arial" w:hAnsi="Arial" w:cs="Arial"/>
          <w:b/>
          <w:bCs/>
          <w:sz w:val="24"/>
          <w:szCs w:val="24"/>
        </w:rPr>
        <w:t>подкожного жира:</w:t>
      </w:r>
      <w:r w:rsidRPr="005229E9">
        <w:rPr>
          <w:sz w:val="24"/>
          <w:szCs w:val="24"/>
        </w:rPr>
        <w:t xml:space="preserve"> отложение жира на щеках, в надлопаточной области (жировой горбик), на ягодицах и животе.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5. </w:t>
      </w:r>
      <w:r w:rsidRPr="005229E9">
        <w:rPr>
          <w:sz w:val="24"/>
          <w:szCs w:val="24"/>
        </w:rPr>
        <w:t xml:space="preserve">При гипофизарном и эктопическом синдроме Кушинга возможна </w:t>
      </w:r>
      <w:r w:rsidRPr="005229E9">
        <w:rPr>
          <w:rFonts w:ascii="Arial" w:hAnsi="Arial" w:cs="Arial"/>
          <w:b/>
          <w:bCs/>
          <w:sz w:val="24"/>
          <w:szCs w:val="24"/>
        </w:rPr>
        <w:t>гиперпигментация</w:t>
      </w:r>
      <w:r w:rsidRPr="005229E9">
        <w:rPr>
          <w:sz w:val="24"/>
          <w:szCs w:val="24"/>
        </w:rPr>
        <w:t xml:space="preserve"> — такая же, как при первичной надпочечниковой недостаточности.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6. </w:t>
      </w:r>
      <w:r w:rsidRPr="005229E9">
        <w:rPr>
          <w:sz w:val="24"/>
          <w:szCs w:val="24"/>
        </w:rPr>
        <w:t xml:space="preserve">Надпочечниковые андрогены (главным образом, дегидроэпиандростерона сульфат) сами по себе обладают слабой андрогенной активностью, но в периферических тканях превращаются в тестостерон и дигидротестостерон. Поэтому избыток надпочечниковых андрогенов приводит к появлению </w:t>
      </w:r>
      <w:r w:rsidRPr="005229E9">
        <w:rPr>
          <w:rFonts w:ascii="Arial" w:hAnsi="Arial" w:cs="Arial"/>
          <w:b/>
          <w:bCs/>
          <w:sz w:val="24"/>
          <w:szCs w:val="24"/>
        </w:rPr>
        <w:t>обыкновенных угрей</w:t>
      </w:r>
      <w:r w:rsidRPr="005229E9">
        <w:rPr>
          <w:sz w:val="24"/>
          <w:szCs w:val="24"/>
        </w:rPr>
        <w:t xml:space="preserve">. У женщин, кроме того, развивается </w:t>
      </w:r>
      <w:r w:rsidRPr="005229E9">
        <w:rPr>
          <w:rFonts w:ascii="Arial" w:hAnsi="Arial" w:cs="Arial"/>
          <w:b/>
          <w:bCs/>
          <w:sz w:val="24"/>
          <w:szCs w:val="24"/>
        </w:rPr>
        <w:t>гирсутизм и андрогенетическая алопеция.</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bookmarkStart w:id="122" w:name="II.Б.7."/>
      <w:r w:rsidRPr="005229E9">
        <w:rPr>
          <w:rFonts w:ascii="Arial" w:hAnsi="Arial" w:cs="Arial"/>
          <w:b/>
          <w:bCs/>
          <w:sz w:val="24"/>
          <w:szCs w:val="24"/>
        </w:rPr>
        <w:t>7.</w:t>
      </w:r>
      <w:bookmarkEnd w:id="122"/>
      <w:r w:rsidRPr="005229E9">
        <w:rPr>
          <w:rFonts w:ascii="Arial" w:hAnsi="Arial" w:cs="Arial"/>
          <w:b/>
          <w:bCs/>
          <w:sz w:val="24"/>
          <w:szCs w:val="24"/>
        </w:rPr>
        <w:t xml:space="preserve"> Вторичные инфекции</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bookmarkStart w:id="123" w:name="II.Б.7.а."/>
      <w:r w:rsidRPr="005229E9">
        <w:rPr>
          <w:rFonts w:ascii="Arial" w:hAnsi="Arial" w:cs="Arial"/>
          <w:b/>
          <w:bCs/>
          <w:sz w:val="24"/>
          <w:szCs w:val="24"/>
        </w:rPr>
        <w:t>а.</w:t>
      </w:r>
      <w:bookmarkEnd w:id="123"/>
      <w:r w:rsidRPr="005229E9">
        <w:rPr>
          <w:rFonts w:ascii="Arial" w:hAnsi="Arial" w:cs="Arial"/>
          <w:b/>
          <w:bCs/>
          <w:sz w:val="24"/>
          <w:szCs w:val="24"/>
        </w:rPr>
        <w:t xml:space="preserve"> Отрубевидный лишай</w:t>
      </w:r>
      <w:r w:rsidRPr="005229E9">
        <w:rPr>
          <w:sz w:val="24"/>
          <w:szCs w:val="24"/>
        </w:rPr>
        <w:t xml:space="preserve"> — грибковая инфекция кожи, вызванная Pityrosporum ovale (устаревшее название — Malassezia furfur). Представляет собой овальные шелушащиеся пятна и бляшки на плечах, груди или спине, которые могут быть как гиперпигментированными, так и гипопигментированными. </w:t>
      </w:r>
    </w:p>
    <w:p w:rsidR="005229E9" w:rsidRPr="005229E9" w:rsidRDefault="005229E9" w:rsidP="005229E9">
      <w:pPr>
        <w:widowControl/>
        <w:autoSpaceDE/>
        <w:autoSpaceDN/>
        <w:adjustRightInd/>
        <w:spacing w:before="30"/>
        <w:ind w:left="1200" w:hanging="300"/>
        <w:jc w:val="both"/>
        <w:rPr>
          <w:sz w:val="24"/>
          <w:szCs w:val="24"/>
        </w:rPr>
      </w:pPr>
      <w:bookmarkStart w:id="124" w:name="II.Б.7.б."/>
      <w:r w:rsidRPr="005229E9">
        <w:rPr>
          <w:rFonts w:ascii="Arial" w:hAnsi="Arial" w:cs="Arial"/>
          <w:b/>
          <w:bCs/>
          <w:sz w:val="24"/>
          <w:szCs w:val="24"/>
        </w:rPr>
        <w:lastRenderedPageBreak/>
        <w:t>б.</w:t>
      </w:r>
      <w:bookmarkEnd w:id="124"/>
      <w:r w:rsidRPr="005229E9">
        <w:rPr>
          <w:rFonts w:ascii="Arial" w:hAnsi="Arial" w:cs="Arial"/>
          <w:b/>
          <w:bCs/>
          <w:sz w:val="24"/>
          <w:szCs w:val="24"/>
        </w:rPr>
        <w:t xml:space="preserve"> Кандидоз</w:t>
      </w:r>
      <w:r w:rsidRPr="005229E9">
        <w:rPr>
          <w:sz w:val="24"/>
          <w:szCs w:val="24"/>
        </w:rPr>
        <w:t xml:space="preserve"> кожи и слизистых: стоматит (молочница), вагинит, онихомикоз, паронихия, заеда, кандидоз кожных складок и межпальцевых промежутков. </w:t>
      </w:r>
    </w:p>
    <w:p w:rsidR="005229E9" w:rsidRPr="005229E9" w:rsidRDefault="005229E9" w:rsidP="005229E9">
      <w:pPr>
        <w:widowControl/>
        <w:autoSpaceDE/>
        <w:autoSpaceDN/>
        <w:adjustRightInd/>
        <w:spacing w:before="30"/>
        <w:ind w:left="1200" w:hanging="300"/>
        <w:jc w:val="both"/>
        <w:rPr>
          <w:sz w:val="24"/>
          <w:szCs w:val="24"/>
        </w:rPr>
      </w:pPr>
      <w:bookmarkStart w:id="125" w:name="II.Б.7.в."/>
      <w:r w:rsidRPr="005229E9">
        <w:rPr>
          <w:rFonts w:ascii="Arial" w:hAnsi="Arial" w:cs="Arial"/>
          <w:b/>
          <w:bCs/>
          <w:sz w:val="24"/>
          <w:szCs w:val="24"/>
        </w:rPr>
        <w:t>в.</w:t>
      </w:r>
      <w:bookmarkEnd w:id="125"/>
      <w:r w:rsidRPr="005229E9">
        <w:rPr>
          <w:rFonts w:ascii="Arial" w:hAnsi="Arial" w:cs="Arial"/>
          <w:b/>
          <w:bCs/>
          <w:sz w:val="24"/>
          <w:szCs w:val="24"/>
        </w:rPr>
        <w:t xml:space="preserve"> </w:t>
      </w:r>
      <w:r w:rsidRPr="005229E9">
        <w:rPr>
          <w:sz w:val="24"/>
          <w:szCs w:val="24"/>
        </w:rPr>
        <w:t xml:space="preserve">Больные восприимчивы к бактериальным инфекциям кожи — импетиго, фурункулезу, абсцессам. Самый частый возбудитель — Staphylococcus aureus.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В. Врожденная гиперплазия коры надпочечников. </w:t>
      </w:r>
      <w:r w:rsidRPr="005229E9">
        <w:rPr>
          <w:sz w:val="24"/>
          <w:szCs w:val="24"/>
        </w:rPr>
        <w:t xml:space="preserve">При некоторых формах наблюдается повышение уровня андрогенов при нормальном содержании глюкокортикоидов.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У </w:t>
      </w:r>
      <w:r w:rsidRPr="005229E9">
        <w:rPr>
          <w:rFonts w:ascii="Arial" w:hAnsi="Arial" w:cs="Arial"/>
          <w:b/>
          <w:bCs/>
          <w:sz w:val="24"/>
          <w:szCs w:val="24"/>
        </w:rPr>
        <w:t>новорожденных</w:t>
      </w:r>
      <w:r w:rsidRPr="005229E9">
        <w:rPr>
          <w:sz w:val="24"/>
          <w:szCs w:val="24"/>
        </w:rPr>
        <w:t xml:space="preserve"> даже при тяжелых формах врожденной гиперплазии коры надпочечников отмечаются лишь незначительные изменения кожи, главным образом — гиперпигментация наружных половых органов. Причина — избыточная секреция АКТГ, МСГ или обоих гормонов, в свою очередь обусловленная дефицитом кортизола.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У </w:t>
      </w:r>
      <w:r w:rsidRPr="005229E9">
        <w:rPr>
          <w:rFonts w:ascii="Arial" w:hAnsi="Arial" w:cs="Arial"/>
          <w:b/>
          <w:bCs/>
          <w:sz w:val="24"/>
          <w:szCs w:val="24"/>
        </w:rPr>
        <w:t>детей старшего возраста</w:t>
      </w:r>
      <w:r w:rsidRPr="005229E9">
        <w:rPr>
          <w:sz w:val="24"/>
          <w:szCs w:val="24"/>
        </w:rPr>
        <w:t xml:space="preserve"> из-за избытка андрогенов наблюдаются раннее лобковое и подмышечное оволосение и обыкновенные угри.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У </w:t>
      </w:r>
      <w:r w:rsidRPr="005229E9">
        <w:rPr>
          <w:rFonts w:ascii="Arial" w:hAnsi="Arial" w:cs="Arial"/>
          <w:b/>
          <w:bCs/>
          <w:sz w:val="24"/>
          <w:szCs w:val="24"/>
        </w:rPr>
        <w:t>взрослых</w:t>
      </w:r>
      <w:r w:rsidRPr="005229E9">
        <w:rPr>
          <w:sz w:val="24"/>
          <w:szCs w:val="24"/>
        </w:rPr>
        <w:t xml:space="preserve"> обычно выявляют неклассические формы врожденной гиперплазии коры надпочечников (см. гл. 15, п. IV). Болеют преимущественно женщины; характерны </w:t>
      </w:r>
      <w:r w:rsidRPr="005229E9">
        <w:rPr>
          <w:rFonts w:ascii="Arial" w:hAnsi="Arial" w:cs="Arial"/>
          <w:b/>
          <w:bCs/>
          <w:sz w:val="24"/>
          <w:szCs w:val="24"/>
        </w:rPr>
        <w:t>угри, андрогенетическая алопеция и гирсутизм.</w:t>
      </w:r>
      <w:r w:rsidRPr="005229E9">
        <w:rPr>
          <w:sz w:val="24"/>
          <w:szCs w:val="24"/>
        </w:rPr>
        <w:t xml:space="preserve"> По этим признакам нередко распознают заболевание. Гирсутизм — это избыточный рост волос на верхней губе, подбородке, околососковых кружках, белой линии живота и внутренней поверхности бедер под влиянием андрогенов. Андрогенетическая алопеция у женщин сводится к интенсивному выпадению волос на темени; волосы на лбу, висках и затылке страдают значительно меньше. Поскольку цикл развития волосяного фолликула укорачивается и повышается процент волос, находящихся в стадии телогена, волосы становятся тоньше и короче. Для диагноза измеряют базальные и стимулированные АКТГ уровни гормонов, которые являются субстратами для дефектных ферментов. Например, при недостаточности 21-гидроксилазы будет повышен уровень 17-гидроксипрогестерона, при недостаточности 11бета-гидроксилазы — уровень 11-дезоксикортизола, при недостаточности 3бета-гидроксистероиддегидрогеназы — уровень 17-гидроксипрегненолона.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III. Яичники</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А. </w:t>
      </w:r>
      <w:r w:rsidRPr="005229E9">
        <w:rPr>
          <w:sz w:val="24"/>
          <w:szCs w:val="24"/>
        </w:rPr>
        <w:t xml:space="preserve">При повышенной продукции андрогенов яичниками, как и при избытке надпочечниковых андрогенов, наблюдаются угри, алопеция и гирсутизм. Самая частая причина — </w:t>
      </w:r>
      <w:r w:rsidRPr="005229E9">
        <w:rPr>
          <w:rFonts w:ascii="Arial" w:hAnsi="Arial" w:cs="Arial"/>
          <w:b/>
          <w:bCs/>
          <w:sz w:val="24"/>
          <w:szCs w:val="24"/>
        </w:rPr>
        <w:t>синдром поликистозных яичников,</w:t>
      </w:r>
      <w:r w:rsidRPr="005229E9">
        <w:rPr>
          <w:sz w:val="24"/>
          <w:szCs w:val="24"/>
        </w:rPr>
        <w:t xml:space="preserve"> опухоли яичников встречаются гораздо реже.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Б. </w:t>
      </w:r>
      <w:r w:rsidRPr="005229E9">
        <w:rPr>
          <w:sz w:val="24"/>
          <w:szCs w:val="24"/>
        </w:rPr>
        <w:t xml:space="preserve">При </w:t>
      </w:r>
      <w:r w:rsidRPr="005229E9">
        <w:rPr>
          <w:rFonts w:ascii="Arial" w:hAnsi="Arial" w:cs="Arial"/>
          <w:b/>
          <w:bCs/>
          <w:sz w:val="24"/>
          <w:szCs w:val="24"/>
        </w:rPr>
        <w:t>синдроме Тернера</w:t>
      </w:r>
      <w:r w:rsidRPr="005229E9">
        <w:rPr>
          <w:sz w:val="24"/>
          <w:szCs w:val="24"/>
        </w:rPr>
        <w:t xml:space="preserve"> (моносомия по X-хромосоме) встречаются множественные пигментные невусы, двойной ряд ресниц, низкая W-образная линия роста волос на затылке, укорочение четвертых (а часто и пятых) метакарпальных и метатарзальных костей с гипоплазией или аплазией ногтей, деформация ногтей на ногах и руках.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IV. Сахарный диабет</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А. Поражения кожи, обусловленные метаболическими нарушениями</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Диабетическая дерматопатия</w:t>
      </w:r>
      <w:r w:rsidRPr="005229E9">
        <w:rPr>
          <w:sz w:val="24"/>
          <w:szCs w:val="24"/>
        </w:rPr>
        <w:t xml:space="preserve"> — округлые, атрофические, красновато-коричневые пятна диаметром до 1 см на передней поверхности голеней. Заболевание начинается с папулезных высыпаний. По-видимому, ведущую роль в патогенезе играет микроангиопатия; при биопсии выявляют утолщение базальной мембраны капилляров.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Липоидный некробиоз.</w:t>
      </w:r>
      <w:r w:rsidRPr="005229E9">
        <w:rPr>
          <w:sz w:val="24"/>
          <w:szCs w:val="24"/>
        </w:rPr>
        <w:t xml:space="preserve"> На передней поверхности голеней появляются желтоватые восковидные бляшки с четкими границами, достигающие в размерах нескольких </w:t>
      </w:r>
      <w:r w:rsidRPr="005229E9">
        <w:rPr>
          <w:sz w:val="24"/>
          <w:szCs w:val="24"/>
        </w:rPr>
        <w:lastRenderedPageBreak/>
        <w:t xml:space="preserve">сантиметров. Поверхность бляшек лоснящаяся, сквозь атрофированный эпидермис видны расширенные и извитые сосуды дермы. По периферии бляшки окружены возвышающимся красноватым валиком. Возможно изъязвление. Гистологическая картина напоминает кольцевидную гранулему и ревматоидные узелки: некробиоз соединительной ткани, воспалительный инфильтрат вокруг кровеносных сосудов, пролиферация эндотелия. Сахарный диабет — частая, но не единственная причина липоидного некробиоза.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3. Кольцевидная гранулема.</w:t>
      </w:r>
      <w:r w:rsidRPr="005229E9">
        <w:rPr>
          <w:sz w:val="24"/>
          <w:szCs w:val="24"/>
        </w:rPr>
        <w:t xml:space="preserve"> Множественные мелкие папулы, красновато-розовые или не отличающиеся по цвету от окружающей кожи, располагаясь кольцами и полукольцами, образуют бляшки диаметром 1—5 см. Кольцевидная гранулема встречается не только у больных сахарным диабетом, однако при сахарном диабете высыпания всегда генерализованные.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4. Диабетический пузырь</w:t>
      </w:r>
      <w:r w:rsidRPr="005229E9">
        <w:rPr>
          <w:sz w:val="24"/>
          <w:szCs w:val="24"/>
        </w:rPr>
        <w:t xml:space="preserve"> (bullosis diabeticorum). Напряженные пузыри возникают внезапно, без предшествующего воспаления, и достигают больших размеров. Излюбленная локализация — конечности. Гистологически выявляют субэпидермальные или внутридермальные полости, акантолиз отсутствует. Возможно изъязвление.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5. Эруптивные ксантомы</w:t>
      </w:r>
      <w:r w:rsidRPr="005229E9">
        <w:rPr>
          <w:sz w:val="24"/>
          <w:szCs w:val="24"/>
        </w:rPr>
        <w:t xml:space="preserve"> представляют собой множественные красновато-желтые папулы. Они появляются у больных с тяжелым сахарным диабетом и выраженной гипертриглицеридемией. В отличие от ксантом, наблюдающихся при семейной гиперхолестеринемии, ксантомы при сахарном диабете окружены розовой или красной каймой. Гистологически — это скопления ксантомных клеток — макрофагов, нагруженных липидами. Эруптивные ксантомы иногда возникают как реакция на травму (феномен Кебнера) и в этом случае располагаются линейно. После устранения дислипопротеидемии эруптивные ксантомы исчезают.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6. Склередема</w:t>
      </w:r>
      <w:r w:rsidRPr="005229E9">
        <w:rPr>
          <w:sz w:val="24"/>
          <w:szCs w:val="24"/>
        </w:rPr>
        <w:t xml:space="preserve"> (склередема взрослых Бушке) — редкое осложнение тяжелого инсулинозависимого сахарного диабета. Склередема проявляется стойким отеком кожи и подкожной клетчатки, не оставляющим ямок при надавливании. Границы очагов поражения не выражены. Локализация — лицо, шея и верхняя часть туловища. При биопсии выявляют утолщение дермы с отеком и расщеплением коллагеновых волокон, отложение кислых гликозаминогликанов между пучками коллагена. </w:t>
      </w:r>
    </w:p>
    <w:p w:rsidR="005229E9" w:rsidRPr="005229E9" w:rsidRDefault="005229E9" w:rsidP="005229E9">
      <w:pPr>
        <w:widowControl/>
        <w:autoSpaceDE/>
        <w:autoSpaceDN/>
        <w:adjustRightInd/>
        <w:spacing w:before="30"/>
        <w:ind w:left="900" w:hanging="300"/>
        <w:jc w:val="both"/>
        <w:rPr>
          <w:sz w:val="24"/>
          <w:szCs w:val="24"/>
        </w:rPr>
      </w:pPr>
      <w:bookmarkStart w:id="126" w:name="IV.А.7."/>
      <w:r w:rsidRPr="005229E9">
        <w:rPr>
          <w:rFonts w:ascii="Arial" w:hAnsi="Arial" w:cs="Arial"/>
          <w:b/>
          <w:bCs/>
          <w:sz w:val="24"/>
          <w:szCs w:val="24"/>
        </w:rPr>
        <w:t>7.</w:t>
      </w:r>
      <w:bookmarkEnd w:id="126"/>
      <w:r w:rsidRPr="005229E9">
        <w:rPr>
          <w:rFonts w:ascii="Arial" w:hAnsi="Arial" w:cs="Arial"/>
          <w:b/>
          <w:bCs/>
          <w:sz w:val="24"/>
          <w:szCs w:val="24"/>
        </w:rPr>
        <w:t xml:space="preserve"> Витилиго </w:t>
      </w:r>
      <w:r w:rsidRPr="005229E9">
        <w:rPr>
          <w:sz w:val="24"/>
          <w:szCs w:val="24"/>
        </w:rPr>
        <w:t xml:space="preserve">нередко выявляется у больных инсулинозависимым сахарным диабетом.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Б. Постинъекционные липодистрофии. </w:t>
      </w:r>
      <w:r w:rsidRPr="005229E9">
        <w:rPr>
          <w:sz w:val="24"/>
          <w:szCs w:val="24"/>
        </w:rPr>
        <w:t xml:space="preserve">Обычно в местах инъекций инсулина развивается </w:t>
      </w:r>
      <w:r w:rsidRPr="005229E9">
        <w:rPr>
          <w:rFonts w:ascii="Arial" w:hAnsi="Arial" w:cs="Arial"/>
          <w:b/>
          <w:bCs/>
          <w:sz w:val="24"/>
          <w:szCs w:val="24"/>
        </w:rPr>
        <w:t>липоатрофия.</w:t>
      </w:r>
      <w:r w:rsidRPr="005229E9">
        <w:rPr>
          <w:sz w:val="24"/>
          <w:szCs w:val="24"/>
        </w:rPr>
        <w:t xml:space="preserve"> Она характеризуется полным отсутствием подкожной клетчатки. Причины постинъекционной липоатрофии — кислый pH препаратов инсулина и местные иммунные реакции на компоненты препаратов. Гораздо реже на месте инъекций возникает </w:t>
      </w:r>
      <w:r w:rsidRPr="005229E9">
        <w:rPr>
          <w:rFonts w:ascii="Arial" w:hAnsi="Arial" w:cs="Arial"/>
          <w:b/>
          <w:bCs/>
          <w:sz w:val="24"/>
          <w:szCs w:val="24"/>
        </w:rPr>
        <w:t>липогипертрофия,</w:t>
      </w:r>
      <w:r w:rsidRPr="005229E9">
        <w:rPr>
          <w:sz w:val="24"/>
          <w:szCs w:val="24"/>
        </w:rPr>
        <w:t xml:space="preserve"> обусловленная усилением липогенеза. Чтобы предупредить постинъекционную липодистрофию, нужно часто менять места инъекций и использовать только препараты человеческого инсулина либо высокоочищенные препараты свиного инсулина. И те, и другие не должны содержать фенол и крезол.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В. Инфекции</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Кандидоз</w:t>
      </w:r>
      <w:r w:rsidRPr="005229E9">
        <w:rPr>
          <w:sz w:val="24"/>
          <w:szCs w:val="24"/>
        </w:rPr>
        <w:t xml:space="preserve"> кожи и слизистых: стоматит (молочница), вагинит, онихомикоз, паронихия, заеда, кандидоз кожных складок и межпальцевых промежутков.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lastRenderedPageBreak/>
        <w:t xml:space="preserve">2. </w:t>
      </w:r>
      <w:r w:rsidRPr="005229E9">
        <w:rPr>
          <w:sz w:val="24"/>
          <w:szCs w:val="24"/>
        </w:rPr>
        <w:t xml:space="preserve">Бактериальные инфекции кожи, особенно </w:t>
      </w:r>
      <w:r w:rsidRPr="005229E9">
        <w:rPr>
          <w:rFonts w:ascii="Arial" w:hAnsi="Arial" w:cs="Arial"/>
          <w:b/>
          <w:bCs/>
          <w:sz w:val="24"/>
          <w:szCs w:val="24"/>
        </w:rPr>
        <w:t>стафилококковые</w:t>
      </w:r>
      <w:r w:rsidRPr="005229E9">
        <w:rPr>
          <w:sz w:val="24"/>
          <w:szCs w:val="24"/>
        </w:rPr>
        <w:t xml:space="preserve"> — фолликулит, фурункулез, абсцессы — часто возникают у больных с тяжелым сахарным диабетом, особенно у больных инсулинозависимым сахарным диабетом.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Редко, но все же встречаются тяжелые инфекции, вызываемые условно-патогенными грибами родов Mucor и Rhizopus (мукороз). </w:t>
      </w:r>
      <w:r w:rsidRPr="005229E9">
        <w:rPr>
          <w:rFonts w:ascii="Arial" w:hAnsi="Arial" w:cs="Arial"/>
          <w:b/>
          <w:bCs/>
          <w:sz w:val="24"/>
          <w:szCs w:val="24"/>
        </w:rPr>
        <w:t>Назоцеребральный мукороз</w:t>
      </w:r>
      <w:r w:rsidRPr="005229E9">
        <w:rPr>
          <w:sz w:val="24"/>
          <w:szCs w:val="24"/>
        </w:rPr>
        <w:t xml:space="preserve"> может быстро привести к смерти.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Г. Поражения кожи при синдромах, включающих сахарный диабет</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Врожденная генерализованная липодистрофия </w:t>
      </w:r>
      <w:r w:rsidRPr="005229E9">
        <w:rPr>
          <w:sz w:val="24"/>
          <w:szCs w:val="24"/>
        </w:rPr>
        <w:t xml:space="preserve">(синдром Сейпа—Лоуренса, липоатрофический диабет). Этот синдром наследуется аутосомно-рецессивно и характеризуется инсулинорезистентностью, гипергликемией, гипертриглицеридемией и усиленным обменом веществ. Синдром проявляется сразу после рождения или на первом году жизни. Внешние признаки: атрофия жировой клетчатки по всему телу, лицо как бы обтянуто кожей, гипертрихоз, гиперпигментация (acanthosis nigricans), спланхномегалия, гипертрофия мышц. Такие же проявления могут быть и при приобретенной генерализованной липодистрофии.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Синдром инсулинорезистентности и acanthosis nigricans типа А</w:t>
      </w:r>
      <w:r w:rsidRPr="005229E9">
        <w:rPr>
          <w:sz w:val="24"/>
          <w:szCs w:val="24"/>
        </w:rPr>
        <w:t xml:space="preserve"> встречается у молодых женщин и сопровождается дисфункцией яичников (избыточной продукцией андрогенов и недостаточной продукцией эстрогенов). Проявление этого синдрома — гирсутизм.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Синдром инсулинорезистентности и acanthosis nigricans типа Б </w:t>
      </w:r>
      <w:r w:rsidRPr="005229E9">
        <w:rPr>
          <w:sz w:val="24"/>
          <w:szCs w:val="24"/>
        </w:rPr>
        <w:t xml:space="preserve">обусловлен антителами к рецепторам инсулина и проявляется гиперпигментацией.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4. Гемохроматоз</w:t>
      </w:r>
      <w:r w:rsidRPr="005229E9">
        <w:rPr>
          <w:sz w:val="24"/>
          <w:szCs w:val="24"/>
        </w:rPr>
        <w:t xml:space="preserve"> — аутосомно-рецессивное наследственное заболевание, при котором в организме накапливается железо. Главное звено патогенеза — усиление всасывания железа в кишечнике. Характерны цирроз печени, поражение сердца (изменения на ЭКГ), сахарный диабет и выраженная гиперпигментация вследствие отложения меланина в базальном слое эпидермиса.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 xml:space="preserve">V. Аутоиммунный полигландулярный синдром. </w:t>
      </w:r>
      <w:r w:rsidRPr="005229E9">
        <w:rPr>
          <w:sz w:val="24"/>
          <w:szCs w:val="24"/>
        </w:rPr>
        <w:t xml:space="preserve">Это различные сочетания аутоиммунных эндокринных заболеваний — гипопаратиреоза, первичной надпочечниковой недостаточности, первичного гипогонадизма, инсулинозависимого сахарного диабета и хронического лимфоцитарного тиреоидита (см. также гл. 49). При аутоиммунном полигландулярном синдроме нередко встречаются </w:t>
      </w:r>
      <w:r w:rsidRPr="005229E9">
        <w:rPr>
          <w:rFonts w:ascii="Arial" w:hAnsi="Arial" w:cs="Arial"/>
          <w:b/>
          <w:bCs/>
          <w:sz w:val="24"/>
          <w:szCs w:val="24"/>
        </w:rPr>
        <w:t>хронический генерализованный гранулематозный кандидоз</w:t>
      </w:r>
      <w:r w:rsidRPr="005229E9">
        <w:rPr>
          <w:sz w:val="24"/>
          <w:szCs w:val="24"/>
        </w:rPr>
        <w:t xml:space="preserve"> (кандидоз кожи и слизистых),</w:t>
      </w:r>
      <w:r w:rsidRPr="005229E9">
        <w:rPr>
          <w:rFonts w:ascii="Arial" w:hAnsi="Arial" w:cs="Arial"/>
          <w:b/>
          <w:bCs/>
          <w:sz w:val="24"/>
          <w:szCs w:val="24"/>
        </w:rPr>
        <w:t xml:space="preserve"> витилиго</w:t>
      </w:r>
      <w:r w:rsidRPr="005229E9">
        <w:rPr>
          <w:sz w:val="24"/>
          <w:szCs w:val="24"/>
        </w:rPr>
        <w:t xml:space="preserve"> (появление депигментированных пятен обусловлено отсутствием меланоцитов) и</w:t>
      </w:r>
      <w:r w:rsidRPr="005229E9">
        <w:rPr>
          <w:rFonts w:ascii="Arial" w:hAnsi="Arial" w:cs="Arial"/>
          <w:b/>
          <w:bCs/>
          <w:sz w:val="24"/>
          <w:szCs w:val="24"/>
        </w:rPr>
        <w:t xml:space="preserve"> гнездная алопеция</w:t>
      </w:r>
      <w:r w:rsidRPr="005229E9">
        <w:rPr>
          <w:sz w:val="24"/>
          <w:szCs w:val="24"/>
        </w:rPr>
        <w:t xml:space="preserve"> (круглые или овальные очаги облысения). Гнездная алопеция нередко прогрессирует: развиваются </w:t>
      </w:r>
      <w:r w:rsidRPr="005229E9">
        <w:rPr>
          <w:rFonts w:ascii="Arial" w:hAnsi="Arial" w:cs="Arial"/>
          <w:b/>
          <w:bCs/>
          <w:sz w:val="24"/>
          <w:szCs w:val="24"/>
        </w:rPr>
        <w:t>тотальная алопеция</w:t>
      </w:r>
      <w:r w:rsidRPr="005229E9">
        <w:rPr>
          <w:sz w:val="24"/>
          <w:szCs w:val="24"/>
        </w:rPr>
        <w:t xml:space="preserve"> (полное выпадение волос на волосистой части головы и на лице) и </w:t>
      </w:r>
      <w:r w:rsidRPr="005229E9">
        <w:rPr>
          <w:rFonts w:ascii="Arial" w:hAnsi="Arial" w:cs="Arial"/>
          <w:b/>
          <w:bCs/>
          <w:sz w:val="24"/>
          <w:szCs w:val="24"/>
        </w:rPr>
        <w:t>универсальная алопеция,</w:t>
      </w:r>
      <w:r w:rsidRPr="005229E9">
        <w:rPr>
          <w:sz w:val="24"/>
          <w:szCs w:val="24"/>
        </w:rPr>
        <w:t xml:space="preserve"> при которой все тело лишается волос.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 xml:space="preserve">VI. Витамин-D-резистентный рахит. </w:t>
      </w:r>
      <w:r w:rsidRPr="005229E9">
        <w:rPr>
          <w:sz w:val="24"/>
          <w:szCs w:val="24"/>
        </w:rPr>
        <w:t xml:space="preserve">Семейные формы заболевания могут сопровождаться </w:t>
      </w:r>
      <w:r w:rsidRPr="005229E9">
        <w:rPr>
          <w:rFonts w:ascii="Arial" w:hAnsi="Arial" w:cs="Arial"/>
          <w:b/>
          <w:bCs/>
          <w:sz w:val="24"/>
          <w:szCs w:val="24"/>
        </w:rPr>
        <w:t>алопецией.</w:t>
      </w:r>
      <w:r w:rsidRPr="005229E9">
        <w:rPr>
          <w:sz w:val="24"/>
          <w:szCs w:val="24"/>
        </w:rPr>
        <w:t xml:space="preserve">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VII. МЭН типа IIb</w:t>
      </w:r>
      <w:r w:rsidRPr="005229E9">
        <w:rPr>
          <w:sz w:val="24"/>
          <w:szCs w:val="24"/>
        </w:rPr>
        <w:t xml:space="preserve"> </w:t>
      </w:r>
    </w:p>
    <w:p w:rsidR="005229E9" w:rsidRPr="005229E9" w:rsidRDefault="005229E9" w:rsidP="005229E9">
      <w:pPr>
        <w:widowControl/>
        <w:autoSpaceDE/>
        <w:autoSpaceDN/>
        <w:adjustRightInd/>
        <w:spacing w:before="30"/>
        <w:ind w:left="300"/>
        <w:jc w:val="both"/>
        <w:rPr>
          <w:sz w:val="24"/>
          <w:szCs w:val="24"/>
        </w:rPr>
      </w:pPr>
      <w:r w:rsidRPr="005229E9">
        <w:rPr>
          <w:sz w:val="24"/>
          <w:szCs w:val="24"/>
        </w:rPr>
        <w:t>Один из компонентов синдрома —</w:t>
      </w:r>
      <w:r w:rsidRPr="005229E9">
        <w:rPr>
          <w:rFonts w:ascii="Arial" w:hAnsi="Arial" w:cs="Arial"/>
          <w:b/>
          <w:bCs/>
          <w:sz w:val="24"/>
          <w:szCs w:val="24"/>
        </w:rPr>
        <w:t xml:space="preserve"> множественные невромы слизистых.</w:t>
      </w:r>
      <w:r w:rsidRPr="005229E9">
        <w:rPr>
          <w:sz w:val="24"/>
          <w:szCs w:val="24"/>
        </w:rPr>
        <w:t xml:space="preserve"> Больные имеют марфаноподобную внешность, выдающийся вперед подбородок и пухлые губы. Другие компоненты синдрома — медуллярный рак щитовидной железы и феохромоцитома (см. гл. 45).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lastRenderedPageBreak/>
        <w:t>VIII. Глюкагонома</w:t>
      </w:r>
      <w:r w:rsidRPr="005229E9">
        <w:rPr>
          <w:sz w:val="24"/>
          <w:szCs w:val="24"/>
        </w:rPr>
        <w:t xml:space="preserve"> — злокачественная опухоль, происходящая из альфа-клеток островков поджелудочной железы. У больных с глюкагономой на коже появляются шелушащиеся ярко-красные бляшки. Из-за склонности к разрастанию эти высыпания получили название </w:t>
      </w:r>
      <w:r w:rsidRPr="005229E9">
        <w:rPr>
          <w:rFonts w:ascii="Arial" w:hAnsi="Arial" w:cs="Arial"/>
          <w:b/>
          <w:bCs/>
          <w:sz w:val="24"/>
          <w:szCs w:val="24"/>
        </w:rPr>
        <w:t>некролитической мигрирующей эритемы.</w:t>
      </w:r>
      <w:r w:rsidRPr="005229E9">
        <w:rPr>
          <w:sz w:val="24"/>
          <w:szCs w:val="24"/>
        </w:rPr>
        <w:t xml:space="preserve"> По мере роста очагов кожа в центре очищается и они приобретают кольцевидные очертания. Высыпания исчезают после удаления опухоли.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IX. Acanthosis nigricans</w:t>
      </w:r>
      <w:r w:rsidRPr="005229E9">
        <w:rPr>
          <w:sz w:val="24"/>
          <w:szCs w:val="24"/>
        </w:rPr>
        <w:t xml:space="preserve"> </w:t>
      </w:r>
    </w:p>
    <w:p w:rsidR="005229E9" w:rsidRPr="005229E9" w:rsidRDefault="005229E9" w:rsidP="005229E9">
      <w:pPr>
        <w:widowControl/>
        <w:autoSpaceDE/>
        <w:autoSpaceDN/>
        <w:adjustRightInd/>
        <w:spacing w:before="30"/>
        <w:ind w:left="300"/>
        <w:jc w:val="both"/>
        <w:rPr>
          <w:sz w:val="24"/>
          <w:szCs w:val="24"/>
        </w:rPr>
      </w:pPr>
      <w:r w:rsidRPr="005229E9">
        <w:rPr>
          <w:sz w:val="24"/>
          <w:szCs w:val="24"/>
        </w:rPr>
        <w:t xml:space="preserve">Это ворсинчато-бородавчатые разрастания и гиперпигментация кожи подмышечных впадин и других крупных складок. Встречается при многих эндокринных заболеваниях, в том числе при гипофизарном синдроме Кушинга, опухолях гипофиза, акромегалии, первичной надпочечниковой недостаточности и синдроме поликистозных яичников (см. также гл. 2, п. III.А и гл. 49, п. II.В). В большинстве случаев acanthosis nigricans обусловлен инсулинорезистентностью и сопутствующей гиперинсулинемией: инсулин стимулирует пролиферацию клеток кожи, действуя через рецепторы ИФР. </w:t>
      </w:r>
    </w:p>
    <w:p w:rsidR="005229E9" w:rsidRPr="005229E9" w:rsidRDefault="005229E9" w:rsidP="00330439">
      <w:pPr>
        <w:widowControl/>
        <w:autoSpaceDE/>
        <w:autoSpaceDN/>
        <w:adjustRightInd/>
        <w:spacing w:before="100" w:beforeAutospacing="1" w:after="100" w:afterAutospacing="1"/>
        <w:jc w:val="both"/>
        <w:outlineLvl w:val="1"/>
        <w:rPr>
          <w:bCs/>
          <w:sz w:val="36"/>
          <w:szCs w:val="36"/>
        </w:rPr>
      </w:pPr>
    </w:p>
    <w:p w:rsidR="005229E9" w:rsidRDefault="005229E9" w:rsidP="00330439">
      <w:pPr>
        <w:widowControl/>
        <w:autoSpaceDE/>
        <w:autoSpaceDN/>
        <w:adjustRightInd/>
        <w:spacing w:before="100" w:beforeAutospacing="1" w:after="100" w:afterAutospacing="1"/>
        <w:jc w:val="both"/>
        <w:outlineLvl w:val="1"/>
        <w:rPr>
          <w:bCs/>
          <w:sz w:val="36"/>
          <w:szCs w:val="36"/>
        </w:rPr>
      </w:pPr>
      <w:r w:rsidRPr="00587101">
        <w:rPr>
          <w:bCs/>
          <w:sz w:val="36"/>
          <w:szCs w:val="36"/>
        </w:rPr>
        <w:t xml:space="preserve">План </w:t>
      </w:r>
      <w:r>
        <w:rPr>
          <w:bCs/>
          <w:sz w:val="36"/>
          <w:szCs w:val="36"/>
          <w:lang w:val="uz-Cyrl-UZ"/>
        </w:rPr>
        <w:t>5</w:t>
      </w:r>
      <w:r w:rsidRPr="00587101">
        <w:rPr>
          <w:bCs/>
          <w:sz w:val="36"/>
          <w:szCs w:val="36"/>
        </w:rPr>
        <w:t>.</w:t>
      </w:r>
      <w:r>
        <w:rPr>
          <w:bCs/>
          <w:sz w:val="36"/>
          <w:szCs w:val="36"/>
          <w:lang w:val="uz-Cyrl-UZ"/>
        </w:rPr>
        <w:t xml:space="preserve"> </w:t>
      </w:r>
      <w:r w:rsidRPr="005229E9">
        <w:rPr>
          <w:bCs/>
          <w:sz w:val="36"/>
          <w:szCs w:val="36"/>
        </w:rPr>
        <w:t>Аутоиммунные полигландулярные синдромы</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Общие сведения</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А. Определение. </w:t>
      </w:r>
      <w:r w:rsidRPr="005229E9">
        <w:rPr>
          <w:sz w:val="24"/>
          <w:szCs w:val="24"/>
        </w:rPr>
        <w:t xml:space="preserve">Это заболевания, характеризующиеся аутоиммунным поражением нескольких эндокринных желез и других органов.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Б. Этиология</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Все аутоиммунные полигландулярные синдромы генетически детерминированы. Об этом в первую очередь свидетельствует семейный характер этих заболеваний. Например, аутоиммунный полигландулярный синдром типа I поражает большинство братьев и сестер в одном поколении, а типа II — несколько поколений одной семьи.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Выявлены гены, определяющие предрасположенность к отдельным компонентам аутоиммунного полигландулярного синдрома. К ним относятся прежде всего гены HLA. Например, у больных аутоиммунным полигландулярным синдромом типа II часто выявляются аллели HLA-DR3, -DR5 и -B8, характерные для аутоиммунных поражений щитовидной железы, а также аллели HLA-DR4 и HLA-DQB1*0302, характерные для поражения бета-клеток.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Предполагают, что существуют гены, мутации которых лежат в основе развития аутоиммунного полигландулярного синдрома в целом. Такие гены могут локализоваться как в области HLA, так и в других областях генома. Показано, что при аутоиммунном полигландулярном синдроме типа II часто встречаются аллели HLA-DR3 и HLA-DQB1*0201, причем частоты этих аллелей не зависят от того, какие заболевания входят в состав синдрома. Недавно на 21-й хромосоме был найден ген AIRE, регулирующий аутоиммунитет (21q22.3). Мутации этого гена обнаружены у многих больных аутоиммунным полигландулярным синдромом типа I.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 xml:space="preserve">Пока не выяснено, почему разные аутоиммунные полигландулярные синдромы включают разные составляющие.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lastRenderedPageBreak/>
        <w:t xml:space="preserve">В. Патогенез. </w:t>
      </w:r>
      <w:r w:rsidRPr="005229E9">
        <w:rPr>
          <w:sz w:val="24"/>
          <w:szCs w:val="24"/>
        </w:rPr>
        <w:t xml:space="preserve">Генетические дефекты обусловливают не сами аутоиммунные полигландулярные синдромы или их компоненты, а предрасположенность к ним. Для проявления этих дефектов требуется воздействие негенетических пусковых факторов. В большинстве случаев многообразные нарушения проявляются не одновременно, а последовательно; иногда с интервалом в несколько лет. Например, первым симптомом аутоиммунного полигландулярного синдрома типа I обычно бывает генерализованный гранулематозный кандидоз (кандидоз кожи и слизистых), а надпочечниковая недостаточность проявляется позже.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Г. Прогнозирование и профилактика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Если в семье имеются случаи аутоиммунного полигландулярного синдрома, можно рассчитать риск у родственников больных.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Обнаружив у больного одно из заболеваний — компонентов аутоиммунного полигландулярного синдрома, следует заподозрить наличие других скрытых заболеваний.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Выявляя генетические и иммунологические маркеры предрасположенности к аутоиммунным заболеваниям — компонентам аутоиммунного полигландулярного синдрома, можно обнаруживать эти заболевания на доклинической стадии и проводить их профилактику.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 xml:space="preserve">II. Классификация </w:t>
      </w:r>
      <w:r w:rsidRPr="005229E9">
        <w:rPr>
          <w:sz w:val="24"/>
          <w:szCs w:val="24"/>
        </w:rPr>
        <w:t xml:space="preserve">(в порядке убывания распространенности)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А. Аутоиммунный полигландулярный синдром типа II (синдром Шмидта). </w:t>
      </w:r>
      <w:r w:rsidRPr="005229E9">
        <w:rPr>
          <w:sz w:val="24"/>
          <w:szCs w:val="24"/>
        </w:rPr>
        <w:t xml:space="preserve">В 1926 г. M. B. Schmidt описал двух больных с хроническим тиреоидитом и первичной надпочечниковой недостаточностью (болезнью Аддисона). В дальнейшем были обнаружены другие компоненты синдрома. В настоящее время принято различать следующие компоненты аутоиммунного полигландулярного синдрома типа II: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Обязательные</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Первичная надпочечниковая недостаточность (у всех больных).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w:t>
      </w:r>
      <w:r w:rsidRPr="005229E9">
        <w:rPr>
          <w:sz w:val="24"/>
          <w:szCs w:val="24"/>
        </w:rPr>
        <w:t xml:space="preserve">Поражения щитовидной железы (у всех больных) </w:t>
      </w:r>
    </w:p>
    <w:p w:rsidR="005229E9" w:rsidRPr="005229E9" w:rsidRDefault="005229E9" w:rsidP="005229E9">
      <w:pPr>
        <w:widowControl/>
        <w:autoSpaceDE/>
        <w:autoSpaceDN/>
        <w:adjustRightInd/>
        <w:spacing w:before="30"/>
        <w:ind w:left="1500" w:hanging="300"/>
        <w:jc w:val="both"/>
        <w:rPr>
          <w:sz w:val="24"/>
          <w:szCs w:val="24"/>
        </w:rPr>
      </w:pPr>
      <w:bookmarkStart w:id="127" w:name="II.А.1.б.1)"/>
      <w:r w:rsidRPr="005229E9">
        <w:rPr>
          <w:rFonts w:ascii="Arial" w:hAnsi="Arial" w:cs="Arial"/>
          <w:b/>
          <w:bCs/>
          <w:sz w:val="24"/>
          <w:szCs w:val="24"/>
        </w:rPr>
        <w:t>1)</w:t>
      </w:r>
      <w:bookmarkEnd w:id="127"/>
      <w:r w:rsidRPr="005229E9">
        <w:rPr>
          <w:rFonts w:ascii="Arial" w:hAnsi="Arial" w:cs="Arial"/>
          <w:b/>
          <w:bCs/>
          <w:sz w:val="24"/>
          <w:szCs w:val="24"/>
        </w:rPr>
        <w:t xml:space="preserve"> </w:t>
      </w:r>
      <w:r w:rsidRPr="005229E9">
        <w:rPr>
          <w:sz w:val="24"/>
          <w:szCs w:val="24"/>
        </w:rPr>
        <w:t xml:space="preserve">Хронический лимфоцитарный тиреоидит (у 95—97% больных). </w:t>
      </w:r>
    </w:p>
    <w:p w:rsidR="005229E9" w:rsidRPr="005229E9" w:rsidRDefault="005229E9" w:rsidP="005229E9">
      <w:pPr>
        <w:widowControl/>
        <w:autoSpaceDE/>
        <w:autoSpaceDN/>
        <w:adjustRightInd/>
        <w:spacing w:before="30"/>
        <w:ind w:left="1500" w:hanging="300"/>
        <w:jc w:val="both"/>
        <w:rPr>
          <w:sz w:val="24"/>
          <w:szCs w:val="24"/>
        </w:rPr>
      </w:pPr>
      <w:bookmarkStart w:id="128" w:name="II.А.1.б.2)"/>
      <w:r w:rsidRPr="005229E9">
        <w:rPr>
          <w:rFonts w:ascii="Arial" w:hAnsi="Arial" w:cs="Arial"/>
          <w:b/>
          <w:bCs/>
          <w:sz w:val="24"/>
          <w:szCs w:val="24"/>
        </w:rPr>
        <w:t>2)</w:t>
      </w:r>
      <w:bookmarkEnd w:id="128"/>
      <w:r w:rsidRPr="005229E9">
        <w:rPr>
          <w:rFonts w:ascii="Arial" w:hAnsi="Arial" w:cs="Arial"/>
          <w:b/>
          <w:bCs/>
          <w:sz w:val="24"/>
          <w:szCs w:val="24"/>
        </w:rPr>
        <w:t xml:space="preserve"> </w:t>
      </w:r>
      <w:r w:rsidRPr="005229E9">
        <w:rPr>
          <w:sz w:val="24"/>
          <w:szCs w:val="24"/>
        </w:rPr>
        <w:t xml:space="preserve">Диффузный токсический зоб (у 3—5% больных).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Частые</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Инсулинозависимый сахарный диабет (у 40—50% больных).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w:t>
      </w:r>
      <w:r w:rsidRPr="005229E9">
        <w:rPr>
          <w:sz w:val="24"/>
          <w:szCs w:val="24"/>
        </w:rPr>
        <w:t xml:space="preserve">Первичный гипогонадизм (у 20—30% больных).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в. </w:t>
      </w:r>
      <w:r w:rsidRPr="005229E9">
        <w:rPr>
          <w:sz w:val="24"/>
          <w:szCs w:val="24"/>
        </w:rPr>
        <w:t xml:space="preserve">Миастения (у 20—30% больных). </w:t>
      </w:r>
    </w:p>
    <w:p w:rsidR="005229E9" w:rsidRPr="005229E9" w:rsidRDefault="005229E9" w:rsidP="005229E9">
      <w:pPr>
        <w:widowControl/>
        <w:autoSpaceDE/>
        <w:autoSpaceDN/>
        <w:adjustRightInd/>
        <w:spacing w:before="30"/>
        <w:ind w:left="1200" w:hanging="300"/>
        <w:jc w:val="both"/>
        <w:rPr>
          <w:sz w:val="24"/>
          <w:szCs w:val="24"/>
        </w:rPr>
      </w:pPr>
      <w:bookmarkStart w:id="129" w:name="II.А.2.г."/>
      <w:r w:rsidRPr="005229E9">
        <w:rPr>
          <w:rFonts w:ascii="Arial" w:hAnsi="Arial" w:cs="Arial"/>
          <w:b/>
          <w:bCs/>
          <w:sz w:val="24"/>
          <w:szCs w:val="24"/>
        </w:rPr>
        <w:t>г.</w:t>
      </w:r>
      <w:bookmarkEnd w:id="129"/>
      <w:r w:rsidRPr="005229E9">
        <w:rPr>
          <w:rFonts w:ascii="Arial" w:hAnsi="Arial" w:cs="Arial"/>
          <w:b/>
          <w:bCs/>
          <w:sz w:val="24"/>
          <w:szCs w:val="24"/>
        </w:rPr>
        <w:t xml:space="preserve"> </w:t>
      </w:r>
      <w:r w:rsidRPr="005229E9">
        <w:rPr>
          <w:sz w:val="24"/>
          <w:szCs w:val="24"/>
        </w:rPr>
        <w:t xml:space="preserve">Витилиго (у 15—25% больных).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3. Другие</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а. </w:t>
      </w:r>
      <w:r w:rsidRPr="005229E9">
        <w:rPr>
          <w:sz w:val="24"/>
          <w:szCs w:val="24"/>
        </w:rPr>
        <w:t xml:space="preserve">Целиакия.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w:t>
      </w:r>
      <w:r w:rsidRPr="005229E9">
        <w:rPr>
          <w:sz w:val="24"/>
          <w:szCs w:val="24"/>
        </w:rPr>
        <w:t xml:space="preserve">Аутоиммунный гастрит.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в. </w:t>
      </w:r>
      <w:r w:rsidRPr="005229E9">
        <w:rPr>
          <w:sz w:val="24"/>
          <w:szCs w:val="24"/>
        </w:rPr>
        <w:t xml:space="preserve">Алопеция.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г. </w:t>
      </w:r>
      <w:r w:rsidRPr="005229E9">
        <w:rPr>
          <w:sz w:val="24"/>
          <w:szCs w:val="24"/>
        </w:rPr>
        <w:t xml:space="preserve">Синдром мышечной скованности (см. гл. 49, п. II.Ж).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д. </w:t>
      </w:r>
      <w:r w:rsidRPr="005229E9">
        <w:rPr>
          <w:sz w:val="24"/>
          <w:szCs w:val="24"/>
        </w:rPr>
        <w:t xml:space="preserve">Серозиты. </w:t>
      </w:r>
    </w:p>
    <w:p w:rsidR="005229E9" w:rsidRPr="005229E9" w:rsidRDefault="005229E9" w:rsidP="005229E9">
      <w:pPr>
        <w:widowControl/>
        <w:autoSpaceDE/>
        <w:autoSpaceDN/>
        <w:adjustRightInd/>
        <w:spacing w:before="30"/>
        <w:ind w:left="1200" w:hanging="300"/>
        <w:jc w:val="both"/>
        <w:rPr>
          <w:sz w:val="24"/>
          <w:szCs w:val="24"/>
        </w:rPr>
      </w:pPr>
      <w:bookmarkStart w:id="130" w:name="II.А.3.е."/>
      <w:r w:rsidRPr="005229E9">
        <w:rPr>
          <w:rFonts w:ascii="Arial" w:hAnsi="Arial" w:cs="Arial"/>
          <w:b/>
          <w:bCs/>
          <w:sz w:val="24"/>
          <w:szCs w:val="24"/>
        </w:rPr>
        <w:t>е.</w:t>
      </w:r>
      <w:bookmarkEnd w:id="130"/>
      <w:r w:rsidRPr="005229E9">
        <w:rPr>
          <w:rFonts w:ascii="Arial" w:hAnsi="Arial" w:cs="Arial"/>
          <w:b/>
          <w:bCs/>
          <w:sz w:val="24"/>
          <w:szCs w:val="24"/>
        </w:rPr>
        <w:t xml:space="preserve"> </w:t>
      </w:r>
      <w:r w:rsidRPr="005229E9">
        <w:rPr>
          <w:sz w:val="24"/>
          <w:szCs w:val="24"/>
        </w:rPr>
        <w:t xml:space="preserve">Тимома. </w:t>
      </w:r>
    </w:p>
    <w:p w:rsidR="005229E9" w:rsidRPr="005229E9" w:rsidRDefault="005229E9" w:rsidP="005229E9">
      <w:pPr>
        <w:widowControl/>
        <w:autoSpaceDE/>
        <w:autoSpaceDN/>
        <w:adjustRightInd/>
        <w:spacing w:before="30"/>
        <w:ind w:left="600"/>
        <w:jc w:val="both"/>
        <w:rPr>
          <w:sz w:val="24"/>
          <w:szCs w:val="24"/>
        </w:rPr>
      </w:pPr>
      <w:r w:rsidRPr="005229E9">
        <w:rPr>
          <w:sz w:val="24"/>
          <w:szCs w:val="24"/>
        </w:rPr>
        <w:t xml:space="preserve">Клиническим проявлением хронического лимфоцитарного тиреоидита обычно бывает гипотиреоз. На ранних стадиях заболевания гипотиреоз может быть скрытым. Диффузный </w:t>
      </w:r>
      <w:r w:rsidRPr="005229E9">
        <w:rPr>
          <w:sz w:val="24"/>
          <w:szCs w:val="24"/>
        </w:rPr>
        <w:lastRenderedPageBreak/>
        <w:t xml:space="preserve">токсический зоб проявляется тиреотоксикозом. У 50—70% больных аутоиммунным полигландулярным синдромом типа II выявляются антитиреоидные аутоантитела, у 10—20% — аутоантитела к островковым клеткам, у 8—15% — аутоантитела к различным антигенам коры надпочечников. Аутоиммунный полигландулярный синдром типа II обычно поражает людей в возрасте 20—40 лет. Генетическим маркером предрасположенности к аутоиммунному полигландулярному синдрому типа II является гаплотип HLA-DR3, HLA-DQB1*0201. </w:t>
      </w:r>
    </w:p>
    <w:p w:rsidR="005229E9" w:rsidRPr="005229E9" w:rsidRDefault="005229E9" w:rsidP="005229E9">
      <w:pPr>
        <w:widowControl/>
        <w:autoSpaceDE/>
        <w:autoSpaceDN/>
        <w:adjustRightInd/>
        <w:spacing w:before="30"/>
        <w:ind w:left="600"/>
        <w:jc w:val="both"/>
        <w:rPr>
          <w:sz w:val="24"/>
          <w:szCs w:val="24"/>
        </w:rPr>
      </w:pPr>
      <w:r w:rsidRPr="005229E9">
        <w:rPr>
          <w:sz w:val="24"/>
          <w:szCs w:val="24"/>
        </w:rPr>
        <w:t xml:space="preserve">Риск развития отдельных компонентов аутоиммунного полигландулярного синдрома типа II (в первую очередь — аутоиммунных поражений щитовидной железы) повышен при других синдромах, связанных с HLA-B8 и HLA-DR3, таких, как синдром Шегрена, изолированный дефицит IgA, дерматомиозит, хронический активный гепатит, герпетиформный дерматит.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Б. Аутоиммунный полигландулярный синдром типа I</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1. Основные компоненты синдрома:</w:t>
      </w:r>
      <w:r w:rsidRPr="005229E9">
        <w:rPr>
          <w:sz w:val="24"/>
          <w:szCs w:val="24"/>
        </w:rPr>
        <w:t xml:space="preserve"> хронический генерализованный гранулематозный кандидоз (кандидоз кожи и слизистых), гипопаратиреоз, первичная надпочечниковая недостаточность. Диагноз устанавливают при наличии любых двух заболеваний.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2. Другие компоненты:</w:t>
      </w:r>
      <w:r w:rsidRPr="005229E9">
        <w:rPr>
          <w:sz w:val="24"/>
          <w:szCs w:val="24"/>
        </w:rPr>
        <w:t xml:space="preserve"> первичный гипотиреоз, хронический активный гепатит, синдром нарушенного всасывания, первичный гипогонадизм (первичная надпочечниковая недостаточность), витилиго, аутоиммунный гастрит, алопеция.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В отличие от типа II, аутоиммунный полигландулярный синдром типа I обычно возникает уже в грудном возрасте. Первым проявлением его чаще всего бывает кандидоз.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 xml:space="preserve">Аллели HLA не детерминируют предрасположенность к аутоиммунному полигландулярному синдрому типа I. У некоторых больных имеются мутации гена AIRE на 21-й хромосоме (см. гл. 49, п. I.Б.3).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В. Синдром инсулинорезистентности и acanthosis nigricans типа Б. </w:t>
      </w:r>
      <w:r w:rsidRPr="005229E9">
        <w:rPr>
          <w:sz w:val="24"/>
          <w:szCs w:val="24"/>
        </w:rPr>
        <w:t xml:space="preserve">Этот синдром характеризуется выраженной инсулинорезистентностью либо приступами тяжелой гипогликемии. У всех больных в сыворотке присутствуют аутоантитела к рецепторам инсулина. По этому признаку синдром инсулинорезистентности и acanthosis nigricans типа Б отличают от синдрома инсулинорезистентности и acanthosis nigricans типа А, обусловленного внутриклеточными нарушениями передачи сигнала инсулина. При синдроме инсулинорезистентности и acanthosis nigricans типа Б сродство рецепторов на моноцитах к инсулину сильно снижено. Примерно у трети больных отмечаются и другие аутоиммунные расстройства. Проявления acanthosis nigricans: кожа гиперпигментирована, бархатистая на ощупь. Эти изменения сильнее всего выражены в подмышечных впадинах или кожных складках. Тяжелая гипогликемия обусловлена, вероятно, инсулиноподобным действием аутоантител к рецепторам инсулина.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Г. Синдром POEMS </w:t>
      </w:r>
      <w:r w:rsidRPr="005229E9">
        <w:rPr>
          <w:sz w:val="24"/>
          <w:szCs w:val="24"/>
        </w:rPr>
        <w:t xml:space="preserve">(аббревиатура английских слов: </w:t>
      </w:r>
      <w:r w:rsidRPr="005229E9">
        <w:rPr>
          <w:rFonts w:ascii="Arial" w:hAnsi="Arial" w:cs="Arial"/>
          <w:b/>
          <w:bCs/>
          <w:sz w:val="24"/>
          <w:szCs w:val="24"/>
        </w:rPr>
        <w:t>P</w:t>
      </w:r>
      <w:r w:rsidRPr="005229E9">
        <w:rPr>
          <w:sz w:val="24"/>
          <w:szCs w:val="24"/>
        </w:rPr>
        <w:t xml:space="preserve">olyneuropathy — полинейропатия, </w:t>
      </w:r>
      <w:r w:rsidRPr="005229E9">
        <w:rPr>
          <w:rFonts w:ascii="Arial" w:hAnsi="Arial" w:cs="Arial"/>
          <w:b/>
          <w:bCs/>
          <w:sz w:val="24"/>
          <w:szCs w:val="24"/>
        </w:rPr>
        <w:t>O</w:t>
      </w:r>
      <w:r w:rsidRPr="005229E9">
        <w:rPr>
          <w:sz w:val="24"/>
          <w:szCs w:val="24"/>
        </w:rPr>
        <w:t>rganomegaly — спланхномегалия, poly</w:t>
      </w:r>
      <w:r w:rsidRPr="005229E9">
        <w:rPr>
          <w:rFonts w:ascii="Arial" w:hAnsi="Arial" w:cs="Arial"/>
          <w:b/>
          <w:bCs/>
          <w:sz w:val="24"/>
          <w:szCs w:val="24"/>
        </w:rPr>
        <w:t>E</w:t>
      </w:r>
      <w:r w:rsidRPr="005229E9">
        <w:rPr>
          <w:sz w:val="24"/>
          <w:szCs w:val="24"/>
        </w:rPr>
        <w:t xml:space="preserve">ndocrinopathy — полиэндокринопатия, </w:t>
      </w:r>
      <w:r w:rsidRPr="005229E9">
        <w:rPr>
          <w:rFonts w:ascii="Arial" w:hAnsi="Arial" w:cs="Arial"/>
          <w:b/>
          <w:bCs/>
          <w:sz w:val="24"/>
          <w:szCs w:val="24"/>
        </w:rPr>
        <w:t>M</w:t>
      </w:r>
      <w:r w:rsidRPr="005229E9">
        <w:rPr>
          <w:sz w:val="24"/>
          <w:szCs w:val="24"/>
        </w:rPr>
        <w:t xml:space="preserve">yeloma proteins — моноклональная гаммапатия, </w:t>
      </w:r>
      <w:r w:rsidRPr="005229E9">
        <w:rPr>
          <w:rFonts w:ascii="Arial" w:hAnsi="Arial" w:cs="Arial"/>
          <w:b/>
          <w:bCs/>
          <w:sz w:val="24"/>
          <w:szCs w:val="24"/>
        </w:rPr>
        <w:t>S</w:t>
      </w:r>
      <w:r w:rsidRPr="005229E9">
        <w:rPr>
          <w:sz w:val="24"/>
          <w:szCs w:val="24"/>
        </w:rPr>
        <w:t xml:space="preserve">kin lesions — поражения кожи). Компоненты синдрома: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Тяжелая прогрессирующая сенсомоторная полинейропатия.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Эндокринные нарушения.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lastRenderedPageBreak/>
        <w:t xml:space="preserve">а. </w:t>
      </w:r>
      <w:r w:rsidRPr="005229E9">
        <w:rPr>
          <w:sz w:val="24"/>
          <w:szCs w:val="24"/>
        </w:rPr>
        <w:t xml:space="preserve">Первичный гипогонадизм (у 70% больных). </w:t>
      </w:r>
    </w:p>
    <w:p w:rsidR="005229E9" w:rsidRPr="005229E9" w:rsidRDefault="005229E9" w:rsidP="005229E9">
      <w:pPr>
        <w:widowControl/>
        <w:autoSpaceDE/>
        <w:autoSpaceDN/>
        <w:adjustRightInd/>
        <w:spacing w:before="30"/>
        <w:ind w:left="1200" w:hanging="300"/>
        <w:jc w:val="both"/>
        <w:rPr>
          <w:sz w:val="24"/>
          <w:szCs w:val="24"/>
        </w:rPr>
      </w:pPr>
      <w:r w:rsidRPr="005229E9">
        <w:rPr>
          <w:rFonts w:ascii="Arial" w:hAnsi="Arial" w:cs="Arial"/>
          <w:b/>
          <w:bCs/>
          <w:sz w:val="24"/>
          <w:szCs w:val="24"/>
        </w:rPr>
        <w:t xml:space="preserve">б. </w:t>
      </w:r>
      <w:r w:rsidRPr="005229E9">
        <w:rPr>
          <w:sz w:val="24"/>
          <w:szCs w:val="24"/>
        </w:rPr>
        <w:t xml:space="preserve">Аменорея у женщин, импотенция и гинекомастия у мужчин. </w:t>
      </w:r>
    </w:p>
    <w:p w:rsidR="005229E9" w:rsidRPr="005229E9" w:rsidRDefault="005229E9" w:rsidP="005229E9">
      <w:pPr>
        <w:widowControl/>
        <w:autoSpaceDE/>
        <w:autoSpaceDN/>
        <w:adjustRightInd/>
        <w:spacing w:before="30"/>
        <w:ind w:left="1200" w:hanging="300"/>
        <w:jc w:val="both"/>
        <w:rPr>
          <w:sz w:val="24"/>
          <w:szCs w:val="24"/>
        </w:rPr>
      </w:pPr>
      <w:bookmarkStart w:id="131" w:name="II.Г.2.в."/>
      <w:r w:rsidRPr="005229E9">
        <w:rPr>
          <w:rFonts w:ascii="Arial" w:hAnsi="Arial" w:cs="Arial"/>
          <w:b/>
          <w:bCs/>
          <w:sz w:val="24"/>
          <w:szCs w:val="24"/>
        </w:rPr>
        <w:t>в.</w:t>
      </w:r>
      <w:bookmarkEnd w:id="131"/>
      <w:r w:rsidRPr="005229E9">
        <w:rPr>
          <w:rFonts w:ascii="Arial" w:hAnsi="Arial" w:cs="Arial"/>
          <w:b/>
          <w:bCs/>
          <w:sz w:val="24"/>
          <w:szCs w:val="24"/>
        </w:rPr>
        <w:t xml:space="preserve"> </w:t>
      </w:r>
      <w:r w:rsidRPr="005229E9">
        <w:rPr>
          <w:sz w:val="24"/>
          <w:szCs w:val="24"/>
        </w:rPr>
        <w:t xml:space="preserve">Гиперпролактинемия. </w:t>
      </w:r>
    </w:p>
    <w:p w:rsidR="005229E9" w:rsidRPr="005229E9" w:rsidRDefault="005229E9" w:rsidP="005229E9">
      <w:pPr>
        <w:widowControl/>
        <w:autoSpaceDE/>
        <w:autoSpaceDN/>
        <w:adjustRightInd/>
        <w:spacing w:before="30"/>
        <w:ind w:left="1200" w:hanging="300"/>
        <w:jc w:val="both"/>
        <w:rPr>
          <w:sz w:val="24"/>
          <w:szCs w:val="24"/>
        </w:rPr>
      </w:pPr>
      <w:bookmarkStart w:id="132" w:name="II.Г.2.г."/>
      <w:r w:rsidRPr="005229E9">
        <w:rPr>
          <w:rFonts w:ascii="Arial" w:hAnsi="Arial" w:cs="Arial"/>
          <w:b/>
          <w:bCs/>
          <w:sz w:val="24"/>
          <w:szCs w:val="24"/>
        </w:rPr>
        <w:t>г.</w:t>
      </w:r>
      <w:bookmarkEnd w:id="132"/>
      <w:r w:rsidRPr="005229E9">
        <w:rPr>
          <w:rFonts w:ascii="Arial" w:hAnsi="Arial" w:cs="Arial"/>
          <w:b/>
          <w:bCs/>
          <w:sz w:val="24"/>
          <w:szCs w:val="24"/>
        </w:rPr>
        <w:t xml:space="preserve"> </w:t>
      </w:r>
      <w:r w:rsidRPr="005229E9">
        <w:rPr>
          <w:sz w:val="24"/>
          <w:szCs w:val="24"/>
        </w:rPr>
        <w:t xml:space="preserve">Инсулинонезависимый сахарный диабет (у 50% больных).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Миеломная болезнь. Скопления плазматических клеток вызывают склеротические поражения костей. Кроме того, плазматические клетки образуют моноклональные IgG и IgA. После лучевой терапии костных поражений часто наступает временная ремиссия других проявлений синдрома, в том числе инсулинонезависимого сахарного диабета.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 xml:space="preserve">Поражения кожи: гиперпигментация, утолщение дермы, гирсутизм, потливость.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Д. Тимомы. </w:t>
      </w:r>
      <w:r w:rsidRPr="005229E9">
        <w:rPr>
          <w:sz w:val="24"/>
          <w:szCs w:val="24"/>
        </w:rPr>
        <w:t xml:space="preserve">Многие аутоиммунные заболевания, в том числе миастения, апластическая анемия, диффузный токсический зоб, инсулинозависимый сахарный диабет и первичная надпочечниковая недостаточность нередко сопровождаются тимомами.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Е. Синдромы, обусловленные аутоантителами к ионам и гормонам</w:t>
      </w:r>
      <w:r w:rsidRPr="005229E9">
        <w:rPr>
          <w:sz w:val="24"/>
          <w:szCs w:val="24"/>
        </w:rPr>
        <w:t xml:space="preserve">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Эти редкие синдромы обычно не имеют клинических проявлений и характеризуются прежде всего нарушением лабораторных показателей (концентраций ионов). Попытки нормализовать эти показатели могут неожиданно привести к тяжелым последствиям. Например, у многих больных миеломной болезнью появляются аутоантитела к Ca</w:t>
      </w:r>
      <w:r w:rsidRPr="005229E9">
        <w:rPr>
          <w:sz w:val="24"/>
          <w:szCs w:val="24"/>
          <w:vertAlign w:val="superscript"/>
        </w:rPr>
        <w:t>2+</w:t>
      </w:r>
      <w:r w:rsidRPr="005229E9">
        <w:rPr>
          <w:sz w:val="24"/>
          <w:szCs w:val="24"/>
        </w:rPr>
        <w:t xml:space="preserve">, прочно связывающие эти ионы. У таких больных уровень общего кальция значительно повышен, а уровень свободного кальция остается нормальным. Лечение, направленное на снижение уровня общего кальция, может привести к тетании.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2. </w:t>
      </w:r>
      <w:r w:rsidRPr="005229E9">
        <w:rPr>
          <w:sz w:val="24"/>
          <w:szCs w:val="24"/>
        </w:rPr>
        <w:t xml:space="preserve">Вероятно, существуют аутоантитела и к другим ионам.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Аутоантитела к тиреоидным гормонам повышают уровни общего T</w:t>
      </w:r>
      <w:r w:rsidRPr="005229E9">
        <w:rPr>
          <w:sz w:val="24"/>
          <w:szCs w:val="24"/>
          <w:vertAlign w:val="subscript"/>
        </w:rPr>
        <w:t>4</w:t>
      </w:r>
      <w:r w:rsidRPr="005229E9">
        <w:rPr>
          <w:sz w:val="24"/>
          <w:szCs w:val="24"/>
        </w:rPr>
        <w:t xml:space="preserve"> и общего T</w:t>
      </w:r>
      <w:r w:rsidRPr="005229E9">
        <w:rPr>
          <w:sz w:val="24"/>
          <w:szCs w:val="24"/>
          <w:vertAlign w:val="subscript"/>
        </w:rPr>
        <w:t>3</w:t>
      </w:r>
      <w:r w:rsidRPr="005229E9">
        <w:rPr>
          <w:sz w:val="24"/>
          <w:szCs w:val="24"/>
        </w:rPr>
        <w:t xml:space="preserve"> и затрудняют оценку функции щитовидной железы. С другой стороны, связывание T</w:t>
      </w:r>
      <w:r w:rsidRPr="005229E9">
        <w:rPr>
          <w:sz w:val="24"/>
          <w:szCs w:val="24"/>
          <w:vertAlign w:val="subscript"/>
        </w:rPr>
        <w:t>4</w:t>
      </w:r>
      <w:r w:rsidRPr="005229E9">
        <w:rPr>
          <w:sz w:val="24"/>
          <w:szCs w:val="24"/>
        </w:rPr>
        <w:t xml:space="preserve"> и T</w:t>
      </w:r>
      <w:r w:rsidRPr="005229E9">
        <w:rPr>
          <w:sz w:val="24"/>
          <w:szCs w:val="24"/>
          <w:vertAlign w:val="subscript"/>
        </w:rPr>
        <w:t>3</w:t>
      </w:r>
      <w:r w:rsidRPr="005229E9">
        <w:rPr>
          <w:sz w:val="24"/>
          <w:szCs w:val="24"/>
        </w:rPr>
        <w:t xml:space="preserve"> с аутоантителами может снижать их активность и приводить к гипотиреозу.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 xml:space="preserve">У некоторых больных с аутоиммунными эндокринными заболеваниями появляются поликлональные аутоантитела к эндогенному инсулину. При миеломной болезни образуются моноклональные аутоантитела к инсулину. Диссоциация комплексов инсулин—аутоантитело через несколько часов после приема пищи может вызвать приступ гипогликемии. Большинство таких случаев описано в Японии, что косвенно свидетельствует о генетической детерминированности этого синдрома.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Ж. Синдром мышечной скованности</w:t>
      </w:r>
      <w:r w:rsidRPr="005229E9">
        <w:rPr>
          <w:sz w:val="24"/>
          <w:szCs w:val="24"/>
        </w:rPr>
        <w:t xml:space="preserve"> (stiff-man syndrome). Описано около 200 больных с этим неврологическим синдромом. Он характеризуется прогрессирующей ригидностью скелетных мышц и болезненными мышечными спазмами, иногда — опистотонусом. Другие компоненты синдрома — инсулинозависимый сахарный диабет (у 25—30% больных), эпилепсия (у 10—15%). Важнейшая черта синдрома мышечной скованности — наличие в сыворотке у большинства больных аутоантител к изоформе глутаматдекарбоксилазы с молекулярной массой 65 000, характерных для инсулинозависимого сахарного диабета (см. гл. 43, п. II.Г).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III. Обследование</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А. При подозрении на аутоиммунный полигландулярный синдром типа II</w:t>
      </w:r>
      <w:r w:rsidRPr="005229E9">
        <w:rPr>
          <w:sz w:val="24"/>
          <w:szCs w:val="24"/>
        </w:rPr>
        <w:t xml:space="preserve"> руководствуются следующими правилами: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1. </w:t>
      </w:r>
      <w:r w:rsidRPr="005229E9">
        <w:rPr>
          <w:sz w:val="24"/>
          <w:szCs w:val="24"/>
        </w:rPr>
        <w:t xml:space="preserve">Соотношение частот отдельных компонентов аутоиммунного полигландулярного синдрома типа II в семьях с этим синдромом такое же, как среди населения, но риск каждого компонента в 10—100 раз выше.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lastRenderedPageBreak/>
        <w:t xml:space="preserve">2. </w:t>
      </w:r>
      <w:r w:rsidRPr="005229E9">
        <w:rPr>
          <w:sz w:val="24"/>
          <w:szCs w:val="24"/>
        </w:rPr>
        <w:t xml:space="preserve">Если у родственника больного аутоиммунным полигландулярным синдромом типа II выявлено изолированное аутоиммунное эндокринное заболевание (например, первичная надпочечниковая недостаточность), следует искать другие, скрытые компоненты синдрома. Если в местности, где проживает больной, повышена распространенность инсулинозависимого сахарного диабета, надо исключить его и у больного.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3. </w:t>
      </w:r>
      <w:r w:rsidRPr="005229E9">
        <w:rPr>
          <w:sz w:val="24"/>
          <w:szCs w:val="24"/>
        </w:rPr>
        <w:t xml:space="preserve">Скрытые эндокринные заболевания имеются у 1 из 6 родственников больного аутоиммунным полигландулярным синдромом типа II. Наиболее вероятен гипотиреоз. Поэтому у больных и их родственников нужно оценивать функцию щитовидной железы каждые 5 лет (а при наличии жалоб и симптомов даже чаще).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4. </w:t>
      </w:r>
      <w:r w:rsidRPr="005229E9">
        <w:rPr>
          <w:sz w:val="24"/>
          <w:szCs w:val="24"/>
        </w:rPr>
        <w:t xml:space="preserve">Чтобы выявить больных и родственников с наибольшим риском заболевания, можно типировать аллели HLA и определять органоспецифические аутоантитела, но самым дешевым способом обследования пока остается внимательное изучение анамнеза и физикальное исследование, направленное на выявление признаков заболеваний, входящих в состав синдрома.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5. </w:t>
      </w:r>
      <w:r w:rsidRPr="005229E9">
        <w:rPr>
          <w:sz w:val="24"/>
          <w:szCs w:val="24"/>
        </w:rPr>
        <w:t xml:space="preserve">Мы разработали простую памятку для родственников больных. Она помогает своевременно выявлять скрытые заболевания (см. табл. 49.1).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6. </w:t>
      </w:r>
      <w:r w:rsidRPr="005229E9">
        <w:rPr>
          <w:sz w:val="24"/>
          <w:szCs w:val="24"/>
        </w:rPr>
        <w:t xml:space="preserve">Чтобы оценить риск инсулинозависимого сахарного диабета, обычно определяют аутоантитела к островковым клеткам. Эти аутоантитела появляются в сыворотке задолго до клинического проявления инсулинозависимого сахарного диабета (см. гл. 43, п. II.Г.1). Надо учитывать, что аутоантитела к островковым клеткам у родственников больных аутоиммунным полигландулярным синдромом типа II отличаются от аналогичных аутоантител у больных инсулинозависимым сахарным диабетом без сопутствующих аутоиммунных заболеваний. </w:t>
      </w:r>
    </w:p>
    <w:p w:rsidR="005229E9" w:rsidRPr="005229E9" w:rsidRDefault="005229E9" w:rsidP="005229E9">
      <w:pPr>
        <w:widowControl/>
        <w:autoSpaceDE/>
        <w:autoSpaceDN/>
        <w:adjustRightInd/>
        <w:spacing w:before="30"/>
        <w:ind w:left="1200" w:hanging="300"/>
        <w:jc w:val="both"/>
        <w:rPr>
          <w:sz w:val="24"/>
          <w:szCs w:val="24"/>
        </w:rPr>
      </w:pPr>
      <w:bookmarkStart w:id="133" w:name="III.А.6.а."/>
      <w:r w:rsidRPr="005229E9">
        <w:rPr>
          <w:rFonts w:ascii="Arial" w:hAnsi="Arial" w:cs="Arial"/>
          <w:b/>
          <w:bCs/>
          <w:sz w:val="24"/>
          <w:szCs w:val="24"/>
        </w:rPr>
        <w:t>а.</w:t>
      </w:r>
      <w:bookmarkEnd w:id="133"/>
      <w:r w:rsidRPr="005229E9">
        <w:rPr>
          <w:rFonts w:ascii="Arial" w:hAnsi="Arial" w:cs="Arial"/>
          <w:b/>
          <w:bCs/>
          <w:sz w:val="24"/>
          <w:szCs w:val="24"/>
        </w:rPr>
        <w:t xml:space="preserve"> </w:t>
      </w:r>
      <w:r w:rsidRPr="005229E9">
        <w:rPr>
          <w:sz w:val="24"/>
          <w:szCs w:val="24"/>
        </w:rPr>
        <w:t xml:space="preserve">У родственников больных инсулинозависимым сахарным диабетом без сопутствующих аутоиммунных заболеваний обычно выявляются </w:t>
      </w:r>
      <w:r w:rsidRPr="005229E9">
        <w:rPr>
          <w:rFonts w:ascii="Arial" w:hAnsi="Arial" w:cs="Arial"/>
          <w:b/>
          <w:bCs/>
          <w:sz w:val="24"/>
          <w:szCs w:val="24"/>
        </w:rPr>
        <w:t>нерестриктированные</w:t>
      </w:r>
      <w:r w:rsidRPr="005229E9">
        <w:rPr>
          <w:sz w:val="24"/>
          <w:szCs w:val="24"/>
        </w:rPr>
        <w:t xml:space="preserve"> аутоантитела, т. е. аутоантитела, реагирующие со </w:t>
      </w:r>
      <w:r w:rsidRPr="005229E9">
        <w:rPr>
          <w:rFonts w:ascii="Arial" w:hAnsi="Arial" w:cs="Arial"/>
          <w:b/>
          <w:bCs/>
          <w:sz w:val="24"/>
          <w:szCs w:val="24"/>
        </w:rPr>
        <w:t>многими антигенами</w:t>
      </w:r>
      <w:r w:rsidRPr="005229E9">
        <w:rPr>
          <w:sz w:val="24"/>
          <w:szCs w:val="24"/>
        </w:rPr>
        <w:t xml:space="preserve"> островковых клеток. Кроме того, нерестриктированные аутоантитела невидоспецифичны, т. е. </w:t>
      </w:r>
      <w:r w:rsidRPr="005229E9">
        <w:rPr>
          <w:rFonts w:ascii="Arial" w:hAnsi="Arial" w:cs="Arial"/>
          <w:b/>
          <w:bCs/>
          <w:sz w:val="24"/>
          <w:szCs w:val="24"/>
        </w:rPr>
        <w:t>распознают антигены островковых клеток человека и животных разных видов.</w:t>
      </w:r>
      <w:r w:rsidRPr="005229E9">
        <w:rPr>
          <w:sz w:val="24"/>
          <w:szCs w:val="24"/>
        </w:rPr>
        <w:t xml:space="preserve"> </w:t>
      </w:r>
    </w:p>
    <w:p w:rsidR="005229E9" w:rsidRPr="005229E9" w:rsidRDefault="005229E9" w:rsidP="005229E9">
      <w:pPr>
        <w:widowControl/>
        <w:autoSpaceDE/>
        <w:autoSpaceDN/>
        <w:adjustRightInd/>
        <w:spacing w:before="30"/>
        <w:ind w:left="1200" w:hanging="300"/>
        <w:jc w:val="both"/>
        <w:rPr>
          <w:sz w:val="24"/>
          <w:szCs w:val="24"/>
        </w:rPr>
      </w:pPr>
      <w:bookmarkStart w:id="134" w:name="III.А.6.б."/>
      <w:r w:rsidRPr="005229E9">
        <w:rPr>
          <w:rFonts w:ascii="Arial" w:hAnsi="Arial" w:cs="Arial"/>
          <w:b/>
          <w:bCs/>
          <w:sz w:val="24"/>
          <w:szCs w:val="24"/>
        </w:rPr>
        <w:t>б.</w:t>
      </w:r>
      <w:bookmarkEnd w:id="134"/>
      <w:r w:rsidRPr="005229E9">
        <w:rPr>
          <w:rFonts w:ascii="Arial" w:hAnsi="Arial" w:cs="Arial"/>
          <w:b/>
          <w:bCs/>
          <w:sz w:val="24"/>
          <w:szCs w:val="24"/>
        </w:rPr>
        <w:t xml:space="preserve"> </w:t>
      </w:r>
      <w:r w:rsidRPr="005229E9">
        <w:rPr>
          <w:sz w:val="24"/>
          <w:szCs w:val="24"/>
        </w:rPr>
        <w:t xml:space="preserve">У родственников больных аутоиммунным полигландулярным синдромом типа II чаще имеются </w:t>
      </w:r>
      <w:r w:rsidRPr="005229E9">
        <w:rPr>
          <w:rFonts w:ascii="Arial" w:hAnsi="Arial" w:cs="Arial"/>
          <w:b/>
          <w:bCs/>
          <w:sz w:val="24"/>
          <w:szCs w:val="24"/>
        </w:rPr>
        <w:t>рестриктированные</w:t>
      </w:r>
      <w:r w:rsidRPr="005229E9">
        <w:rPr>
          <w:sz w:val="24"/>
          <w:szCs w:val="24"/>
        </w:rPr>
        <w:t xml:space="preserve"> аутоантитела, реагирующие с </w:t>
      </w:r>
      <w:r w:rsidRPr="005229E9">
        <w:rPr>
          <w:rFonts w:ascii="Arial" w:hAnsi="Arial" w:cs="Arial"/>
          <w:b/>
          <w:bCs/>
          <w:sz w:val="24"/>
          <w:szCs w:val="24"/>
        </w:rPr>
        <w:t>отдельными антигенами</w:t>
      </w:r>
      <w:r w:rsidRPr="005229E9">
        <w:rPr>
          <w:sz w:val="24"/>
          <w:szCs w:val="24"/>
        </w:rPr>
        <w:t xml:space="preserve"> островковых клеток. Рестриктированные аутоантитела </w:t>
      </w:r>
      <w:r w:rsidRPr="005229E9">
        <w:rPr>
          <w:rFonts w:ascii="Arial" w:hAnsi="Arial" w:cs="Arial"/>
          <w:b/>
          <w:bCs/>
          <w:sz w:val="24"/>
          <w:szCs w:val="24"/>
        </w:rPr>
        <w:t xml:space="preserve">видоспецифичны </w:t>
      </w:r>
      <w:r w:rsidRPr="005229E9">
        <w:rPr>
          <w:sz w:val="24"/>
          <w:szCs w:val="24"/>
        </w:rPr>
        <w:t xml:space="preserve">(см. рис. 49.1). </w:t>
      </w:r>
    </w:p>
    <w:p w:rsidR="005229E9" w:rsidRPr="005229E9" w:rsidRDefault="005229E9" w:rsidP="005229E9">
      <w:pPr>
        <w:widowControl/>
        <w:autoSpaceDE/>
        <w:autoSpaceDN/>
        <w:adjustRightInd/>
        <w:spacing w:before="30"/>
        <w:ind w:left="1200" w:hanging="300"/>
        <w:jc w:val="both"/>
        <w:rPr>
          <w:sz w:val="24"/>
          <w:szCs w:val="24"/>
        </w:rPr>
      </w:pPr>
      <w:bookmarkStart w:id="135" w:name="III.А.6.в."/>
      <w:r w:rsidRPr="005229E9">
        <w:rPr>
          <w:rFonts w:ascii="Arial" w:hAnsi="Arial" w:cs="Arial"/>
          <w:b/>
          <w:bCs/>
          <w:sz w:val="24"/>
          <w:szCs w:val="24"/>
        </w:rPr>
        <w:t>в.</w:t>
      </w:r>
      <w:bookmarkEnd w:id="135"/>
      <w:r w:rsidRPr="005229E9">
        <w:rPr>
          <w:rFonts w:ascii="Arial" w:hAnsi="Arial" w:cs="Arial"/>
          <w:b/>
          <w:bCs/>
          <w:sz w:val="24"/>
          <w:szCs w:val="24"/>
        </w:rPr>
        <w:t xml:space="preserve"> </w:t>
      </w:r>
      <w:r w:rsidRPr="005229E9">
        <w:rPr>
          <w:sz w:val="24"/>
          <w:szCs w:val="24"/>
        </w:rPr>
        <w:t xml:space="preserve">Предполагают, что аутоантитела к островковым клеткам у родственников больных аутоиммунным полигландулярным синдромом типа II представлены главным образом аутоантителами к изоформе глутаматдекарбоксилазы с молекулярной массой 65 000. </w:t>
      </w:r>
    </w:p>
    <w:p w:rsidR="005229E9" w:rsidRPr="005229E9" w:rsidRDefault="005229E9" w:rsidP="005229E9">
      <w:pPr>
        <w:widowControl/>
        <w:autoSpaceDE/>
        <w:autoSpaceDN/>
        <w:adjustRightInd/>
        <w:spacing w:before="30"/>
        <w:ind w:left="1200" w:hanging="300"/>
        <w:jc w:val="both"/>
        <w:rPr>
          <w:sz w:val="24"/>
          <w:szCs w:val="24"/>
        </w:rPr>
      </w:pPr>
      <w:bookmarkStart w:id="136" w:name="III.А.6.г."/>
      <w:r w:rsidRPr="005229E9">
        <w:rPr>
          <w:rFonts w:ascii="Arial" w:hAnsi="Arial" w:cs="Arial"/>
          <w:b/>
          <w:bCs/>
          <w:sz w:val="24"/>
          <w:szCs w:val="24"/>
        </w:rPr>
        <w:t>г.</w:t>
      </w:r>
      <w:bookmarkEnd w:id="136"/>
      <w:r w:rsidRPr="005229E9">
        <w:rPr>
          <w:rFonts w:ascii="Arial" w:hAnsi="Arial" w:cs="Arial"/>
          <w:b/>
          <w:bCs/>
          <w:sz w:val="24"/>
          <w:szCs w:val="24"/>
        </w:rPr>
        <w:t xml:space="preserve"> </w:t>
      </w:r>
      <w:r w:rsidRPr="005229E9">
        <w:rPr>
          <w:sz w:val="24"/>
          <w:szCs w:val="24"/>
        </w:rPr>
        <w:t xml:space="preserve">Наличие аутоантител к глутаматдекарбоксилазе у родственников больных аутоиммунным полигландулярным синдромом типа II </w:t>
      </w:r>
      <w:r w:rsidRPr="005229E9">
        <w:rPr>
          <w:rFonts w:ascii="Arial" w:hAnsi="Arial" w:cs="Arial"/>
          <w:b/>
          <w:bCs/>
          <w:sz w:val="24"/>
          <w:szCs w:val="24"/>
        </w:rPr>
        <w:t>далеко не всегда</w:t>
      </w:r>
      <w:r w:rsidRPr="005229E9">
        <w:rPr>
          <w:sz w:val="24"/>
          <w:szCs w:val="24"/>
        </w:rPr>
        <w:t xml:space="preserve"> свидетельствует об аутоиммунной реакции против бета-клеток. Появление таких аутоантител может быть обусловлено, например, аутоиммунной реакцией против ГАМКергических нейронов, содержащих большие количества глутаматдекарбоксилазы (как при синдроме мышечной скованности). Нередко выявление аутоантител к глутаматдекарбоксилазе у родственников больных </w:t>
      </w:r>
      <w:r w:rsidRPr="005229E9">
        <w:rPr>
          <w:sz w:val="24"/>
          <w:szCs w:val="24"/>
        </w:rPr>
        <w:lastRenderedPageBreak/>
        <w:t xml:space="preserve">аутоиммунным полигландулярным синдромом типа II приводит к неправильному диагнозу скрытого инсулинозависимого сахарного диабета. </w:t>
      </w:r>
    </w:p>
    <w:p w:rsidR="005229E9" w:rsidRPr="005229E9" w:rsidRDefault="005229E9" w:rsidP="005229E9">
      <w:pPr>
        <w:widowControl/>
        <w:autoSpaceDE/>
        <w:autoSpaceDN/>
        <w:adjustRightInd/>
        <w:spacing w:before="30"/>
        <w:ind w:left="900" w:hanging="300"/>
        <w:jc w:val="both"/>
        <w:rPr>
          <w:sz w:val="24"/>
          <w:szCs w:val="24"/>
        </w:rPr>
      </w:pPr>
      <w:r w:rsidRPr="005229E9">
        <w:rPr>
          <w:rFonts w:ascii="Arial" w:hAnsi="Arial" w:cs="Arial"/>
          <w:b/>
          <w:bCs/>
          <w:sz w:val="24"/>
          <w:szCs w:val="24"/>
        </w:rPr>
        <w:t xml:space="preserve">7. </w:t>
      </w:r>
      <w:r w:rsidRPr="005229E9">
        <w:rPr>
          <w:sz w:val="24"/>
          <w:szCs w:val="24"/>
        </w:rPr>
        <w:t xml:space="preserve">Диагноз скрытого инсулинозависимого сахарного диабета (доклинического периода инсулинозависимого сахарного диабета) у родственников больных аутоиммунным полигландулярным синдромом типа II не вызывает сомнений, если обнаружено несколько типов аутоантител к антигенам бета-клеток и нарушена секреция инсулина при в/в тесте на толерантность к глюкозе (см. гл. 43, п. II.Д). Напомним, что нарушения секреторной реакции бета-клеток на в/в введение глюкозы проявляются гораздо раньше, чем нарушения секреторной реакции на прием глюкозы внутрь.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Б. Первым проявлением аутоиммунного полигландулярного синдрома типа I </w:t>
      </w:r>
      <w:r w:rsidRPr="005229E9">
        <w:rPr>
          <w:sz w:val="24"/>
          <w:szCs w:val="24"/>
        </w:rPr>
        <w:t xml:space="preserve">часто бывает генерализованный гранулематозный кандидоз (кандидоз кожи и слизистых). Кандидоз отмечается почти у всех больных моложе 20 лет. Кандидоз, впервые появляющийся у взрослых больных, нередко бывает обусловлен тимомой или иммунодефицитом (например, СПИДом). У ближайших родственников больного аутоиммунным полигландулярным синдромом типа I риск заболеваний, входящих в состав синдрома, весьма высок. Поэтому необходимы регулярные обследования для выявления гипокальциемии, дефицита кортизола и изменений активности печеночных ферментов.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В. </w:t>
      </w:r>
      <w:r w:rsidRPr="005229E9">
        <w:rPr>
          <w:sz w:val="24"/>
          <w:szCs w:val="24"/>
        </w:rPr>
        <w:t>Аутоантитела к</w:t>
      </w:r>
      <w:r w:rsidRPr="005229E9">
        <w:rPr>
          <w:rFonts w:ascii="Arial" w:hAnsi="Arial" w:cs="Arial"/>
          <w:b/>
          <w:bCs/>
          <w:sz w:val="24"/>
          <w:szCs w:val="24"/>
        </w:rPr>
        <w:t xml:space="preserve"> </w:t>
      </w:r>
      <w:r w:rsidRPr="005229E9">
        <w:rPr>
          <w:sz w:val="24"/>
          <w:szCs w:val="24"/>
        </w:rPr>
        <w:t>рецепторам инсулина могут вызывать выраженную гиперинсулинемию, инсулинорезистентность либо приступы гипогликемии натощак. Аутоантитела к</w:t>
      </w:r>
      <w:r w:rsidRPr="005229E9">
        <w:rPr>
          <w:rFonts w:ascii="Arial" w:hAnsi="Arial" w:cs="Arial"/>
          <w:b/>
          <w:bCs/>
          <w:sz w:val="24"/>
          <w:szCs w:val="24"/>
        </w:rPr>
        <w:t xml:space="preserve"> </w:t>
      </w:r>
      <w:r w:rsidRPr="005229E9">
        <w:rPr>
          <w:sz w:val="24"/>
          <w:szCs w:val="24"/>
        </w:rPr>
        <w:t xml:space="preserve">рецепторам инсулина определяют в специализированных лабораториях.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Г. </w:t>
      </w:r>
      <w:r w:rsidRPr="005229E9">
        <w:rPr>
          <w:sz w:val="24"/>
          <w:szCs w:val="24"/>
        </w:rPr>
        <w:t xml:space="preserve">Рентгенография позволяет выявить склеротические поражения костей у больных с синдромом POEMS и назначить лучевую терапию.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Д. </w:t>
      </w:r>
      <w:r w:rsidRPr="005229E9">
        <w:rPr>
          <w:sz w:val="24"/>
          <w:szCs w:val="24"/>
        </w:rPr>
        <w:t xml:space="preserve">Больным с апластической анемией или миастенией и сопутствующим аутоиммунным эндокринным заболеванием показана КТ грудной клетки для выявления тимомы. Тимэктомия позволяет добиться временной ремиссии заболевания.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Е. </w:t>
      </w:r>
      <w:r w:rsidRPr="005229E9">
        <w:rPr>
          <w:sz w:val="24"/>
          <w:szCs w:val="24"/>
        </w:rPr>
        <w:t xml:space="preserve">Если при обследовании оказалось, что общее содержание каких-либо гормонов или ионов значительно превышает норму, но клинические проявления избытка этих веществ отсутствуют, следует заподозрить наличие соответствующих аутоантител. Чтобы установить диагноз, определяют уровни свободных гормонов или ионов и направляют пробы сыворотки в специализированные лаборатории для выявления аутоантител. Отличить аутоантитела к эндогенному инсулину от антител, образующихся в ответ на экзогенный инсулин, очень трудно; для этого требуются сложные методики. </w:t>
      </w:r>
    </w:p>
    <w:p w:rsidR="005229E9" w:rsidRPr="005229E9" w:rsidRDefault="005229E9" w:rsidP="005229E9">
      <w:pPr>
        <w:widowControl/>
        <w:autoSpaceDE/>
        <w:autoSpaceDN/>
        <w:adjustRightInd/>
        <w:spacing w:before="30"/>
        <w:ind w:left="300" w:hanging="300"/>
        <w:jc w:val="both"/>
        <w:rPr>
          <w:sz w:val="24"/>
          <w:szCs w:val="24"/>
        </w:rPr>
      </w:pPr>
      <w:r w:rsidRPr="005229E9">
        <w:rPr>
          <w:rFonts w:ascii="Arial" w:hAnsi="Arial" w:cs="Arial"/>
          <w:b/>
          <w:bCs/>
          <w:sz w:val="24"/>
          <w:szCs w:val="24"/>
        </w:rPr>
        <w:t>IV. Лечение</w:t>
      </w:r>
      <w:r w:rsidRPr="005229E9">
        <w:rPr>
          <w:sz w:val="24"/>
          <w:szCs w:val="24"/>
        </w:rPr>
        <w:t xml:space="preserve">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А. </w:t>
      </w:r>
      <w:r w:rsidRPr="005229E9">
        <w:rPr>
          <w:sz w:val="24"/>
          <w:szCs w:val="24"/>
        </w:rPr>
        <w:t xml:space="preserve">Чтобы предупредить гипоадреналовый криз у больных с нелеченной первичной надпочечниковой недостаточностью и гипотиреозом, </w:t>
      </w:r>
      <w:r w:rsidRPr="005229E9">
        <w:rPr>
          <w:rFonts w:ascii="Arial" w:hAnsi="Arial" w:cs="Arial"/>
          <w:b/>
          <w:bCs/>
          <w:sz w:val="24"/>
          <w:szCs w:val="24"/>
        </w:rPr>
        <w:t>стероиды назначают до начала заместительной терапии левотироксином</w:t>
      </w:r>
      <w:r w:rsidRPr="005229E9">
        <w:rPr>
          <w:sz w:val="24"/>
          <w:szCs w:val="24"/>
        </w:rPr>
        <w:t xml:space="preserve">. Считается, что левотироксин ускоряет метаболизм остаточного кортизола и тем самым усугубляет надпочечниковую недостаточность. Главная задача ведения больных аутоиммунным полигландулярным синдромом типа I и II и их родственников — выявление доклинических стадий гипотиреоза, надпочечниковой недостаточности и аутоиммунного гастрита.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Б. </w:t>
      </w:r>
      <w:r w:rsidRPr="005229E9">
        <w:rPr>
          <w:sz w:val="24"/>
          <w:szCs w:val="24"/>
        </w:rPr>
        <w:t xml:space="preserve">Течение заболеваний, обусловленных аутоантителами к рецепторам инсулина, непредсказуемо. У одних больных наблюдаются ремиссии, у других возникают приступы тяжелой гипогликемии, третьим не помогает даже в/в инфузия больших доз инсулина. В </w:t>
      </w:r>
      <w:r w:rsidRPr="005229E9">
        <w:rPr>
          <w:sz w:val="24"/>
          <w:szCs w:val="24"/>
        </w:rPr>
        <w:lastRenderedPageBreak/>
        <w:t xml:space="preserve">некоторых случаях неплохие результаты дает плазмаферез. Другие методы иммунотерапии разработаны недостаточно.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В. </w:t>
      </w:r>
      <w:r w:rsidRPr="005229E9">
        <w:rPr>
          <w:sz w:val="24"/>
          <w:szCs w:val="24"/>
        </w:rPr>
        <w:t xml:space="preserve">Лечение при синдроме POEMS должно быть направлено в первую очередь на устранение плазмоцитомы. Лучевая терапия позволяет добиться регрессии опухоли и обеспечить длительную ремиссию. Инсулинонезависимый сахарный диабет поддается лечению малыми дозами инсулина (п/к инъекции).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Г. </w:t>
      </w:r>
      <w:r w:rsidRPr="005229E9">
        <w:rPr>
          <w:sz w:val="24"/>
          <w:szCs w:val="24"/>
        </w:rPr>
        <w:t xml:space="preserve">Удаление тимомы, проведенное опытным хирургом, обеспечивает, по крайней мере, временную ремиссию у больных с тяжелыми нарушениями аутоиммунитета.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Д. </w:t>
      </w:r>
      <w:r w:rsidRPr="005229E9">
        <w:rPr>
          <w:sz w:val="24"/>
          <w:szCs w:val="24"/>
        </w:rPr>
        <w:t xml:space="preserve">При синдромах, обусловленных аутоантителами к гормонам или ионам, необходимость в заместительной терапии часто отсутствует, поскольку концентрации свободных гормонов или ионов остаются нормальными. </w:t>
      </w:r>
    </w:p>
    <w:p w:rsidR="005229E9" w:rsidRPr="005229E9" w:rsidRDefault="005229E9" w:rsidP="005229E9">
      <w:pPr>
        <w:widowControl/>
        <w:autoSpaceDE/>
        <w:autoSpaceDN/>
        <w:adjustRightInd/>
        <w:spacing w:before="30"/>
        <w:ind w:left="600" w:hanging="300"/>
        <w:jc w:val="both"/>
        <w:rPr>
          <w:sz w:val="24"/>
          <w:szCs w:val="24"/>
        </w:rPr>
      </w:pPr>
      <w:r w:rsidRPr="005229E9">
        <w:rPr>
          <w:rFonts w:ascii="Arial" w:hAnsi="Arial" w:cs="Arial"/>
          <w:b/>
          <w:bCs/>
          <w:sz w:val="24"/>
          <w:szCs w:val="24"/>
        </w:rPr>
        <w:t xml:space="preserve">Е. </w:t>
      </w:r>
      <w:r w:rsidRPr="005229E9">
        <w:rPr>
          <w:sz w:val="24"/>
          <w:szCs w:val="24"/>
        </w:rPr>
        <w:t xml:space="preserve">В настоящее время проводятся программы первичной профилактики инсулинозависимого сахарного диабета (см. гл. 43, п. II). Первичная профилактика включает мероприятия, проводимые </w:t>
      </w:r>
      <w:r w:rsidRPr="005229E9">
        <w:rPr>
          <w:rFonts w:ascii="Arial" w:hAnsi="Arial" w:cs="Arial"/>
          <w:b/>
          <w:bCs/>
          <w:sz w:val="24"/>
          <w:szCs w:val="24"/>
        </w:rPr>
        <w:t>в доклиническом периоде инсулинозависимого сахарного диабета.</w:t>
      </w:r>
      <w:r w:rsidRPr="005229E9">
        <w:rPr>
          <w:sz w:val="24"/>
          <w:szCs w:val="24"/>
        </w:rPr>
        <w:t xml:space="preserve"> По нашему мнению, самый простой способ первичной профилактики — это прием малых доз инсулина внутрь либо введение малых доз инсулина п/к. В экспериментах на животных с генетически детерминированным сахарным диабетом показано, что такое лечение предотвращает аутоиммунный инсулит. Важнейшие этапы первичной профилактики инсулинозависимого сахарного диабета — это выявление лиц в доклиническом периоде болезни и прогнозирование ее развития путем определения аутоантител к различным антигенам островковых клеток. При прогнозировании инсулинозависимого сахарного диабета у больных с аутоиммунными полигландулярными синдромами и их родственников необходимо учитывать особенности аутоантител при этих синдромах. </w:t>
      </w:r>
    </w:p>
    <w:p w:rsidR="005D1C1F" w:rsidRPr="002273DF" w:rsidRDefault="005229E9" w:rsidP="00900DE2">
      <w:pPr>
        <w:widowControl/>
        <w:autoSpaceDE/>
        <w:autoSpaceDN/>
        <w:adjustRightInd/>
        <w:spacing w:before="100" w:beforeAutospacing="1" w:after="100" w:afterAutospacing="1"/>
        <w:jc w:val="both"/>
        <w:outlineLvl w:val="1"/>
        <w:rPr>
          <w:sz w:val="36"/>
          <w:szCs w:val="36"/>
        </w:rPr>
      </w:pPr>
      <w:r w:rsidRPr="005229E9">
        <w:rPr>
          <w:rFonts w:ascii="Arial" w:hAnsi="Arial" w:cs="Arial"/>
          <w:b/>
          <w:bCs/>
        </w:rPr>
        <w:br w:type="page"/>
      </w:r>
      <w:bookmarkEnd w:id="38"/>
      <w:bookmarkEnd w:id="39"/>
      <w:r w:rsidR="005D1C1F" w:rsidRPr="002273DF">
        <w:rPr>
          <w:b/>
          <w:bCs/>
          <w:sz w:val="36"/>
          <w:szCs w:val="36"/>
        </w:rPr>
        <w:lastRenderedPageBreak/>
        <w:t xml:space="preserve">Литература </w:t>
      </w:r>
    </w:p>
    <w:p w:rsidR="00EE6005" w:rsidRPr="00161FB1" w:rsidRDefault="00EE6005" w:rsidP="00EE6005">
      <w:pPr>
        <w:pStyle w:val="literature"/>
        <w:numPr>
          <w:ilvl w:val="0"/>
          <w:numId w:val="14"/>
        </w:numPr>
        <w:jc w:val="both"/>
        <w:rPr>
          <w:lang w:val="en-US"/>
        </w:rPr>
      </w:pPr>
      <w:r w:rsidRPr="00161FB1">
        <w:rPr>
          <w:lang w:val="en-US"/>
        </w:rPr>
        <w:t xml:space="preserve">Baumgartner BR, Chezmar JL. Magnetic resonance imaging of the kidneys and adrenal glands. Semin Ultrasound CT MR 10:43, 1989. </w:t>
      </w:r>
    </w:p>
    <w:p w:rsidR="00EE6005" w:rsidRPr="00161FB1" w:rsidRDefault="00EE6005" w:rsidP="00EE6005">
      <w:pPr>
        <w:pStyle w:val="literature"/>
        <w:numPr>
          <w:ilvl w:val="0"/>
          <w:numId w:val="14"/>
        </w:numPr>
        <w:jc w:val="both"/>
        <w:rPr>
          <w:lang w:val="en-US"/>
        </w:rPr>
      </w:pPr>
      <w:r w:rsidRPr="00161FB1">
        <w:rPr>
          <w:lang w:val="en-US"/>
        </w:rPr>
        <w:t xml:space="preserve">Beierwaltes WH. Clinical Applications of </w:t>
      </w:r>
      <w:r w:rsidRPr="00161FB1">
        <w:rPr>
          <w:vertAlign w:val="superscript"/>
          <w:lang w:val="en-US"/>
        </w:rPr>
        <w:t>131</w:t>
      </w:r>
      <w:r w:rsidRPr="00161FB1">
        <w:rPr>
          <w:lang w:val="en-US"/>
        </w:rPr>
        <w:t xml:space="preserve">I-labeled Metaiodobenzyl-guanidine. Yearbook Nucl Med Pp. 17, 1987. </w:t>
      </w:r>
    </w:p>
    <w:p w:rsidR="00EE6005" w:rsidRPr="00161FB1" w:rsidRDefault="00EE6005" w:rsidP="00EE6005">
      <w:pPr>
        <w:pStyle w:val="literature"/>
        <w:numPr>
          <w:ilvl w:val="0"/>
          <w:numId w:val="14"/>
        </w:numPr>
        <w:jc w:val="both"/>
        <w:rPr>
          <w:lang w:val="en-US"/>
        </w:rPr>
      </w:pPr>
      <w:r w:rsidRPr="00161FB1">
        <w:rPr>
          <w:lang w:val="en-US"/>
        </w:rPr>
        <w:t xml:space="preserve">Bomanji J, et al. Imaging neural crest tumors with </w:t>
      </w:r>
      <w:r w:rsidRPr="00161FB1">
        <w:rPr>
          <w:vertAlign w:val="superscript"/>
          <w:lang w:val="en-US"/>
        </w:rPr>
        <w:t>123</w:t>
      </w:r>
      <w:r w:rsidRPr="00161FB1">
        <w:rPr>
          <w:lang w:val="en-US"/>
        </w:rPr>
        <w:t xml:space="preserve">I-metaiodobenzylguanidine and x-ray computed tomography: A comparative study. Clin Radiol 39:502, 1988. </w:t>
      </w:r>
    </w:p>
    <w:p w:rsidR="00EE6005" w:rsidRPr="00161FB1" w:rsidRDefault="00EE6005" w:rsidP="00EE6005">
      <w:pPr>
        <w:pStyle w:val="literature"/>
        <w:numPr>
          <w:ilvl w:val="0"/>
          <w:numId w:val="14"/>
        </w:numPr>
        <w:jc w:val="both"/>
        <w:rPr>
          <w:lang w:val="en-US"/>
        </w:rPr>
      </w:pPr>
      <w:r w:rsidRPr="00161FB1">
        <w:rPr>
          <w:lang w:val="en-US"/>
        </w:rPr>
        <w:t xml:space="preserve">Brown RS, et al. An apparent cluster of congenital hypopituitarism in central Massachusetts: Magnetic resonance imaging and hormonal studies. J Clin Endocrinol Metab 72:12, 1991. </w:t>
      </w:r>
    </w:p>
    <w:p w:rsidR="00EE6005" w:rsidRPr="00161FB1" w:rsidRDefault="00EE6005" w:rsidP="00EE6005">
      <w:pPr>
        <w:pStyle w:val="literature"/>
        <w:numPr>
          <w:ilvl w:val="0"/>
          <w:numId w:val="14"/>
        </w:numPr>
        <w:jc w:val="both"/>
        <w:rPr>
          <w:lang w:val="en-US"/>
        </w:rPr>
      </w:pPr>
      <w:r w:rsidRPr="00161FB1">
        <w:rPr>
          <w:lang w:val="en-US"/>
        </w:rPr>
        <w:t xml:space="preserve">Chakeres DW, et al. Magnetic resonance imaging of pituitary and parasellar abnormalities. Radiol Clin North Am 27:265, 1989. </w:t>
      </w:r>
    </w:p>
    <w:p w:rsidR="00EE6005" w:rsidRPr="00161FB1" w:rsidRDefault="00EE6005" w:rsidP="00EE6005">
      <w:pPr>
        <w:pStyle w:val="literature"/>
        <w:numPr>
          <w:ilvl w:val="0"/>
          <w:numId w:val="14"/>
        </w:numPr>
        <w:jc w:val="both"/>
        <w:rPr>
          <w:lang w:val="en-US"/>
        </w:rPr>
      </w:pPr>
      <w:r w:rsidRPr="00161FB1">
        <w:rPr>
          <w:lang w:val="en-US"/>
        </w:rPr>
        <w:t xml:space="preserve">Geisinger MA, et al. Primary hyperaldosteronism: Comparison of CT, adrenal venography and venous sampling. AJR 141:203, 1983. </w:t>
      </w:r>
    </w:p>
    <w:p w:rsidR="00EE6005" w:rsidRPr="00161FB1" w:rsidRDefault="00EE6005" w:rsidP="00EE6005">
      <w:pPr>
        <w:pStyle w:val="literature"/>
        <w:numPr>
          <w:ilvl w:val="0"/>
          <w:numId w:val="14"/>
        </w:numPr>
        <w:jc w:val="both"/>
        <w:rPr>
          <w:lang w:val="en-US"/>
        </w:rPr>
      </w:pPr>
      <w:r w:rsidRPr="00161FB1">
        <w:rPr>
          <w:lang w:val="en-US"/>
        </w:rPr>
        <w:t xml:space="preserve">Guy RL, et al. A comparison of CT and MRI in the assessment of the pituitary and parasellar region. Clin Radiol 43:156, 1991. </w:t>
      </w:r>
    </w:p>
    <w:p w:rsidR="00EE6005" w:rsidRPr="00161FB1" w:rsidRDefault="00EE6005" w:rsidP="00EE6005">
      <w:pPr>
        <w:pStyle w:val="literature"/>
        <w:numPr>
          <w:ilvl w:val="0"/>
          <w:numId w:val="14"/>
        </w:numPr>
        <w:jc w:val="both"/>
        <w:rPr>
          <w:lang w:val="en-US"/>
        </w:rPr>
      </w:pPr>
      <w:r w:rsidRPr="00161FB1">
        <w:rPr>
          <w:lang w:val="en-US"/>
        </w:rPr>
        <w:t xml:space="preserve">Lunderquist A. Radiologic diagnosis of neuroendocrine tumors. Acta Oncol 28:371, 1989. </w:t>
      </w:r>
    </w:p>
    <w:p w:rsidR="00EE6005" w:rsidRPr="00161FB1" w:rsidRDefault="00EE6005" w:rsidP="00EE6005">
      <w:pPr>
        <w:pStyle w:val="literature"/>
        <w:numPr>
          <w:ilvl w:val="0"/>
          <w:numId w:val="14"/>
        </w:numPr>
        <w:jc w:val="both"/>
        <w:rPr>
          <w:lang w:val="en-US"/>
        </w:rPr>
      </w:pPr>
      <w:r w:rsidRPr="00161FB1">
        <w:rPr>
          <w:lang w:val="en-US"/>
        </w:rPr>
        <w:t xml:space="preserve">Moulton JS. CT of the adrenal glands. Semin Roentgenol 23:288, 1988. </w:t>
      </w:r>
    </w:p>
    <w:p w:rsidR="00EE6005" w:rsidRPr="00161FB1" w:rsidRDefault="00EE6005" w:rsidP="00EE6005">
      <w:pPr>
        <w:pStyle w:val="literature"/>
        <w:numPr>
          <w:ilvl w:val="0"/>
          <w:numId w:val="14"/>
        </w:numPr>
        <w:jc w:val="both"/>
        <w:rPr>
          <w:lang w:val="en-US"/>
        </w:rPr>
      </w:pPr>
      <w:r w:rsidRPr="00161FB1">
        <w:rPr>
          <w:lang w:val="en-US"/>
        </w:rPr>
        <w:t xml:space="preserve">Noyek AM, et al. Diagnostic imaging of the thyroid gland. In S Falk (ed), Thyroid Disease: Endocrinology, Surgery, Nuclear Medicine and Radiotherapy. New York: Raven, 1990. Pp. 79. </w:t>
      </w:r>
    </w:p>
    <w:p w:rsidR="00EE6005" w:rsidRPr="00161FB1" w:rsidRDefault="00EE6005" w:rsidP="00EE6005">
      <w:pPr>
        <w:pStyle w:val="literature"/>
        <w:numPr>
          <w:ilvl w:val="0"/>
          <w:numId w:val="14"/>
        </w:numPr>
        <w:jc w:val="both"/>
        <w:rPr>
          <w:lang w:val="en-US"/>
        </w:rPr>
      </w:pPr>
      <w:r w:rsidRPr="00161FB1">
        <w:rPr>
          <w:lang w:val="en-US"/>
        </w:rPr>
        <w:t xml:space="preserve">Thornhill BA, et al. Adrenal and pseudoadrenal masses: CT and US findings. Crit Rev Diagn Imaging 28:1, 1988. </w:t>
      </w:r>
    </w:p>
    <w:p w:rsidR="00EE6005" w:rsidRPr="00D25CCC" w:rsidRDefault="00EE6005" w:rsidP="00EE6005">
      <w:pPr>
        <w:pStyle w:val="literature"/>
        <w:numPr>
          <w:ilvl w:val="0"/>
          <w:numId w:val="14"/>
        </w:numPr>
        <w:jc w:val="both"/>
        <w:rPr>
          <w:lang w:val="en-US"/>
        </w:rPr>
      </w:pPr>
      <w:r w:rsidRPr="00D25CCC">
        <w:rPr>
          <w:lang w:val="en-US"/>
        </w:rPr>
        <w:t xml:space="preserve">Cady B, Rossi R (ed), Surgery of the Thyroid and Parathyroid Glands (3rd ed). Philadelphia: Saunders, 1991. </w:t>
      </w:r>
    </w:p>
    <w:p w:rsidR="00EE6005" w:rsidRPr="00D25CCC" w:rsidRDefault="00EE6005" w:rsidP="00EE6005">
      <w:pPr>
        <w:pStyle w:val="literature"/>
        <w:numPr>
          <w:ilvl w:val="0"/>
          <w:numId w:val="14"/>
        </w:numPr>
        <w:jc w:val="both"/>
        <w:rPr>
          <w:lang w:val="en-US"/>
        </w:rPr>
      </w:pPr>
      <w:r w:rsidRPr="00D25CCC">
        <w:rPr>
          <w:lang w:val="en-US"/>
        </w:rPr>
        <w:t xml:space="preserve">Clark O. Endocrine Surgery of the Thyroid and Parathyroid Glands. St. Louis: Mosby, 1985. </w:t>
      </w:r>
    </w:p>
    <w:p w:rsidR="00EE6005" w:rsidRPr="00D25CCC" w:rsidRDefault="00EE6005" w:rsidP="00EE6005">
      <w:pPr>
        <w:pStyle w:val="literature"/>
        <w:numPr>
          <w:ilvl w:val="0"/>
          <w:numId w:val="14"/>
        </w:numPr>
        <w:jc w:val="both"/>
        <w:rPr>
          <w:lang w:val="en-US"/>
        </w:rPr>
      </w:pPr>
      <w:r w:rsidRPr="00D25CCC">
        <w:rPr>
          <w:lang w:val="en-US"/>
        </w:rPr>
        <w:t xml:space="preserve">Clark O, Weber C (eds), Endocrine Surgery. Surg Clin North Am, 67:197, 1987. Philadelphia: Saunders. </w:t>
      </w:r>
    </w:p>
    <w:p w:rsidR="00EE6005" w:rsidRPr="00D25CCC" w:rsidRDefault="00EE6005" w:rsidP="00EE6005">
      <w:pPr>
        <w:pStyle w:val="literature"/>
        <w:numPr>
          <w:ilvl w:val="0"/>
          <w:numId w:val="14"/>
        </w:numPr>
        <w:jc w:val="both"/>
        <w:rPr>
          <w:lang w:val="en-US"/>
        </w:rPr>
      </w:pPr>
      <w:r w:rsidRPr="00D25CCC">
        <w:rPr>
          <w:lang w:val="en-US"/>
        </w:rPr>
        <w:t xml:space="preserve">Friesen S, Thompson N (eds), Surgical Endocrinology: Clinical Syndromes (2nd ed). Philadelphia: Lippincott, 1990. </w:t>
      </w:r>
    </w:p>
    <w:p w:rsidR="00EE6005" w:rsidRPr="00D25CCC" w:rsidRDefault="00EE6005" w:rsidP="00EE6005">
      <w:pPr>
        <w:pStyle w:val="literature"/>
        <w:numPr>
          <w:ilvl w:val="0"/>
          <w:numId w:val="14"/>
        </w:numPr>
        <w:jc w:val="both"/>
        <w:rPr>
          <w:lang w:val="en-US"/>
        </w:rPr>
      </w:pPr>
      <w:r w:rsidRPr="00D25CCC">
        <w:rPr>
          <w:lang w:val="en-US"/>
        </w:rPr>
        <w:t xml:space="preserve">5. Greenspan F (ed), Thyroid diseases. Med Clin North Am 75:1, 1991. </w:t>
      </w:r>
    </w:p>
    <w:p w:rsidR="00EE6005" w:rsidRPr="00D25CCC" w:rsidRDefault="00EE6005" w:rsidP="00EE6005">
      <w:pPr>
        <w:pStyle w:val="literature"/>
        <w:numPr>
          <w:ilvl w:val="0"/>
          <w:numId w:val="14"/>
        </w:numPr>
        <w:jc w:val="both"/>
        <w:rPr>
          <w:lang w:val="en-US"/>
        </w:rPr>
      </w:pPr>
      <w:r w:rsidRPr="00D25CCC">
        <w:rPr>
          <w:lang w:val="en-US"/>
        </w:rPr>
        <w:t xml:space="preserve">6. Greer M. The thyroid gland. In Comprehensive Endocrinology. New York: Raven, 1990. </w:t>
      </w:r>
    </w:p>
    <w:p w:rsidR="00EE6005" w:rsidRPr="00D25CCC" w:rsidRDefault="00EE6005" w:rsidP="00EE6005">
      <w:pPr>
        <w:pStyle w:val="literature"/>
        <w:numPr>
          <w:ilvl w:val="0"/>
          <w:numId w:val="14"/>
        </w:numPr>
        <w:jc w:val="both"/>
        <w:rPr>
          <w:lang w:val="en-US"/>
        </w:rPr>
      </w:pPr>
      <w:r w:rsidRPr="00D25CCC">
        <w:rPr>
          <w:lang w:val="en-US"/>
        </w:rPr>
        <w:t xml:space="preserve">Kaplan M (ed). Thyroid carcinoma. Endocrinol Metab Clin North Am, 19:469, 1990. </w:t>
      </w:r>
    </w:p>
    <w:p w:rsidR="00EE6005" w:rsidRPr="00D25CCC" w:rsidRDefault="00EE6005" w:rsidP="00EE6005">
      <w:pPr>
        <w:pStyle w:val="literature"/>
        <w:numPr>
          <w:ilvl w:val="0"/>
          <w:numId w:val="14"/>
        </w:numPr>
        <w:jc w:val="both"/>
        <w:rPr>
          <w:lang w:val="en-US"/>
        </w:rPr>
      </w:pPr>
      <w:r w:rsidRPr="00D25CCC">
        <w:rPr>
          <w:lang w:val="en-US"/>
        </w:rPr>
        <w:t xml:space="preserve">Kaye T, Crapo L. The Cushing syndrome: An update on diagnostic tests. Ann Intern Med 112:434, 1990. </w:t>
      </w:r>
    </w:p>
    <w:p w:rsidR="00EE6005" w:rsidRPr="00D25CCC" w:rsidRDefault="00EE6005" w:rsidP="00EE6005">
      <w:pPr>
        <w:pStyle w:val="literature"/>
        <w:numPr>
          <w:ilvl w:val="0"/>
          <w:numId w:val="14"/>
        </w:numPr>
        <w:jc w:val="both"/>
        <w:rPr>
          <w:lang w:val="en-US"/>
        </w:rPr>
      </w:pPr>
      <w:r w:rsidRPr="00D25CCC">
        <w:rPr>
          <w:lang w:val="en-US"/>
        </w:rPr>
        <w:t xml:space="preserve">Marcus R (ed). Hypercalcemia. Endocrinol Metab Clin North Am, 18:601, 1989. </w:t>
      </w:r>
    </w:p>
    <w:p w:rsidR="00EE6005" w:rsidRPr="00EE6005" w:rsidRDefault="00EE6005" w:rsidP="00EE6005">
      <w:pPr>
        <w:pStyle w:val="literature"/>
        <w:numPr>
          <w:ilvl w:val="0"/>
          <w:numId w:val="14"/>
        </w:numPr>
        <w:jc w:val="both"/>
        <w:rPr>
          <w:lang w:val="en-US"/>
        </w:rPr>
      </w:pPr>
      <w:r w:rsidRPr="00D25CCC">
        <w:rPr>
          <w:lang w:val="en-US"/>
        </w:rPr>
        <w:t xml:space="preserve">Van Heerden JA (ed), Common Problems in Endocrine Surgery. </w:t>
      </w:r>
      <w:r w:rsidRPr="00EE6005">
        <w:rPr>
          <w:lang w:val="en-US"/>
        </w:rPr>
        <w:t xml:space="preserve">Chicago: Year Book, 1989. </w:t>
      </w:r>
    </w:p>
    <w:p w:rsidR="00EE6005" w:rsidRPr="008C14B9" w:rsidRDefault="00EE6005" w:rsidP="00EE6005">
      <w:pPr>
        <w:pStyle w:val="literature"/>
        <w:numPr>
          <w:ilvl w:val="0"/>
          <w:numId w:val="14"/>
        </w:numPr>
        <w:jc w:val="both"/>
        <w:rPr>
          <w:lang w:val="en-US"/>
        </w:rPr>
      </w:pPr>
      <w:r w:rsidRPr="008C14B9">
        <w:rPr>
          <w:lang w:val="en-US"/>
        </w:rPr>
        <w:t xml:space="preserve">Balsan S, et al. Rickets and alopecia with resistance to 1,25-dihydroxy vitamin D: Two different clinical courses with two different cellular defects. J Clin Endocrinol Metab 57:803, 1983. </w:t>
      </w:r>
    </w:p>
    <w:p w:rsidR="00EE6005" w:rsidRPr="008C14B9" w:rsidRDefault="00EE6005" w:rsidP="00EE6005">
      <w:pPr>
        <w:pStyle w:val="literature"/>
        <w:numPr>
          <w:ilvl w:val="0"/>
          <w:numId w:val="14"/>
        </w:numPr>
        <w:jc w:val="both"/>
        <w:rPr>
          <w:lang w:val="en-US"/>
        </w:rPr>
      </w:pPr>
      <w:r w:rsidRPr="008C14B9">
        <w:rPr>
          <w:lang w:val="en-US"/>
        </w:rPr>
        <w:t xml:space="preserve">Bauer MF, et al. Pigmented pretibial patches: A cutaneous manifestation of diabetes mellitus. Arch Dermatol 93:282, 1966. </w:t>
      </w:r>
    </w:p>
    <w:p w:rsidR="00EE6005" w:rsidRPr="008C14B9" w:rsidRDefault="00EE6005" w:rsidP="00EE6005">
      <w:pPr>
        <w:pStyle w:val="literature"/>
        <w:numPr>
          <w:ilvl w:val="0"/>
          <w:numId w:val="14"/>
        </w:numPr>
        <w:jc w:val="both"/>
        <w:rPr>
          <w:lang w:val="en-US"/>
        </w:rPr>
      </w:pPr>
      <w:r w:rsidRPr="008C14B9">
        <w:rPr>
          <w:lang w:val="en-US"/>
        </w:rPr>
        <w:t xml:space="preserve">Binnick AN, et al. Glucagonoma syndrome: Report of two cases and literature review. Arch Dermatol 113:749, 1977. </w:t>
      </w:r>
    </w:p>
    <w:p w:rsidR="00EE6005" w:rsidRPr="008C14B9" w:rsidRDefault="00EE6005" w:rsidP="00EE6005">
      <w:pPr>
        <w:pStyle w:val="literature"/>
        <w:numPr>
          <w:ilvl w:val="0"/>
          <w:numId w:val="14"/>
        </w:numPr>
        <w:jc w:val="both"/>
        <w:rPr>
          <w:lang w:val="en-US"/>
        </w:rPr>
      </w:pPr>
      <w:r w:rsidRPr="008C14B9">
        <w:rPr>
          <w:lang w:val="en-US"/>
        </w:rPr>
        <w:lastRenderedPageBreak/>
        <w:t xml:space="preserve">Braverman IM. Skin Signs of Systemic Disease (2nd ed). Philadelphia: Saunders, 1981. </w:t>
      </w:r>
    </w:p>
    <w:p w:rsidR="00EE6005" w:rsidRPr="008C14B9" w:rsidRDefault="00EE6005" w:rsidP="00EE6005">
      <w:pPr>
        <w:pStyle w:val="literature"/>
        <w:numPr>
          <w:ilvl w:val="0"/>
          <w:numId w:val="14"/>
        </w:numPr>
        <w:jc w:val="both"/>
        <w:rPr>
          <w:lang w:val="en-US"/>
        </w:rPr>
      </w:pPr>
      <w:r w:rsidRPr="008C14B9">
        <w:rPr>
          <w:lang w:val="en-US"/>
        </w:rPr>
        <w:t xml:space="preserve">Brown J, Winkelmann RK. acanthosis nigricans: A study of 90 cases. Medicine 47:33, 1968. </w:t>
      </w:r>
    </w:p>
    <w:p w:rsidR="00EE6005" w:rsidRPr="008C14B9" w:rsidRDefault="00EE6005" w:rsidP="00EE6005">
      <w:pPr>
        <w:pStyle w:val="literature"/>
        <w:numPr>
          <w:ilvl w:val="0"/>
          <w:numId w:val="14"/>
        </w:numPr>
        <w:jc w:val="both"/>
        <w:rPr>
          <w:lang w:val="en-US"/>
        </w:rPr>
      </w:pPr>
      <w:r w:rsidRPr="008C14B9">
        <w:rPr>
          <w:lang w:val="en-US"/>
        </w:rPr>
        <w:t xml:space="preserve">Demis DJ, et al. Clinical Dermatology (10th ed). Philadelphia: Harper &amp; Row, 1983. </w:t>
      </w:r>
    </w:p>
    <w:p w:rsidR="00EE6005" w:rsidRPr="008C14B9" w:rsidRDefault="00EE6005" w:rsidP="00EE6005">
      <w:pPr>
        <w:pStyle w:val="literature"/>
        <w:numPr>
          <w:ilvl w:val="0"/>
          <w:numId w:val="14"/>
        </w:numPr>
        <w:jc w:val="both"/>
        <w:rPr>
          <w:lang w:val="en-US"/>
        </w:rPr>
      </w:pPr>
      <w:r w:rsidRPr="008C14B9">
        <w:rPr>
          <w:lang w:val="en-US"/>
        </w:rPr>
        <w:t xml:space="preserve">Hatch R, et al. Hirsutism: Implications, etiology, and management. Am J Obstet Gynecol 140:815, 1981. </w:t>
      </w:r>
    </w:p>
    <w:p w:rsidR="00EE6005" w:rsidRPr="008C14B9" w:rsidRDefault="00EE6005" w:rsidP="00EE6005">
      <w:pPr>
        <w:pStyle w:val="literature"/>
        <w:numPr>
          <w:ilvl w:val="0"/>
          <w:numId w:val="14"/>
        </w:numPr>
        <w:jc w:val="both"/>
        <w:rPr>
          <w:lang w:val="en-US"/>
        </w:rPr>
      </w:pPr>
      <w:r w:rsidRPr="008C14B9">
        <w:rPr>
          <w:lang w:val="en-US"/>
        </w:rPr>
        <w:t xml:space="preserve">Kahn CR, et al. The syndromes of insulin resistance and acanthosis nigricans. N Engl J Med 294:739, 1974. </w:t>
      </w:r>
    </w:p>
    <w:p w:rsidR="00EE6005" w:rsidRPr="008C14B9" w:rsidRDefault="00EE6005" w:rsidP="00EE6005">
      <w:pPr>
        <w:pStyle w:val="literature"/>
        <w:numPr>
          <w:ilvl w:val="0"/>
          <w:numId w:val="14"/>
        </w:numPr>
        <w:jc w:val="both"/>
        <w:rPr>
          <w:lang w:val="en-US"/>
        </w:rPr>
      </w:pPr>
      <w:r w:rsidRPr="008C14B9">
        <w:rPr>
          <w:lang w:val="en-US"/>
        </w:rPr>
        <w:t xml:space="preserve">9. Khairi MRA, et al. Mucosal neuroma, pheochromocytoma, and medullary thyroid carcinoma: Multiple endocrine neoplasia type 3. Medicine 54:89, 1975. </w:t>
      </w:r>
    </w:p>
    <w:p w:rsidR="00EE6005" w:rsidRPr="008C14B9" w:rsidRDefault="00EE6005" w:rsidP="00EE6005">
      <w:pPr>
        <w:pStyle w:val="literature"/>
        <w:numPr>
          <w:ilvl w:val="0"/>
          <w:numId w:val="14"/>
        </w:numPr>
        <w:jc w:val="both"/>
        <w:rPr>
          <w:lang w:val="en-US"/>
        </w:rPr>
      </w:pPr>
      <w:r w:rsidRPr="008C14B9">
        <w:rPr>
          <w:lang w:val="en-US"/>
        </w:rPr>
        <w:t xml:space="preserve">Lucky AW. Congenital Hypothyroidism. In J Demis, R Dobson, J McGuire (eds), Clinical Dermatology. Philadelphia: Harper &amp; Row, 1982. Units 12—32. </w:t>
      </w:r>
    </w:p>
    <w:p w:rsidR="00EE6005" w:rsidRPr="008C14B9" w:rsidRDefault="00EE6005" w:rsidP="00EE6005">
      <w:pPr>
        <w:pStyle w:val="literature"/>
        <w:numPr>
          <w:ilvl w:val="0"/>
          <w:numId w:val="14"/>
        </w:numPr>
        <w:jc w:val="both"/>
        <w:rPr>
          <w:lang w:val="en-US"/>
        </w:rPr>
      </w:pPr>
      <w:r w:rsidRPr="008C14B9">
        <w:rPr>
          <w:lang w:val="en-US"/>
        </w:rPr>
        <w:t xml:space="preserve">Lucky AW. Thyroid Acropachy. In J Demis, R Dobson, J McGuire (eds), Clinical Dermatology. Philadelphia: Harper &amp; Row, 1982. Units 12—30. </w:t>
      </w:r>
    </w:p>
    <w:p w:rsidR="00EE6005" w:rsidRPr="008C14B9" w:rsidRDefault="00EE6005" w:rsidP="00EE6005">
      <w:pPr>
        <w:pStyle w:val="literature"/>
        <w:numPr>
          <w:ilvl w:val="0"/>
          <w:numId w:val="14"/>
        </w:numPr>
        <w:jc w:val="both"/>
        <w:rPr>
          <w:lang w:val="en-US"/>
        </w:rPr>
      </w:pPr>
      <w:r w:rsidRPr="008C14B9">
        <w:rPr>
          <w:lang w:val="en-US"/>
        </w:rPr>
        <w:t xml:space="preserve">Lucky AW, Masters R. Cutaneous Mucinoses. In J Demis, R Dobson, J McGuire (eds), Clinical Dermatology. Philadelphia: Harper &amp; Row, 1982. Units 12—31. </w:t>
      </w:r>
    </w:p>
    <w:p w:rsidR="00EE6005" w:rsidRDefault="00EE6005" w:rsidP="00EE6005">
      <w:pPr>
        <w:pStyle w:val="literature"/>
        <w:numPr>
          <w:ilvl w:val="0"/>
          <w:numId w:val="14"/>
        </w:numPr>
        <w:jc w:val="both"/>
      </w:pPr>
      <w:r w:rsidRPr="008C14B9">
        <w:rPr>
          <w:lang w:val="en-US"/>
        </w:rPr>
        <w:t xml:space="preserve">Muller S, Winkelmann RK. Necrobiosis lipoidica diabeticorum: A clinical and pathological investigation of 171 cases. </w:t>
      </w:r>
      <w:r>
        <w:t xml:space="preserve">Arch Dermatol 93:272, 1966. </w:t>
      </w:r>
    </w:p>
    <w:p w:rsidR="005229E9" w:rsidRPr="00401D27" w:rsidRDefault="005229E9" w:rsidP="005229E9">
      <w:pPr>
        <w:pStyle w:val="literature"/>
        <w:numPr>
          <w:ilvl w:val="0"/>
          <w:numId w:val="14"/>
        </w:numPr>
        <w:jc w:val="both"/>
        <w:rPr>
          <w:lang w:val="en-US"/>
        </w:rPr>
      </w:pPr>
      <w:r w:rsidRPr="00401D27">
        <w:rPr>
          <w:lang w:val="en-US"/>
        </w:rPr>
        <w:t>Ahonen</w:t>
      </w:r>
      <w:r w:rsidRPr="005229E9">
        <w:rPr>
          <w:lang w:val="en-US"/>
        </w:rPr>
        <w:t xml:space="preserve"> </w:t>
      </w:r>
      <w:r w:rsidRPr="00401D27">
        <w:rPr>
          <w:lang w:val="en-US"/>
        </w:rPr>
        <w:t>P</w:t>
      </w:r>
      <w:r w:rsidRPr="005229E9">
        <w:rPr>
          <w:lang w:val="en-US"/>
        </w:rPr>
        <w:t xml:space="preserve">, </w:t>
      </w:r>
      <w:r w:rsidRPr="00401D27">
        <w:rPr>
          <w:lang w:val="en-US"/>
        </w:rPr>
        <w:t>et</w:t>
      </w:r>
      <w:r w:rsidRPr="005229E9">
        <w:rPr>
          <w:lang w:val="en-US"/>
        </w:rPr>
        <w:t xml:space="preserve"> </w:t>
      </w:r>
      <w:r w:rsidRPr="00401D27">
        <w:rPr>
          <w:lang w:val="en-US"/>
        </w:rPr>
        <w:t>al</w:t>
      </w:r>
      <w:r w:rsidRPr="005229E9">
        <w:rPr>
          <w:lang w:val="en-US"/>
        </w:rPr>
        <w:t xml:space="preserve">. </w:t>
      </w:r>
      <w:r w:rsidRPr="00401D27">
        <w:rPr>
          <w:lang w:val="en-US"/>
        </w:rPr>
        <w:t xml:space="preserve">Clinical variation of autoimmune polyendocrinopathy-candidiasis-ectodermal dystrophy (APECED) in a series of 68 patients. N Engl J Med 322:1830, 1990. </w:t>
      </w:r>
    </w:p>
    <w:p w:rsidR="005229E9" w:rsidRPr="00401D27" w:rsidRDefault="005229E9" w:rsidP="005229E9">
      <w:pPr>
        <w:pStyle w:val="literature"/>
        <w:numPr>
          <w:ilvl w:val="0"/>
          <w:numId w:val="14"/>
        </w:numPr>
        <w:jc w:val="both"/>
        <w:rPr>
          <w:lang w:val="en-US"/>
        </w:rPr>
      </w:pPr>
      <w:r w:rsidRPr="00401D27">
        <w:rPr>
          <w:lang w:val="en-US"/>
        </w:rPr>
        <w:t xml:space="preserve">Annesley TM, et al. Artifactual hypercalcemia in multiple myeloma. Mayo Clin Proc 57:572, 1982. </w:t>
      </w:r>
    </w:p>
    <w:p w:rsidR="005229E9" w:rsidRPr="00401D27" w:rsidRDefault="005229E9" w:rsidP="005229E9">
      <w:pPr>
        <w:pStyle w:val="literature"/>
        <w:numPr>
          <w:ilvl w:val="0"/>
          <w:numId w:val="14"/>
        </w:numPr>
        <w:jc w:val="both"/>
        <w:rPr>
          <w:lang w:val="en-US"/>
        </w:rPr>
      </w:pPr>
      <w:r w:rsidRPr="00401D27">
        <w:rPr>
          <w:lang w:val="en-US"/>
        </w:rPr>
        <w:t xml:space="preserve">Bardwick PA, et al. Plasma cell dyscrasia with polyneuropathy, organomegaly endocrinopathy, M protein and skin changes: The POEMS syndrome. Medicine 59:311, 1980. </w:t>
      </w:r>
    </w:p>
    <w:p w:rsidR="005229E9" w:rsidRPr="00401D27" w:rsidRDefault="005229E9" w:rsidP="005229E9">
      <w:pPr>
        <w:pStyle w:val="literature"/>
        <w:numPr>
          <w:ilvl w:val="0"/>
          <w:numId w:val="14"/>
        </w:numPr>
        <w:jc w:val="both"/>
        <w:rPr>
          <w:lang w:val="en-US"/>
        </w:rPr>
      </w:pPr>
      <w:r w:rsidRPr="00401D27">
        <w:rPr>
          <w:lang w:val="en-US"/>
        </w:rPr>
        <w:t xml:space="preserve">Combs RM. Malignant thymoma, hypothyroidism and immune disorder. South Med J 61:337, 1968. </w:t>
      </w:r>
    </w:p>
    <w:p w:rsidR="005229E9" w:rsidRPr="00401D27" w:rsidRDefault="005229E9" w:rsidP="005229E9">
      <w:pPr>
        <w:pStyle w:val="literature"/>
        <w:numPr>
          <w:ilvl w:val="0"/>
          <w:numId w:val="14"/>
        </w:numPr>
        <w:jc w:val="both"/>
        <w:rPr>
          <w:lang w:val="en-US"/>
        </w:rPr>
      </w:pPr>
      <w:r w:rsidRPr="00401D27">
        <w:rPr>
          <w:lang w:val="en-US"/>
        </w:rPr>
        <w:t xml:space="preserve">Eisenbarth GS, Jackson R. The immunoendocrinopathy syndromes. In D Foster, P Wilson (eds), Williams Textbook of Endocrinology (8th ed). Philadelphia: Saunders, 1991. </w:t>
      </w:r>
    </w:p>
    <w:p w:rsidR="005229E9" w:rsidRPr="00401D27" w:rsidRDefault="005229E9" w:rsidP="005229E9">
      <w:pPr>
        <w:pStyle w:val="literature"/>
        <w:numPr>
          <w:ilvl w:val="0"/>
          <w:numId w:val="14"/>
        </w:numPr>
        <w:jc w:val="both"/>
        <w:rPr>
          <w:lang w:val="en-US"/>
        </w:rPr>
      </w:pPr>
      <w:r w:rsidRPr="00401D27">
        <w:rPr>
          <w:lang w:val="en-US"/>
        </w:rPr>
        <w:t xml:space="preserve">Genovese S, et al. Distinct cytoplasmic islet cell antibodies with different risks for type I (insulin-dependent) diabetes mellitus. Diabetologia 35:385, 1992. </w:t>
      </w:r>
    </w:p>
    <w:p w:rsidR="005229E9" w:rsidRPr="00401D27" w:rsidRDefault="005229E9" w:rsidP="005229E9">
      <w:pPr>
        <w:pStyle w:val="literature"/>
        <w:numPr>
          <w:ilvl w:val="0"/>
          <w:numId w:val="14"/>
        </w:numPr>
        <w:jc w:val="both"/>
        <w:rPr>
          <w:lang w:val="en-US"/>
        </w:rPr>
      </w:pPr>
      <w:r w:rsidRPr="00401D27">
        <w:rPr>
          <w:lang w:val="en-US"/>
        </w:rPr>
        <w:t xml:space="preserve">Gianani R, et al. Prognostically significant heterogeneity of cytoplasmic islet cell antibodies in relatives of patients with type I diabetes. Diabetes 41:347, 1992. </w:t>
      </w:r>
    </w:p>
    <w:p w:rsidR="005229E9" w:rsidRPr="00401D27" w:rsidRDefault="005229E9" w:rsidP="005229E9">
      <w:pPr>
        <w:pStyle w:val="literature"/>
        <w:numPr>
          <w:ilvl w:val="0"/>
          <w:numId w:val="14"/>
        </w:numPr>
        <w:jc w:val="both"/>
        <w:rPr>
          <w:lang w:val="en-US"/>
        </w:rPr>
      </w:pPr>
      <w:r w:rsidRPr="00401D27">
        <w:rPr>
          <w:lang w:val="en-US"/>
        </w:rPr>
        <w:t xml:space="preserve">Goldman J, et al. Characterization of circulating insulin and proinsulin-binding antibodies in autoimmune hypoglycemia. J Clin Invest 63:1050, 1979. </w:t>
      </w:r>
    </w:p>
    <w:p w:rsidR="005229E9" w:rsidRPr="00401D27" w:rsidRDefault="005229E9" w:rsidP="005229E9">
      <w:pPr>
        <w:pStyle w:val="literature"/>
        <w:numPr>
          <w:ilvl w:val="0"/>
          <w:numId w:val="14"/>
        </w:numPr>
        <w:jc w:val="both"/>
        <w:rPr>
          <w:lang w:val="en-US"/>
        </w:rPr>
      </w:pPr>
      <w:r w:rsidRPr="00401D27">
        <w:rPr>
          <w:lang w:val="en-US"/>
        </w:rPr>
        <w:t xml:space="preserve">Kahn CR, Harrison LC. Insulin receptor autoantibodies. In PJ Randle, DF Steiner, WJ Whelan (eds), Carbohydrate Metabolism and Its Disorders (vol III). London: Academic, 1981. Pp. 279. </w:t>
      </w:r>
    </w:p>
    <w:p w:rsidR="005229E9" w:rsidRPr="00401D27" w:rsidRDefault="005229E9" w:rsidP="005229E9">
      <w:pPr>
        <w:pStyle w:val="literature"/>
        <w:numPr>
          <w:ilvl w:val="0"/>
          <w:numId w:val="14"/>
        </w:numPr>
        <w:jc w:val="both"/>
        <w:rPr>
          <w:lang w:val="en-US"/>
        </w:rPr>
      </w:pPr>
      <w:r w:rsidRPr="00401D27">
        <w:rPr>
          <w:lang w:val="en-US"/>
        </w:rPr>
        <w:t xml:space="preserve">Keller RJ, et al. Insulin prophylaxis in individuals at high risk of type I diabetes. Lancet 341:927, 1993. </w:t>
      </w:r>
    </w:p>
    <w:p w:rsidR="005229E9" w:rsidRPr="00401D27" w:rsidRDefault="005229E9" w:rsidP="005229E9">
      <w:pPr>
        <w:pStyle w:val="literature"/>
        <w:numPr>
          <w:ilvl w:val="0"/>
          <w:numId w:val="14"/>
        </w:numPr>
        <w:jc w:val="both"/>
        <w:rPr>
          <w:lang w:val="en-US"/>
        </w:rPr>
      </w:pPr>
      <w:r w:rsidRPr="00401D27">
        <w:rPr>
          <w:lang w:val="en-US"/>
        </w:rPr>
        <w:t xml:space="preserve">Moroz LA, et al. Thyroid disease with monoclonal (immunoglobulin G) antibody to triiodothyronine and thyroxine. J Clin Endocrinol Metab 56:1009, 1983. </w:t>
      </w:r>
    </w:p>
    <w:p w:rsidR="005229E9" w:rsidRPr="00401D27" w:rsidRDefault="005229E9" w:rsidP="005229E9">
      <w:pPr>
        <w:pStyle w:val="literature"/>
        <w:numPr>
          <w:ilvl w:val="0"/>
          <w:numId w:val="14"/>
        </w:numPr>
        <w:jc w:val="both"/>
        <w:rPr>
          <w:lang w:val="en-US"/>
        </w:rPr>
      </w:pPr>
      <w:r w:rsidRPr="00401D27">
        <w:rPr>
          <w:lang w:val="en-US"/>
        </w:rPr>
        <w:t xml:space="preserve">Nagamine K, et al. Positional cloning of the APECED gene. Nat Genet, 174:393, 1997. </w:t>
      </w:r>
    </w:p>
    <w:p w:rsidR="005229E9" w:rsidRPr="00401D27" w:rsidRDefault="005229E9" w:rsidP="005229E9">
      <w:pPr>
        <w:pStyle w:val="literature"/>
        <w:numPr>
          <w:ilvl w:val="0"/>
          <w:numId w:val="14"/>
        </w:numPr>
        <w:jc w:val="both"/>
        <w:rPr>
          <w:lang w:val="en-US"/>
        </w:rPr>
      </w:pPr>
      <w:r w:rsidRPr="00401D27">
        <w:rPr>
          <w:lang w:val="en-US"/>
        </w:rPr>
        <w:t xml:space="preserve">Neufeld N, et al. Two types of autoimmune Addison's disease associated with difference polyglandular autoimmune (PGA) syndromes. Medicine 60:355, 1981. </w:t>
      </w:r>
    </w:p>
    <w:p w:rsidR="006D0C8C" w:rsidRPr="005229E9" w:rsidRDefault="005229E9" w:rsidP="005229E9">
      <w:pPr>
        <w:pStyle w:val="literature"/>
        <w:numPr>
          <w:ilvl w:val="0"/>
          <w:numId w:val="14"/>
        </w:numPr>
        <w:jc w:val="both"/>
        <w:rPr>
          <w:lang w:val="en-US"/>
        </w:rPr>
      </w:pPr>
      <w:r w:rsidRPr="005229E9">
        <w:rPr>
          <w:lang w:val="en-US"/>
        </w:rPr>
        <w:lastRenderedPageBreak/>
        <w:t xml:space="preserve">Pugliese A, et al. Genetics of susceptibility and resistance to insulin-dependent diabetes in stiff-man syndrome. </w:t>
      </w:r>
      <w:r>
        <w:t xml:space="preserve">Lancet 344:1027, 1994. </w:t>
      </w:r>
      <w:bookmarkStart w:id="137" w:name="_GoBack"/>
      <w:bookmarkEnd w:id="137"/>
    </w:p>
    <w:sectPr w:rsidR="006D0C8C" w:rsidRPr="005229E9" w:rsidSect="006D0C8C">
      <w:headerReference w:type="default" r:id="rId12"/>
      <w:headerReference w:type="first" r:id="rId13"/>
      <w:pgSz w:w="11906" w:h="16838" w:code="9"/>
      <w:pgMar w:top="2591" w:right="851" w:bottom="1559" w:left="1134" w:header="142" w:footer="115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5A6A" w:rsidRDefault="009C5A6A" w:rsidP="001E7D29">
      <w:r>
        <w:separator/>
      </w:r>
    </w:p>
  </w:endnote>
  <w:endnote w:type="continuationSeparator" w:id="0">
    <w:p w:rsidR="009C5A6A" w:rsidRDefault="009C5A6A" w:rsidP="001E7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5A6A" w:rsidRDefault="009C5A6A" w:rsidP="001E7D29">
      <w:r>
        <w:separator/>
      </w:r>
    </w:p>
  </w:footnote>
  <w:footnote w:type="continuationSeparator" w:id="0">
    <w:p w:rsidR="009C5A6A" w:rsidRDefault="009C5A6A" w:rsidP="001E7D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9E9" w:rsidRDefault="005229E9" w:rsidP="005F25B0">
    <w:pPr>
      <w:pStyle w:val="afff1"/>
    </w:pPr>
    <w:r w:rsidRPr="00FE777E">
      <w:rPr>
        <w:noProof/>
      </w:rPr>
      <mc:AlternateContent>
        <mc:Choice Requires="wps">
          <w:drawing>
            <wp:anchor distT="0" distB="0" distL="114300" distR="114300" simplePos="0" relativeHeight="251665408" behindDoc="1" locked="0" layoutInCell="1" allowOverlap="1" wp14:anchorId="74BFE3E3" wp14:editId="0096759A">
              <wp:simplePos x="0" y="0"/>
              <wp:positionH relativeFrom="column">
                <wp:posOffset>-554355</wp:posOffset>
              </wp:positionH>
              <wp:positionV relativeFrom="paragraph">
                <wp:posOffset>563880</wp:posOffset>
              </wp:positionV>
              <wp:extent cx="2833370" cy="722630"/>
              <wp:effectExtent l="19050" t="19050" r="24130" b="20320"/>
              <wp:wrapTight wrapText="bothSides">
                <wp:wrapPolygon edited="0">
                  <wp:start x="-145" y="-569"/>
                  <wp:lineTo x="-145" y="21638"/>
                  <wp:lineTo x="21639" y="21638"/>
                  <wp:lineTo x="21639" y="-569"/>
                  <wp:lineTo x="-145" y="-569"/>
                </wp:wrapPolygon>
              </wp:wrapTight>
              <wp:docPr id="2" name="Фигура 61">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Shape">
                  <wps:wsp>
                    <wps:cNvSpPr/>
                    <wps:spPr>
                      <a:xfrm>
                        <a:off x="0" y="0"/>
                        <a:ext cx="2833370" cy="722630"/>
                      </a:xfrm>
                      <a:prstGeom prst="rect">
                        <a:avLst/>
                      </a:prstGeom>
                      <a:ln w="38100">
                        <a:solidFill>
                          <a:schemeClr val="bg1"/>
                        </a:solidFill>
                        <a:miter lim="400000"/>
                      </a:ln>
                      <a:extLst>
                        <a:ext uri="{C572A759-6A51-4108-AA02-DFA0A04FC94B}">
                          <ma14:wrappingTextBoxFlag xmlns="" xmlns:w="http://schemas.openxmlformats.org/wordprocessingml/2006/main" xmlns:o="urn:schemas-microsoft-com:office:office" xmlns:v="urn:schemas-microsoft-com:vml" xmlns:w10="urn:schemas-microsoft-com:office:word" xmlns:ma14="http://schemas.microsoft.com/office/mac/drawingml/2011/main" xmlns:lc="http://schemas.openxmlformats.org/drawingml/2006/lockedCanvas" xmlns:p="http://schemas.openxmlformats.org/presentation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val="1"/>
                        </a:ext>
                      </a:extLst>
                    </wps:spPr>
                    <wps:txbx>
                      <w:txbxContent>
                        <w:p w:rsidR="005229E9" w:rsidRPr="00FA3FA4" w:rsidRDefault="005229E9"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74BFE3E3" id="Фигура 61" o:spid="_x0000_s1026" style="position:absolute;margin-left:-43.65pt;margin-top:44.4pt;width:223.1pt;height:56.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" filled="f" strokecolor="white [3212]" strokeweight="3pt">
              <v:stroke miterlimit="4"/>
              <v:textbox inset="1.5pt,1.5pt,1.5pt,1.5pt">
                <w:txbxContent>
                  <w:p w:rsidR="005229E9" w:rsidRPr="00FA3FA4" w:rsidRDefault="005229E9"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Pr="00FE777E">
      <w:rPr>
        <w:noProof/>
      </w:rPr>
      <w:drawing>
        <wp:anchor distT="0" distB="0" distL="114300" distR="114300" simplePos="0" relativeHeight="251666432" behindDoc="1" locked="0" layoutInCell="1" allowOverlap="1" wp14:anchorId="272A4B6C" wp14:editId="1C9C23BD">
          <wp:simplePos x="0" y="0"/>
          <wp:positionH relativeFrom="margin">
            <wp:posOffset>4912721</wp:posOffset>
          </wp:positionH>
          <wp:positionV relativeFrom="paragraph">
            <wp:posOffset>82018</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36" name="Рисунок 36"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4752">
      <w:rPr>
        <w:noProof/>
      </w:rPr>
      <mc:AlternateContent>
        <mc:Choice Requires="wpg">
          <w:drawing>
            <wp:anchor distT="0" distB="0" distL="114300" distR="114300" simplePos="0" relativeHeight="251659264" behindDoc="1" locked="0" layoutInCell="1" allowOverlap="1" wp14:anchorId="3E98740C" wp14:editId="79A8CA45">
              <wp:simplePos x="0" y="0"/>
              <wp:positionH relativeFrom="page">
                <wp:align>center</wp:align>
              </wp:positionH>
              <wp:positionV relativeFrom="page">
                <wp:align>center</wp:align>
              </wp:positionV>
              <wp:extent cx="7556500" cy="10865485"/>
              <wp:effectExtent l="0" t="0" r="2540" b="14605"/>
              <wp:wrapNone/>
              <wp:docPr id="29" name="Группа 29">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8" name="Полилиния: Фигура 8"/>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Полилиния: Фигура 9"/>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Полилиния: Фигура 12"/>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Полилиния: Фигура 13"/>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Полилиния: фигура 14"/>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chemeClr val="tx2"/>
                        </a:solidFill>
                        <a:ln w="9525" cap="flat">
                          <a:noFill/>
                          <a:prstDash val="solid"/>
                          <a:miter/>
                        </a:ln>
                      </wps:spPr>
                      <wps:txbx>
                        <w:txbxContent>
                          <w:p w:rsidR="005229E9" w:rsidRDefault="005229E9" w:rsidP="002273DF">
                            <w:pPr>
                              <w:jc w:val="center"/>
                            </w:pPr>
                            <w:r w:rsidRPr="002273DF">
                              <w:t>Лектор: Айсачева Мафтунабону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8"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3E98740C" id="Группа 29" o:spid="_x0000_s1027" style="position:absolute;margin-left:0;margin-top:0;width:595pt;height:855.55pt;z-index:-251657216;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">
              <v:shape id="Полилиния: Фигура 8" o:spid="_x0000_s1028"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3+SL0A&#10;AADaAAAADwAAAGRycy9kb3ducmV2LnhtbERPy4rCMBTdD/gP4QpuBk0VRrQaRQSl2/EBLi/J7QOb&#10;m9JEW//eLASXh/Neb3tbiye1vnKsYDpJQBBrZyouFFzOh/EChA/IBmvHpOBFHrabwc8aU+M6/qfn&#10;KRQihrBPUUEZQpNK6XVJFv3ENcSRy11rMUTYFtK02MVwW8tZksylxYpjQ4kN7UvS99PDKjh2v/k9&#10;84frX3btMr3Uy9sxN0qNhv1uBSJQH77ijzszCuLWeCXeALl5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e3+SL0AAADaAAAADwAAAAAAAAAAAAAAAACYAgAAZHJzL2Rvd25yZXYu&#10;eG1sUEsFBgAAAAAEAAQA9QAAAIIDAAAAAA==&#10;" path="m3429208,12451r,876575l497239,889026,12452,12451r3416756,xe" fillcolor="#373545 [3215]" stroked="f">
                <v:stroke joinstyle="miter"/>
                <v:path arrowok="t" o:connecttype="custom" o:connectlocs="3429209,12451;3429209,889027;497239,889027;12452,12451" o:connectangles="0,0,0,0"/>
              </v:shape>
              <v:shape id="Полилиния: Фигура 9" o:spid="_x0000_s1029"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3+78MA&#10;AADaAAAADwAAAGRycy9kb3ducmV2LnhtbESPQYvCMBSE74L/ITzBi2i6gotWo4gg6MHDqojHR/Ns&#10;q81LabJt9debhQWPw8x8wyxWrSlETZXLLSv4GkUgiBOrc04VnE/b4RSE88gaC8uk4EkOVstuZ4Gx&#10;tg3/UH30qQgQdjEqyLwvYyldkpFBN7IlcfButjLog6xSqStsAtwUchxF39JgzmEhw5I2GSWP468J&#10;lKbdpoP6Wu4v4/OuOT3vk8fhpVS/167nIDy1/hP+b++0ghn8XQk3QC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3+78MAAADaAAAADwAAAAAAAAAAAAAAAACYAgAAZHJzL2Rv&#10;d25yZXYueG1sUEsFBgAAAAAEAAQA9QAAAIgDAAAAAA==&#10;" path="m12452,890686r,-878235l3030752,12451r484788,878235l12452,890686xe" fillcolor="#373545 [3215]" stroked="f">
                <v:stroke joinstyle="miter"/>
                <v:path arrowok="t" o:connecttype="custom" o:connectlocs="12452,890687;12452,12451;3030752,12451;3515540,890687" o:connectangles="0,0,0,0"/>
              </v:shape>
              <v:shape id="Полилиния: Фигура 12" o:spid="_x0000_s1030"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vnF8IA&#10;AADbAAAADwAAAGRycy9kb3ducmV2LnhtbESPQYvCMBCF74L/IYzgRTTVw7JUo4iieBFWLXgdk7Et&#10;NpPSpFr//WZB2NsM771v3ixWna3EkxpfOlYwnSQgiLUzJecKsstu/A3CB2SDlWNS8CYPq2W/t8DU&#10;uBef6HkOuYgQ9ikqKEKoUym9Lsiin7iaOGp311gMcW1yaRp8Rbit5CxJvqTFkuOFAmvaFKQf59Yq&#10;GN0e7+tetrrd+GNEbLPtj86UGg669RxEoC78mz/pg4n1Z/D3SxxAL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cXwgAAANsAAAAPAAAAAAAAAAAAAAAAAJgCAABkcnMvZG93&#10;bnJldi54bWxQSwUGAAAAAAQABAD1AAAAhwMAAAAA&#10;" path="m12452,981997l575270,12451r330386,l342838,981997r-330386,xe" fillcolor="#58b6c0 [3205]" stroked="f">
                <v:stroke joinstyle="miter"/>
                <v:path arrowok="t" o:connecttype="custom" o:connectlocs="12443,981661;574872,12447;905029,12447;342601,981661" o:connectangles="0,0,0,0"/>
              </v:shape>
              <v:shape id="Полилиния: Фигура 13" o:spid="_x0000_s1031"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dCjMQA&#10;AADbAAAADwAAAGRycy9kb3ducmV2LnhtbESPzWrDMBCE74W8g9hALyWR00IJTpQQbFp6KbSJIdeN&#10;tLFNrJWx5J+8fVUo9LbLzHw7u91PthEDdb52rGC1TEAQa2dqLhUUp7fFGoQPyAYbx6TgTh72u9nD&#10;FlPjRv6m4RhKESHsU1RQhdCmUnpdkUW/dC1x1K6usxji2pXSdDhGuG3kc5K8Sos1xwsVtpRVpG/H&#10;3ip4utzu53fZ6z7znxGRF/mXLpR6nE+HDYhAU/g3/6U/TKz/Ar+/xAH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HQozEAAAA2wAAAA8AAAAAAAAAAAAAAAAAmAIAAGRycy9k&#10;b3ducmV2LnhtbFBLBQYAAAAABAAEAPUAAACJAwAAAAA=&#10;" path="m12452,981997l570289,12451r330386,l342838,981997r-330386,xe" fillcolor="#58b6c0 [3205]" stroked="f">
                <v:stroke joinstyle="miter"/>
                <v:path arrowok="t" o:connecttype="custom" o:connectlocs="12452,981998;570289,12451;900675,12451;342838,981998" o:connectangles="0,0,0,0"/>
              </v:shape>
              <v:shape id="Полилиния: фигура 14" o:spid="_x0000_s1032"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H8DcEA&#10;AADbAAAADwAAAGRycy9kb3ducmV2LnhtbERPTWvCQBC9F/wPywje6kYtpURXUUugUHpo0oPHYXfM&#10;BrOzIbtN4r/vFgq9zeN9zu4wuVYM1IfGs4LVMgNBrL1puFbwVRWPLyBCRDbYeiYFdwpw2M8edpgb&#10;P/InDWWsRQrhkKMCG2OXSxm0JYdh6TvixF197zAm2NfS9DimcNfKdZY9S4cNpwaLHZ0t6Vv57RQc&#10;3zN9GSq+nezmdfqwfrMuNCu1mE/HLYhIU/wX/7nfTJr/BL+/pAP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x/A3BAAAA2wAAAA8AAAAAAAAAAAAAAAAAmAIAAGRycy9kb3du&#10;cmV2LnhtbFBLBQYAAAAABAAEAPUAAACGAwAAAAA=&#10;" adj="-11796480,,5400" path="m3515540,889026r,-876575l497239,12451,12452,889026r3503088,xe" fillcolor="#373545 [3215]" stroked="f">
                <v:stroke joinstyle="miter"/>
                <v:formulas/>
                <v:path arrowok="t" o:connecttype="custom" o:connectlocs="3515540,889027;3515540,12451;497239,12451;12452,889027" o:connectangles="0,0,0,0" textboxrect="0,0,3519690,896496"/>
                <v:textbox>
                  <w:txbxContent>
                    <w:p w:rsidR="005229E9" w:rsidRDefault="005229E9" w:rsidP="002273DF">
                      <w:pPr>
                        <w:jc w:val="center"/>
                      </w:pPr>
                      <w:r w:rsidRPr="002273DF">
                        <w:t>Лектор: Айсачева Мафтунабону</w:t>
                      </w:r>
                    </w:p>
                  </w:txbxContent>
                </v:textbox>
              </v:shape>
              <v:shape id="Полилиния: Фигура 8" o:spid="_x0000_s1033"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ZTw8UA&#10;AADbAAAADwAAAGRycy9kb3ducmV2LnhtbESPQWvCQBSE7wX/w/IKvRTdNIcq0VWKILQKgtGDx0f2&#10;maTNexuyq8b+erdQ8DjMzDfMbNFzoy7U+dqJgbdRAoqkcLaW0sBhvxpOQPmAYrFxQgZu5GExHzzN&#10;MLPuKju65KFUESI+QwNVCG2mtS8qYvQj15JE7+Q6xhBlV2rb4TXCudFpkrxrxlriQoUtLSsqfvIz&#10;Gyh4sz1vXpf8e+M1TvJj+r3+So15ee4/pqAC9eER/m9/WgPpGP6+xB+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NlPDxQAAANsAAAAPAAAAAAAAAAAAAAAAAJgCAABkcnMv&#10;ZG93bnJldi54bWxQSwUGAAAAAAQABAD1AAAAigMAAAAA&#10;" path="m,l330287,r887388,1542668l888533,1542668,,xe" fillcolor="#58b6c0 [3205]" stroked="f">
                <v:stroke joinstyle="miter"/>
                <v:path arrowok="t" o:connecttype="custom" o:connectlocs="0,0;330184,0;1217295,1542415;888256,1542415;0,0" o:connectangles="0,0,0,0,0"/>
              </v:shape>
              <v:shape id="Полилиния: Фигура 7" o:spid="_x0000_s1034"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tq9MIA&#10;AADbAAAADwAAAGRycy9kb3ducmV2LnhtbERPy2qDQBTdF/IPww10E+IYFyVYJ6EUBLElpbab7i7O&#10;9UGcO+JM1P59ZlHo8nDe2Xk1g5hpcr1lBYcoBkFcW91zq+D7K98fQTiPrHGwTAp+ycH5tHnIMNV2&#10;4U+aK9+KEMIuRQWd92Mqpas7MugiOxIHrrGTQR/g1Eo94RLCzSCTOH6SBnsODR2O9NpRfa1uRsHH&#10;T182c1m+vddjPq9U7EyyXJR63K4vzyA8rf5f/OcutIIkjA1fwg+Qp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C2r0wgAAANsAAAAPAAAAAAAAAAAAAAAAAJgCAABkcnMvZG93&#10;bnJldi54bWxQSwUGAAAAAAQABAD1AAAAhwMAAAAA&#10;" path="m,l330265,r894873,1542664l895208,1542664,,xe" fillcolor="#58b6c0 [3205]" stroked="f">
                <v:stroke joinstyle="miter"/>
                <v:path arrowok="t" o:connecttype="custom" o:connectlocs="0,0;330265,0;1225138,1542664;895208,1542664;0,0" o:connectangles="0,0,0,0,0"/>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9E9" w:rsidRDefault="005229E9">
    <w:pPr>
      <w:pStyle w:val="afff1"/>
    </w:pPr>
    <w:r w:rsidRPr="00FE777E">
      <w:rPr>
        <w:b/>
        <w:noProof/>
        <w:sz w:val="28"/>
        <w:szCs w:val="28"/>
      </w:rPr>
      <w:drawing>
        <wp:anchor distT="0" distB="0" distL="114300" distR="114300" simplePos="0" relativeHeight="251663360" behindDoc="1" locked="0" layoutInCell="1" allowOverlap="1" wp14:anchorId="43E87FA0" wp14:editId="4974EDF9">
          <wp:simplePos x="0" y="0"/>
          <wp:positionH relativeFrom="margin">
            <wp:align>right</wp:align>
          </wp:positionH>
          <wp:positionV relativeFrom="paragraph">
            <wp:posOffset>89192</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37" name="Рисунок 37"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76DA">
      <w:rPr>
        <w:noProof/>
      </w:rPr>
      <mc:AlternateContent>
        <mc:Choice Requires="wps">
          <w:drawing>
            <wp:anchor distT="0" distB="0" distL="114300" distR="114300" simplePos="0" relativeHeight="251662336" behindDoc="1" locked="0" layoutInCell="1" allowOverlap="1" wp14:anchorId="25DA42EC" wp14:editId="41462CEE">
              <wp:simplePos x="0" y="0"/>
              <wp:positionH relativeFrom="column">
                <wp:posOffset>-554973</wp:posOffset>
              </wp:positionH>
              <wp:positionV relativeFrom="paragraph">
                <wp:posOffset>571500</wp:posOffset>
              </wp:positionV>
              <wp:extent cx="2833370" cy="722630"/>
              <wp:effectExtent l="19050" t="19050" r="24130" b="20320"/>
              <wp:wrapTight wrapText="bothSides">
                <wp:wrapPolygon edited="0">
                  <wp:start x="-145" y="-569"/>
                  <wp:lineTo x="-145" y="21638"/>
                  <wp:lineTo x="21639" y="21638"/>
                  <wp:lineTo x="21639" y="-569"/>
                  <wp:lineTo x="-145" y="-569"/>
                </wp:wrapPolygon>
              </wp:wrapTight>
              <wp:docPr id="21" name="Фигура 61">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Shape">
                  <wps:wsp>
                    <wps:cNvSpPr/>
                    <wps:spPr>
                      <a:xfrm>
                        <a:off x="0" y="0"/>
                        <a:ext cx="2833370" cy="722630"/>
                      </a:xfrm>
                      <a:prstGeom prst="rect">
                        <a:avLst/>
                      </a:prstGeom>
                      <a:ln w="38100">
                        <a:solidFill>
                          <a:schemeClr val="bg1"/>
                        </a:solidFill>
                        <a:miter lim="400000"/>
                      </a:ln>
                      <a:extLst>
                        <a:ext uri="{C572A759-6A51-4108-AA02-DFA0A04FC94B}">
                          <ma14:wrappingTextBoxFlag xmlns="" xmlns:w="http://schemas.openxmlformats.org/wordprocessingml/2006/main" xmlns:o="urn:schemas-microsoft-com:office:office" xmlns:v="urn:schemas-microsoft-com:vml" xmlns:w10="urn:schemas-microsoft-com:office:word" xmlns:ma14="http://schemas.microsoft.com/office/mac/drawingml/2011/main" xmlns:lc="http://schemas.openxmlformats.org/drawingml/2006/lockedCanvas" xmlns:p="http://schemas.openxmlformats.org/presentation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val="1"/>
                        </a:ext>
                      </a:extLst>
                    </wps:spPr>
                    <wps:txbx>
                      <w:txbxContent>
                        <w:p w:rsidR="005229E9" w:rsidRPr="00FA3FA4" w:rsidRDefault="005229E9"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25DA42EC" id="_x0000_s1035" style="position:absolute;margin-left:-43.7pt;margin-top:45pt;width:223.1pt;height:56.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" filled="f" strokecolor="white [3212]" strokeweight="3pt">
              <v:stroke miterlimit="4"/>
              <v:textbox inset="1.5pt,1.5pt,1.5pt,1.5pt">
                <w:txbxContent>
                  <w:p w:rsidR="005229E9" w:rsidRPr="00FA3FA4" w:rsidRDefault="005229E9"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Pr="00084752">
      <w:rPr>
        <w:noProof/>
      </w:rPr>
      <mc:AlternateContent>
        <mc:Choice Requires="wpg">
          <w:drawing>
            <wp:anchor distT="0" distB="0" distL="114300" distR="114300" simplePos="0" relativeHeight="251661312" behindDoc="1" locked="0" layoutInCell="1" allowOverlap="1" wp14:anchorId="53E599E5" wp14:editId="2A4DC607">
              <wp:simplePos x="0" y="0"/>
              <wp:positionH relativeFrom="page">
                <wp:align>center</wp:align>
              </wp:positionH>
              <wp:positionV relativeFrom="page">
                <wp:align>center</wp:align>
              </wp:positionV>
              <wp:extent cx="7556500" cy="10865485"/>
              <wp:effectExtent l="0" t="0" r="2540" b="14605"/>
              <wp:wrapNone/>
              <wp:docPr id="22" name="Группа 22">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23" name="Полилиния: Фигура 23"/>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Полилиния: Форма 24"/>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Полилиния: Форма 25"/>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Полилиния: Форма 26"/>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Полилиния: Форма 30"/>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chemeClr val="tx2"/>
                        </a:solidFill>
                        <a:ln w="9525" cap="flat">
                          <a:noFill/>
                          <a:prstDash val="solid"/>
                          <a:miter/>
                        </a:ln>
                      </wps:spPr>
                      <wps:txbx>
                        <w:txbxContent>
                          <w:p w:rsidR="005229E9" w:rsidRDefault="005229E9" w:rsidP="002273DF">
                            <w:pPr>
                              <w:jc w:val="center"/>
                            </w:pPr>
                            <w:r w:rsidRPr="002273DF">
                              <w:t>Лектор: Айсачева Мафтунабону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2"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53E599E5" id="Группа 22" o:spid="_x0000_s1036" style="position:absolute;margin-left:0;margin-top:0;width:595pt;height:855.55pt;z-index:-251655168;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">
              <v:shape id="Полилиния: Фигура 23" o:spid="_x0000_s1037"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q3kMIA&#10;AADbAAAADwAAAGRycy9kb3ducmV2LnhtbESPS4sCMRCE7wv+h9ALXpY1o7KyzhpFBGWuvsBjk/Q8&#10;cNIZJtEZ/70RhD0WVfUVtVj1thZ3an3lWMF4lIAg1s5UXCg4HbffvyB8QDZYOyYFD/KwWg4+Fpga&#10;1/Ge7odQiAhhn6KCMoQmldLrkiz6kWuIo5e71mKIsi2kabGLcFvLSZLMpMWK40KJDW1K0tfDzSrY&#10;dV/5NfPb80927jI91/PLLjdKDT/79R+IQH34D7/bmVEwmcLrS/wB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WreQwgAAANsAAAAPAAAAAAAAAAAAAAAAAJgCAABkcnMvZG93&#10;bnJldi54bWxQSwUGAAAAAAQABAD1AAAAhwMAAAAA&#10;" path="m3429208,12451r,876575l497239,889026,12452,12451r3416756,xe" fillcolor="#373545 [3215]" stroked="f">
                <v:stroke joinstyle="miter"/>
                <v:path arrowok="t" o:connecttype="custom" o:connectlocs="3429209,12451;3429209,889027;497239,889027;12452,12451" o:connectangles="0,0,0,0"/>
              </v:shape>
              <v:shape id="Полилиния: Форма 24" o:spid="_x0000_s1038"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oeOcQA&#10;AADbAAAADwAAAGRycy9kb3ducmV2LnhtbESPQYvCMBSE7wv+h/AEL4umW1yRahQRBD14WBXx+Gie&#10;bbV5KU22rf56s7DgcZiZb5j5sjOlaKh2hWUFX6MIBHFqdcGZgtNxM5yCcB5ZY2mZFDzIwXLR+5hj&#10;om3LP9QcfCYChF2CCnLvq0RKl+Zk0I1sRRy8q60N+iDrTOoa2wA3pYyjaCINFhwWcqxonVN6P/ya&#10;QGm7TfbZXKrdOT5t2+Pj9n3fP5Ua9LvVDISnzr/D/+2tVhCP4e9L+AFy8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qHjnEAAAA2wAAAA8AAAAAAAAAAAAAAAAAmAIAAGRycy9k&#10;b3ducmV2LnhtbFBLBQYAAAAABAAEAPUAAACJAwAAAAA=&#10;" path="m12452,890686r,-878235l3030752,12451r484788,878235l12452,890686xe" fillcolor="#373545 [3215]" stroked="f">
                <v:stroke joinstyle="miter"/>
                <v:path arrowok="t" o:connecttype="custom" o:connectlocs="12452,890687;12452,12451;3030752,12451;3515540,890687" o:connectangles="0,0,0,0"/>
              </v:shape>
              <v:shape id="Полилиния: Форма 25" o:spid="_x0000_s1039"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13sMA&#10;AADbAAAADwAAAGRycy9kb3ducmV2LnhtbESPT4vCMBTE78J+h/AW9iKarqBINYoou+xF8E/B6zN5&#10;tsXmpTSp1m+/EQSPw8z8hpkvO1uJGzW+dKzge5iAINbOlJwryI4/gykIH5ANVo5JwYM8LBcfvTmm&#10;xt15T7dDyEWEsE9RQRFCnUrpdUEW/dDVxNG7uMZiiLLJpWnwHuG2kqMkmUiLJceFAmtaF6Svh9Yq&#10;6J+vj9OvbHW79tuI2GSbnc6U+vrsVjMQgbrwDr/af0bBaAzPL/EH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613sMAAADbAAAADwAAAAAAAAAAAAAAAACYAgAAZHJzL2Rv&#10;d25yZXYueG1sUEsFBgAAAAAEAAQA9QAAAIgDAAAAAA==&#10;" path="m12452,981997l575270,12451r330386,l342838,981997r-330386,xe" fillcolor="#58b6c0 [3205]" stroked="f">
                <v:stroke joinstyle="miter"/>
                <v:path arrowok="t" o:connecttype="custom" o:connectlocs="12443,981661;574872,12447;905029,12447;342601,981661" o:connectangles="0,0,0,0"/>
              </v:shape>
              <v:shape id="Полилиния: Форма 26" o:spid="_x0000_s1040"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wrqcEA&#10;AADbAAAADwAAAGRycy9kb3ducmV2LnhtbESPQYvCMBSE7wv+h/AEL4umepClGkUUxYuwasHrM3m2&#10;xealNKnWf28WhD0OM/MNM192thIPanzpWMF4lIAg1s6UnCvIztvhDwgfkA1WjknBizwsF72vOabG&#10;PflIj1PIRYSwT1FBEUKdSul1QRb9yNXE0bu5xmKIssmlafAZ4baSkySZSoslx4UCa1oXpO+n1ir4&#10;vt5fl51sdbv2h4jYZJtfnSk16HerGYhAXfgPf9p7o2Ayhb8v8Qf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9cK6nBAAAA2wAAAA8AAAAAAAAAAAAAAAAAmAIAAGRycy9kb3du&#10;cmV2LnhtbFBLBQYAAAAABAAEAPUAAACGAwAAAAA=&#10;" path="m12452,981997l570289,12451r330386,l342838,981997r-330386,xe" fillcolor="#58b6c0 [3205]" stroked="f">
                <v:stroke joinstyle="miter"/>
                <v:path arrowok="t" o:connecttype="custom" o:connectlocs="12452,981998;570289,12451;900675,12451;342838,981998" o:connectangles="0,0,0,0"/>
              </v:shape>
              <v:shape id="Полилиния: Форма 30" o:spid="_x0000_s1041"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mbr8A&#10;AADbAAAADwAAAGRycy9kb3ducmV2LnhtbERPy4rCMBTdD/gP4QruxlQLw1CN4gNBkFn4WLi8JNem&#10;2NyUJtb692Yx4PJw3vNl72rRURsqzwom4wwEsfam4lLB5bz7/gURIrLB2jMpeFGA5WLwNcfC+Ccf&#10;qTvFUqQQDgUqsDE2hZRBW3IYxr4hTtzNtw5jgm0pTYvPFO5qOc2yH+mw4tRgsaGNJX0/PZyC1SHT&#10;1+7M97XNt/2f9fl0p1mp0bBfzUBE6uNH/O/eGwV5Wp++pB8gF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v6ZuvwAAANsAAAAPAAAAAAAAAAAAAAAAAJgCAABkcnMvZG93bnJl&#10;di54bWxQSwUGAAAAAAQABAD1AAAAhAMAAAAA&#10;" adj="-11796480,,5400" path="m3515540,889026r,-876575l497239,12451,12452,889026r3503088,xe" fillcolor="#373545 [3215]" stroked="f">
                <v:stroke joinstyle="miter"/>
                <v:formulas/>
                <v:path arrowok="t" o:connecttype="custom" o:connectlocs="3515540,889027;3515540,12451;497239,12451;12452,889027" o:connectangles="0,0,0,0" textboxrect="0,0,3519690,896496"/>
                <v:textbox>
                  <w:txbxContent>
                    <w:p w:rsidR="005229E9" w:rsidRDefault="005229E9" w:rsidP="002273DF">
                      <w:pPr>
                        <w:jc w:val="center"/>
                      </w:pPr>
                      <w:r w:rsidRPr="002273DF">
                        <w:t>Лектор: Айсачева Мафтунабону</w:t>
                      </w:r>
                    </w:p>
                  </w:txbxContent>
                </v:textbox>
              </v:shape>
              <v:shape id="Полилиния: Фигура 8" o:spid="_x0000_s1042"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r48cUA&#10;AADbAAAADwAAAGRycy9kb3ducmV2LnhtbESPQWvCQBSE7wX/w/KEXopujCASXaUIglUQTHvo8ZF9&#10;TdLmvQ3ZVaO/3i0Uehxm5htmue65URfqfO3EwGScgCIpnK2lNPDxvh3NQfmAYrFxQgZu5GG9Gjwt&#10;MbPuKie65KFUESI+QwNVCG2mtS8qYvRj15JE78t1jCHKrtS2w2uEc6PTJJlpxlriQoUtbSoqfvIz&#10;Gyj4cDwfXjZ8v/Ee5/ln+r1/S415HvavC1CB+vAf/mvvrIHpBH6/xB+gV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SvjxxQAAANsAAAAPAAAAAAAAAAAAAAAAAJgCAABkcnMv&#10;ZG93bnJldi54bWxQSwUGAAAAAAQABAD1AAAAigMAAAAA&#10;" path="m,l330287,r887388,1542668l888533,1542668,,xe" fillcolor="#58b6c0 [3205]" stroked="f">
                <v:stroke joinstyle="miter"/>
                <v:path arrowok="t" o:connecttype="custom" o:connectlocs="0,0;330184,0;1217295,1542415;888256,1542415;0,0" o:connectangles="0,0,0,0,0"/>
              </v:shape>
              <v:shape id="Полилиния: фигура 7" o:spid="_x0000_s1043"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rLw8QA&#10;AADbAAAADwAAAGRycy9kb3ducmV2LnhtbESPT4vCMBTE74LfITzBi6ypXRDpGkUEQeqy4p/L3h7N&#10;sy3bvJQmtvXbmwXB4zAzv2GW695UoqXGlZYVzKYRCOLM6pJzBdfL7mMBwnlkjZVlUvAgB+vVcLDE&#10;RNuOT9SefS4ChF2CCgrv60RKlxVk0E1tTRy8m20M+iCbXOoGuwA3lYyjaC4NlhwWCqxpW1D2d74b&#10;BcffMr21aXr4zupd29N+YuLuR6nxqN98gfDU+3f41d5rBZ8x/H8JP0C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6y8PEAAAA2wAAAA8AAAAAAAAAAAAAAAAAmAIAAGRycy9k&#10;b3ducmV2LnhtbFBLBQYAAAAABAAEAPUAAACJAwAAAAA=&#10;" path="m,l330265,r894873,1542664l895208,1542664,,xe" fillcolor="#58b6c0 [3205]" stroked="f">
                <v:stroke joinstyle="miter"/>
                <v:path arrowok="t" o:connecttype="custom" o:connectlocs="0,0;330265,0;1225138,1542664;895208,1542664;0,0" o:connectangles="0,0,0,0,0"/>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48C5E2A"/>
    <w:lvl w:ilvl="0">
      <w:start w:val="1"/>
      <w:numFmt w:val="decimal"/>
      <w:pStyle w:val="5"/>
      <w:lvlText w:val="%1."/>
      <w:lvlJc w:val="left"/>
      <w:pPr>
        <w:tabs>
          <w:tab w:val="num" w:pos="1800"/>
        </w:tabs>
        <w:ind w:left="1800" w:hanging="360"/>
      </w:pPr>
    </w:lvl>
  </w:abstractNum>
  <w:abstractNum w:abstractNumId="1" w15:restartNumberingAfterBreak="0">
    <w:nsid w:val="FFFFFF7D"/>
    <w:multiLevelType w:val="singleLevel"/>
    <w:tmpl w:val="933AA1FC"/>
    <w:lvl w:ilvl="0">
      <w:start w:val="1"/>
      <w:numFmt w:val="decimal"/>
      <w:pStyle w:val="4"/>
      <w:lvlText w:val="%1."/>
      <w:lvlJc w:val="left"/>
      <w:pPr>
        <w:tabs>
          <w:tab w:val="num" w:pos="1440"/>
        </w:tabs>
        <w:ind w:left="1440" w:hanging="360"/>
      </w:pPr>
    </w:lvl>
  </w:abstractNum>
  <w:abstractNum w:abstractNumId="2" w15:restartNumberingAfterBreak="0">
    <w:nsid w:val="FFFFFF7E"/>
    <w:multiLevelType w:val="singleLevel"/>
    <w:tmpl w:val="5C26B77C"/>
    <w:lvl w:ilvl="0">
      <w:start w:val="1"/>
      <w:numFmt w:val="lowerLetter"/>
      <w:pStyle w:val="3"/>
      <w:lvlText w:val="%1)"/>
      <w:lvlJc w:val="left"/>
      <w:pPr>
        <w:tabs>
          <w:tab w:val="num" w:pos="1080"/>
        </w:tabs>
        <w:ind w:left="1080" w:hanging="360"/>
      </w:pPr>
      <w:rPr>
        <w:rFonts w:hint="default"/>
      </w:rPr>
    </w:lvl>
  </w:abstractNum>
  <w:abstractNum w:abstractNumId="3" w15:restartNumberingAfterBreak="0">
    <w:nsid w:val="FFFFFF80"/>
    <w:multiLevelType w:val="singleLevel"/>
    <w:tmpl w:val="6314739A"/>
    <w:lvl w:ilvl="0">
      <w:start w:val="1"/>
      <w:numFmt w:val="bullet"/>
      <w:pStyle w:val="50"/>
      <w:lvlText w:val=""/>
      <w:lvlJc w:val="left"/>
      <w:pPr>
        <w:tabs>
          <w:tab w:val="num" w:pos="1800"/>
        </w:tabs>
        <w:ind w:left="1800" w:hanging="360"/>
      </w:pPr>
      <w:rPr>
        <w:rFonts w:ascii="Symbol" w:hAnsi="Symbol" w:hint="default"/>
      </w:rPr>
    </w:lvl>
  </w:abstractNum>
  <w:abstractNum w:abstractNumId="4" w15:restartNumberingAfterBreak="0">
    <w:nsid w:val="FFFFFF81"/>
    <w:multiLevelType w:val="singleLevel"/>
    <w:tmpl w:val="55DEA4B6"/>
    <w:lvl w:ilvl="0">
      <w:start w:val="1"/>
      <w:numFmt w:val="bullet"/>
      <w:pStyle w:val="40"/>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760AC8EA"/>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8A38F804"/>
    <w:lvl w:ilvl="0">
      <w:start w:val="1"/>
      <w:numFmt w:val="bullet"/>
      <w:pStyle w:val="2"/>
      <w:lvlText w:val=""/>
      <w:lvlJc w:val="left"/>
      <w:pPr>
        <w:tabs>
          <w:tab w:val="num" w:pos="720"/>
        </w:tabs>
        <w:ind w:left="720" w:hanging="360"/>
      </w:pPr>
      <w:rPr>
        <w:rFonts w:ascii="Symbol" w:hAnsi="Symbol" w:hint="default"/>
      </w:rPr>
    </w:lvl>
  </w:abstractNum>
  <w:abstractNum w:abstractNumId="7" w15:restartNumberingAfterBreak="0">
    <w:nsid w:val="FFFFFF89"/>
    <w:multiLevelType w:val="singleLevel"/>
    <w:tmpl w:val="0C6E2CDC"/>
    <w:lvl w:ilvl="0">
      <w:start w:val="1"/>
      <w:numFmt w:val="bullet"/>
      <w:pStyle w:val="a"/>
      <w:lvlText w:val=""/>
      <w:lvlJc w:val="left"/>
      <w:pPr>
        <w:tabs>
          <w:tab w:val="num" w:pos="360"/>
        </w:tabs>
        <w:ind w:left="360" w:hanging="360"/>
      </w:pPr>
      <w:rPr>
        <w:rFonts w:ascii="Symbol" w:hAnsi="Symbol" w:hint="default"/>
      </w:rPr>
    </w:lvl>
  </w:abstractNum>
  <w:abstractNum w:abstractNumId="8" w15:restartNumberingAfterBreak="0">
    <w:nsid w:val="1F5F32D2"/>
    <w:multiLevelType w:val="hybridMultilevel"/>
    <w:tmpl w:val="DFBCE4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8675C5"/>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3202067"/>
    <w:multiLevelType w:val="hybridMultilevel"/>
    <w:tmpl w:val="70D051C4"/>
    <w:lvl w:ilvl="0" w:tplc="2E00FC76">
      <w:start w:val="1"/>
      <w:numFmt w:val="bullet"/>
      <w:lvlText w:val=""/>
      <w:lvlJc w:val="left"/>
      <w:pPr>
        <w:tabs>
          <w:tab w:val="num" w:pos="720"/>
        </w:tabs>
        <w:ind w:left="720" w:hanging="360"/>
      </w:pPr>
      <w:rPr>
        <w:rFonts w:ascii="Wingdings" w:hAnsi="Wingdings" w:hint="default"/>
      </w:rPr>
    </w:lvl>
    <w:lvl w:ilvl="1" w:tplc="D116D5FE" w:tentative="1">
      <w:start w:val="1"/>
      <w:numFmt w:val="bullet"/>
      <w:lvlText w:val=""/>
      <w:lvlJc w:val="left"/>
      <w:pPr>
        <w:tabs>
          <w:tab w:val="num" w:pos="1440"/>
        </w:tabs>
        <w:ind w:left="1440" w:hanging="360"/>
      </w:pPr>
      <w:rPr>
        <w:rFonts w:ascii="Wingdings" w:hAnsi="Wingdings" w:hint="default"/>
      </w:rPr>
    </w:lvl>
    <w:lvl w:ilvl="2" w:tplc="24449EC8" w:tentative="1">
      <w:start w:val="1"/>
      <w:numFmt w:val="bullet"/>
      <w:lvlText w:val=""/>
      <w:lvlJc w:val="left"/>
      <w:pPr>
        <w:tabs>
          <w:tab w:val="num" w:pos="2160"/>
        </w:tabs>
        <w:ind w:left="2160" w:hanging="360"/>
      </w:pPr>
      <w:rPr>
        <w:rFonts w:ascii="Wingdings" w:hAnsi="Wingdings" w:hint="default"/>
      </w:rPr>
    </w:lvl>
    <w:lvl w:ilvl="3" w:tplc="017E9808" w:tentative="1">
      <w:start w:val="1"/>
      <w:numFmt w:val="bullet"/>
      <w:lvlText w:val=""/>
      <w:lvlJc w:val="left"/>
      <w:pPr>
        <w:tabs>
          <w:tab w:val="num" w:pos="2880"/>
        </w:tabs>
        <w:ind w:left="2880" w:hanging="360"/>
      </w:pPr>
      <w:rPr>
        <w:rFonts w:ascii="Wingdings" w:hAnsi="Wingdings" w:hint="default"/>
      </w:rPr>
    </w:lvl>
    <w:lvl w:ilvl="4" w:tplc="17789D80" w:tentative="1">
      <w:start w:val="1"/>
      <w:numFmt w:val="bullet"/>
      <w:lvlText w:val=""/>
      <w:lvlJc w:val="left"/>
      <w:pPr>
        <w:tabs>
          <w:tab w:val="num" w:pos="3600"/>
        </w:tabs>
        <w:ind w:left="3600" w:hanging="360"/>
      </w:pPr>
      <w:rPr>
        <w:rFonts w:ascii="Wingdings" w:hAnsi="Wingdings" w:hint="default"/>
      </w:rPr>
    </w:lvl>
    <w:lvl w:ilvl="5" w:tplc="B1B049DA" w:tentative="1">
      <w:start w:val="1"/>
      <w:numFmt w:val="bullet"/>
      <w:lvlText w:val=""/>
      <w:lvlJc w:val="left"/>
      <w:pPr>
        <w:tabs>
          <w:tab w:val="num" w:pos="4320"/>
        </w:tabs>
        <w:ind w:left="4320" w:hanging="360"/>
      </w:pPr>
      <w:rPr>
        <w:rFonts w:ascii="Wingdings" w:hAnsi="Wingdings" w:hint="default"/>
      </w:rPr>
    </w:lvl>
    <w:lvl w:ilvl="6" w:tplc="C640069A" w:tentative="1">
      <w:start w:val="1"/>
      <w:numFmt w:val="bullet"/>
      <w:lvlText w:val=""/>
      <w:lvlJc w:val="left"/>
      <w:pPr>
        <w:tabs>
          <w:tab w:val="num" w:pos="5040"/>
        </w:tabs>
        <w:ind w:left="5040" w:hanging="360"/>
      </w:pPr>
      <w:rPr>
        <w:rFonts w:ascii="Wingdings" w:hAnsi="Wingdings" w:hint="default"/>
      </w:rPr>
    </w:lvl>
    <w:lvl w:ilvl="7" w:tplc="C46ABE60" w:tentative="1">
      <w:start w:val="1"/>
      <w:numFmt w:val="bullet"/>
      <w:lvlText w:val=""/>
      <w:lvlJc w:val="left"/>
      <w:pPr>
        <w:tabs>
          <w:tab w:val="num" w:pos="5760"/>
        </w:tabs>
        <w:ind w:left="5760" w:hanging="360"/>
      </w:pPr>
      <w:rPr>
        <w:rFonts w:ascii="Wingdings" w:hAnsi="Wingdings" w:hint="default"/>
      </w:rPr>
    </w:lvl>
    <w:lvl w:ilvl="8" w:tplc="E7CE5F7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856772"/>
    <w:multiLevelType w:val="multilevel"/>
    <w:tmpl w:val="4E88364C"/>
    <w:lvl w:ilvl="0">
      <w:start w:val="1"/>
      <w:numFmt w:val="upperRoman"/>
      <w:pStyle w:val="a0"/>
      <w:lvlText w:val="%1."/>
      <w:lvlJc w:val="right"/>
      <w:pPr>
        <w:ind w:left="173" w:hanging="173"/>
      </w:pPr>
      <w:rPr>
        <w:rFonts w:asciiTheme="minorHAnsi" w:hAnsiTheme="minorHAnsi" w:hint="default"/>
        <w:b/>
        <w:i w:val="0"/>
        <w:sz w:val="24"/>
      </w:rPr>
    </w:lvl>
    <w:lvl w:ilvl="1">
      <w:start w:val="1"/>
      <w:numFmt w:val="lowerLetter"/>
      <w:pStyle w:val="20"/>
      <w:lvlText w:val="%2)"/>
      <w:lvlJc w:val="left"/>
      <w:pPr>
        <w:ind w:left="720" w:hanging="588"/>
      </w:pPr>
      <w:rPr>
        <w:rFonts w:asciiTheme="minorHAnsi" w:hAnsiTheme="minorHAnsi" w:hint="default"/>
        <w:b w:val="0"/>
        <w:i w:val="0"/>
        <w:sz w:val="24"/>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abstractNum w:abstractNumId="12" w15:restartNumberingAfterBreak="0">
    <w:nsid w:val="45F20E54"/>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8C10718"/>
    <w:multiLevelType w:val="multilevel"/>
    <w:tmpl w:val="04090023"/>
    <w:styleLink w:val="a1"/>
    <w:lvl w:ilvl="0">
      <w:start w:val="1"/>
      <w:numFmt w:val="upperRoman"/>
      <w:lvlText w:val="Статья %1."/>
      <w:lvlJc w:val="left"/>
      <w:pPr>
        <w:ind w:left="0" w:firstLine="0"/>
      </w:pPr>
      <w:rPr>
        <w:rFonts w:ascii="Times New Roman" w:hAnsi="Times New Roman" w:cs="Times New Roman"/>
      </w:rPr>
    </w:lvl>
    <w:lvl w:ilvl="1">
      <w:start w:val="1"/>
      <w:numFmt w:val="decimalZero"/>
      <w:isLgl/>
      <w:lvlText w:val="Раздел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6DCD25EA"/>
    <w:multiLevelType w:val="hybridMultilevel"/>
    <w:tmpl w:val="5FEA0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4"/>
  </w:num>
  <w:num w:numId="5">
    <w:abstractNumId w:val="3"/>
  </w:num>
  <w:num w:numId="6">
    <w:abstractNumId w:val="2"/>
  </w:num>
  <w:num w:numId="7">
    <w:abstractNumId w:val="1"/>
  </w:num>
  <w:num w:numId="8">
    <w:abstractNumId w:val="0"/>
  </w:num>
  <w:num w:numId="9">
    <w:abstractNumId w:val="11"/>
  </w:num>
  <w:num w:numId="10">
    <w:abstractNumId w:val="9"/>
  </w:num>
  <w:num w:numId="11">
    <w:abstractNumId w:val="12"/>
  </w:num>
  <w:num w:numId="12">
    <w:abstractNumId w:val="13"/>
  </w:num>
  <w:num w:numId="13">
    <w:abstractNumId w:val="14"/>
  </w:num>
  <w:num w:numId="14">
    <w:abstractNumId w:val="8"/>
  </w:num>
  <w:num w:numId="15">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4"/>
  <w:removePersonalInformation/>
  <w:removeDateAndTime/>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77E"/>
    <w:rsid w:val="0000418E"/>
    <w:rsid w:val="00016839"/>
    <w:rsid w:val="00042528"/>
    <w:rsid w:val="00042FB3"/>
    <w:rsid w:val="00057671"/>
    <w:rsid w:val="00084752"/>
    <w:rsid w:val="00086540"/>
    <w:rsid w:val="000D445D"/>
    <w:rsid w:val="000E0B00"/>
    <w:rsid w:val="000E46E6"/>
    <w:rsid w:val="000F4987"/>
    <w:rsid w:val="000F65EC"/>
    <w:rsid w:val="00103670"/>
    <w:rsid w:val="0010487E"/>
    <w:rsid w:val="00110BBD"/>
    <w:rsid w:val="001112C7"/>
    <w:rsid w:val="0011573E"/>
    <w:rsid w:val="00125E33"/>
    <w:rsid w:val="0012634B"/>
    <w:rsid w:val="001269DE"/>
    <w:rsid w:val="001351F7"/>
    <w:rsid w:val="00140DAE"/>
    <w:rsid w:val="0015180F"/>
    <w:rsid w:val="001574C3"/>
    <w:rsid w:val="001746FC"/>
    <w:rsid w:val="00193653"/>
    <w:rsid w:val="001A6AC0"/>
    <w:rsid w:val="001A76E2"/>
    <w:rsid w:val="001B0576"/>
    <w:rsid w:val="001C329C"/>
    <w:rsid w:val="001D1758"/>
    <w:rsid w:val="001E7D29"/>
    <w:rsid w:val="002142C8"/>
    <w:rsid w:val="00215269"/>
    <w:rsid w:val="00222713"/>
    <w:rsid w:val="0022366B"/>
    <w:rsid w:val="002273DF"/>
    <w:rsid w:val="00230B3D"/>
    <w:rsid w:val="002404F5"/>
    <w:rsid w:val="0025449B"/>
    <w:rsid w:val="00275260"/>
    <w:rsid w:val="00276FA1"/>
    <w:rsid w:val="00280C04"/>
    <w:rsid w:val="00285B87"/>
    <w:rsid w:val="00291B4A"/>
    <w:rsid w:val="002C3D7E"/>
    <w:rsid w:val="002D0AAD"/>
    <w:rsid w:val="002E4F42"/>
    <w:rsid w:val="002F234B"/>
    <w:rsid w:val="002F76DA"/>
    <w:rsid w:val="00303179"/>
    <w:rsid w:val="0032131A"/>
    <w:rsid w:val="00330439"/>
    <w:rsid w:val="003310BF"/>
    <w:rsid w:val="00333DF8"/>
    <w:rsid w:val="003377F9"/>
    <w:rsid w:val="00352B99"/>
    <w:rsid w:val="00357641"/>
    <w:rsid w:val="003603AA"/>
    <w:rsid w:val="00360B6E"/>
    <w:rsid w:val="00361DEE"/>
    <w:rsid w:val="00394EF4"/>
    <w:rsid w:val="003A1CB3"/>
    <w:rsid w:val="003B7F92"/>
    <w:rsid w:val="003D1740"/>
    <w:rsid w:val="003E5EB5"/>
    <w:rsid w:val="00410612"/>
    <w:rsid w:val="00411F8B"/>
    <w:rsid w:val="004203B0"/>
    <w:rsid w:val="004230D9"/>
    <w:rsid w:val="00450670"/>
    <w:rsid w:val="004527B8"/>
    <w:rsid w:val="004701E1"/>
    <w:rsid w:val="004724BD"/>
    <w:rsid w:val="00477352"/>
    <w:rsid w:val="00491C23"/>
    <w:rsid w:val="004B5C09"/>
    <w:rsid w:val="004C733F"/>
    <w:rsid w:val="004D454D"/>
    <w:rsid w:val="004E227E"/>
    <w:rsid w:val="004F7FED"/>
    <w:rsid w:val="00500DD1"/>
    <w:rsid w:val="00507378"/>
    <w:rsid w:val="00521AE3"/>
    <w:rsid w:val="005229E9"/>
    <w:rsid w:val="00535B54"/>
    <w:rsid w:val="00554276"/>
    <w:rsid w:val="0056094A"/>
    <w:rsid w:val="00564D17"/>
    <w:rsid w:val="00570173"/>
    <w:rsid w:val="005762AB"/>
    <w:rsid w:val="00587101"/>
    <w:rsid w:val="005A72D4"/>
    <w:rsid w:val="005B3A9C"/>
    <w:rsid w:val="005D1C1F"/>
    <w:rsid w:val="005D3902"/>
    <w:rsid w:val="005E0ED9"/>
    <w:rsid w:val="005E2C92"/>
    <w:rsid w:val="005F25B0"/>
    <w:rsid w:val="00616B41"/>
    <w:rsid w:val="00620AE8"/>
    <w:rsid w:val="00622B83"/>
    <w:rsid w:val="0062682A"/>
    <w:rsid w:val="0064628C"/>
    <w:rsid w:val="0065214E"/>
    <w:rsid w:val="00655EE2"/>
    <w:rsid w:val="00680296"/>
    <w:rsid w:val="00683EA4"/>
    <w:rsid w:val="006853BC"/>
    <w:rsid w:val="00687389"/>
    <w:rsid w:val="006928C1"/>
    <w:rsid w:val="006D0C8C"/>
    <w:rsid w:val="006D5463"/>
    <w:rsid w:val="006E015E"/>
    <w:rsid w:val="006F03D4"/>
    <w:rsid w:val="006F36A7"/>
    <w:rsid w:val="00700B1F"/>
    <w:rsid w:val="0072228D"/>
    <w:rsid w:val="007257E9"/>
    <w:rsid w:val="00740105"/>
    <w:rsid w:val="00744B1E"/>
    <w:rsid w:val="00756AD4"/>
    <w:rsid w:val="00756D9C"/>
    <w:rsid w:val="007619BD"/>
    <w:rsid w:val="00771C24"/>
    <w:rsid w:val="00781863"/>
    <w:rsid w:val="00792701"/>
    <w:rsid w:val="007D0BC1"/>
    <w:rsid w:val="007D5836"/>
    <w:rsid w:val="007F34A4"/>
    <w:rsid w:val="00800BDB"/>
    <w:rsid w:val="00815563"/>
    <w:rsid w:val="008240DA"/>
    <w:rsid w:val="008429E5"/>
    <w:rsid w:val="00867EA4"/>
    <w:rsid w:val="0088077C"/>
    <w:rsid w:val="00880C14"/>
    <w:rsid w:val="00890EFA"/>
    <w:rsid w:val="00897D88"/>
    <w:rsid w:val="008A0319"/>
    <w:rsid w:val="008A059E"/>
    <w:rsid w:val="008D0732"/>
    <w:rsid w:val="008D43E9"/>
    <w:rsid w:val="008E3C0E"/>
    <w:rsid w:val="008E421A"/>
    <w:rsid w:val="008E476B"/>
    <w:rsid w:val="008F0672"/>
    <w:rsid w:val="008F0F63"/>
    <w:rsid w:val="00900DE2"/>
    <w:rsid w:val="00927C63"/>
    <w:rsid w:val="00932F50"/>
    <w:rsid w:val="0093563E"/>
    <w:rsid w:val="0094637B"/>
    <w:rsid w:val="00955A78"/>
    <w:rsid w:val="00956233"/>
    <w:rsid w:val="009602EE"/>
    <w:rsid w:val="009921B8"/>
    <w:rsid w:val="0099313D"/>
    <w:rsid w:val="009C5A6A"/>
    <w:rsid w:val="009D4984"/>
    <w:rsid w:val="009D6901"/>
    <w:rsid w:val="009F4E19"/>
    <w:rsid w:val="009F7D3C"/>
    <w:rsid w:val="00A02E28"/>
    <w:rsid w:val="00A07662"/>
    <w:rsid w:val="00A1006B"/>
    <w:rsid w:val="00A207BA"/>
    <w:rsid w:val="00A21B71"/>
    <w:rsid w:val="00A25111"/>
    <w:rsid w:val="00A3439E"/>
    <w:rsid w:val="00A37F9E"/>
    <w:rsid w:val="00A40085"/>
    <w:rsid w:val="00A426DC"/>
    <w:rsid w:val="00A47DF6"/>
    <w:rsid w:val="00A60E11"/>
    <w:rsid w:val="00A63D35"/>
    <w:rsid w:val="00A9231C"/>
    <w:rsid w:val="00AA2532"/>
    <w:rsid w:val="00AA4144"/>
    <w:rsid w:val="00AA46B7"/>
    <w:rsid w:val="00AB33D5"/>
    <w:rsid w:val="00AC72FB"/>
    <w:rsid w:val="00AD589B"/>
    <w:rsid w:val="00AE1F88"/>
    <w:rsid w:val="00AE361F"/>
    <w:rsid w:val="00AE5370"/>
    <w:rsid w:val="00B247A9"/>
    <w:rsid w:val="00B435B5"/>
    <w:rsid w:val="00B50C2F"/>
    <w:rsid w:val="00B54E12"/>
    <w:rsid w:val="00B565D8"/>
    <w:rsid w:val="00B5779A"/>
    <w:rsid w:val="00B60818"/>
    <w:rsid w:val="00B64D24"/>
    <w:rsid w:val="00B7147D"/>
    <w:rsid w:val="00B75CFC"/>
    <w:rsid w:val="00B853F9"/>
    <w:rsid w:val="00B92231"/>
    <w:rsid w:val="00B9319F"/>
    <w:rsid w:val="00BA2CE6"/>
    <w:rsid w:val="00BB018B"/>
    <w:rsid w:val="00BD1747"/>
    <w:rsid w:val="00BD2B06"/>
    <w:rsid w:val="00BE367F"/>
    <w:rsid w:val="00BF01F4"/>
    <w:rsid w:val="00BF363B"/>
    <w:rsid w:val="00BF49DD"/>
    <w:rsid w:val="00C05872"/>
    <w:rsid w:val="00C078AF"/>
    <w:rsid w:val="00C14973"/>
    <w:rsid w:val="00C1643D"/>
    <w:rsid w:val="00C16505"/>
    <w:rsid w:val="00C261A9"/>
    <w:rsid w:val="00C37607"/>
    <w:rsid w:val="00C42793"/>
    <w:rsid w:val="00C47362"/>
    <w:rsid w:val="00C601ED"/>
    <w:rsid w:val="00C63F12"/>
    <w:rsid w:val="00C916B2"/>
    <w:rsid w:val="00CA3D88"/>
    <w:rsid w:val="00CA4B57"/>
    <w:rsid w:val="00CD246E"/>
    <w:rsid w:val="00CE4271"/>
    <w:rsid w:val="00CE5A5C"/>
    <w:rsid w:val="00CF0EC4"/>
    <w:rsid w:val="00CF2DF9"/>
    <w:rsid w:val="00D14CC6"/>
    <w:rsid w:val="00D21E3F"/>
    <w:rsid w:val="00D31AB7"/>
    <w:rsid w:val="00D50D23"/>
    <w:rsid w:val="00D512BB"/>
    <w:rsid w:val="00D53571"/>
    <w:rsid w:val="00D92FF2"/>
    <w:rsid w:val="00DA3B1A"/>
    <w:rsid w:val="00DC6078"/>
    <w:rsid w:val="00DC79AD"/>
    <w:rsid w:val="00DD2075"/>
    <w:rsid w:val="00DD6D8B"/>
    <w:rsid w:val="00DE700F"/>
    <w:rsid w:val="00DF2868"/>
    <w:rsid w:val="00E3437B"/>
    <w:rsid w:val="00E553ED"/>
    <w:rsid w:val="00E557A0"/>
    <w:rsid w:val="00E907BC"/>
    <w:rsid w:val="00EA3AA9"/>
    <w:rsid w:val="00EE4283"/>
    <w:rsid w:val="00EE6005"/>
    <w:rsid w:val="00EF6435"/>
    <w:rsid w:val="00F062BA"/>
    <w:rsid w:val="00F10F6B"/>
    <w:rsid w:val="00F12121"/>
    <w:rsid w:val="00F23697"/>
    <w:rsid w:val="00F34140"/>
    <w:rsid w:val="00F36BB7"/>
    <w:rsid w:val="00F414E4"/>
    <w:rsid w:val="00F41B1F"/>
    <w:rsid w:val="00F50B79"/>
    <w:rsid w:val="00F86699"/>
    <w:rsid w:val="00F87EAA"/>
    <w:rsid w:val="00F92B25"/>
    <w:rsid w:val="00F93D79"/>
    <w:rsid w:val="00FA08A0"/>
    <w:rsid w:val="00FA3FA4"/>
    <w:rsid w:val="00FB3809"/>
    <w:rsid w:val="00FD6CAB"/>
    <w:rsid w:val="00FE4063"/>
    <w:rsid w:val="00FE6B6C"/>
    <w:rsid w:val="00FE77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imes New Roman"/>
        <w:sz w:val="24"/>
        <w:szCs w:val="24"/>
        <w:lang w:val="ru-RU" w:eastAsia="en-US" w:bidi="ar-SA"/>
      </w:rPr>
    </w:rPrDefault>
    <w:pPrDefault>
      <w:pPr>
        <w:spacing w:after="200" w:line="276" w:lineRule="auto"/>
        <w:ind w:left="173"/>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3"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2"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iPriority="1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E777E"/>
    <w:pPr>
      <w:widowControl w:val="0"/>
      <w:autoSpaceDE w:val="0"/>
      <w:autoSpaceDN w:val="0"/>
      <w:adjustRightInd w:val="0"/>
      <w:spacing w:after="0" w:line="240" w:lineRule="auto"/>
      <w:ind w:left="0"/>
    </w:pPr>
    <w:rPr>
      <w:rFonts w:ascii="Times New Roman" w:hAnsi="Times New Roman"/>
      <w:sz w:val="20"/>
      <w:szCs w:val="20"/>
      <w:lang w:eastAsia="ru-RU"/>
    </w:rPr>
  </w:style>
  <w:style w:type="paragraph" w:styleId="1">
    <w:name w:val="heading 1"/>
    <w:basedOn w:val="a2"/>
    <w:link w:val="10"/>
    <w:uiPriority w:val="9"/>
    <w:qFormat/>
    <w:rsid w:val="005F25B0"/>
    <w:pPr>
      <w:keepNext/>
      <w:spacing w:before="480" w:after="60"/>
      <w:contextualSpacing/>
      <w:jc w:val="center"/>
      <w:outlineLvl w:val="0"/>
    </w:pPr>
    <w:rPr>
      <w:rFonts w:asciiTheme="majorHAnsi" w:hAnsiTheme="majorHAnsi" w:cs="Arial"/>
      <w:b/>
      <w:bCs/>
      <w:kern w:val="32"/>
      <w:sz w:val="32"/>
      <w:szCs w:val="32"/>
    </w:rPr>
  </w:style>
  <w:style w:type="paragraph" w:styleId="21">
    <w:name w:val="heading 2"/>
    <w:basedOn w:val="a2"/>
    <w:link w:val="22"/>
    <w:uiPriority w:val="9"/>
    <w:unhideWhenUsed/>
    <w:qFormat/>
    <w:rsid w:val="004230D9"/>
    <w:pPr>
      <w:keepNext/>
      <w:spacing w:before="240" w:after="60"/>
      <w:contextualSpacing/>
      <w:outlineLvl w:val="1"/>
    </w:pPr>
    <w:rPr>
      <w:rFonts w:ascii="Arial" w:hAnsi="Arial" w:cs="Arial"/>
      <w:b/>
      <w:bCs/>
      <w:iCs/>
      <w:szCs w:val="28"/>
    </w:rPr>
  </w:style>
  <w:style w:type="paragraph" w:styleId="31">
    <w:name w:val="heading 3"/>
    <w:basedOn w:val="a2"/>
    <w:uiPriority w:val="9"/>
    <w:semiHidden/>
    <w:unhideWhenUsed/>
    <w:qFormat/>
    <w:rsid w:val="004230D9"/>
    <w:pPr>
      <w:keepNext/>
      <w:spacing w:before="240" w:after="60"/>
      <w:contextualSpacing/>
      <w:outlineLvl w:val="2"/>
    </w:pPr>
    <w:rPr>
      <w:rFonts w:ascii="Arial" w:hAnsi="Arial" w:cs="Arial"/>
      <w:b/>
      <w:bCs/>
      <w:szCs w:val="26"/>
    </w:rPr>
  </w:style>
  <w:style w:type="paragraph" w:styleId="41">
    <w:name w:val="heading 4"/>
    <w:basedOn w:val="a2"/>
    <w:link w:val="42"/>
    <w:uiPriority w:val="9"/>
    <w:semiHidden/>
    <w:unhideWhenUsed/>
    <w:qFormat/>
    <w:rsid w:val="004230D9"/>
    <w:pPr>
      <w:keepNext/>
      <w:keepLines/>
      <w:spacing w:before="40"/>
      <w:contextualSpacing/>
      <w:outlineLvl w:val="3"/>
    </w:pPr>
    <w:rPr>
      <w:rFonts w:ascii="Arial" w:eastAsiaTheme="majorEastAsia" w:hAnsi="Arial" w:cs="Arial"/>
      <w:i/>
      <w:iCs/>
      <w:color w:val="276E8B" w:themeColor="accent1" w:themeShade="BF"/>
    </w:rPr>
  </w:style>
  <w:style w:type="paragraph" w:styleId="51">
    <w:name w:val="heading 5"/>
    <w:basedOn w:val="a2"/>
    <w:link w:val="52"/>
    <w:uiPriority w:val="9"/>
    <w:semiHidden/>
    <w:unhideWhenUsed/>
    <w:qFormat/>
    <w:rsid w:val="004230D9"/>
    <w:pPr>
      <w:keepNext/>
      <w:keepLines/>
      <w:spacing w:before="40"/>
      <w:contextualSpacing/>
      <w:outlineLvl w:val="4"/>
    </w:pPr>
    <w:rPr>
      <w:rFonts w:ascii="Arial" w:eastAsiaTheme="majorEastAsia" w:hAnsi="Arial" w:cs="Arial"/>
      <w:color w:val="276E8B" w:themeColor="accent1" w:themeShade="BF"/>
    </w:rPr>
  </w:style>
  <w:style w:type="paragraph" w:styleId="6">
    <w:name w:val="heading 6"/>
    <w:basedOn w:val="a2"/>
    <w:link w:val="60"/>
    <w:uiPriority w:val="9"/>
    <w:semiHidden/>
    <w:unhideWhenUsed/>
    <w:qFormat/>
    <w:rsid w:val="004230D9"/>
    <w:pPr>
      <w:keepNext/>
      <w:keepLines/>
      <w:spacing w:before="40"/>
      <w:contextualSpacing/>
      <w:outlineLvl w:val="5"/>
    </w:pPr>
    <w:rPr>
      <w:rFonts w:ascii="Arial" w:eastAsiaTheme="majorEastAsia" w:hAnsi="Arial" w:cs="Arial"/>
      <w:color w:val="1A495C" w:themeColor="accent1" w:themeShade="7F"/>
    </w:rPr>
  </w:style>
  <w:style w:type="paragraph" w:styleId="7">
    <w:name w:val="heading 7"/>
    <w:basedOn w:val="a2"/>
    <w:link w:val="70"/>
    <w:uiPriority w:val="9"/>
    <w:semiHidden/>
    <w:unhideWhenUsed/>
    <w:qFormat/>
    <w:rsid w:val="004230D9"/>
    <w:pPr>
      <w:keepNext/>
      <w:keepLines/>
      <w:spacing w:before="40"/>
      <w:contextualSpacing/>
      <w:outlineLvl w:val="6"/>
    </w:pPr>
    <w:rPr>
      <w:rFonts w:ascii="Arial" w:eastAsiaTheme="majorEastAsia" w:hAnsi="Arial" w:cs="Arial"/>
      <w:i/>
      <w:iCs/>
      <w:color w:val="1A495C" w:themeColor="accent1" w:themeShade="7F"/>
    </w:rPr>
  </w:style>
  <w:style w:type="paragraph" w:styleId="8">
    <w:name w:val="heading 8"/>
    <w:basedOn w:val="a2"/>
    <w:link w:val="80"/>
    <w:uiPriority w:val="9"/>
    <w:semiHidden/>
    <w:unhideWhenUsed/>
    <w:qFormat/>
    <w:rsid w:val="004230D9"/>
    <w:pPr>
      <w:keepNext/>
      <w:keepLines/>
      <w:spacing w:before="40"/>
      <w:contextualSpacing/>
      <w:outlineLvl w:val="7"/>
    </w:pPr>
    <w:rPr>
      <w:rFonts w:ascii="Arial" w:eastAsiaTheme="majorEastAsia" w:hAnsi="Arial" w:cs="Arial"/>
      <w:color w:val="272727" w:themeColor="text1" w:themeTint="D8"/>
      <w:sz w:val="22"/>
      <w:szCs w:val="21"/>
    </w:rPr>
  </w:style>
  <w:style w:type="paragraph" w:styleId="9">
    <w:name w:val="heading 9"/>
    <w:basedOn w:val="a2"/>
    <w:link w:val="90"/>
    <w:uiPriority w:val="9"/>
    <w:semiHidden/>
    <w:unhideWhenUsed/>
    <w:qFormat/>
    <w:rsid w:val="004230D9"/>
    <w:pPr>
      <w:keepNext/>
      <w:keepLines/>
      <w:spacing w:before="40"/>
      <w:contextualSpacing/>
      <w:outlineLvl w:val="8"/>
    </w:pPr>
    <w:rPr>
      <w:rFonts w:ascii="Arial" w:eastAsiaTheme="majorEastAsia" w:hAnsi="Arial" w:cs="Arial"/>
      <w:i/>
      <w:iCs/>
      <w:color w:val="272727" w:themeColor="text1" w:themeTint="D8"/>
      <w:sz w:val="22"/>
      <w:szCs w:val="21"/>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0">
    <w:name w:val="List Number"/>
    <w:basedOn w:val="a2"/>
    <w:uiPriority w:val="12"/>
    <w:qFormat/>
    <w:rsid w:val="002F76DA"/>
    <w:pPr>
      <w:numPr>
        <w:numId w:val="9"/>
      </w:numPr>
    </w:pPr>
    <w:rPr>
      <w:b/>
    </w:rPr>
  </w:style>
  <w:style w:type="character" w:styleId="a6">
    <w:name w:val="Placeholder Text"/>
    <w:basedOn w:val="a3"/>
    <w:uiPriority w:val="99"/>
    <w:semiHidden/>
    <w:rsid w:val="004230D9"/>
    <w:rPr>
      <w:rFonts w:ascii="Times New Roman" w:hAnsi="Times New Roman" w:cs="Times New Roman"/>
      <w:color w:val="595959" w:themeColor="text1" w:themeTint="A6"/>
    </w:rPr>
  </w:style>
  <w:style w:type="paragraph" w:styleId="a7">
    <w:name w:val="Date"/>
    <w:basedOn w:val="a2"/>
    <w:next w:val="a2"/>
    <w:link w:val="a8"/>
    <w:uiPriority w:val="10"/>
    <w:qFormat/>
    <w:rsid w:val="004230D9"/>
    <w:pPr>
      <w:spacing w:after="480"/>
      <w:jc w:val="center"/>
    </w:pPr>
  </w:style>
  <w:style w:type="paragraph" w:styleId="a9">
    <w:name w:val="Balloon Text"/>
    <w:basedOn w:val="a2"/>
    <w:link w:val="aa"/>
    <w:uiPriority w:val="99"/>
    <w:semiHidden/>
    <w:unhideWhenUsed/>
    <w:rsid w:val="004230D9"/>
    <w:rPr>
      <w:rFonts w:ascii="Tahoma" w:hAnsi="Tahoma" w:cs="Tahoma"/>
      <w:sz w:val="22"/>
      <w:szCs w:val="16"/>
    </w:rPr>
  </w:style>
  <w:style w:type="character" w:customStyle="1" w:styleId="aa">
    <w:name w:val="Текст выноски Знак"/>
    <w:basedOn w:val="a3"/>
    <w:link w:val="a9"/>
    <w:uiPriority w:val="99"/>
    <w:semiHidden/>
    <w:rsid w:val="004230D9"/>
    <w:rPr>
      <w:rFonts w:ascii="Tahoma" w:hAnsi="Tahoma" w:cs="Tahoma"/>
      <w:sz w:val="22"/>
      <w:szCs w:val="16"/>
    </w:rPr>
  </w:style>
  <w:style w:type="paragraph" w:styleId="a">
    <w:name w:val="List Bullet"/>
    <w:basedOn w:val="a2"/>
    <w:uiPriority w:val="13"/>
    <w:qFormat/>
    <w:rsid w:val="004230D9"/>
    <w:pPr>
      <w:numPr>
        <w:numId w:val="1"/>
      </w:numPr>
      <w:contextualSpacing/>
    </w:pPr>
    <w:rPr>
      <w:b/>
    </w:rPr>
  </w:style>
  <w:style w:type="character" w:customStyle="1" w:styleId="42">
    <w:name w:val="Заголовок 4 Знак"/>
    <w:basedOn w:val="a3"/>
    <w:link w:val="41"/>
    <w:uiPriority w:val="9"/>
    <w:semiHidden/>
    <w:rsid w:val="004230D9"/>
    <w:rPr>
      <w:rFonts w:ascii="Arial" w:eastAsiaTheme="majorEastAsia" w:hAnsi="Arial" w:cs="Arial"/>
      <w:i/>
      <w:iCs/>
      <w:color w:val="276E8B" w:themeColor="accent1" w:themeShade="BF"/>
    </w:rPr>
  </w:style>
  <w:style w:type="character" w:styleId="ab">
    <w:name w:val="Emphasis"/>
    <w:basedOn w:val="a3"/>
    <w:uiPriority w:val="20"/>
    <w:qFormat/>
    <w:rsid w:val="005F25B0"/>
    <w:rPr>
      <w:rFonts w:asciiTheme="minorHAnsi" w:hAnsiTheme="minorHAnsi" w:cs="Times New Roman"/>
      <w:b/>
      <w:i w:val="0"/>
      <w:iCs/>
      <w:color w:val="FFFFFF" w:themeColor="background1"/>
    </w:rPr>
  </w:style>
  <w:style w:type="character" w:customStyle="1" w:styleId="52">
    <w:name w:val="Заголовок 5 Знак"/>
    <w:basedOn w:val="a3"/>
    <w:link w:val="51"/>
    <w:uiPriority w:val="9"/>
    <w:semiHidden/>
    <w:rsid w:val="004230D9"/>
    <w:rPr>
      <w:rFonts w:ascii="Arial" w:eastAsiaTheme="majorEastAsia" w:hAnsi="Arial" w:cs="Arial"/>
      <w:color w:val="276E8B" w:themeColor="accent1" w:themeShade="BF"/>
    </w:rPr>
  </w:style>
  <w:style w:type="character" w:customStyle="1" w:styleId="60">
    <w:name w:val="Заголовок 6 Знак"/>
    <w:basedOn w:val="a3"/>
    <w:link w:val="6"/>
    <w:uiPriority w:val="9"/>
    <w:semiHidden/>
    <w:rsid w:val="004230D9"/>
    <w:rPr>
      <w:rFonts w:ascii="Arial" w:eastAsiaTheme="majorEastAsia" w:hAnsi="Arial" w:cs="Arial"/>
      <w:color w:val="1A495C" w:themeColor="accent1" w:themeShade="7F"/>
    </w:rPr>
  </w:style>
  <w:style w:type="character" w:customStyle="1" w:styleId="70">
    <w:name w:val="Заголовок 7 Знак"/>
    <w:basedOn w:val="a3"/>
    <w:link w:val="7"/>
    <w:uiPriority w:val="9"/>
    <w:semiHidden/>
    <w:rsid w:val="004230D9"/>
    <w:rPr>
      <w:rFonts w:ascii="Arial" w:eastAsiaTheme="majorEastAsia" w:hAnsi="Arial" w:cs="Arial"/>
      <w:i/>
      <w:iCs/>
      <w:color w:val="1A495C" w:themeColor="accent1" w:themeShade="7F"/>
    </w:rPr>
  </w:style>
  <w:style w:type="character" w:customStyle="1" w:styleId="80">
    <w:name w:val="Заголовок 8 Знак"/>
    <w:basedOn w:val="a3"/>
    <w:link w:val="8"/>
    <w:uiPriority w:val="9"/>
    <w:semiHidden/>
    <w:rsid w:val="004230D9"/>
    <w:rPr>
      <w:rFonts w:ascii="Arial" w:eastAsiaTheme="majorEastAsia" w:hAnsi="Arial" w:cs="Arial"/>
      <w:color w:val="272727" w:themeColor="text1" w:themeTint="D8"/>
      <w:sz w:val="22"/>
      <w:szCs w:val="21"/>
    </w:rPr>
  </w:style>
  <w:style w:type="character" w:customStyle="1" w:styleId="90">
    <w:name w:val="Заголовок 9 Знак"/>
    <w:basedOn w:val="a3"/>
    <w:link w:val="9"/>
    <w:uiPriority w:val="9"/>
    <w:semiHidden/>
    <w:rsid w:val="004230D9"/>
    <w:rPr>
      <w:rFonts w:ascii="Arial" w:eastAsiaTheme="majorEastAsia" w:hAnsi="Arial" w:cs="Arial"/>
      <w:i/>
      <w:iCs/>
      <w:color w:val="272727" w:themeColor="text1" w:themeTint="D8"/>
      <w:sz w:val="22"/>
      <w:szCs w:val="21"/>
    </w:rPr>
  </w:style>
  <w:style w:type="paragraph" w:styleId="ac">
    <w:name w:val="Title"/>
    <w:basedOn w:val="a2"/>
    <w:link w:val="ad"/>
    <w:uiPriority w:val="10"/>
    <w:semiHidden/>
    <w:unhideWhenUsed/>
    <w:qFormat/>
    <w:rsid w:val="004230D9"/>
    <w:pPr>
      <w:contextualSpacing/>
    </w:pPr>
    <w:rPr>
      <w:rFonts w:ascii="Arial" w:eastAsiaTheme="majorEastAsia" w:hAnsi="Arial" w:cs="Arial"/>
      <w:spacing w:val="-10"/>
      <w:kern w:val="28"/>
      <w:sz w:val="56"/>
      <w:szCs w:val="56"/>
    </w:rPr>
  </w:style>
  <w:style w:type="character" w:customStyle="1" w:styleId="ad">
    <w:name w:val="Название Знак"/>
    <w:basedOn w:val="a3"/>
    <w:link w:val="ac"/>
    <w:uiPriority w:val="10"/>
    <w:semiHidden/>
    <w:rsid w:val="004230D9"/>
    <w:rPr>
      <w:rFonts w:ascii="Arial" w:eastAsiaTheme="majorEastAsia" w:hAnsi="Arial" w:cs="Arial"/>
      <w:spacing w:val="-10"/>
      <w:kern w:val="28"/>
      <w:sz w:val="56"/>
      <w:szCs w:val="56"/>
    </w:rPr>
  </w:style>
  <w:style w:type="paragraph" w:styleId="ae">
    <w:name w:val="Subtitle"/>
    <w:basedOn w:val="a2"/>
    <w:link w:val="af"/>
    <w:uiPriority w:val="11"/>
    <w:semiHidden/>
    <w:unhideWhenUsed/>
    <w:qFormat/>
    <w:rsid w:val="004230D9"/>
    <w:pPr>
      <w:numPr>
        <w:ilvl w:val="1"/>
      </w:numPr>
      <w:spacing w:after="160"/>
      <w:ind w:left="187"/>
      <w:contextualSpacing/>
    </w:pPr>
    <w:rPr>
      <w:rFonts w:eastAsiaTheme="minorEastAsia"/>
      <w:color w:val="5A5A5A" w:themeColor="text1" w:themeTint="A5"/>
      <w:spacing w:val="15"/>
      <w:sz w:val="22"/>
      <w:szCs w:val="22"/>
    </w:rPr>
  </w:style>
  <w:style w:type="character" w:customStyle="1" w:styleId="af">
    <w:name w:val="Подзаголовок Знак"/>
    <w:basedOn w:val="a3"/>
    <w:link w:val="ae"/>
    <w:uiPriority w:val="11"/>
    <w:semiHidden/>
    <w:rsid w:val="004230D9"/>
    <w:rPr>
      <w:rFonts w:ascii="Times New Roman" w:eastAsiaTheme="minorEastAsia" w:hAnsi="Times New Roman" w:cs="Times New Roman"/>
      <w:color w:val="5A5A5A" w:themeColor="text1" w:themeTint="A5"/>
      <w:spacing w:val="15"/>
      <w:sz w:val="22"/>
      <w:szCs w:val="22"/>
    </w:rPr>
  </w:style>
  <w:style w:type="character" w:styleId="af0">
    <w:name w:val="Subtle Emphasis"/>
    <w:basedOn w:val="a3"/>
    <w:uiPriority w:val="19"/>
    <w:semiHidden/>
    <w:unhideWhenUsed/>
    <w:qFormat/>
    <w:rsid w:val="004230D9"/>
    <w:rPr>
      <w:rFonts w:ascii="Times New Roman" w:hAnsi="Times New Roman" w:cs="Times New Roman"/>
      <w:i/>
      <w:iCs/>
      <w:color w:val="404040" w:themeColor="text1" w:themeTint="BF"/>
    </w:rPr>
  </w:style>
  <w:style w:type="character" w:styleId="af1">
    <w:name w:val="Intense Emphasis"/>
    <w:basedOn w:val="a3"/>
    <w:uiPriority w:val="21"/>
    <w:semiHidden/>
    <w:unhideWhenUsed/>
    <w:qFormat/>
    <w:rsid w:val="004230D9"/>
    <w:rPr>
      <w:rFonts w:ascii="Times New Roman" w:hAnsi="Times New Roman" w:cs="Times New Roman"/>
      <w:i/>
      <w:iCs/>
      <w:color w:val="276E8B" w:themeColor="accent1" w:themeShade="BF"/>
    </w:rPr>
  </w:style>
  <w:style w:type="character" w:styleId="af2">
    <w:name w:val="Strong"/>
    <w:basedOn w:val="a3"/>
    <w:uiPriority w:val="22"/>
    <w:semiHidden/>
    <w:unhideWhenUsed/>
    <w:qFormat/>
    <w:rsid w:val="004230D9"/>
    <w:rPr>
      <w:rFonts w:ascii="Times New Roman" w:hAnsi="Times New Roman" w:cs="Times New Roman"/>
      <w:b/>
      <w:bCs/>
    </w:rPr>
  </w:style>
  <w:style w:type="paragraph" w:styleId="23">
    <w:name w:val="Quote"/>
    <w:basedOn w:val="a2"/>
    <w:link w:val="24"/>
    <w:uiPriority w:val="29"/>
    <w:semiHidden/>
    <w:unhideWhenUsed/>
    <w:qFormat/>
    <w:rsid w:val="004230D9"/>
    <w:pPr>
      <w:spacing w:before="200" w:after="160"/>
      <w:jc w:val="center"/>
    </w:pPr>
    <w:rPr>
      <w:i/>
      <w:iCs/>
      <w:color w:val="404040" w:themeColor="text1" w:themeTint="BF"/>
    </w:rPr>
  </w:style>
  <w:style w:type="character" w:customStyle="1" w:styleId="24">
    <w:name w:val="Цитата 2 Знак"/>
    <w:basedOn w:val="a3"/>
    <w:link w:val="23"/>
    <w:uiPriority w:val="29"/>
    <w:semiHidden/>
    <w:rsid w:val="004230D9"/>
    <w:rPr>
      <w:rFonts w:ascii="Times New Roman" w:hAnsi="Times New Roman" w:cs="Times New Roman"/>
      <w:i/>
      <w:iCs/>
      <w:color w:val="404040" w:themeColor="text1" w:themeTint="BF"/>
    </w:rPr>
  </w:style>
  <w:style w:type="paragraph" w:styleId="af3">
    <w:name w:val="Intense Quote"/>
    <w:basedOn w:val="a2"/>
    <w:next w:val="a2"/>
    <w:link w:val="af4"/>
    <w:uiPriority w:val="30"/>
    <w:semiHidden/>
    <w:unhideWhenUsed/>
    <w:qFormat/>
    <w:rsid w:val="004230D9"/>
    <w:pPr>
      <w:pBdr>
        <w:top w:val="single" w:sz="4" w:space="10" w:color="3494BA" w:themeColor="accent1"/>
        <w:bottom w:val="single" w:sz="4" w:space="10" w:color="3494BA" w:themeColor="accent1"/>
      </w:pBdr>
      <w:spacing w:before="360" w:after="360"/>
      <w:jc w:val="center"/>
    </w:pPr>
    <w:rPr>
      <w:i/>
      <w:iCs/>
      <w:color w:val="276E8B" w:themeColor="accent1" w:themeShade="BF"/>
    </w:rPr>
  </w:style>
  <w:style w:type="character" w:customStyle="1" w:styleId="af4">
    <w:name w:val="Выделенная цитата Знак"/>
    <w:basedOn w:val="a3"/>
    <w:link w:val="af3"/>
    <w:uiPriority w:val="30"/>
    <w:semiHidden/>
    <w:rsid w:val="004230D9"/>
    <w:rPr>
      <w:rFonts w:ascii="Times New Roman" w:hAnsi="Times New Roman" w:cs="Times New Roman"/>
      <w:i/>
      <w:iCs/>
      <w:color w:val="276E8B" w:themeColor="accent1" w:themeShade="BF"/>
    </w:rPr>
  </w:style>
  <w:style w:type="character" w:styleId="af5">
    <w:name w:val="Subtle Reference"/>
    <w:basedOn w:val="a3"/>
    <w:uiPriority w:val="31"/>
    <w:semiHidden/>
    <w:unhideWhenUsed/>
    <w:qFormat/>
    <w:rsid w:val="004230D9"/>
    <w:rPr>
      <w:rFonts w:ascii="Times New Roman" w:hAnsi="Times New Roman" w:cs="Times New Roman"/>
      <w:caps w:val="0"/>
      <w:smallCaps/>
      <w:color w:val="5A5A5A" w:themeColor="text1" w:themeTint="A5"/>
    </w:rPr>
  </w:style>
  <w:style w:type="character" w:styleId="af6">
    <w:name w:val="Intense Reference"/>
    <w:basedOn w:val="a3"/>
    <w:uiPriority w:val="32"/>
    <w:semiHidden/>
    <w:unhideWhenUsed/>
    <w:qFormat/>
    <w:rsid w:val="004230D9"/>
    <w:rPr>
      <w:rFonts w:ascii="Times New Roman" w:hAnsi="Times New Roman" w:cs="Times New Roman"/>
      <w:b/>
      <w:bCs/>
      <w:caps w:val="0"/>
      <w:smallCaps/>
      <w:color w:val="276E8B" w:themeColor="accent1" w:themeShade="BF"/>
      <w:spacing w:val="0"/>
    </w:rPr>
  </w:style>
  <w:style w:type="character" w:styleId="af7">
    <w:name w:val="Book Title"/>
    <w:basedOn w:val="a3"/>
    <w:uiPriority w:val="33"/>
    <w:semiHidden/>
    <w:unhideWhenUsed/>
    <w:qFormat/>
    <w:rsid w:val="004230D9"/>
    <w:rPr>
      <w:rFonts w:ascii="Times New Roman" w:hAnsi="Times New Roman" w:cs="Times New Roman"/>
      <w:b/>
      <w:bCs/>
      <w:i/>
      <w:iCs/>
      <w:spacing w:val="0"/>
    </w:rPr>
  </w:style>
  <w:style w:type="paragraph" w:styleId="af8">
    <w:name w:val="List Paragraph"/>
    <w:basedOn w:val="a2"/>
    <w:uiPriority w:val="34"/>
    <w:unhideWhenUsed/>
    <w:qFormat/>
    <w:rsid w:val="004230D9"/>
    <w:pPr>
      <w:ind w:left="720"/>
      <w:contextualSpacing/>
    </w:pPr>
  </w:style>
  <w:style w:type="paragraph" w:styleId="af9">
    <w:name w:val="caption"/>
    <w:basedOn w:val="a2"/>
    <w:next w:val="a2"/>
    <w:uiPriority w:val="35"/>
    <w:semiHidden/>
    <w:unhideWhenUsed/>
    <w:qFormat/>
    <w:rsid w:val="004230D9"/>
    <w:rPr>
      <w:i/>
      <w:iCs/>
      <w:color w:val="373545" w:themeColor="text2"/>
      <w:sz w:val="22"/>
      <w:szCs w:val="18"/>
    </w:rPr>
  </w:style>
  <w:style w:type="paragraph" w:styleId="afa">
    <w:name w:val="Bibliography"/>
    <w:basedOn w:val="a2"/>
    <w:next w:val="a2"/>
    <w:uiPriority w:val="37"/>
    <w:semiHidden/>
    <w:unhideWhenUsed/>
    <w:rsid w:val="004230D9"/>
  </w:style>
  <w:style w:type="paragraph" w:styleId="11">
    <w:name w:val="toc 1"/>
    <w:basedOn w:val="a2"/>
    <w:next w:val="a2"/>
    <w:autoRedefine/>
    <w:uiPriority w:val="39"/>
    <w:unhideWhenUsed/>
    <w:rsid w:val="004230D9"/>
    <w:pPr>
      <w:spacing w:after="100"/>
    </w:pPr>
  </w:style>
  <w:style w:type="paragraph" w:styleId="91">
    <w:name w:val="toc 9"/>
    <w:basedOn w:val="a2"/>
    <w:next w:val="a2"/>
    <w:autoRedefine/>
    <w:uiPriority w:val="39"/>
    <w:unhideWhenUsed/>
    <w:rsid w:val="004230D9"/>
    <w:pPr>
      <w:spacing w:after="100"/>
      <w:ind w:left="1920"/>
    </w:pPr>
  </w:style>
  <w:style w:type="paragraph" w:styleId="afb">
    <w:name w:val="TOC Heading"/>
    <w:basedOn w:val="1"/>
    <w:next w:val="1"/>
    <w:link w:val="afc"/>
    <w:uiPriority w:val="39"/>
    <w:unhideWhenUsed/>
    <w:qFormat/>
    <w:rsid w:val="004230D9"/>
    <w:pPr>
      <w:framePr w:wrap="around" w:vAnchor="text" w:hAnchor="text" w:y="1"/>
    </w:pPr>
    <w:rPr>
      <w:rFonts w:eastAsiaTheme="majorEastAsia"/>
      <w:bCs w:val="0"/>
    </w:rPr>
  </w:style>
  <w:style w:type="paragraph" w:styleId="afd">
    <w:name w:val="Block Text"/>
    <w:basedOn w:val="a2"/>
    <w:uiPriority w:val="99"/>
    <w:semiHidden/>
    <w:unhideWhenUsed/>
    <w:rsid w:val="004230D9"/>
    <w:pPr>
      <w:pBdr>
        <w:top w:val="single" w:sz="2" w:space="10" w:color="276E8B" w:themeColor="accent1" w:themeShade="BF"/>
        <w:left w:val="single" w:sz="2" w:space="10" w:color="276E8B" w:themeColor="accent1" w:themeShade="BF"/>
        <w:bottom w:val="single" w:sz="2" w:space="10" w:color="276E8B" w:themeColor="accent1" w:themeShade="BF"/>
        <w:right w:val="single" w:sz="2" w:space="10" w:color="276E8B" w:themeColor="accent1" w:themeShade="BF"/>
      </w:pBdr>
      <w:ind w:left="1152" w:right="1152"/>
    </w:pPr>
    <w:rPr>
      <w:rFonts w:eastAsiaTheme="minorEastAsia"/>
      <w:i/>
      <w:iCs/>
      <w:color w:val="276E8B" w:themeColor="accent1" w:themeShade="BF"/>
    </w:rPr>
  </w:style>
  <w:style w:type="paragraph" w:styleId="afe">
    <w:name w:val="Body Text"/>
    <w:basedOn w:val="a2"/>
    <w:link w:val="aff"/>
    <w:uiPriority w:val="99"/>
    <w:semiHidden/>
    <w:unhideWhenUsed/>
    <w:rsid w:val="004230D9"/>
    <w:pPr>
      <w:spacing w:after="120"/>
    </w:pPr>
  </w:style>
  <w:style w:type="character" w:customStyle="1" w:styleId="aff">
    <w:name w:val="Основной текст Знак"/>
    <w:basedOn w:val="a3"/>
    <w:link w:val="afe"/>
    <w:uiPriority w:val="99"/>
    <w:semiHidden/>
    <w:rsid w:val="004230D9"/>
    <w:rPr>
      <w:rFonts w:ascii="Times New Roman" w:hAnsi="Times New Roman" w:cs="Times New Roman"/>
    </w:rPr>
  </w:style>
  <w:style w:type="paragraph" w:styleId="25">
    <w:name w:val="Body Text 2"/>
    <w:basedOn w:val="a2"/>
    <w:link w:val="26"/>
    <w:uiPriority w:val="99"/>
    <w:semiHidden/>
    <w:unhideWhenUsed/>
    <w:rsid w:val="004230D9"/>
    <w:pPr>
      <w:spacing w:after="120" w:line="480" w:lineRule="auto"/>
    </w:pPr>
  </w:style>
  <w:style w:type="character" w:customStyle="1" w:styleId="26">
    <w:name w:val="Основной текст 2 Знак"/>
    <w:basedOn w:val="a3"/>
    <w:link w:val="25"/>
    <w:uiPriority w:val="99"/>
    <w:semiHidden/>
    <w:rsid w:val="004230D9"/>
    <w:rPr>
      <w:rFonts w:ascii="Times New Roman" w:hAnsi="Times New Roman" w:cs="Times New Roman"/>
    </w:rPr>
  </w:style>
  <w:style w:type="paragraph" w:styleId="32">
    <w:name w:val="Body Text 3"/>
    <w:basedOn w:val="a2"/>
    <w:link w:val="33"/>
    <w:uiPriority w:val="99"/>
    <w:semiHidden/>
    <w:unhideWhenUsed/>
    <w:rsid w:val="004230D9"/>
    <w:pPr>
      <w:spacing w:after="120"/>
    </w:pPr>
    <w:rPr>
      <w:sz w:val="22"/>
      <w:szCs w:val="16"/>
    </w:rPr>
  </w:style>
  <w:style w:type="character" w:customStyle="1" w:styleId="33">
    <w:name w:val="Основной текст 3 Знак"/>
    <w:basedOn w:val="a3"/>
    <w:link w:val="32"/>
    <w:uiPriority w:val="99"/>
    <w:semiHidden/>
    <w:rsid w:val="004230D9"/>
    <w:rPr>
      <w:rFonts w:ascii="Times New Roman" w:hAnsi="Times New Roman" w:cs="Times New Roman"/>
      <w:sz w:val="22"/>
      <w:szCs w:val="16"/>
    </w:rPr>
  </w:style>
  <w:style w:type="paragraph" w:styleId="34">
    <w:name w:val="Body Text Indent 3"/>
    <w:basedOn w:val="a2"/>
    <w:link w:val="35"/>
    <w:uiPriority w:val="99"/>
    <w:semiHidden/>
    <w:unhideWhenUsed/>
    <w:rsid w:val="004230D9"/>
    <w:pPr>
      <w:spacing w:after="120"/>
      <w:ind w:left="283"/>
    </w:pPr>
    <w:rPr>
      <w:sz w:val="22"/>
      <w:szCs w:val="16"/>
    </w:rPr>
  </w:style>
  <w:style w:type="character" w:customStyle="1" w:styleId="35">
    <w:name w:val="Основной текст с отступом 3 Знак"/>
    <w:basedOn w:val="a3"/>
    <w:link w:val="34"/>
    <w:uiPriority w:val="99"/>
    <w:semiHidden/>
    <w:rsid w:val="004230D9"/>
    <w:rPr>
      <w:rFonts w:ascii="Times New Roman" w:hAnsi="Times New Roman" w:cs="Times New Roman"/>
      <w:sz w:val="22"/>
      <w:szCs w:val="16"/>
    </w:rPr>
  </w:style>
  <w:style w:type="character" w:styleId="aff0">
    <w:name w:val="annotation reference"/>
    <w:basedOn w:val="a3"/>
    <w:uiPriority w:val="99"/>
    <w:semiHidden/>
    <w:unhideWhenUsed/>
    <w:rsid w:val="004230D9"/>
    <w:rPr>
      <w:rFonts w:ascii="Times New Roman" w:hAnsi="Times New Roman" w:cs="Times New Roman"/>
      <w:szCs w:val="16"/>
    </w:rPr>
  </w:style>
  <w:style w:type="paragraph" w:styleId="aff1">
    <w:name w:val="annotation text"/>
    <w:basedOn w:val="a2"/>
    <w:link w:val="aff2"/>
    <w:uiPriority w:val="99"/>
    <w:semiHidden/>
    <w:unhideWhenUsed/>
    <w:rsid w:val="004230D9"/>
    <w:rPr>
      <w:sz w:val="22"/>
    </w:rPr>
  </w:style>
  <w:style w:type="character" w:customStyle="1" w:styleId="aff2">
    <w:name w:val="Текст примечания Знак"/>
    <w:basedOn w:val="a3"/>
    <w:link w:val="aff1"/>
    <w:uiPriority w:val="99"/>
    <w:semiHidden/>
    <w:rsid w:val="004230D9"/>
    <w:rPr>
      <w:rFonts w:ascii="Times New Roman" w:hAnsi="Times New Roman" w:cs="Times New Roman"/>
      <w:sz w:val="22"/>
      <w:szCs w:val="20"/>
    </w:rPr>
  </w:style>
  <w:style w:type="paragraph" w:styleId="aff3">
    <w:name w:val="annotation subject"/>
    <w:basedOn w:val="aff1"/>
    <w:next w:val="aff1"/>
    <w:link w:val="aff4"/>
    <w:uiPriority w:val="99"/>
    <w:semiHidden/>
    <w:unhideWhenUsed/>
    <w:rsid w:val="004230D9"/>
    <w:rPr>
      <w:b/>
      <w:bCs/>
    </w:rPr>
  </w:style>
  <w:style w:type="character" w:customStyle="1" w:styleId="aff4">
    <w:name w:val="Тема примечания Знак"/>
    <w:basedOn w:val="aff2"/>
    <w:link w:val="aff3"/>
    <w:uiPriority w:val="99"/>
    <w:semiHidden/>
    <w:rsid w:val="004230D9"/>
    <w:rPr>
      <w:rFonts w:ascii="Times New Roman" w:hAnsi="Times New Roman" w:cs="Times New Roman"/>
      <w:b/>
      <w:bCs/>
      <w:sz w:val="22"/>
      <w:szCs w:val="20"/>
    </w:rPr>
  </w:style>
  <w:style w:type="paragraph" w:styleId="aff5">
    <w:name w:val="Document Map"/>
    <w:basedOn w:val="a2"/>
    <w:link w:val="aff6"/>
    <w:uiPriority w:val="99"/>
    <w:semiHidden/>
    <w:unhideWhenUsed/>
    <w:rsid w:val="004230D9"/>
    <w:rPr>
      <w:rFonts w:ascii="Segoe UI" w:hAnsi="Segoe UI" w:cs="Segoe UI"/>
      <w:sz w:val="22"/>
      <w:szCs w:val="16"/>
    </w:rPr>
  </w:style>
  <w:style w:type="character" w:customStyle="1" w:styleId="aff6">
    <w:name w:val="Схема документа Знак"/>
    <w:basedOn w:val="a3"/>
    <w:link w:val="aff5"/>
    <w:uiPriority w:val="99"/>
    <w:semiHidden/>
    <w:rsid w:val="004230D9"/>
    <w:rPr>
      <w:rFonts w:ascii="Segoe UI" w:hAnsi="Segoe UI" w:cs="Segoe UI"/>
      <w:sz w:val="22"/>
      <w:szCs w:val="16"/>
    </w:rPr>
  </w:style>
  <w:style w:type="character" w:styleId="aff7">
    <w:name w:val="endnote reference"/>
    <w:basedOn w:val="a3"/>
    <w:uiPriority w:val="99"/>
    <w:semiHidden/>
    <w:unhideWhenUsed/>
    <w:rsid w:val="004230D9"/>
    <w:rPr>
      <w:rFonts w:ascii="Times New Roman" w:hAnsi="Times New Roman" w:cs="Times New Roman"/>
      <w:vertAlign w:val="superscript"/>
    </w:rPr>
  </w:style>
  <w:style w:type="paragraph" w:styleId="aff8">
    <w:name w:val="endnote text"/>
    <w:basedOn w:val="a2"/>
    <w:link w:val="aff9"/>
    <w:uiPriority w:val="99"/>
    <w:semiHidden/>
    <w:unhideWhenUsed/>
    <w:rsid w:val="004230D9"/>
    <w:rPr>
      <w:sz w:val="22"/>
    </w:rPr>
  </w:style>
  <w:style w:type="character" w:customStyle="1" w:styleId="aff9">
    <w:name w:val="Текст концевой сноски Знак"/>
    <w:basedOn w:val="a3"/>
    <w:link w:val="aff8"/>
    <w:uiPriority w:val="99"/>
    <w:semiHidden/>
    <w:rsid w:val="004230D9"/>
    <w:rPr>
      <w:rFonts w:ascii="Times New Roman" w:hAnsi="Times New Roman" w:cs="Times New Roman"/>
      <w:sz w:val="22"/>
      <w:szCs w:val="20"/>
    </w:rPr>
  </w:style>
  <w:style w:type="paragraph" w:styleId="27">
    <w:name w:val="envelope return"/>
    <w:basedOn w:val="a2"/>
    <w:uiPriority w:val="99"/>
    <w:semiHidden/>
    <w:unhideWhenUsed/>
    <w:rsid w:val="004230D9"/>
    <w:rPr>
      <w:rFonts w:ascii="Arial" w:eastAsiaTheme="majorEastAsia" w:hAnsi="Arial" w:cs="Arial"/>
      <w:sz w:val="22"/>
    </w:rPr>
  </w:style>
  <w:style w:type="paragraph" w:styleId="affa">
    <w:name w:val="envelope address"/>
    <w:basedOn w:val="a2"/>
    <w:uiPriority w:val="99"/>
    <w:semiHidden/>
    <w:unhideWhenUsed/>
    <w:rsid w:val="004230D9"/>
    <w:pPr>
      <w:framePr w:w="7920" w:h="1980" w:hRule="exact" w:hSpace="180" w:wrap="auto" w:hAnchor="page" w:xAlign="center" w:yAlign="bottom"/>
      <w:ind w:left="2880"/>
    </w:pPr>
    <w:rPr>
      <w:rFonts w:ascii="Arial" w:eastAsiaTheme="majorEastAsia" w:hAnsi="Arial" w:cs="Arial"/>
    </w:rPr>
  </w:style>
  <w:style w:type="character" w:styleId="affb">
    <w:name w:val="FollowedHyperlink"/>
    <w:basedOn w:val="a3"/>
    <w:uiPriority w:val="99"/>
    <w:semiHidden/>
    <w:unhideWhenUsed/>
    <w:rsid w:val="004230D9"/>
    <w:rPr>
      <w:rFonts w:ascii="Times New Roman" w:hAnsi="Times New Roman" w:cs="Times New Roman"/>
      <w:color w:val="9F6715" w:themeColor="followedHyperlink"/>
      <w:u w:val="single"/>
    </w:rPr>
  </w:style>
  <w:style w:type="paragraph" w:styleId="affc">
    <w:name w:val="footer"/>
    <w:basedOn w:val="a2"/>
    <w:link w:val="affd"/>
    <w:uiPriority w:val="99"/>
    <w:rsid w:val="004230D9"/>
  </w:style>
  <w:style w:type="character" w:customStyle="1" w:styleId="affd">
    <w:name w:val="Нижний колонтитул Знак"/>
    <w:basedOn w:val="a3"/>
    <w:link w:val="affc"/>
    <w:uiPriority w:val="99"/>
    <w:rsid w:val="004701E1"/>
  </w:style>
  <w:style w:type="character" w:styleId="affe">
    <w:name w:val="footnote reference"/>
    <w:basedOn w:val="a3"/>
    <w:uiPriority w:val="99"/>
    <w:semiHidden/>
    <w:unhideWhenUsed/>
    <w:rsid w:val="004230D9"/>
    <w:rPr>
      <w:rFonts w:ascii="Times New Roman" w:hAnsi="Times New Roman" w:cs="Times New Roman"/>
      <w:vertAlign w:val="superscript"/>
    </w:rPr>
  </w:style>
  <w:style w:type="paragraph" w:styleId="afff">
    <w:name w:val="footnote text"/>
    <w:basedOn w:val="a2"/>
    <w:link w:val="afff0"/>
    <w:uiPriority w:val="99"/>
    <w:semiHidden/>
    <w:unhideWhenUsed/>
    <w:rsid w:val="004230D9"/>
    <w:rPr>
      <w:sz w:val="22"/>
    </w:rPr>
  </w:style>
  <w:style w:type="character" w:customStyle="1" w:styleId="afff0">
    <w:name w:val="Текст сноски Знак"/>
    <w:basedOn w:val="a3"/>
    <w:link w:val="afff"/>
    <w:uiPriority w:val="99"/>
    <w:semiHidden/>
    <w:rsid w:val="004230D9"/>
    <w:rPr>
      <w:rFonts w:ascii="Times New Roman" w:hAnsi="Times New Roman" w:cs="Times New Roman"/>
      <w:sz w:val="22"/>
      <w:szCs w:val="20"/>
    </w:rPr>
  </w:style>
  <w:style w:type="character" w:customStyle="1" w:styleId="Hashtag">
    <w:name w:val="Hashtag"/>
    <w:basedOn w:val="a3"/>
    <w:uiPriority w:val="99"/>
    <w:semiHidden/>
    <w:unhideWhenUsed/>
    <w:rsid w:val="004230D9"/>
    <w:rPr>
      <w:rFonts w:ascii="Times New Roman" w:hAnsi="Times New Roman" w:cs="Times New Roman"/>
      <w:color w:val="2B579A"/>
      <w:shd w:val="clear" w:color="auto" w:fill="E6E6E6"/>
    </w:rPr>
  </w:style>
  <w:style w:type="paragraph" w:styleId="afff1">
    <w:name w:val="header"/>
    <w:basedOn w:val="a2"/>
    <w:link w:val="afff2"/>
    <w:uiPriority w:val="99"/>
    <w:unhideWhenUsed/>
    <w:rsid w:val="00222713"/>
    <w:rPr>
      <w:sz w:val="16"/>
    </w:rPr>
  </w:style>
  <w:style w:type="character" w:customStyle="1" w:styleId="afff2">
    <w:name w:val="Верхний колонтитул Знак"/>
    <w:basedOn w:val="a3"/>
    <w:link w:val="afff1"/>
    <w:uiPriority w:val="99"/>
    <w:rsid w:val="00222713"/>
    <w:rPr>
      <w:sz w:val="16"/>
    </w:rPr>
  </w:style>
  <w:style w:type="character" w:styleId="HTML">
    <w:name w:val="HTML Acronym"/>
    <w:basedOn w:val="a3"/>
    <w:uiPriority w:val="99"/>
    <w:semiHidden/>
    <w:unhideWhenUsed/>
    <w:rsid w:val="004230D9"/>
    <w:rPr>
      <w:rFonts w:ascii="Times New Roman" w:hAnsi="Times New Roman" w:cs="Times New Roman"/>
    </w:rPr>
  </w:style>
  <w:style w:type="paragraph" w:styleId="HTML0">
    <w:name w:val="HTML Address"/>
    <w:basedOn w:val="a2"/>
    <w:link w:val="HTML1"/>
    <w:uiPriority w:val="99"/>
    <w:semiHidden/>
    <w:unhideWhenUsed/>
    <w:rsid w:val="004230D9"/>
    <w:rPr>
      <w:i/>
      <w:iCs/>
    </w:rPr>
  </w:style>
  <w:style w:type="character" w:customStyle="1" w:styleId="HTML1">
    <w:name w:val="Адрес HTML Знак"/>
    <w:basedOn w:val="a3"/>
    <w:link w:val="HTML0"/>
    <w:uiPriority w:val="99"/>
    <w:semiHidden/>
    <w:rsid w:val="004230D9"/>
    <w:rPr>
      <w:rFonts w:ascii="Times New Roman" w:hAnsi="Times New Roman" w:cs="Times New Roman"/>
      <w:i/>
      <w:iCs/>
    </w:rPr>
  </w:style>
  <w:style w:type="character" w:styleId="HTML2">
    <w:name w:val="HTML Cite"/>
    <w:basedOn w:val="a3"/>
    <w:uiPriority w:val="99"/>
    <w:semiHidden/>
    <w:unhideWhenUsed/>
    <w:rsid w:val="004230D9"/>
    <w:rPr>
      <w:rFonts w:ascii="Times New Roman" w:hAnsi="Times New Roman" w:cs="Times New Roman"/>
      <w:i/>
      <w:iCs/>
    </w:rPr>
  </w:style>
  <w:style w:type="character" w:styleId="HTML3">
    <w:name w:val="HTML Code"/>
    <w:basedOn w:val="a3"/>
    <w:uiPriority w:val="99"/>
    <w:semiHidden/>
    <w:unhideWhenUsed/>
    <w:rsid w:val="004230D9"/>
    <w:rPr>
      <w:rFonts w:ascii="Consolas" w:hAnsi="Consolas" w:cs="Times New Roman"/>
      <w:szCs w:val="20"/>
    </w:rPr>
  </w:style>
  <w:style w:type="character" w:styleId="HTML4">
    <w:name w:val="HTML Definition"/>
    <w:basedOn w:val="a3"/>
    <w:uiPriority w:val="99"/>
    <w:semiHidden/>
    <w:unhideWhenUsed/>
    <w:rsid w:val="004230D9"/>
    <w:rPr>
      <w:rFonts w:ascii="Times New Roman" w:hAnsi="Times New Roman" w:cs="Times New Roman"/>
      <w:i/>
      <w:iCs/>
    </w:rPr>
  </w:style>
  <w:style w:type="character" w:styleId="HTML5">
    <w:name w:val="HTML Keyboard"/>
    <w:basedOn w:val="a3"/>
    <w:uiPriority w:val="99"/>
    <w:semiHidden/>
    <w:unhideWhenUsed/>
    <w:rsid w:val="004230D9"/>
    <w:rPr>
      <w:rFonts w:ascii="Consolas" w:hAnsi="Consolas" w:cs="Times New Roman"/>
      <w:szCs w:val="20"/>
    </w:rPr>
  </w:style>
  <w:style w:type="paragraph" w:styleId="HTML6">
    <w:name w:val="HTML Preformatted"/>
    <w:basedOn w:val="a2"/>
    <w:link w:val="HTML7"/>
    <w:uiPriority w:val="99"/>
    <w:semiHidden/>
    <w:unhideWhenUsed/>
    <w:rsid w:val="004230D9"/>
    <w:rPr>
      <w:rFonts w:ascii="Consolas" w:hAnsi="Consolas"/>
      <w:sz w:val="22"/>
    </w:rPr>
  </w:style>
  <w:style w:type="character" w:customStyle="1" w:styleId="HTML7">
    <w:name w:val="Стандартный HTML Знак"/>
    <w:basedOn w:val="a3"/>
    <w:link w:val="HTML6"/>
    <w:uiPriority w:val="99"/>
    <w:semiHidden/>
    <w:rsid w:val="004230D9"/>
    <w:rPr>
      <w:rFonts w:ascii="Consolas" w:hAnsi="Consolas" w:cs="Times New Roman"/>
      <w:sz w:val="22"/>
      <w:szCs w:val="20"/>
    </w:rPr>
  </w:style>
  <w:style w:type="character" w:styleId="HTML8">
    <w:name w:val="HTML Typewriter"/>
    <w:basedOn w:val="a3"/>
    <w:uiPriority w:val="99"/>
    <w:semiHidden/>
    <w:unhideWhenUsed/>
    <w:rsid w:val="004230D9"/>
    <w:rPr>
      <w:rFonts w:ascii="Consolas" w:hAnsi="Consolas" w:cs="Times New Roman"/>
      <w:szCs w:val="20"/>
    </w:rPr>
  </w:style>
  <w:style w:type="character" w:styleId="HTML9">
    <w:name w:val="HTML Variable"/>
    <w:basedOn w:val="a3"/>
    <w:uiPriority w:val="99"/>
    <w:semiHidden/>
    <w:unhideWhenUsed/>
    <w:rsid w:val="004230D9"/>
    <w:rPr>
      <w:rFonts w:ascii="Times New Roman" w:hAnsi="Times New Roman" w:cs="Times New Roman"/>
      <w:i/>
      <w:iCs/>
    </w:rPr>
  </w:style>
  <w:style w:type="character" w:styleId="afff3">
    <w:name w:val="Hyperlink"/>
    <w:basedOn w:val="a3"/>
    <w:uiPriority w:val="99"/>
    <w:unhideWhenUsed/>
    <w:rsid w:val="004230D9"/>
    <w:rPr>
      <w:rFonts w:ascii="Times New Roman" w:hAnsi="Times New Roman" w:cs="Times New Roman"/>
      <w:color w:val="6B9F25" w:themeColor="hyperlink"/>
      <w:u w:val="single"/>
    </w:rPr>
  </w:style>
  <w:style w:type="paragraph" w:styleId="12">
    <w:name w:val="index 1"/>
    <w:basedOn w:val="a2"/>
    <w:next w:val="a2"/>
    <w:autoRedefine/>
    <w:uiPriority w:val="99"/>
    <w:semiHidden/>
    <w:unhideWhenUsed/>
    <w:rsid w:val="004230D9"/>
    <w:pPr>
      <w:ind w:left="240" w:hanging="240"/>
    </w:pPr>
  </w:style>
  <w:style w:type="paragraph" w:styleId="afff4">
    <w:name w:val="index heading"/>
    <w:basedOn w:val="a2"/>
    <w:next w:val="12"/>
    <w:uiPriority w:val="99"/>
    <w:semiHidden/>
    <w:unhideWhenUsed/>
    <w:rsid w:val="004230D9"/>
    <w:rPr>
      <w:rFonts w:ascii="Arial" w:eastAsiaTheme="majorEastAsia" w:hAnsi="Arial" w:cs="Arial"/>
      <w:b/>
      <w:bCs/>
    </w:rPr>
  </w:style>
  <w:style w:type="character" w:styleId="afff5">
    <w:name w:val="line number"/>
    <w:basedOn w:val="a3"/>
    <w:uiPriority w:val="99"/>
    <w:semiHidden/>
    <w:unhideWhenUsed/>
    <w:rsid w:val="004230D9"/>
    <w:rPr>
      <w:rFonts w:ascii="Times New Roman" w:hAnsi="Times New Roman" w:cs="Times New Roman"/>
    </w:rPr>
  </w:style>
  <w:style w:type="paragraph" w:styleId="afff6">
    <w:name w:val="macro"/>
    <w:link w:val="afff7"/>
    <w:uiPriority w:val="99"/>
    <w:semiHidden/>
    <w:unhideWhenUsed/>
    <w:rsid w:val="004230D9"/>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afff7">
    <w:name w:val="Текст макроса Знак"/>
    <w:basedOn w:val="a3"/>
    <w:link w:val="afff6"/>
    <w:uiPriority w:val="99"/>
    <w:semiHidden/>
    <w:rsid w:val="004230D9"/>
    <w:rPr>
      <w:rFonts w:ascii="Consolas" w:hAnsi="Consolas" w:cs="Times New Roman"/>
      <w:sz w:val="22"/>
      <w:szCs w:val="20"/>
    </w:rPr>
  </w:style>
  <w:style w:type="character" w:customStyle="1" w:styleId="Mention">
    <w:name w:val="Mention"/>
    <w:basedOn w:val="a3"/>
    <w:uiPriority w:val="99"/>
    <w:semiHidden/>
    <w:unhideWhenUsed/>
    <w:rsid w:val="004230D9"/>
    <w:rPr>
      <w:rFonts w:ascii="Times New Roman" w:hAnsi="Times New Roman" w:cs="Times New Roman"/>
      <w:color w:val="2B579A"/>
      <w:shd w:val="clear" w:color="auto" w:fill="E6E6E6"/>
    </w:rPr>
  </w:style>
  <w:style w:type="paragraph" w:styleId="afff8">
    <w:name w:val="Message Header"/>
    <w:basedOn w:val="a2"/>
    <w:link w:val="afff9"/>
    <w:uiPriority w:val="99"/>
    <w:semiHidden/>
    <w:unhideWhenUsed/>
    <w:rsid w:val="004230D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heme="majorEastAsia" w:hAnsi="Arial" w:cs="Arial"/>
    </w:rPr>
  </w:style>
  <w:style w:type="character" w:customStyle="1" w:styleId="afff9">
    <w:name w:val="Шапка Знак"/>
    <w:basedOn w:val="a3"/>
    <w:link w:val="afff8"/>
    <w:uiPriority w:val="99"/>
    <w:semiHidden/>
    <w:rsid w:val="004230D9"/>
    <w:rPr>
      <w:rFonts w:ascii="Arial" w:eastAsiaTheme="majorEastAsia" w:hAnsi="Arial" w:cs="Arial"/>
      <w:shd w:val="pct20" w:color="auto" w:fill="auto"/>
    </w:rPr>
  </w:style>
  <w:style w:type="paragraph" w:styleId="afffa">
    <w:name w:val="Note Heading"/>
    <w:basedOn w:val="a2"/>
    <w:next w:val="a2"/>
    <w:link w:val="afffb"/>
    <w:uiPriority w:val="99"/>
    <w:semiHidden/>
    <w:unhideWhenUsed/>
    <w:rsid w:val="004230D9"/>
  </w:style>
  <w:style w:type="character" w:customStyle="1" w:styleId="afffb">
    <w:name w:val="Заголовок записки Знак"/>
    <w:basedOn w:val="a3"/>
    <w:link w:val="afffa"/>
    <w:uiPriority w:val="99"/>
    <w:semiHidden/>
    <w:rsid w:val="004230D9"/>
    <w:rPr>
      <w:rFonts w:ascii="Times New Roman" w:hAnsi="Times New Roman" w:cs="Times New Roman"/>
    </w:rPr>
  </w:style>
  <w:style w:type="paragraph" w:styleId="afffc">
    <w:name w:val="Plain Text"/>
    <w:basedOn w:val="a2"/>
    <w:link w:val="afffd"/>
    <w:uiPriority w:val="99"/>
    <w:semiHidden/>
    <w:unhideWhenUsed/>
    <w:rsid w:val="004230D9"/>
    <w:rPr>
      <w:rFonts w:ascii="Consolas" w:hAnsi="Consolas"/>
      <w:sz w:val="22"/>
      <w:szCs w:val="21"/>
    </w:rPr>
  </w:style>
  <w:style w:type="character" w:customStyle="1" w:styleId="afffd">
    <w:name w:val="Текст Знак"/>
    <w:basedOn w:val="a3"/>
    <w:link w:val="afffc"/>
    <w:uiPriority w:val="99"/>
    <w:semiHidden/>
    <w:rsid w:val="004230D9"/>
    <w:rPr>
      <w:rFonts w:ascii="Consolas" w:hAnsi="Consolas" w:cs="Times New Roman"/>
      <w:sz w:val="22"/>
      <w:szCs w:val="21"/>
    </w:rPr>
  </w:style>
  <w:style w:type="paragraph" w:styleId="afffe">
    <w:name w:val="Salutation"/>
    <w:basedOn w:val="a2"/>
    <w:next w:val="a2"/>
    <w:link w:val="affff"/>
    <w:uiPriority w:val="99"/>
    <w:semiHidden/>
    <w:unhideWhenUsed/>
    <w:rsid w:val="004230D9"/>
  </w:style>
  <w:style w:type="character" w:customStyle="1" w:styleId="affff">
    <w:name w:val="Приветствие Знак"/>
    <w:basedOn w:val="a3"/>
    <w:link w:val="afffe"/>
    <w:uiPriority w:val="99"/>
    <w:semiHidden/>
    <w:rsid w:val="004230D9"/>
    <w:rPr>
      <w:rFonts w:ascii="Times New Roman" w:hAnsi="Times New Roman" w:cs="Times New Roman"/>
    </w:rPr>
  </w:style>
  <w:style w:type="paragraph" w:styleId="affff0">
    <w:name w:val="Signature"/>
    <w:basedOn w:val="a2"/>
    <w:link w:val="affff1"/>
    <w:uiPriority w:val="99"/>
    <w:semiHidden/>
    <w:unhideWhenUsed/>
    <w:rsid w:val="004230D9"/>
    <w:pPr>
      <w:ind w:left="4252"/>
    </w:pPr>
  </w:style>
  <w:style w:type="character" w:customStyle="1" w:styleId="affff1">
    <w:name w:val="Подпись Знак"/>
    <w:basedOn w:val="a3"/>
    <w:link w:val="affff0"/>
    <w:uiPriority w:val="99"/>
    <w:semiHidden/>
    <w:rsid w:val="004230D9"/>
    <w:rPr>
      <w:rFonts w:ascii="Times New Roman" w:hAnsi="Times New Roman" w:cs="Times New Roman"/>
    </w:rPr>
  </w:style>
  <w:style w:type="character" w:customStyle="1" w:styleId="SmartHyperlink">
    <w:name w:val="Smart Hyperlink"/>
    <w:basedOn w:val="a3"/>
    <w:uiPriority w:val="99"/>
    <w:semiHidden/>
    <w:unhideWhenUsed/>
    <w:rsid w:val="004230D9"/>
    <w:rPr>
      <w:rFonts w:ascii="Times New Roman" w:hAnsi="Times New Roman" w:cs="Times New Roman"/>
      <w:u w:val="dotted"/>
    </w:rPr>
  </w:style>
  <w:style w:type="character" w:customStyle="1" w:styleId="UnresolvedMention">
    <w:name w:val="Unresolved Mention"/>
    <w:basedOn w:val="a3"/>
    <w:uiPriority w:val="99"/>
    <w:semiHidden/>
    <w:unhideWhenUsed/>
    <w:rsid w:val="004230D9"/>
    <w:rPr>
      <w:rFonts w:ascii="Times New Roman" w:hAnsi="Times New Roman" w:cs="Times New Roman"/>
      <w:color w:val="595959" w:themeColor="text1" w:themeTint="A6"/>
      <w:shd w:val="clear" w:color="auto" w:fill="E6E6E6"/>
    </w:rPr>
  </w:style>
  <w:style w:type="paragraph" w:styleId="20">
    <w:name w:val="List Number 2"/>
    <w:basedOn w:val="a2"/>
    <w:uiPriority w:val="12"/>
    <w:unhideWhenUsed/>
    <w:qFormat/>
    <w:rsid w:val="002E4F42"/>
    <w:pPr>
      <w:numPr>
        <w:ilvl w:val="1"/>
        <w:numId w:val="9"/>
      </w:numPr>
    </w:pPr>
  </w:style>
  <w:style w:type="numbering" w:styleId="111111">
    <w:name w:val="Outline List 2"/>
    <w:basedOn w:val="a5"/>
    <w:uiPriority w:val="99"/>
    <w:semiHidden/>
    <w:unhideWhenUsed/>
    <w:rsid w:val="004230D9"/>
    <w:pPr>
      <w:numPr>
        <w:numId w:val="10"/>
      </w:numPr>
    </w:pPr>
  </w:style>
  <w:style w:type="numbering" w:styleId="1ai">
    <w:name w:val="Outline List 1"/>
    <w:basedOn w:val="a5"/>
    <w:uiPriority w:val="99"/>
    <w:semiHidden/>
    <w:unhideWhenUsed/>
    <w:rsid w:val="004230D9"/>
    <w:pPr>
      <w:numPr>
        <w:numId w:val="11"/>
      </w:numPr>
    </w:pPr>
  </w:style>
  <w:style w:type="numbering" w:styleId="a1">
    <w:name w:val="Outline List 3"/>
    <w:basedOn w:val="a5"/>
    <w:uiPriority w:val="99"/>
    <w:semiHidden/>
    <w:unhideWhenUsed/>
    <w:rsid w:val="004230D9"/>
    <w:pPr>
      <w:numPr>
        <w:numId w:val="12"/>
      </w:numPr>
    </w:pPr>
  </w:style>
  <w:style w:type="paragraph" w:styleId="affff2">
    <w:name w:val="Body Text First Indent"/>
    <w:basedOn w:val="afe"/>
    <w:link w:val="affff3"/>
    <w:uiPriority w:val="99"/>
    <w:semiHidden/>
    <w:unhideWhenUsed/>
    <w:rsid w:val="004230D9"/>
    <w:pPr>
      <w:spacing w:after="200"/>
      <w:ind w:firstLine="360"/>
    </w:pPr>
  </w:style>
  <w:style w:type="character" w:customStyle="1" w:styleId="affff3">
    <w:name w:val="Красная строка Знак"/>
    <w:basedOn w:val="aff"/>
    <w:link w:val="affff2"/>
    <w:uiPriority w:val="99"/>
    <w:semiHidden/>
    <w:rsid w:val="004230D9"/>
    <w:rPr>
      <w:rFonts w:ascii="Times New Roman" w:hAnsi="Times New Roman" w:cs="Times New Roman"/>
    </w:rPr>
  </w:style>
  <w:style w:type="paragraph" w:styleId="affff4">
    <w:name w:val="Body Text Indent"/>
    <w:basedOn w:val="a2"/>
    <w:link w:val="affff5"/>
    <w:uiPriority w:val="99"/>
    <w:semiHidden/>
    <w:unhideWhenUsed/>
    <w:rsid w:val="004230D9"/>
    <w:pPr>
      <w:spacing w:after="120"/>
      <w:ind w:left="360"/>
    </w:pPr>
  </w:style>
  <w:style w:type="character" w:customStyle="1" w:styleId="affff5">
    <w:name w:val="Основной текст с отступом Знак"/>
    <w:basedOn w:val="a3"/>
    <w:link w:val="affff4"/>
    <w:uiPriority w:val="99"/>
    <w:semiHidden/>
    <w:rsid w:val="004230D9"/>
    <w:rPr>
      <w:rFonts w:ascii="Times New Roman" w:hAnsi="Times New Roman" w:cs="Times New Roman"/>
    </w:rPr>
  </w:style>
  <w:style w:type="paragraph" w:styleId="28">
    <w:name w:val="Body Text First Indent 2"/>
    <w:basedOn w:val="affff4"/>
    <w:link w:val="29"/>
    <w:uiPriority w:val="99"/>
    <w:semiHidden/>
    <w:unhideWhenUsed/>
    <w:rsid w:val="004230D9"/>
    <w:pPr>
      <w:spacing w:after="200"/>
      <w:ind w:firstLine="360"/>
    </w:pPr>
  </w:style>
  <w:style w:type="character" w:customStyle="1" w:styleId="29">
    <w:name w:val="Красная строка 2 Знак"/>
    <w:basedOn w:val="affff5"/>
    <w:link w:val="28"/>
    <w:uiPriority w:val="99"/>
    <w:semiHidden/>
    <w:rsid w:val="004230D9"/>
    <w:rPr>
      <w:rFonts w:ascii="Times New Roman" w:hAnsi="Times New Roman" w:cs="Times New Roman"/>
    </w:rPr>
  </w:style>
  <w:style w:type="paragraph" w:styleId="2a">
    <w:name w:val="Body Text Indent 2"/>
    <w:basedOn w:val="a2"/>
    <w:link w:val="2b"/>
    <w:uiPriority w:val="99"/>
    <w:semiHidden/>
    <w:unhideWhenUsed/>
    <w:rsid w:val="004230D9"/>
    <w:pPr>
      <w:spacing w:after="120" w:line="480" w:lineRule="auto"/>
      <w:ind w:left="360"/>
    </w:pPr>
  </w:style>
  <w:style w:type="character" w:customStyle="1" w:styleId="2b">
    <w:name w:val="Основной текст с отступом 2 Знак"/>
    <w:basedOn w:val="a3"/>
    <w:link w:val="2a"/>
    <w:uiPriority w:val="99"/>
    <w:semiHidden/>
    <w:rsid w:val="004230D9"/>
    <w:rPr>
      <w:rFonts w:ascii="Times New Roman" w:hAnsi="Times New Roman" w:cs="Times New Roman"/>
    </w:rPr>
  </w:style>
  <w:style w:type="paragraph" w:styleId="affff6">
    <w:name w:val="Closing"/>
    <w:basedOn w:val="a2"/>
    <w:link w:val="affff7"/>
    <w:uiPriority w:val="99"/>
    <w:semiHidden/>
    <w:unhideWhenUsed/>
    <w:rsid w:val="004230D9"/>
    <w:pPr>
      <w:ind w:left="4320"/>
    </w:pPr>
  </w:style>
  <w:style w:type="character" w:customStyle="1" w:styleId="affff7">
    <w:name w:val="Прощание Знак"/>
    <w:basedOn w:val="a3"/>
    <w:link w:val="affff6"/>
    <w:uiPriority w:val="99"/>
    <w:semiHidden/>
    <w:rsid w:val="004230D9"/>
    <w:rPr>
      <w:rFonts w:ascii="Times New Roman" w:hAnsi="Times New Roman" w:cs="Times New Roman"/>
    </w:rPr>
  </w:style>
  <w:style w:type="table" w:styleId="affff8">
    <w:name w:val="Colorful Grid"/>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
    <w:name w:val="Colorful Grid Accent 1"/>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4EAF3" w:themeFill="accent1" w:themeFillTint="33"/>
    </w:tcPr>
    <w:tblStylePr w:type="firstRow">
      <w:rPr>
        <w:b/>
        <w:bCs/>
      </w:rPr>
      <w:tblPr/>
      <w:tcPr>
        <w:shd w:val="clear" w:color="auto" w:fill="A9D5E7" w:themeFill="accent1" w:themeFillTint="66"/>
      </w:tcPr>
    </w:tblStylePr>
    <w:tblStylePr w:type="lastRow">
      <w:rPr>
        <w:b/>
        <w:bCs/>
        <w:color w:val="000000" w:themeColor="text1"/>
      </w:rPr>
      <w:tblPr/>
      <w:tcPr>
        <w:shd w:val="clear" w:color="auto" w:fill="A9D5E7" w:themeFill="accent1" w:themeFillTint="66"/>
      </w:tcPr>
    </w:tblStylePr>
    <w:tblStylePr w:type="firstCol">
      <w:rPr>
        <w:color w:val="FFFFFF" w:themeColor="background1"/>
      </w:rPr>
      <w:tblPr/>
      <w:tcPr>
        <w:shd w:val="clear" w:color="auto" w:fill="276E8B" w:themeFill="accent1" w:themeFillShade="BF"/>
      </w:tcPr>
    </w:tblStylePr>
    <w:tblStylePr w:type="lastCol">
      <w:rPr>
        <w:color w:val="FFFFFF" w:themeColor="background1"/>
      </w:rPr>
      <w:tblPr/>
      <w:tcPr>
        <w:shd w:val="clear" w:color="auto" w:fill="276E8B" w:themeFill="accent1" w:themeFillShade="BF"/>
      </w:tc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2">
    <w:name w:val="Colorful Grid Accent 2"/>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DF0F2" w:themeFill="accent2" w:themeFillTint="33"/>
    </w:tcPr>
    <w:tblStylePr w:type="firstRow">
      <w:rPr>
        <w:b/>
        <w:bCs/>
      </w:rPr>
      <w:tblPr/>
      <w:tcPr>
        <w:shd w:val="clear" w:color="auto" w:fill="BCE1E5" w:themeFill="accent2" w:themeFillTint="66"/>
      </w:tcPr>
    </w:tblStylePr>
    <w:tblStylePr w:type="lastRow">
      <w:rPr>
        <w:b/>
        <w:bCs/>
        <w:color w:val="000000" w:themeColor="text1"/>
      </w:rPr>
      <w:tblPr/>
      <w:tcPr>
        <w:shd w:val="clear" w:color="auto" w:fill="BCE1E5" w:themeFill="accent2" w:themeFillTint="66"/>
      </w:tcPr>
    </w:tblStylePr>
    <w:tblStylePr w:type="firstCol">
      <w:rPr>
        <w:color w:val="FFFFFF" w:themeColor="background1"/>
      </w:rPr>
      <w:tblPr/>
      <w:tcPr>
        <w:shd w:val="clear" w:color="auto" w:fill="398E98" w:themeFill="accent2" w:themeFillShade="BF"/>
      </w:tcPr>
    </w:tblStylePr>
    <w:tblStylePr w:type="lastCol">
      <w:rPr>
        <w:color w:val="FFFFFF" w:themeColor="background1"/>
      </w:rPr>
      <w:tblPr/>
      <w:tcPr>
        <w:shd w:val="clear" w:color="auto" w:fill="398E98" w:themeFill="accent2" w:themeFillShade="BF"/>
      </w:tc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3">
    <w:name w:val="Colorful Grid Accent 3"/>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3F1ED" w:themeFill="accent3" w:themeFillTint="33"/>
    </w:tcPr>
    <w:tblStylePr w:type="firstRow">
      <w:rPr>
        <w:b/>
        <w:bCs/>
      </w:rPr>
      <w:tblPr/>
      <w:tcPr>
        <w:shd w:val="clear" w:color="auto" w:fill="C7E4DB" w:themeFill="accent3" w:themeFillTint="66"/>
      </w:tcPr>
    </w:tblStylePr>
    <w:tblStylePr w:type="lastRow">
      <w:rPr>
        <w:b/>
        <w:bCs/>
        <w:color w:val="000000" w:themeColor="text1"/>
      </w:rPr>
      <w:tblPr/>
      <w:tcPr>
        <w:shd w:val="clear" w:color="auto" w:fill="C7E4DB" w:themeFill="accent3" w:themeFillTint="66"/>
      </w:tcPr>
    </w:tblStylePr>
    <w:tblStylePr w:type="firstCol">
      <w:rPr>
        <w:color w:val="FFFFFF" w:themeColor="background1"/>
      </w:rPr>
      <w:tblPr/>
      <w:tcPr>
        <w:shd w:val="clear" w:color="auto" w:fill="4A9A82" w:themeFill="accent3" w:themeFillShade="BF"/>
      </w:tcPr>
    </w:tblStylePr>
    <w:tblStylePr w:type="lastCol">
      <w:rPr>
        <w:color w:val="FFFFFF" w:themeColor="background1"/>
      </w:rPr>
      <w:tblPr/>
      <w:tcPr>
        <w:shd w:val="clear" w:color="auto" w:fill="4A9A82" w:themeFill="accent3" w:themeFillShade="BF"/>
      </w:tc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4">
    <w:name w:val="Colorful Grid Accent 4"/>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4E7E8" w:themeFill="accent4" w:themeFillTint="33"/>
    </w:tcPr>
    <w:tblStylePr w:type="firstRow">
      <w:rPr>
        <w:b/>
        <w:bCs/>
      </w:rPr>
      <w:tblPr/>
      <w:tcPr>
        <w:shd w:val="clear" w:color="auto" w:fill="C9D0D1" w:themeFill="accent4" w:themeFillTint="66"/>
      </w:tcPr>
    </w:tblStylePr>
    <w:tblStylePr w:type="lastRow">
      <w:rPr>
        <w:b/>
        <w:bCs/>
        <w:color w:val="000000" w:themeColor="text1"/>
      </w:rPr>
      <w:tblPr/>
      <w:tcPr>
        <w:shd w:val="clear" w:color="auto" w:fill="C9D0D1" w:themeFill="accent4" w:themeFillTint="66"/>
      </w:tcPr>
    </w:tblStylePr>
    <w:tblStylePr w:type="firstCol">
      <w:rPr>
        <w:color w:val="FFFFFF" w:themeColor="background1"/>
      </w:rPr>
      <w:tblPr/>
      <w:tcPr>
        <w:shd w:val="clear" w:color="auto" w:fill="5A696A" w:themeFill="accent4" w:themeFillShade="BF"/>
      </w:tcPr>
    </w:tblStylePr>
    <w:tblStylePr w:type="lastCol">
      <w:rPr>
        <w:color w:val="FFFFFF" w:themeColor="background1"/>
      </w:rPr>
      <w:tblPr/>
      <w:tcPr>
        <w:shd w:val="clear" w:color="auto" w:fill="5A696A" w:themeFill="accent4" w:themeFillShade="BF"/>
      </w:tc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5">
    <w:name w:val="Colorful Grid Accent 5"/>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6EEF0" w:themeFill="accent5" w:themeFillTint="33"/>
    </w:tcPr>
    <w:tblStylePr w:type="firstRow">
      <w:rPr>
        <w:b/>
        <w:bCs/>
      </w:rPr>
      <w:tblPr/>
      <w:tcPr>
        <w:shd w:val="clear" w:color="auto" w:fill="CDDDE1" w:themeFill="accent5" w:themeFillTint="66"/>
      </w:tcPr>
    </w:tblStylePr>
    <w:tblStylePr w:type="lastRow">
      <w:rPr>
        <w:b/>
        <w:bCs/>
        <w:color w:val="000000" w:themeColor="text1"/>
      </w:rPr>
      <w:tblPr/>
      <w:tcPr>
        <w:shd w:val="clear" w:color="auto" w:fill="CDDDE1" w:themeFill="accent5" w:themeFillTint="66"/>
      </w:tcPr>
    </w:tblStylePr>
    <w:tblStylePr w:type="firstCol">
      <w:rPr>
        <w:color w:val="FFFFFF" w:themeColor="background1"/>
      </w:rPr>
      <w:tblPr/>
      <w:tcPr>
        <w:shd w:val="clear" w:color="auto" w:fill="578793" w:themeFill="accent5" w:themeFillShade="BF"/>
      </w:tcPr>
    </w:tblStylePr>
    <w:tblStylePr w:type="lastCol">
      <w:rPr>
        <w:color w:val="FFFFFF" w:themeColor="background1"/>
      </w:rPr>
      <w:tblPr/>
      <w:tcPr>
        <w:shd w:val="clear" w:color="auto" w:fill="578793" w:themeFill="accent5" w:themeFillShade="BF"/>
      </w:tc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6">
    <w:name w:val="Colorful Grid Accent 6"/>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0E6F6" w:themeFill="accent6" w:themeFillTint="33"/>
    </w:tcPr>
    <w:tblStylePr w:type="firstRow">
      <w:rPr>
        <w:b/>
        <w:bCs/>
      </w:rPr>
      <w:tblPr/>
      <w:tcPr>
        <w:shd w:val="clear" w:color="auto" w:fill="A3CEED" w:themeFill="accent6" w:themeFillTint="66"/>
      </w:tcPr>
    </w:tblStylePr>
    <w:tblStylePr w:type="lastRow">
      <w:rPr>
        <w:b/>
        <w:bCs/>
        <w:color w:val="000000" w:themeColor="text1"/>
      </w:rPr>
      <w:tblPr/>
      <w:tcPr>
        <w:shd w:val="clear" w:color="auto" w:fill="A3CEED" w:themeFill="accent6" w:themeFillTint="66"/>
      </w:tcPr>
    </w:tblStylePr>
    <w:tblStylePr w:type="firstCol">
      <w:rPr>
        <w:color w:val="FFFFFF" w:themeColor="background1"/>
      </w:rPr>
      <w:tblPr/>
      <w:tcPr>
        <w:shd w:val="clear" w:color="auto" w:fill="1C6194" w:themeFill="accent6" w:themeFillShade="BF"/>
      </w:tcPr>
    </w:tblStylePr>
    <w:tblStylePr w:type="lastCol">
      <w:rPr>
        <w:color w:val="FFFFFF" w:themeColor="background1"/>
      </w:rPr>
      <w:tblPr/>
      <w:tcPr>
        <w:shd w:val="clear" w:color="auto" w:fill="1C6194" w:themeFill="accent6" w:themeFillShade="BF"/>
      </w:tc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affff9">
    <w:name w:val="Colorful List"/>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AF4F9" w:themeFill="accen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AE5F0" w:themeFill="accent1" w:themeFillTint="3F"/>
      </w:tcPr>
    </w:tblStylePr>
    <w:tblStylePr w:type="band1Horz">
      <w:tblPr/>
      <w:tcPr>
        <w:shd w:val="clear" w:color="auto" w:fill="D4EAF3" w:themeFill="accent1" w:themeFillTint="33"/>
      </w:tcPr>
    </w:tblStylePr>
  </w:style>
  <w:style w:type="table" w:styleId="-20">
    <w:name w:val="Colorful List Accent 2"/>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EF7F8" w:themeFill="accent2"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CEF" w:themeFill="accent2" w:themeFillTint="3F"/>
      </w:tcPr>
    </w:tblStylePr>
    <w:tblStylePr w:type="band1Horz">
      <w:tblPr/>
      <w:tcPr>
        <w:shd w:val="clear" w:color="auto" w:fill="DDF0F2" w:themeFill="accent2" w:themeFillTint="33"/>
      </w:tcPr>
    </w:tblStylePr>
  </w:style>
  <w:style w:type="table" w:styleId="-30">
    <w:name w:val="Colorful List Accent 3"/>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F1F8F6" w:themeFill="accent3" w:themeFillTint="19"/>
    </w:tcPr>
    <w:tblStylePr w:type="firstRow">
      <w:rPr>
        <w:b/>
        <w:bCs/>
        <w:color w:val="FFFFFF" w:themeColor="background1"/>
      </w:rPr>
      <w:tblPr/>
      <w:tcPr>
        <w:tcBorders>
          <w:bottom w:val="single" w:sz="12" w:space="0" w:color="FFFFFF" w:themeColor="background1"/>
        </w:tcBorders>
        <w:shd w:val="clear" w:color="auto" w:fill="617072" w:themeFill="accent4" w:themeFillShade="CC"/>
      </w:tcPr>
    </w:tblStylePr>
    <w:tblStylePr w:type="lastRow">
      <w:rPr>
        <w:b/>
        <w:bCs/>
        <w:color w:val="61707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EEE9" w:themeFill="accent3" w:themeFillTint="3F"/>
      </w:tcPr>
    </w:tblStylePr>
    <w:tblStylePr w:type="band1Horz">
      <w:tblPr/>
      <w:tcPr>
        <w:shd w:val="clear" w:color="auto" w:fill="E3F1ED" w:themeFill="accent3" w:themeFillTint="33"/>
      </w:tcPr>
    </w:tblStylePr>
  </w:style>
  <w:style w:type="table" w:styleId="-40">
    <w:name w:val="Colorful List Accent 4"/>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F1F3F3" w:themeFill="accent4" w:themeFillTint="19"/>
    </w:tcPr>
    <w:tblStylePr w:type="firstRow">
      <w:rPr>
        <w:b/>
        <w:bCs/>
        <w:color w:val="FFFFFF" w:themeColor="background1"/>
      </w:rPr>
      <w:tblPr/>
      <w:tcPr>
        <w:tcBorders>
          <w:bottom w:val="single" w:sz="12" w:space="0" w:color="FFFFFF" w:themeColor="background1"/>
        </w:tcBorders>
        <w:shd w:val="clear" w:color="auto" w:fill="4FA58B" w:themeFill="accent3" w:themeFillShade="CC"/>
      </w:tcPr>
    </w:tblStylePr>
    <w:tblStylePr w:type="lastRow">
      <w:rPr>
        <w:b/>
        <w:bCs/>
        <w:color w:val="4FA58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EE2E3" w:themeFill="accent4" w:themeFillTint="3F"/>
      </w:tcPr>
    </w:tblStylePr>
    <w:tblStylePr w:type="band1Horz">
      <w:tblPr/>
      <w:tcPr>
        <w:shd w:val="clear" w:color="auto" w:fill="E4E7E8" w:themeFill="accent4" w:themeFillTint="33"/>
      </w:tcPr>
    </w:tblStylePr>
  </w:style>
  <w:style w:type="table" w:styleId="-50">
    <w:name w:val="Colorful List Accent 5"/>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F2F6F7" w:themeFill="accent5" w:themeFillTint="19"/>
    </w:tcPr>
    <w:tblStylePr w:type="firstRow">
      <w:rPr>
        <w:b/>
        <w:bCs/>
        <w:color w:val="FFFFFF" w:themeColor="background1"/>
      </w:rPr>
      <w:tblPr/>
      <w:tcPr>
        <w:tcBorders>
          <w:bottom w:val="single" w:sz="12" w:space="0" w:color="FFFFFF" w:themeColor="background1"/>
        </w:tcBorders>
        <w:shd w:val="clear" w:color="auto" w:fill="1E689E" w:themeFill="accent6" w:themeFillShade="CC"/>
      </w:tcPr>
    </w:tblStylePr>
    <w:tblStylePr w:type="lastRow">
      <w:rPr>
        <w:b/>
        <w:bCs/>
        <w:color w:val="1E689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AED" w:themeFill="accent5" w:themeFillTint="3F"/>
      </w:tcPr>
    </w:tblStylePr>
    <w:tblStylePr w:type="band1Horz">
      <w:tblPr/>
      <w:tcPr>
        <w:shd w:val="clear" w:color="auto" w:fill="E6EEF0" w:themeFill="accent5" w:themeFillTint="33"/>
      </w:tcPr>
    </w:tblStylePr>
  </w:style>
  <w:style w:type="table" w:styleId="-60">
    <w:name w:val="Colorful List Accent 6"/>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8F2FA" w:themeFill="accent6" w:themeFillTint="19"/>
    </w:tcPr>
    <w:tblStylePr w:type="firstRow">
      <w:rPr>
        <w:b/>
        <w:bCs/>
        <w:color w:val="FFFFFF" w:themeColor="background1"/>
      </w:rPr>
      <w:tblPr/>
      <w:tcPr>
        <w:tcBorders>
          <w:bottom w:val="single" w:sz="12" w:space="0" w:color="FFFFFF" w:themeColor="background1"/>
        </w:tcBorders>
        <w:shd w:val="clear" w:color="auto" w:fill="5D909D" w:themeFill="accent5" w:themeFillShade="CC"/>
      </w:tcPr>
    </w:tblStylePr>
    <w:tblStylePr w:type="lastRow">
      <w:rPr>
        <w:b/>
        <w:bCs/>
        <w:color w:val="5D909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E0F4" w:themeFill="accent6" w:themeFillTint="3F"/>
      </w:tcPr>
    </w:tblStylePr>
    <w:tblStylePr w:type="band1Horz">
      <w:tblPr/>
      <w:tcPr>
        <w:shd w:val="clear" w:color="auto" w:fill="D0E6F6" w:themeFill="accent6" w:themeFillTint="33"/>
      </w:tcPr>
    </w:tblStylePr>
  </w:style>
  <w:style w:type="table" w:styleId="affffa">
    <w:name w:val="Colorful Shading"/>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58B6C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58B6C0" w:themeColor="accent2"/>
        <w:left w:val="single" w:sz="4" w:space="0" w:color="3494BA" w:themeColor="accent1"/>
        <w:bottom w:val="single" w:sz="4" w:space="0" w:color="3494BA" w:themeColor="accent1"/>
        <w:right w:val="single" w:sz="4" w:space="0" w:color="3494BA" w:themeColor="accent1"/>
        <w:insideH w:val="single" w:sz="4" w:space="0" w:color="FFFFFF" w:themeColor="background1"/>
        <w:insideV w:val="single" w:sz="4" w:space="0" w:color="FFFFFF" w:themeColor="background1"/>
      </w:tblBorders>
    </w:tblPr>
    <w:tcPr>
      <w:shd w:val="clear" w:color="auto" w:fill="EAF4F9" w:themeFill="accen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F586F" w:themeFill="accent1" w:themeFillShade="99"/>
      </w:tcPr>
    </w:tblStylePr>
    <w:tblStylePr w:type="firstCol">
      <w:rPr>
        <w:color w:val="FFFFFF" w:themeColor="background1"/>
      </w:rPr>
      <w:tblPr/>
      <w:tcPr>
        <w:tcBorders>
          <w:top w:val="nil"/>
          <w:left w:val="nil"/>
          <w:bottom w:val="nil"/>
          <w:right w:val="nil"/>
          <w:insideH w:val="single" w:sz="4" w:space="0" w:color="1F586F" w:themeColor="accent1" w:themeShade="99"/>
          <w:insideV w:val="nil"/>
        </w:tcBorders>
        <w:shd w:val="clear" w:color="auto" w:fill="1F586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F586F" w:themeFill="accent1" w:themeFillShade="99"/>
      </w:tcPr>
    </w:tblStylePr>
    <w:tblStylePr w:type="band1Vert">
      <w:tblPr/>
      <w:tcPr>
        <w:shd w:val="clear" w:color="auto" w:fill="A9D5E7" w:themeFill="accent1" w:themeFillTint="66"/>
      </w:tcPr>
    </w:tblStylePr>
    <w:tblStylePr w:type="band1Horz">
      <w:tblPr/>
      <w:tcPr>
        <w:shd w:val="clear" w:color="auto" w:fill="94CBE1"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58B6C0" w:themeColor="accent2"/>
        <w:left w:val="single" w:sz="4" w:space="0" w:color="58B6C0" w:themeColor="accent2"/>
        <w:bottom w:val="single" w:sz="4" w:space="0" w:color="58B6C0" w:themeColor="accent2"/>
        <w:right w:val="single" w:sz="4" w:space="0" w:color="58B6C0" w:themeColor="accent2"/>
        <w:insideH w:val="single" w:sz="4" w:space="0" w:color="FFFFFF" w:themeColor="background1"/>
        <w:insideV w:val="single" w:sz="4" w:space="0" w:color="FFFFFF" w:themeColor="background1"/>
      </w:tblBorders>
    </w:tblPr>
    <w:tcPr>
      <w:shd w:val="clear" w:color="auto" w:fill="EEF7F8" w:themeFill="accent2"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7279" w:themeFill="accent2" w:themeFillShade="99"/>
      </w:tcPr>
    </w:tblStylePr>
    <w:tblStylePr w:type="firstCol">
      <w:rPr>
        <w:color w:val="FFFFFF" w:themeColor="background1"/>
      </w:rPr>
      <w:tblPr/>
      <w:tcPr>
        <w:tcBorders>
          <w:top w:val="nil"/>
          <w:left w:val="nil"/>
          <w:bottom w:val="nil"/>
          <w:right w:val="nil"/>
          <w:insideH w:val="single" w:sz="4" w:space="0" w:color="2E7279" w:themeColor="accent2" w:themeShade="99"/>
          <w:insideV w:val="nil"/>
        </w:tcBorders>
        <w:shd w:val="clear" w:color="auto" w:fill="2E72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E7279" w:themeFill="accent2" w:themeFillShade="99"/>
      </w:tcPr>
    </w:tblStylePr>
    <w:tblStylePr w:type="band1Vert">
      <w:tblPr/>
      <w:tcPr>
        <w:shd w:val="clear" w:color="auto" w:fill="BCE1E5" w:themeFill="accent2" w:themeFillTint="66"/>
      </w:tcPr>
    </w:tblStylePr>
    <w:tblStylePr w:type="band1Horz">
      <w:tblPr/>
      <w:tcPr>
        <w:shd w:val="clear" w:color="auto" w:fill="ABDADF"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7A8C8E" w:themeColor="accent4"/>
        <w:left w:val="single" w:sz="4" w:space="0" w:color="75BDA7" w:themeColor="accent3"/>
        <w:bottom w:val="single" w:sz="4" w:space="0" w:color="75BDA7" w:themeColor="accent3"/>
        <w:right w:val="single" w:sz="4" w:space="0" w:color="75BDA7" w:themeColor="accent3"/>
        <w:insideH w:val="single" w:sz="4" w:space="0" w:color="FFFFFF" w:themeColor="background1"/>
        <w:insideV w:val="single" w:sz="4" w:space="0" w:color="FFFFFF" w:themeColor="background1"/>
      </w:tblBorders>
    </w:tblPr>
    <w:tcPr>
      <w:shd w:val="clear" w:color="auto" w:fill="F1F8F6" w:themeFill="accent3" w:themeFillTint="19"/>
    </w:tcPr>
    <w:tblStylePr w:type="firstRow">
      <w:rPr>
        <w:b/>
        <w:bCs/>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7C68" w:themeFill="accent3" w:themeFillShade="99"/>
      </w:tcPr>
    </w:tblStylePr>
    <w:tblStylePr w:type="firstCol">
      <w:rPr>
        <w:color w:val="FFFFFF" w:themeColor="background1"/>
      </w:rPr>
      <w:tblPr/>
      <w:tcPr>
        <w:tcBorders>
          <w:top w:val="nil"/>
          <w:left w:val="nil"/>
          <w:bottom w:val="nil"/>
          <w:right w:val="nil"/>
          <w:insideH w:val="single" w:sz="4" w:space="0" w:color="3B7C68" w:themeColor="accent3" w:themeShade="99"/>
          <w:insideV w:val="nil"/>
        </w:tcBorders>
        <w:shd w:val="clear" w:color="auto" w:fill="3B7C6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B7C68" w:themeFill="accent3" w:themeFillShade="99"/>
      </w:tcPr>
    </w:tblStylePr>
    <w:tblStylePr w:type="band1Vert">
      <w:tblPr/>
      <w:tcPr>
        <w:shd w:val="clear" w:color="auto" w:fill="C7E4DB" w:themeFill="accent3" w:themeFillTint="66"/>
      </w:tcPr>
    </w:tblStylePr>
    <w:tblStylePr w:type="band1Horz">
      <w:tblPr/>
      <w:tcPr>
        <w:shd w:val="clear" w:color="auto" w:fill="BADED3" w:themeFill="accent3" w:themeFillTint="7F"/>
      </w:tcPr>
    </w:tblStylePr>
  </w:style>
  <w:style w:type="table" w:styleId="-41">
    <w:name w:val="Colorful Shading Accent 4"/>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75BDA7" w:themeColor="accent3"/>
        <w:left w:val="single" w:sz="4" w:space="0" w:color="7A8C8E" w:themeColor="accent4"/>
        <w:bottom w:val="single" w:sz="4" w:space="0" w:color="7A8C8E" w:themeColor="accent4"/>
        <w:right w:val="single" w:sz="4" w:space="0" w:color="7A8C8E" w:themeColor="accent4"/>
        <w:insideH w:val="single" w:sz="4" w:space="0" w:color="FFFFFF" w:themeColor="background1"/>
        <w:insideV w:val="single" w:sz="4" w:space="0" w:color="FFFFFF" w:themeColor="background1"/>
      </w:tblBorders>
    </w:tblPr>
    <w:tcPr>
      <w:shd w:val="clear" w:color="auto" w:fill="F1F3F3" w:themeFill="accent4" w:themeFillTint="19"/>
    </w:tcPr>
    <w:tblStylePr w:type="firstRow">
      <w:rPr>
        <w:b/>
        <w:bCs/>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85455" w:themeFill="accent4" w:themeFillShade="99"/>
      </w:tcPr>
    </w:tblStylePr>
    <w:tblStylePr w:type="firstCol">
      <w:rPr>
        <w:color w:val="FFFFFF" w:themeColor="background1"/>
      </w:rPr>
      <w:tblPr/>
      <w:tcPr>
        <w:tcBorders>
          <w:top w:val="nil"/>
          <w:left w:val="nil"/>
          <w:bottom w:val="nil"/>
          <w:right w:val="nil"/>
          <w:insideH w:val="single" w:sz="4" w:space="0" w:color="485455" w:themeColor="accent4" w:themeShade="99"/>
          <w:insideV w:val="nil"/>
        </w:tcBorders>
        <w:shd w:val="clear" w:color="auto" w:fill="48545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85455" w:themeFill="accent4" w:themeFillShade="99"/>
      </w:tcPr>
    </w:tblStylePr>
    <w:tblStylePr w:type="band1Vert">
      <w:tblPr/>
      <w:tcPr>
        <w:shd w:val="clear" w:color="auto" w:fill="C9D0D1" w:themeFill="accent4" w:themeFillTint="66"/>
      </w:tcPr>
    </w:tblStylePr>
    <w:tblStylePr w:type="band1Horz">
      <w:tblPr/>
      <w:tcPr>
        <w:shd w:val="clear" w:color="auto" w:fill="BCC5C6"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2683C6" w:themeColor="accent6"/>
        <w:left w:val="single" w:sz="4" w:space="0" w:color="84ACB6" w:themeColor="accent5"/>
        <w:bottom w:val="single" w:sz="4" w:space="0" w:color="84ACB6" w:themeColor="accent5"/>
        <w:right w:val="single" w:sz="4" w:space="0" w:color="84ACB6" w:themeColor="accent5"/>
        <w:insideH w:val="single" w:sz="4" w:space="0" w:color="FFFFFF" w:themeColor="background1"/>
        <w:insideV w:val="single" w:sz="4" w:space="0" w:color="FFFFFF" w:themeColor="background1"/>
      </w:tblBorders>
    </w:tblPr>
    <w:tcPr>
      <w:shd w:val="clear" w:color="auto" w:fill="F2F6F7" w:themeFill="accent5" w:themeFillTint="19"/>
    </w:tcPr>
    <w:tblStylePr w:type="firstRow">
      <w:rPr>
        <w:b/>
        <w:bCs/>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66C76" w:themeFill="accent5" w:themeFillShade="99"/>
      </w:tcPr>
    </w:tblStylePr>
    <w:tblStylePr w:type="firstCol">
      <w:rPr>
        <w:color w:val="FFFFFF" w:themeColor="background1"/>
      </w:rPr>
      <w:tblPr/>
      <w:tcPr>
        <w:tcBorders>
          <w:top w:val="nil"/>
          <w:left w:val="nil"/>
          <w:bottom w:val="nil"/>
          <w:right w:val="nil"/>
          <w:insideH w:val="single" w:sz="4" w:space="0" w:color="466C76" w:themeColor="accent5" w:themeShade="99"/>
          <w:insideV w:val="nil"/>
        </w:tcBorders>
        <w:shd w:val="clear" w:color="auto" w:fill="466C7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66C76" w:themeFill="accent5" w:themeFillShade="99"/>
      </w:tcPr>
    </w:tblStylePr>
    <w:tblStylePr w:type="band1Vert">
      <w:tblPr/>
      <w:tcPr>
        <w:shd w:val="clear" w:color="auto" w:fill="CDDDE1" w:themeFill="accent5" w:themeFillTint="66"/>
      </w:tcPr>
    </w:tblStylePr>
    <w:tblStylePr w:type="band1Horz">
      <w:tblPr/>
      <w:tcPr>
        <w:shd w:val="clear" w:color="auto" w:fill="C1D5DA"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84ACB6" w:themeColor="accent5"/>
        <w:left w:val="single" w:sz="4" w:space="0" w:color="2683C6" w:themeColor="accent6"/>
        <w:bottom w:val="single" w:sz="4" w:space="0" w:color="2683C6" w:themeColor="accent6"/>
        <w:right w:val="single" w:sz="4" w:space="0" w:color="2683C6" w:themeColor="accent6"/>
        <w:insideH w:val="single" w:sz="4" w:space="0" w:color="FFFFFF" w:themeColor="background1"/>
        <w:insideV w:val="single" w:sz="4" w:space="0" w:color="FFFFFF" w:themeColor="background1"/>
      </w:tblBorders>
    </w:tblPr>
    <w:tcPr>
      <w:shd w:val="clear" w:color="auto" w:fill="E8F2FA" w:themeFill="accent6" w:themeFillTint="19"/>
    </w:tcPr>
    <w:tblStylePr w:type="firstRow">
      <w:rPr>
        <w:b/>
        <w:bCs/>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4E76" w:themeFill="accent6" w:themeFillShade="99"/>
      </w:tcPr>
    </w:tblStylePr>
    <w:tblStylePr w:type="firstCol">
      <w:rPr>
        <w:color w:val="FFFFFF" w:themeColor="background1"/>
      </w:rPr>
      <w:tblPr/>
      <w:tcPr>
        <w:tcBorders>
          <w:top w:val="nil"/>
          <w:left w:val="nil"/>
          <w:bottom w:val="nil"/>
          <w:right w:val="nil"/>
          <w:insideH w:val="single" w:sz="4" w:space="0" w:color="164E76" w:themeColor="accent6" w:themeShade="99"/>
          <w:insideV w:val="nil"/>
        </w:tcBorders>
        <w:shd w:val="clear" w:color="auto" w:fill="164E7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64E76" w:themeFill="accent6" w:themeFillShade="99"/>
      </w:tcPr>
    </w:tblStylePr>
    <w:tblStylePr w:type="band1Vert">
      <w:tblPr/>
      <w:tcPr>
        <w:shd w:val="clear" w:color="auto" w:fill="A3CEED" w:themeFill="accent6" w:themeFillTint="66"/>
      </w:tcPr>
    </w:tblStylePr>
    <w:tblStylePr w:type="band1Horz">
      <w:tblPr/>
      <w:tcPr>
        <w:shd w:val="clear" w:color="auto" w:fill="8CC2E9" w:themeFill="accent6" w:themeFillTint="7F"/>
      </w:tcPr>
    </w:tblStylePr>
    <w:tblStylePr w:type="neCell">
      <w:rPr>
        <w:color w:val="000000" w:themeColor="text1"/>
      </w:rPr>
    </w:tblStylePr>
    <w:tblStylePr w:type="nwCell">
      <w:rPr>
        <w:color w:val="000000" w:themeColor="text1"/>
      </w:rPr>
    </w:tblStylePr>
  </w:style>
  <w:style w:type="table" w:styleId="affffb">
    <w:name w:val="Dark List"/>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3494B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A495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76E8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76E8B" w:themeFill="accent1" w:themeFillShade="BF"/>
      </w:tcPr>
    </w:tblStylePr>
    <w:tblStylePr w:type="band1Vert">
      <w:tblPr/>
      <w:tcPr>
        <w:tcBorders>
          <w:top w:val="nil"/>
          <w:left w:val="nil"/>
          <w:bottom w:val="nil"/>
          <w:right w:val="nil"/>
          <w:insideH w:val="nil"/>
          <w:insideV w:val="nil"/>
        </w:tcBorders>
        <w:shd w:val="clear" w:color="auto" w:fill="276E8B" w:themeFill="accent1" w:themeFillShade="BF"/>
      </w:tcPr>
    </w:tblStylePr>
    <w:tblStylePr w:type="band1Horz">
      <w:tblPr/>
      <w:tcPr>
        <w:tcBorders>
          <w:top w:val="nil"/>
          <w:left w:val="nil"/>
          <w:bottom w:val="nil"/>
          <w:right w:val="nil"/>
          <w:insideH w:val="nil"/>
          <w:insideV w:val="nil"/>
        </w:tcBorders>
        <w:shd w:val="clear" w:color="auto" w:fill="276E8B" w:themeFill="accent1" w:themeFillShade="BF"/>
      </w:tcPr>
    </w:tblStylePr>
  </w:style>
  <w:style w:type="table" w:styleId="-22">
    <w:name w:val="Dark List Accent 2"/>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58B6C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E6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98E9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98E98" w:themeFill="accent2" w:themeFillShade="BF"/>
      </w:tcPr>
    </w:tblStylePr>
    <w:tblStylePr w:type="band1Vert">
      <w:tblPr/>
      <w:tcPr>
        <w:tcBorders>
          <w:top w:val="nil"/>
          <w:left w:val="nil"/>
          <w:bottom w:val="nil"/>
          <w:right w:val="nil"/>
          <w:insideH w:val="nil"/>
          <w:insideV w:val="nil"/>
        </w:tcBorders>
        <w:shd w:val="clear" w:color="auto" w:fill="398E98" w:themeFill="accent2" w:themeFillShade="BF"/>
      </w:tcPr>
    </w:tblStylePr>
    <w:tblStylePr w:type="band1Horz">
      <w:tblPr/>
      <w:tcPr>
        <w:tcBorders>
          <w:top w:val="nil"/>
          <w:left w:val="nil"/>
          <w:bottom w:val="nil"/>
          <w:right w:val="nil"/>
          <w:insideH w:val="nil"/>
          <w:insideV w:val="nil"/>
        </w:tcBorders>
        <w:shd w:val="clear" w:color="auto" w:fill="398E98" w:themeFill="accent2" w:themeFillShade="BF"/>
      </w:tcPr>
    </w:tblStylePr>
  </w:style>
  <w:style w:type="table" w:styleId="-32">
    <w:name w:val="Dark List Accent 3"/>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75BDA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675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A9A8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A9A82" w:themeFill="accent3" w:themeFillShade="BF"/>
      </w:tcPr>
    </w:tblStylePr>
    <w:tblStylePr w:type="band1Vert">
      <w:tblPr/>
      <w:tcPr>
        <w:tcBorders>
          <w:top w:val="nil"/>
          <w:left w:val="nil"/>
          <w:bottom w:val="nil"/>
          <w:right w:val="nil"/>
          <w:insideH w:val="nil"/>
          <w:insideV w:val="nil"/>
        </w:tcBorders>
        <w:shd w:val="clear" w:color="auto" w:fill="4A9A82" w:themeFill="accent3" w:themeFillShade="BF"/>
      </w:tcPr>
    </w:tblStylePr>
    <w:tblStylePr w:type="band1Horz">
      <w:tblPr/>
      <w:tcPr>
        <w:tcBorders>
          <w:top w:val="nil"/>
          <w:left w:val="nil"/>
          <w:bottom w:val="nil"/>
          <w:right w:val="nil"/>
          <w:insideH w:val="nil"/>
          <w:insideV w:val="nil"/>
        </w:tcBorders>
        <w:shd w:val="clear" w:color="auto" w:fill="4A9A82" w:themeFill="accent3" w:themeFillShade="BF"/>
      </w:tcPr>
    </w:tblStylePr>
  </w:style>
  <w:style w:type="table" w:styleId="-42">
    <w:name w:val="Dark List Accent 4"/>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7A8C8E"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4546"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A696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A696A" w:themeFill="accent4" w:themeFillShade="BF"/>
      </w:tcPr>
    </w:tblStylePr>
    <w:tblStylePr w:type="band1Vert">
      <w:tblPr/>
      <w:tcPr>
        <w:tcBorders>
          <w:top w:val="nil"/>
          <w:left w:val="nil"/>
          <w:bottom w:val="nil"/>
          <w:right w:val="nil"/>
          <w:insideH w:val="nil"/>
          <w:insideV w:val="nil"/>
        </w:tcBorders>
        <w:shd w:val="clear" w:color="auto" w:fill="5A696A" w:themeFill="accent4" w:themeFillShade="BF"/>
      </w:tcPr>
    </w:tblStylePr>
    <w:tblStylePr w:type="band1Horz">
      <w:tblPr/>
      <w:tcPr>
        <w:tcBorders>
          <w:top w:val="nil"/>
          <w:left w:val="nil"/>
          <w:bottom w:val="nil"/>
          <w:right w:val="nil"/>
          <w:insideH w:val="nil"/>
          <w:insideV w:val="nil"/>
        </w:tcBorders>
        <w:shd w:val="clear" w:color="auto" w:fill="5A696A" w:themeFill="accent4" w:themeFillShade="BF"/>
      </w:tcPr>
    </w:tblStylePr>
  </w:style>
  <w:style w:type="table" w:styleId="-52">
    <w:name w:val="Dark List Accent 5"/>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84ACB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A5A6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7879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78793" w:themeFill="accent5" w:themeFillShade="BF"/>
      </w:tcPr>
    </w:tblStylePr>
    <w:tblStylePr w:type="band1Vert">
      <w:tblPr/>
      <w:tcPr>
        <w:tcBorders>
          <w:top w:val="nil"/>
          <w:left w:val="nil"/>
          <w:bottom w:val="nil"/>
          <w:right w:val="nil"/>
          <w:insideH w:val="nil"/>
          <w:insideV w:val="nil"/>
        </w:tcBorders>
        <w:shd w:val="clear" w:color="auto" w:fill="578793" w:themeFill="accent5" w:themeFillShade="BF"/>
      </w:tcPr>
    </w:tblStylePr>
    <w:tblStylePr w:type="band1Horz">
      <w:tblPr/>
      <w:tcPr>
        <w:tcBorders>
          <w:top w:val="nil"/>
          <w:left w:val="nil"/>
          <w:bottom w:val="nil"/>
          <w:right w:val="nil"/>
          <w:insideH w:val="nil"/>
          <w:insideV w:val="nil"/>
        </w:tcBorders>
        <w:shd w:val="clear" w:color="auto" w:fill="578793" w:themeFill="accent5" w:themeFillShade="BF"/>
      </w:tcPr>
    </w:tblStylePr>
  </w:style>
  <w:style w:type="table" w:styleId="-62">
    <w:name w:val="Dark List Accent 6"/>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2683C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416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C619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C6194" w:themeFill="accent6" w:themeFillShade="BF"/>
      </w:tcPr>
    </w:tblStylePr>
    <w:tblStylePr w:type="band1Vert">
      <w:tblPr/>
      <w:tcPr>
        <w:tcBorders>
          <w:top w:val="nil"/>
          <w:left w:val="nil"/>
          <w:bottom w:val="nil"/>
          <w:right w:val="nil"/>
          <w:insideH w:val="nil"/>
          <w:insideV w:val="nil"/>
        </w:tcBorders>
        <w:shd w:val="clear" w:color="auto" w:fill="1C6194" w:themeFill="accent6" w:themeFillShade="BF"/>
      </w:tcPr>
    </w:tblStylePr>
    <w:tblStylePr w:type="band1Horz">
      <w:tblPr/>
      <w:tcPr>
        <w:tcBorders>
          <w:top w:val="nil"/>
          <w:left w:val="nil"/>
          <w:bottom w:val="nil"/>
          <w:right w:val="nil"/>
          <w:insideH w:val="nil"/>
          <w:insideV w:val="nil"/>
        </w:tcBorders>
        <w:shd w:val="clear" w:color="auto" w:fill="1C6194" w:themeFill="accent6" w:themeFillShade="BF"/>
      </w:tcPr>
    </w:tblStylePr>
  </w:style>
  <w:style w:type="paragraph" w:styleId="affffc">
    <w:name w:val="E-mail Signature"/>
    <w:basedOn w:val="a2"/>
    <w:link w:val="affffd"/>
    <w:uiPriority w:val="99"/>
    <w:semiHidden/>
    <w:unhideWhenUsed/>
    <w:rsid w:val="004230D9"/>
  </w:style>
  <w:style w:type="character" w:customStyle="1" w:styleId="affffd">
    <w:name w:val="Электронная подпись Знак"/>
    <w:basedOn w:val="a3"/>
    <w:link w:val="affffc"/>
    <w:uiPriority w:val="99"/>
    <w:semiHidden/>
    <w:rsid w:val="004230D9"/>
    <w:rPr>
      <w:rFonts w:ascii="Times New Roman" w:hAnsi="Times New Roman" w:cs="Times New Roman"/>
    </w:rPr>
  </w:style>
  <w:style w:type="table" w:customStyle="1" w:styleId="-110">
    <w:name w:val="Таблица-сетка 1 светлая1"/>
    <w:basedOn w:val="a4"/>
    <w:uiPriority w:val="46"/>
    <w:rsid w:val="004230D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1">
    <w:name w:val="Таблица-сетка 1 светлая — акцент 11"/>
    <w:basedOn w:val="a4"/>
    <w:uiPriority w:val="46"/>
    <w:rsid w:val="004230D9"/>
    <w:pPr>
      <w:spacing w:after="0" w:line="240" w:lineRule="auto"/>
    </w:pPr>
    <w:tblPr>
      <w:tblStyleRowBandSize w:val="1"/>
      <w:tblStyleColBandSize w:val="1"/>
      <w:tblBorders>
        <w:top w:val="single" w:sz="4" w:space="0" w:color="A9D5E7" w:themeColor="accent1" w:themeTint="66"/>
        <w:left w:val="single" w:sz="4" w:space="0" w:color="A9D5E7" w:themeColor="accent1" w:themeTint="66"/>
        <w:bottom w:val="single" w:sz="4" w:space="0" w:color="A9D5E7" w:themeColor="accent1" w:themeTint="66"/>
        <w:right w:val="single" w:sz="4" w:space="0" w:color="A9D5E7" w:themeColor="accent1" w:themeTint="66"/>
        <w:insideH w:val="single" w:sz="4" w:space="0" w:color="A9D5E7" w:themeColor="accent1" w:themeTint="66"/>
        <w:insideV w:val="single" w:sz="4" w:space="0" w:color="A9D5E7" w:themeColor="accent1" w:themeTint="66"/>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2" w:space="0" w:color="7FC0DB" w:themeColor="accent1" w:themeTint="99"/>
        </w:tcBorders>
      </w:tcPr>
    </w:tblStylePr>
    <w:tblStylePr w:type="firstCol">
      <w:rPr>
        <w:b/>
        <w:bCs/>
      </w:rPr>
    </w:tblStylePr>
    <w:tblStylePr w:type="lastCol">
      <w:rPr>
        <w:b/>
        <w:bCs/>
      </w:rPr>
    </w:tblStylePr>
  </w:style>
  <w:style w:type="table" w:customStyle="1" w:styleId="-121">
    <w:name w:val="Таблица-сетка 1 светлая — акцент 21"/>
    <w:basedOn w:val="a4"/>
    <w:uiPriority w:val="46"/>
    <w:rsid w:val="004230D9"/>
    <w:pPr>
      <w:spacing w:after="0" w:line="240" w:lineRule="auto"/>
    </w:pPr>
    <w:tblPr>
      <w:tblStyleRowBandSize w:val="1"/>
      <w:tblStyleColBandSize w:val="1"/>
      <w:tblBorders>
        <w:top w:val="single" w:sz="4" w:space="0" w:color="BCE1E5" w:themeColor="accent2" w:themeTint="66"/>
        <w:left w:val="single" w:sz="4" w:space="0" w:color="BCE1E5" w:themeColor="accent2" w:themeTint="66"/>
        <w:bottom w:val="single" w:sz="4" w:space="0" w:color="BCE1E5" w:themeColor="accent2" w:themeTint="66"/>
        <w:right w:val="single" w:sz="4" w:space="0" w:color="BCE1E5" w:themeColor="accent2" w:themeTint="66"/>
        <w:insideH w:val="single" w:sz="4" w:space="0" w:color="BCE1E5" w:themeColor="accent2" w:themeTint="66"/>
        <w:insideV w:val="single" w:sz="4" w:space="0" w:color="BCE1E5" w:themeColor="accent2" w:themeTint="66"/>
      </w:tblBorders>
    </w:tblPr>
    <w:tblStylePr w:type="firstRow">
      <w:rPr>
        <w:b/>
        <w:bCs/>
      </w:rPr>
      <w:tblPr/>
      <w:tcPr>
        <w:tcBorders>
          <w:bottom w:val="single" w:sz="12" w:space="0" w:color="9AD3D9" w:themeColor="accent2" w:themeTint="99"/>
        </w:tcBorders>
      </w:tcPr>
    </w:tblStylePr>
    <w:tblStylePr w:type="lastRow">
      <w:rPr>
        <w:b/>
        <w:bCs/>
      </w:rPr>
      <w:tblPr/>
      <w:tcPr>
        <w:tcBorders>
          <w:top w:val="double" w:sz="2" w:space="0" w:color="9AD3D9" w:themeColor="accent2" w:themeTint="99"/>
        </w:tcBorders>
      </w:tcPr>
    </w:tblStylePr>
    <w:tblStylePr w:type="firstCol">
      <w:rPr>
        <w:b/>
        <w:bCs/>
      </w:rPr>
    </w:tblStylePr>
    <w:tblStylePr w:type="lastCol">
      <w:rPr>
        <w:b/>
        <w:bCs/>
      </w:rPr>
    </w:tblStylePr>
  </w:style>
  <w:style w:type="table" w:customStyle="1" w:styleId="-131">
    <w:name w:val="Таблица-сетка 1 светлая — акцент 31"/>
    <w:basedOn w:val="a4"/>
    <w:uiPriority w:val="46"/>
    <w:rsid w:val="004230D9"/>
    <w:pPr>
      <w:spacing w:after="0" w:line="240" w:lineRule="auto"/>
    </w:pPr>
    <w:tblPr>
      <w:tblStyleRowBandSize w:val="1"/>
      <w:tblStyleColBandSize w:val="1"/>
      <w:tblBorders>
        <w:top w:val="single" w:sz="4" w:space="0" w:color="C7E4DB" w:themeColor="accent3" w:themeTint="66"/>
        <w:left w:val="single" w:sz="4" w:space="0" w:color="C7E4DB" w:themeColor="accent3" w:themeTint="66"/>
        <w:bottom w:val="single" w:sz="4" w:space="0" w:color="C7E4DB" w:themeColor="accent3" w:themeTint="66"/>
        <w:right w:val="single" w:sz="4" w:space="0" w:color="C7E4DB" w:themeColor="accent3" w:themeTint="66"/>
        <w:insideH w:val="single" w:sz="4" w:space="0" w:color="C7E4DB" w:themeColor="accent3" w:themeTint="66"/>
        <w:insideV w:val="single" w:sz="4" w:space="0" w:color="C7E4DB" w:themeColor="accent3" w:themeTint="66"/>
      </w:tblBorders>
    </w:tblPr>
    <w:tblStylePr w:type="firstRow">
      <w:rPr>
        <w:b/>
        <w:bCs/>
      </w:rPr>
      <w:tblPr/>
      <w:tcPr>
        <w:tcBorders>
          <w:bottom w:val="single" w:sz="12" w:space="0" w:color="ACD7CA" w:themeColor="accent3" w:themeTint="99"/>
        </w:tcBorders>
      </w:tcPr>
    </w:tblStylePr>
    <w:tblStylePr w:type="lastRow">
      <w:rPr>
        <w:b/>
        <w:bCs/>
      </w:rPr>
      <w:tblPr/>
      <w:tcPr>
        <w:tcBorders>
          <w:top w:val="double" w:sz="2" w:space="0" w:color="ACD7CA" w:themeColor="accent3" w:themeTint="99"/>
        </w:tcBorders>
      </w:tcPr>
    </w:tblStylePr>
    <w:tblStylePr w:type="firstCol">
      <w:rPr>
        <w:b/>
        <w:bCs/>
      </w:rPr>
    </w:tblStylePr>
    <w:tblStylePr w:type="lastCol">
      <w:rPr>
        <w:b/>
        <w:bCs/>
      </w:rPr>
    </w:tblStylePr>
  </w:style>
  <w:style w:type="table" w:customStyle="1" w:styleId="-141">
    <w:name w:val="Таблица-сетка 1 светлая — акцент 41"/>
    <w:basedOn w:val="a4"/>
    <w:uiPriority w:val="46"/>
    <w:rsid w:val="004230D9"/>
    <w:pPr>
      <w:spacing w:after="0" w:line="240" w:lineRule="auto"/>
    </w:pPr>
    <w:tblPr>
      <w:tblStyleRowBandSize w:val="1"/>
      <w:tblStyleColBandSize w:val="1"/>
      <w:tblBorders>
        <w:top w:val="single" w:sz="4" w:space="0" w:color="C9D0D1" w:themeColor="accent4" w:themeTint="66"/>
        <w:left w:val="single" w:sz="4" w:space="0" w:color="C9D0D1" w:themeColor="accent4" w:themeTint="66"/>
        <w:bottom w:val="single" w:sz="4" w:space="0" w:color="C9D0D1" w:themeColor="accent4" w:themeTint="66"/>
        <w:right w:val="single" w:sz="4" w:space="0" w:color="C9D0D1" w:themeColor="accent4" w:themeTint="66"/>
        <w:insideH w:val="single" w:sz="4" w:space="0" w:color="C9D0D1" w:themeColor="accent4" w:themeTint="66"/>
        <w:insideV w:val="single" w:sz="4" w:space="0" w:color="C9D0D1" w:themeColor="accent4" w:themeTint="66"/>
      </w:tblBorders>
    </w:tblPr>
    <w:tblStylePr w:type="firstRow">
      <w:rPr>
        <w:b/>
        <w:bCs/>
      </w:rPr>
      <w:tblPr/>
      <w:tcPr>
        <w:tcBorders>
          <w:bottom w:val="single" w:sz="12" w:space="0" w:color="AFB9BB" w:themeColor="accent4" w:themeTint="99"/>
        </w:tcBorders>
      </w:tcPr>
    </w:tblStylePr>
    <w:tblStylePr w:type="lastRow">
      <w:rPr>
        <w:b/>
        <w:bCs/>
      </w:rPr>
      <w:tblPr/>
      <w:tcPr>
        <w:tcBorders>
          <w:top w:val="double" w:sz="2" w:space="0" w:color="AFB9BB" w:themeColor="accent4" w:themeTint="99"/>
        </w:tcBorders>
      </w:tcPr>
    </w:tblStylePr>
    <w:tblStylePr w:type="firstCol">
      <w:rPr>
        <w:b/>
        <w:bCs/>
      </w:rPr>
    </w:tblStylePr>
    <w:tblStylePr w:type="lastCol">
      <w:rPr>
        <w:b/>
        <w:bCs/>
      </w:rPr>
    </w:tblStylePr>
  </w:style>
  <w:style w:type="table" w:customStyle="1" w:styleId="-151">
    <w:name w:val="Таблица-сетка 1 светлая — акцент 51"/>
    <w:basedOn w:val="a4"/>
    <w:uiPriority w:val="46"/>
    <w:rsid w:val="004230D9"/>
    <w:pPr>
      <w:spacing w:after="0" w:line="240" w:lineRule="auto"/>
    </w:pPr>
    <w:tblPr>
      <w:tblStyleRowBandSize w:val="1"/>
      <w:tblStyleColBandSize w:val="1"/>
      <w:tblBorders>
        <w:top w:val="single" w:sz="4" w:space="0" w:color="CDDDE1" w:themeColor="accent5" w:themeTint="66"/>
        <w:left w:val="single" w:sz="4" w:space="0" w:color="CDDDE1" w:themeColor="accent5" w:themeTint="66"/>
        <w:bottom w:val="single" w:sz="4" w:space="0" w:color="CDDDE1" w:themeColor="accent5" w:themeTint="66"/>
        <w:right w:val="single" w:sz="4" w:space="0" w:color="CDDDE1" w:themeColor="accent5" w:themeTint="66"/>
        <w:insideH w:val="single" w:sz="4" w:space="0" w:color="CDDDE1" w:themeColor="accent5" w:themeTint="66"/>
        <w:insideV w:val="single" w:sz="4" w:space="0" w:color="CDDDE1" w:themeColor="accent5" w:themeTint="66"/>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2" w:space="0" w:color="B5CDD3" w:themeColor="accent5" w:themeTint="99"/>
        </w:tcBorders>
      </w:tcPr>
    </w:tblStylePr>
    <w:tblStylePr w:type="firstCol">
      <w:rPr>
        <w:b/>
        <w:bCs/>
      </w:rPr>
    </w:tblStylePr>
    <w:tblStylePr w:type="lastCol">
      <w:rPr>
        <w:b/>
        <w:bCs/>
      </w:rPr>
    </w:tblStylePr>
  </w:style>
  <w:style w:type="table" w:customStyle="1" w:styleId="-161">
    <w:name w:val="Таблица-сетка 1 светлая — акцент 61"/>
    <w:basedOn w:val="a4"/>
    <w:uiPriority w:val="46"/>
    <w:rsid w:val="004230D9"/>
    <w:pPr>
      <w:spacing w:after="0" w:line="240" w:lineRule="auto"/>
    </w:pPr>
    <w:tblPr>
      <w:tblStyleRowBandSize w:val="1"/>
      <w:tblStyleColBandSize w:val="1"/>
      <w:tblBorders>
        <w:top w:val="single" w:sz="4" w:space="0" w:color="A3CEED" w:themeColor="accent6" w:themeTint="66"/>
        <w:left w:val="single" w:sz="4" w:space="0" w:color="A3CEED" w:themeColor="accent6" w:themeTint="66"/>
        <w:bottom w:val="single" w:sz="4" w:space="0" w:color="A3CEED" w:themeColor="accent6" w:themeTint="66"/>
        <w:right w:val="single" w:sz="4" w:space="0" w:color="A3CEED" w:themeColor="accent6" w:themeTint="66"/>
        <w:insideH w:val="single" w:sz="4" w:space="0" w:color="A3CEED" w:themeColor="accent6" w:themeTint="66"/>
        <w:insideV w:val="single" w:sz="4" w:space="0" w:color="A3CEED" w:themeColor="accent6" w:themeTint="66"/>
      </w:tblBorders>
    </w:tblPr>
    <w:tblStylePr w:type="firstRow">
      <w:rPr>
        <w:b/>
        <w:bCs/>
      </w:rPr>
      <w:tblPr/>
      <w:tcPr>
        <w:tcBorders>
          <w:bottom w:val="single" w:sz="12" w:space="0" w:color="74B5E4" w:themeColor="accent6" w:themeTint="99"/>
        </w:tcBorders>
      </w:tcPr>
    </w:tblStylePr>
    <w:tblStylePr w:type="lastRow">
      <w:rPr>
        <w:b/>
        <w:bCs/>
      </w:rPr>
      <w:tblPr/>
      <w:tcPr>
        <w:tcBorders>
          <w:top w:val="double" w:sz="2" w:space="0" w:color="74B5E4" w:themeColor="accent6" w:themeTint="99"/>
        </w:tcBorders>
      </w:tcPr>
    </w:tblStylePr>
    <w:tblStylePr w:type="firstCol">
      <w:rPr>
        <w:b/>
        <w:bCs/>
      </w:rPr>
    </w:tblStylePr>
    <w:tblStylePr w:type="lastCol">
      <w:rPr>
        <w:b/>
        <w:bCs/>
      </w:rPr>
    </w:tblStylePr>
  </w:style>
  <w:style w:type="table" w:customStyle="1" w:styleId="-210">
    <w:name w:val="Таблица-сетка 21"/>
    <w:basedOn w:val="a4"/>
    <w:uiPriority w:val="47"/>
    <w:rsid w:val="004230D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
    <w:name w:val="Таблица-сетка 2 — акцент 11"/>
    <w:basedOn w:val="a4"/>
    <w:uiPriority w:val="47"/>
    <w:rsid w:val="004230D9"/>
    <w:pPr>
      <w:spacing w:after="0" w:line="240" w:lineRule="auto"/>
    </w:pPr>
    <w:tblPr>
      <w:tblStyleRowBandSize w:val="1"/>
      <w:tblStyleColBandSize w:val="1"/>
      <w:tblBorders>
        <w:top w:val="single" w:sz="2" w:space="0" w:color="7FC0DB" w:themeColor="accent1" w:themeTint="99"/>
        <w:bottom w:val="single" w:sz="2" w:space="0" w:color="7FC0DB" w:themeColor="accent1" w:themeTint="99"/>
        <w:insideH w:val="single" w:sz="2" w:space="0" w:color="7FC0DB" w:themeColor="accent1" w:themeTint="99"/>
        <w:insideV w:val="single" w:sz="2" w:space="0" w:color="7FC0DB" w:themeColor="accent1" w:themeTint="99"/>
      </w:tblBorders>
    </w:tblPr>
    <w:tblStylePr w:type="firstRow">
      <w:rPr>
        <w:b/>
        <w:bCs/>
      </w:rPr>
      <w:tblPr/>
      <w:tcPr>
        <w:tcBorders>
          <w:top w:val="nil"/>
          <w:bottom w:val="single" w:sz="12" w:space="0" w:color="7FC0DB" w:themeColor="accent1" w:themeTint="99"/>
          <w:insideH w:val="nil"/>
          <w:insideV w:val="nil"/>
        </w:tcBorders>
        <w:shd w:val="clear" w:color="auto" w:fill="FFFFFF" w:themeFill="background1"/>
      </w:tcPr>
    </w:tblStylePr>
    <w:tblStylePr w:type="lastRow">
      <w:rPr>
        <w:b/>
        <w:bCs/>
      </w:rPr>
      <w:tblPr/>
      <w:tcPr>
        <w:tcBorders>
          <w:top w:val="double" w:sz="2" w:space="0" w:color="7FC0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221">
    <w:name w:val="Таблица-сетка 2 — акцент 21"/>
    <w:basedOn w:val="a4"/>
    <w:uiPriority w:val="47"/>
    <w:rsid w:val="004230D9"/>
    <w:pPr>
      <w:spacing w:after="0" w:line="240" w:lineRule="auto"/>
    </w:pPr>
    <w:tblPr>
      <w:tblStyleRowBandSize w:val="1"/>
      <w:tblStyleColBandSize w:val="1"/>
      <w:tblBorders>
        <w:top w:val="single" w:sz="2" w:space="0" w:color="9AD3D9" w:themeColor="accent2" w:themeTint="99"/>
        <w:bottom w:val="single" w:sz="2" w:space="0" w:color="9AD3D9" w:themeColor="accent2" w:themeTint="99"/>
        <w:insideH w:val="single" w:sz="2" w:space="0" w:color="9AD3D9" w:themeColor="accent2" w:themeTint="99"/>
        <w:insideV w:val="single" w:sz="2" w:space="0" w:color="9AD3D9" w:themeColor="accent2" w:themeTint="99"/>
      </w:tblBorders>
    </w:tblPr>
    <w:tblStylePr w:type="firstRow">
      <w:rPr>
        <w:b/>
        <w:bCs/>
      </w:rPr>
      <w:tblPr/>
      <w:tcPr>
        <w:tcBorders>
          <w:top w:val="nil"/>
          <w:bottom w:val="single" w:sz="12" w:space="0" w:color="9AD3D9" w:themeColor="accent2" w:themeTint="99"/>
          <w:insideH w:val="nil"/>
          <w:insideV w:val="nil"/>
        </w:tcBorders>
        <w:shd w:val="clear" w:color="auto" w:fill="FFFFFF" w:themeFill="background1"/>
      </w:tcPr>
    </w:tblStylePr>
    <w:tblStylePr w:type="lastRow">
      <w:rPr>
        <w:b/>
        <w:bCs/>
      </w:rPr>
      <w:tblPr/>
      <w:tcPr>
        <w:tcBorders>
          <w:top w:val="double" w:sz="2" w:space="0" w:color="9AD3D9"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231">
    <w:name w:val="Таблица-сетка 2 — акцент 31"/>
    <w:basedOn w:val="a4"/>
    <w:uiPriority w:val="47"/>
    <w:rsid w:val="004230D9"/>
    <w:pPr>
      <w:spacing w:after="0" w:line="240" w:lineRule="auto"/>
    </w:pPr>
    <w:tblPr>
      <w:tblStyleRowBandSize w:val="1"/>
      <w:tblStyleColBandSize w:val="1"/>
      <w:tblBorders>
        <w:top w:val="single" w:sz="2" w:space="0" w:color="ACD7CA" w:themeColor="accent3" w:themeTint="99"/>
        <w:bottom w:val="single" w:sz="2" w:space="0" w:color="ACD7CA" w:themeColor="accent3" w:themeTint="99"/>
        <w:insideH w:val="single" w:sz="2" w:space="0" w:color="ACD7CA" w:themeColor="accent3" w:themeTint="99"/>
        <w:insideV w:val="single" w:sz="2" w:space="0" w:color="ACD7CA" w:themeColor="accent3" w:themeTint="99"/>
      </w:tblBorders>
    </w:tblPr>
    <w:tblStylePr w:type="firstRow">
      <w:rPr>
        <w:b/>
        <w:bCs/>
      </w:rPr>
      <w:tblPr/>
      <w:tcPr>
        <w:tcBorders>
          <w:top w:val="nil"/>
          <w:bottom w:val="single" w:sz="12" w:space="0" w:color="ACD7CA" w:themeColor="accent3" w:themeTint="99"/>
          <w:insideH w:val="nil"/>
          <w:insideV w:val="nil"/>
        </w:tcBorders>
        <w:shd w:val="clear" w:color="auto" w:fill="FFFFFF" w:themeFill="background1"/>
      </w:tcPr>
    </w:tblStylePr>
    <w:tblStylePr w:type="lastRow">
      <w:rPr>
        <w:b/>
        <w:bCs/>
      </w:rPr>
      <w:tblPr/>
      <w:tcPr>
        <w:tcBorders>
          <w:top w:val="double" w:sz="2" w:space="0" w:color="ACD7CA"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241">
    <w:name w:val="Таблица-сетка 2 — акцент 41"/>
    <w:basedOn w:val="a4"/>
    <w:uiPriority w:val="47"/>
    <w:rsid w:val="004230D9"/>
    <w:pPr>
      <w:spacing w:after="0" w:line="240" w:lineRule="auto"/>
    </w:pPr>
    <w:tblPr>
      <w:tblStyleRowBandSize w:val="1"/>
      <w:tblStyleColBandSize w:val="1"/>
      <w:tblBorders>
        <w:top w:val="single" w:sz="2" w:space="0" w:color="AFB9BB" w:themeColor="accent4" w:themeTint="99"/>
        <w:bottom w:val="single" w:sz="2" w:space="0" w:color="AFB9BB" w:themeColor="accent4" w:themeTint="99"/>
        <w:insideH w:val="single" w:sz="2" w:space="0" w:color="AFB9BB" w:themeColor="accent4" w:themeTint="99"/>
        <w:insideV w:val="single" w:sz="2" w:space="0" w:color="AFB9BB" w:themeColor="accent4" w:themeTint="99"/>
      </w:tblBorders>
    </w:tblPr>
    <w:tblStylePr w:type="firstRow">
      <w:rPr>
        <w:b/>
        <w:bCs/>
      </w:rPr>
      <w:tblPr/>
      <w:tcPr>
        <w:tcBorders>
          <w:top w:val="nil"/>
          <w:bottom w:val="single" w:sz="12" w:space="0" w:color="AFB9BB" w:themeColor="accent4" w:themeTint="99"/>
          <w:insideH w:val="nil"/>
          <w:insideV w:val="nil"/>
        </w:tcBorders>
        <w:shd w:val="clear" w:color="auto" w:fill="FFFFFF" w:themeFill="background1"/>
      </w:tcPr>
    </w:tblStylePr>
    <w:tblStylePr w:type="lastRow">
      <w:rPr>
        <w:b/>
        <w:bCs/>
      </w:rPr>
      <w:tblPr/>
      <w:tcPr>
        <w:tcBorders>
          <w:top w:val="double" w:sz="2" w:space="0" w:color="AFB9BB"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251">
    <w:name w:val="Таблица-сетка 2 — акцент 51"/>
    <w:basedOn w:val="a4"/>
    <w:uiPriority w:val="47"/>
    <w:rsid w:val="004230D9"/>
    <w:pPr>
      <w:spacing w:after="0" w:line="240" w:lineRule="auto"/>
    </w:pPr>
    <w:tblPr>
      <w:tblStyleRowBandSize w:val="1"/>
      <w:tblStyleColBandSize w:val="1"/>
      <w:tblBorders>
        <w:top w:val="single" w:sz="2" w:space="0" w:color="B5CDD3" w:themeColor="accent5" w:themeTint="99"/>
        <w:bottom w:val="single" w:sz="2" w:space="0" w:color="B5CDD3" w:themeColor="accent5" w:themeTint="99"/>
        <w:insideH w:val="single" w:sz="2" w:space="0" w:color="B5CDD3" w:themeColor="accent5" w:themeTint="99"/>
        <w:insideV w:val="single" w:sz="2" w:space="0" w:color="B5CDD3" w:themeColor="accent5" w:themeTint="99"/>
      </w:tblBorders>
    </w:tblPr>
    <w:tblStylePr w:type="firstRow">
      <w:rPr>
        <w:b/>
        <w:bCs/>
      </w:rPr>
      <w:tblPr/>
      <w:tcPr>
        <w:tcBorders>
          <w:top w:val="nil"/>
          <w:bottom w:val="single" w:sz="12" w:space="0" w:color="B5CDD3" w:themeColor="accent5" w:themeTint="99"/>
          <w:insideH w:val="nil"/>
          <w:insideV w:val="nil"/>
        </w:tcBorders>
        <w:shd w:val="clear" w:color="auto" w:fill="FFFFFF" w:themeFill="background1"/>
      </w:tcPr>
    </w:tblStylePr>
    <w:tblStylePr w:type="lastRow">
      <w:rPr>
        <w:b/>
        <w:bCs/>
      </w:rPr>
      <w:tblPr/>
      <w:tcPr>
        <w:tcBorders>
          <w:top w:val="double" w:sz="2" w:space="0" w:color="B5CDD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261">
    <w:name w:val="Таблица-сетка 2 — акцент 61"/>
    <w:basedOn w:val="a4"/>
    <w:uiPriority w:val="47"/>
    <w:rsid w:val="004230D9"/>
    <w:pPr>
      <w:spacing w:after="0" w:line="240" w:lineRule="auto"/>
    </w:pPr>
    <w:tblPr>
      <w:tblStyleRowBandSize w:val="1"/>
      <w:tblStyleColBandSize w:val="1"/>
      <w:tblBorders>
        <w:top w:val="single" w:sz="2" w:space="0" w:color="74B5E4" w:themeColor="accent6" w:themeTint="99"/>
        <w:bottom w:val="single" w:sz="2" w:space="0" w:color="74B5E4" w:themeColor="accent6" w:themeTint="99"/>
        <w:insideH w:val="single" w:sz="2" w:space="0" w:color="74B5E4" w:themeColor="accent6" w:themeTint="99"/>
        <w:insideV w:val="single" w:sz="2" w:space="0" w:color="74B5E4" w:themeColor="accent6" w:themeTint="99"/>
      </w:tblBorders>
    </w:tblPr>
    <w:tblStylePr w:type="firstRow">
      <w:rPr>
        <w:b/>
        <w:bCs/>
      </w:rPr>
      <w:tblPr/>
      <w:tcPr>
        <w:tcBorders>
          <w:top w:val="nil"/>
          <w:bottom w:val="single" w:sz="12" w:space="0" w:color="74B5E4" w:themeColor="accent6" w:themeTint="99"/>
          <w:insideH w:val="nil"/>
          <w:insideV w:val="nil"/>
        </w:tcBorders>
        <w:shd w:val="clear" w:color="auto" w:fill="FFFFFF" w:themeFill="background1"/>
      </w:tcPr>
    </w:tblStylePr>
    <w:tblStylePr w:type="lastRow">
      <w:rPr>
        <w:b/>
        <w:bCs/>
      </w:rPr>
      <w:tblPr/>
      <w:tcPr>
        <w:tcBorders>
          <w:top w:val="double" w:sz="2" w:space="0" w:color="74B5E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310">
    <w:name w:val="Таблица-сетка 31"/>
    <w:basedOn w:val="a4"/>
    <w:uiPriority w:val="48"/>
    <w:rsid w:val="00423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1">
    <w:name w:val="Таблица-сетка 3 — акцент 11"/>
    <w:basedOn w:val="a4"/>
    <w:uiPriority w:val="48"/>
    <w:rsid w:val="004230D9"/>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bottom w:val="single" w:sz="4" w:space="0" w:color="7FC0DB" w:themeColor="accent1" w:themeTint="99"/>
        </w:tcBorders>
      </w:tcPr>
    </w:tblStylePr>
    <w:tblStylePr w:type="nwCell">
      <w:tblPr/>
      <w:tcPr>
        <w:tcBorders>
          <w:bottom w:val="single" w:sz="4" w:space="0" w:color="7FC0DB" w:themeColor="accent1" w:themeTint="99"/>
        </w:tcBorders>
      </w:tcPr>
    </w:tblStylePr>
    <w:tblStylePr w:type="seCell">
      <w:tblPr/>
      <w:tcPr>
        <w:tcBorders>
          <w:top w:val="single" w:sz="4" w:space="0" w:color="7FC0DB" w:themeColor="accent1" w:themeTint="99"/>
        </w:tcBorders>
      </w:tcPr>
    </w:tblStylePr>
    <w:tblStylePr w:type="swCell">
      <w:tblPr/>
      <w:tcPr>
        <w:tcBorders>
          <w:top w:val="single" w:sz="4" w:space="0" w:color="7FC0DB" w:themeColor="accent1" w:themeTint="99"/>
        </w:tcBorders>
      </w:tcPr>
    </w:tblStylePr>
  </w:style>
  <w:style w:type="table" w:customStyle="1" w:styleId="-321">
    <w:name w:val="Таблица-сетка 3 — акцент 21"/>
    <w:basedOn w:val="a4"/>
    <w:uiPriority w:val="48"/>
    <w:rsid w:val="004230D9"/>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bottom w:val="single" w:sz="4" w:space="0" w:color="9AD3D9" w:themeColor="accent2" w:themeTint="99"/>
        </w:tcBorders>
      </w:tcPr>
    </w:tblStylePr>
    <w:tblStylePr w:type="nwCell">
      <w:tblPr/>
      <w:tcPr>
        <w:tcBorders>
          <w:bottom w:val="single" w:sz="4" w:space="0" w:color="9AD3D9" w:themeColor="accent2" w:themeTint="99"/>
        </w:tcBorders>
      </w:tcPr>
    </w:tblStylePr>
    <w:tblStylePr w:type="seCell">
      <w:tblPr/>
      <w:tcPr>
        <w:tcBorders>
          <w:top w:val="single" w:sz="4" w:space="0" w:color="9AD3D9" w:themeColor="accent2" w:themeTint="99"/>
        </w:tcBorders>
      </w:tcPr>
    </w:tblStylePr>
    <w:tblStylePr w:type="swCell">
      <w:tblPr/>
      <w:tcPr>
        <w:tcBorders>
          <w:top w:val="single" w:sz="4" w:space="0" w:color="9AD3D9" w:themeColor="accent2" w:themeTint="99"/>
        </w:tcBorders>
      </w:tcPr>
    </w:tblStylePr>
  </w:style>
  <w:style w:type="table" w:customStyle="1" w:styleId="-331">
    <w:name w:val="Таблица-сетка 3 — акцент 31"/>
    <w:basedOn w:val="a4"/>
    <w:uiPriority w:val="48"/>
    <w:rsid w:val="004230D9"/>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bottom w:val="single" w:sz="4" w:space="0" w:color="ACD7CA" w:themeColor="accent3" w:themeTint="99"/>
        </w:tcBorders>
      </w:tcPr>
    </w:tblStylePr>
    <w:tblStylePr w:type="nwCell">
      <w:tblPr/>
      <w:tcPr>
        <w:tcBorders>
          <w:bottom w:val="single" w:sz="4" w:space="0" w:color="ACD7CA" w:themeColor="accent3" w:themeTint="99"/>
        </w:tcBorders>
      </w:tcPr>
    </w:tblStylePr>
    <w:tblStylePr w:type="seCell">
      <w:tblPr/>
      <w:tcPr>
        <w:tcBorders>
          <w:top w:val="single" w:sz="4" w:space="0" w:color="ACD7CA" w:themeColor="accent3" w:themeTint="99"/>
        </w:tcBorders>
      </w:tcPr>
    </w:tblStylePr>
    <w:tblStylePr w:type="swCell">
      <w:tblPr/>
      <w:tcPr>
        <w:tcBorders>
          <w:top w:val="single" w:sz="4" w:space="0" w:color="ACD7CA" w:themeColor="accent3" w:themeTint="99"/>
        </w:tcBorders>
      </w:tcPr>
    </w:tblStylePr>
  </w:style>
  <w:style w:type="table" w:customStyle="1" w:styleId="-341">
    <w:name w:val="Таблица-сетка 3 — акцент 41"/>
    <w:basedOn w:val="a4"/>
    <w:uiPriority w:val="48"/>
    <w:rsid w:val="004230D9"/>
    <w:pPr>
      <w:spacing w:after="0" w:line="240" w:lineRule="auto"/>
    </w:p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bottom w:val="single" w:sz="4" w:space="0" w:color="AFB9BB" w:themeColor="accent4" w:themeTint="99"/>
        </w:tcBorders>
      </w:tcPr>
    </w:tblStylePr>
    <w:tblStylePr w:type="nwCell">
      <w:tblPr/>
      <w:tcPr>
        <w:tcBorders>
          <w:bottom w:val="single" w:sz="4" w:space="0" w:color="AFB9BB" w:themeColor="accent4" w:themeTint="99"/>
        </w:tcBorders>
      </w:tcPr>
    </w:tblStylePr>
    <w:tblStylePr w:type="seCell">
      <w:tblPr/>
      <w:tcPr>
        <w:tcBorders>
          <w:top w:val="single" w:sz="4" w:space="0" w:color="AFB9BB" w:themeColor="accent4" w:themeTint="99"/>
        </w:tcBorders>
      </w:tcPr>
    </w:tblStylePr>
    <w:tblStylePr w:type="swCell">
      <w:tblPr/>
      <w:tcPr>
        <w:tcBorders>
          <w:top w:val="single" w:sz="4" w:space="0" w:color="AFB9BB" w:themeColor="accent4" w:themeTint="99"/>
        </w:tcBorders>
      </w:tcPr>
    </w:tblStylePr>
  </w:style>
  <w:style w:type="table" w:customStyle="1" w:styleId="-351">
    <w:name w:val="Таблица-сетка 3 — акцент 51"/>
    <w:basedOn w:val="a4"/>
    <w:uiPriority w:val="48"/>
    <w:rsid w:val="004230D9"/>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bottom w:val="single" w:sz="4" w:space="0" w:color="B5CDD3" w:themeColor="accent5" w:themeTint="99"/>
        </w:tcBorders>
      </w:tcPr>
    </w:tblStylePr>
    <w:tblStylePr w:type="nwCell">
      <w:tblPr/>
      <w:tcPr>
        <w:tcBorders>
          <w:bottom w:val="single" w:sz="4" w:space="0" w:color="B5CDD3" w:themeColor="accent5" w:themeTint="99"/>
        </w:tcBorders>
      </w:tcPr>
    </w:tblStylePr>
    <w:tblStylePr w:type="seCell">
      <w:tblPr/>
      <w:tcPr>
        <w:tcBorders>
          <w:top w:val="single" w:sz="4" w:space="0" w:color="B5CDD3" w:themeColor="accent5" w:themeTint="99"/>
        </w:tcBorders>
      </w:tcPr>
    </w:tblStylePr>
    <w:tblStylePr w:type="swCell">
      <w:tblPr/>
      <w:tcPr>
        <w:tcBorders>
          <w:top w:val="single" w:sz="4" w:space="0" w:color="B5CDD3" w:themeColor="accent5" w:themeTint="99"/>
        </w:tcBorders>
      </w:tcPr>
    </w:tblStylePr>
  </w:style>
  <w:style w:type="table" w:customStyle="1" w:styleId="-361">
    <w:name w:val="Таблица-сетка 3 — акцент 61"/>
    <w:basedOn w:val="a4"/>
    <w:uiPriority w:val="48"/>
    <w:rsid w:val="004230D9"/>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table" w:customStyle="1" w:styleId="-410">
    <w:name w:val="Таблица-сетка 41"/>
    <w:basedOn w:val="a4"/>
    <w:uiPriority w:val="49"/>
    <w:rsid w:val="00423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
    <w:name w:val="Таблица-сетка 4 — акцент 11"/>
    <w:basedOn w:val="a4"/>
    <w:uiPriority w:val="49"/>
    <w:rsid w:val="004230D9"/>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insideV w:val="nil"/>
        </w:tcBorders>
        <w:shd w:val="clear" w:color="auto" w:fill="3494BA" w:themeFill="accent1"/>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421">
    <w:name w:val="Таблица-сетка 4 — акцент 21"/>
    <w:basedOn w:val="a4"/>
    <w:uiPriority w:val="49"/>
    <w:rsid w:val="004230D9"/>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insideV w:val="nil"/>
        </w:tcBorders>
        <w:shd w:val="clear" w:color="auto" w:fill="58B6C0" w:themeFill="accent2"/>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431">
    <w:name w:val="Таблица-сетка 4 — акцент 31"/>
    <w:basedOn w:val="a4"/>
    <w:uiPriority w:val="49"/>
    <w:rsid w:val="004230D9"/>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insideV w:val="nil"/>
        </w:tcBorders>
        <w:shd w:val="clear" w:color="auto" w:fill="75BDA7" w:themeFill="accent3"/>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441">
    <w:name w:val="Таблица-сетка 4 — акцент 41"/>
    <w:basedOn w:val="a4"/>
    <w:uiPriority w:val="49"/>
    <w:rsid w:val="004230D9"/>
    <w:pPr>
      <w:spacing w:after="0" w:line="240" w:lineRule="auto"/>
    </w:p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insideV w:val="nil"/>
        </w:tcBorders>
        <w:shd w:val="clear" w:color="auto" w:fill="7A8C8E" w:themeFill="accent4"/>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451">
    <w:name w:val="Таблица-сетка 4 — акцент 51"/>
    <w:basedOn w:val="a4"/>
    <w:uiPriority w:val="49"/>
    <w:rsid w:val="004230D9"/>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461">
    <w:name w:val="Таблица-сетка 4 — акцент 61"/>
    <w:basedOn w:val="a4"/>
    <w:uiPriority w:val="49"/>
    <w:rsid w:val="004230D9"/>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insideV w:val="nil"/>
        </w:tcBorders>
        <w:shd w:val="clear" w:color="auto" w:fill="2683C6" w:themeFill="accent6"/>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510">
    <w:name w:val="Таблица-сетка 5 темная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511">
    <w:name w:val="Таблица-сетка 5 темная — акцент 1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EA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94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94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94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94BA" w:themeFill="accent1"/>
      </w:tcPr>
    </w:tblStylePr>
    <w:tblStylePr w:type="band1Vert">
      <w:tblPr/>
      <w:tcPr>
        <w:shd w:val="clear" w:color="auto" w:fill="A9D5E7" w:themeFill="accent1" w:themeFillTint="66"/>
      </w:tcPr>
    </w:tblStylePr>
    <w:tblStylePr w:type="band1Horz">
      <w:tblPr/>
      <w:tcPr>
        <w:shd w:val="clear" w:color="auto" w:fill="A9D5E7" w:themeFill="accent1" w:themeFillTint="66"/>
      </w:tcPr>
    </w:tblStylePr>
  </w:style>
  <w:style w:type="table" w:customStyle="1" w:styleId="-521">
    <w:name w:val="Таблица-сетка 5 темная — акцент 2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F0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8B6C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8B6C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8B6C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8B6C0" w:themeFill="accent2"/>
      </w:tcPr>
    </w:tblStylePr>
    <w:tblStylePr w:type="band1Vert">
      <w:tblPr/>
      <w:tcPr>
        <w:shd w:val="clear" w:color="auto" w:fill="BCE1E5" w:themeFill="accent2" w:themeFillTint="66"/>
      </w:tcPr>
    </w:tblStylePr>
    <w:tblStylePr w:type="band1Horz">
      <w:tblPr/>
      <w:tcPr>
        <w:shd w:val="clear" w:color="auto" w:fill="BCE1E5" w:themeFill="accent2" w:themeFillTint="66"/>
      </w:tcPr>
    </w:tblStylePr>
  </w:style>
  <w:style w:type="table" w:customStyle="1" w:styleId="-531">
    <w:name w:val="Таблица-сетка 5 темная — акцент 3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F1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5BDA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5BDA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5BDA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5BDA7" w:themeFill="accent3"/>
      </w:tcPr>
    </w:tblStylePr>
    <w:tblStylePr w:type="band1Vert">
      <w:tblPr/>
      <w:tcPr>
        <w:shd w:val="clear" w:color="auto" w:fill="C7E4DB" w:themeFill="accent3" w:themeFillTint="66"/>
      </w:tcPr>
    </w:tblStylePr>
    <w:tblStylePr w:type="band1Horz">
      <w:tblPr/>
      <w:tcPr>
        <w:shd w:val="clear" w:color="auto" w:fill="C7E4DB" w:themeFill="accent3" w:themeFillTint="66"/>
      </w:tcPr>
    </w:tblStylePr>
  </w:style>
  <w:style w:type="table" w:customStyle="1" w:styleId="-541">
    <w:name w:val="Таблица-сетка 5 темная — акцент 4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4E7E8"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A8C8E"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A8C8E"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A8C8E"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A8C8E" w:themeFill="accent4"/>
      </w:tcPr>
    </w:tblStylePr>
    <w:tblStylePr w:type="band1Vert">
      <w:tblPr/>
      <w:tcPr>
        <w:shd w:val="clear" w:color="auto" w:fill="C9D0D1" w:themeFill="accent4" w:themeFillTint="66"/>
      </w:tcPr>
    </w:tblStylePr>
    <w:tblStylePr w:type="band1Horz">
      <w:tblPr/>
      <w:tcPr>
        <w:shd w:val="clear" w:color="auto" w:fill="C9D0D1" w:themeFill="accent4" w:themeFillTint="66"/>
      </w:tcPr>
    </w:tblStylePr>
  </w:style>
  <w:style w:type="table" w:customStyle="1" w:styleId="-551">
    <w:name w:val="Таблица-сетка 5 темная — акцент 5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E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4AC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4AC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4AC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4ACB6" w:themeFill="accent5"/>
      </w:tcPr>
    </w:tblStylePr>
    <w:tblStylePr w:type="band1Vert">
      <w:tblPr/>
      <w:tcPr>
        <w:shd w:val="clear" w:color="auto" w:fill="CDDDE1" w:themeFill="accent5" w:themeFillTint="66"/>
      </w:tcPr>
    </w:tblStylePr>
    <w:tblStylePr w:type="band1Horz">
      <w:tblPr/>
      <w:tcPr>
        <w:shd w:val="clear" w:color="auto" w:fill="CDDDE1" w:themeFill="accent5" w:themeFillTint="66"/>
      </w:tcPr>
    </w:tblStylePr>
  </w:style>
  <w:style w:type="table" w:customStyle="1" w:styleId="-561">
    <w:name w:val="Таблица-сетка 5 темная — акцент 6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E6F6"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683C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683C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683C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683C6" w:themeFill="accent6"/>
      </w:tcPr>
    </w:tblStylePr>
    <w:tblStylePr w:type="band1Vert">
      <w:tblPr/>
      <w:tcPr>
        <w:shd w:val="clear" w:color="auto" w:fill="A3CEED" w:themeFill="accent6" w:themeFillTint="66"/>
      </w:tcPr>
    </w:tblStylePr>
    <w:tblStylePr w:type="band1Horz">
      <w:tblPr/>
      <w:tcPr>
        <w:shd w:val="clear" w:color="auto" w:fill="A3CEED" w:themeFill="accent6" w:themeFillTint="66"/>
      </w:tcPr>
    </w:tblStylePr>
  </w:style>
  <w:style w:type="table" w:customStyle="1" w:styleId="-610">
    <w:name w:val="Таблица-сетка 6 цветная1"/>
    <w:basedOn w:val="a4"/>
    <w:uiPriority w:val="51"/>
    <w:rsid w:val="004230D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
    <w:name w:val="Таблица-сетка 6 цветная — акцент 11"/>
    <w:basedOn w:val="a4"/>
    <w:uiPriority w:val="51"/>
    <w:rsid w:val="004230D9"/>
    <w:pPr>
      <w:spacing w:after="0" w:line="240" w:lineRule="auto"/>
    </w:pPr>
    <w:rPr>
      <w:color w:val="276E8B" w:themeColor="accent1" w:themeShade="BF"/>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621">
    <w:name w:val="Таблица-сетка 6 цветная — акцент 21"/>
    <w:basedOn w:val="a4"/>
    <w:uiPriority w:val="51"/>
    <w:rsid w:val="004230D9"/>
    <w:pPr>
      <w:spacing w:after="0" w:line="240" w:lineRule="auto"/>
    </w:pPr>
    <w:rPr>
      <w:color w:val="398E98" w:themeColor="accent2" w:themeShade="BF"/>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bottom w:val="single" w:sz="12" w:space="0" w:color="9AD3D9" w:themeColor="accent2" w:themeTint="99"/>
        </w:tcBorders>
      </w:tcPr>
    </w:tblStylePr>
    <w:tblStylePr w:type="lastRow">
      <w:rPr>
        <w:b/>
        <w:bCs/>
      </w:rPr>
      <w:tblPr/>
      <w:tcPr>
        <w:tcBorders>
          <w:top w:val="doub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631">
    <w:name w:val="Таблица-сетка 6 цветная — акцент 31"/>
    <w:basedOn w:val="a4"/>
    <w:uiPriority w:val="51"/>
    <w:rsid w:val="004230D9"/>
    <w:pPr>
      <w:spacing w:after="0" w:line="240" w:lineRule="auto"/>
    </w:pPr>
    <w:rPr>
      <w:color w:val="4A9A82" w:themeColor="accent3" w:themeShade="BF"/>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bottom w:val="single" w:sz="12" w:space="0" w:color="ACD7CA" w:themeColor="accent3" w:themeTint="99"/>
        </w:tcBorders>
      </w:tcPr>
    </w:tblStylePr>
    <w:tblStylePr w:type="lastRow">
      <w:rPr>
        <w:b/>
        <w:bCs/>
      </w:rPr>
      <w:tblPr/>
      <w:tcPr>
        <w:tcBorders>
          <w:top w:val="doub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641">
    <w:name w:val="Таблица-сетка 6 цветная — акцент 41"/>
    <w:basedOn w:val="a4"/>
    <w:uiPriority w:val="51"/>
    <w:rsid w:val="004230D9"/>
    <w:pPr>
      <w:spacing w:after="0" w:line="240" w:lineRule="auto"/>
    </w:pPr>
    <w:rPr>
      <w:color w:val="5A696A" w:themeColor="accent4" w:themeShade="BF"/>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bottom w:val="single" w:sz="12" w:space="0" w:color="AFB9BB" w:themeColor="accent4" w:themeTint="99"/>
        </w:tcBorders>
      </w:tcPr>
    </w:tblStylePr>
    <w:tblStylePr w:type="lastRow">
      <w:rPr>
        <w:b/>
        <w:bCs/>
      </w:rPr>
      <w:tblPr/>
      <w:tcPr>
        <w:tcBorders>
          <w:top w:val="doub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651">
    <w:name w:val="Таблица-сетка 6 цветная — акцент 51"/>
    <w:basedOn w:val="a4"/>
    <w:uiPriority w:val="51"/>
    <w:rsid w:val="004230D9"/>
    <w:pPr>
      <w:spacing w:after="0" w:line="240" w:lineRule="auto"/>
    </w:pPr>
    <w:rPr>
      <w:color w:val="578793" w:themeColor="accent5" w:themeShade="BF"/>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661">
    <w:name w:val="Таблица-сетка 6 цветная — акцент 61"/>
    <w:basedOn w:val="a4"/>
    <w:uiPriority w:val="51"/>
    <w:rsid w:val="004230D9"/>
    <w:pPr>
      <w:spacing w:after="0" w:line="240" w:lineRule="auto"/>
    </w:pPr>
    <w:rPr>
      <w:color w:val="1C6194" w:themeColor="accent6" w:themeShade="BF"/>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bottom w:val="single" w:sz="12" w:space="0" w:color="74B5E4" w:themeColor="accent6" w:themeTint="99"/>
        </w:tcBorders>
      </w:tcPr>
    </w:tblStylePr>
    <w:tblStylePr w:type="lastRow">
      <w:rPr>
        <w:b/>
        <w:bCs/>
      </w:rPr>
      <w:tblPr/>
      <w:tcPr>
        <w:tcBorders>
          <w:top w:val="doub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71">
    <w:name w:val="Таблица-сетка 7 цветная1"/>
    <w:basedOn w:val="a4"/>
    <w:uiPriority w:val="52"/>
    <w:rsid w:val="004230D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711">
    <w:name w:val="Таблица-сетка 7 цветная — акцент 11"/>
    <w:basedOn w:val="a4"/>
    <w:uiPriority w:val="52"/>
    <w:rsid w:val="004230D9"/>
    <w:pPr>
      <w:spacing w:after="0" w:line="240" w:lineRule="auto"/>
    </w:pPr>
    <w:rPr>
      <w:color w:val="276E8B" w:themeColor="accent1" w:themeShade="BF"/>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bottom w:val="single" w:sz="4" w:space="0" w:color="7FC0DB" w:themeColor="accent1" w:themeTint="99"/>
        </w:tcBorders>
      </w:tcPr>
    </w:tblStylePr>
    <w:tblStylePr w:type="nwCell">
      <w:tblPr/>
      <w:tcPr>
        <w:tcBorders>
          <w:bottom w:val="single" w:sz="4" w:space="0" w:color="7FC0DB" w:themeColor="accent1" w:themeTint="99"/>
        </w:tcBorders>
      </w:tcPr>
    </w:tblStylePr>
    <w:tblStylePr w:type="seCell">
      <w:tblPr/>
      <w:tcPr>
        <w:tcBorders>
          <w:top w:val="single" w:sz="4" w:space="0" w:color="7FC0DB" w:themeColor="accent1" w:themeTint="99"/>
        </w:tcBorders>
      </w:tcPr>
    </w:tblStylePr>
    <w:tblStylePr w:type="swCell">
      <w:tblPr/>
      <w:tcPr>
        <w:tcBorders>
          <w:top w:val="single" w:sz="4" w:space="0" w:color="7FC0DB" w:themeColor="accent1" w:themeTint="99"/>
        </w:tcBorders>
      </w:tcPr>
    </w:tblStylePr>
  </w:style>
  <w:style w:type="table" w:customStyle="1" w:styleId="-721">
    <w:name w:val="Таблица-сетка 7 цветная — акцент 21"/>
    <w:basedOn w:val="a4"/>
    <w:uiPriority w:val="52"/>
    <w:rsid w:val="004230D9"/>
    <w:pPr>
      <w:spacing w:after="0" w:line="240" w:lineRule="auto"/>
    </w:pPr>
    <w:rPr>
      <w:color w:val="398E98" w:themeColor="accent2" w:themeShade="BF"/>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bottom w:val="single" w:sz="4" w:space="0" w:color="9AD3D9" w:themeColor="accent2" w:themeTint="99"/>
        </w:tcBorders>
      </w:tcPr>
    </w:tblStylePr>
    <w:tblStylePr w:type="nwCell">
      <w:tblPr/>
      <w:tcPr>
        <w:tcBorders>
          <w:bottom w:val="single" w:sz="4" w:space="0" w:color="9AD3D9" w:themeColor="accent2" w:themeTint="99"/>
        </w:tcBorders>
      </w:tcPr>
    </w:tblStylePr>
    <w:tblStylePr w:type="seCell">
      <w:tblPr/>
      <w:tcPr>
        <w:tcBorders>
          <w:top w:val="single" w:sz="4" w:space="0" w:color="9AD3D9" w:themeColor="accent2" w:themeTint="99"/>
        </w:tcBorders>
      </w:tcPr>
    </w:tblStylePr>
    <w:tblStylePr w:type="swCell">
      <w:tblPr/>
      <w:tcPr>
        <w:tcBorders>
          <w:top w:val="single" w:sz="4" w:space="0" w:color="9AD3D9" w:themeColor="accent2" w:themeTint="99"/>
        </w:tcBorders>
      </w:tcPr>
    </w:tblStylePr>
  </w:style>
  <w:style w:type="table" w:customStyle="1" w:styleId="-731">
    <w:name w:val="Таблица-сетка 7 цветная — акцент 31"/>
    <w:basedOn w:val="a4"/>
    <w:uiPriority w:val="52"/>
    <w:rsid w:val="004230D9"/>
    <w:pPr>
      <w:spacing w:after="0" w:line="240" w:lineRule="auto"/>
    </w:pPr>
    <w:rPr>
      <w:color w:val="4A9A82" w:themeColor="accent3" w:themeShade="BF"/>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bottom w:val="single" w:sz="4" w:space="0" w:color="ACD7CA" w:themeColor="accent3" w:themeTint="99"/>
        </w:tcBorders>
      </w:tcPr>
    </w:tblStylePr>
    <w:tblStylePr w:type="nwCell">
      <w:tblPr/>
      <w:tcPr>
        <w:tcBorders>
          <w:bottom w:val="single" w:sz="4" w:space="0" w:color="ACD7CA" w:themeColor="accent3" w:themeTint="99"/>
        </w:tcBorders>
      </w:tcPr>
    </w:tblStylePr>
    <w:tblStylePr w:type="seCell">
      <w:tblPr/>
      <w:tcPr>
        <w:tcBorders>
          <w:top w:val="single" w:sz="4" w:space="0" w:color="ACD7CA" w:themeColor="accent3" w:themeTint="99"/>
        </w:tcBorders>
      </w:tcPr>
    </w:tblStylePr>
    <w:tblStylePr w:type="swCell">
      <w:tblPr/>
      <w:tcPr>
        <w:tcBorders>
          <w:top w:val="single" w:sz="4" w:space="0" w:color="ACD7CA" w:themeColor="accent3" w:themeTint="99"/>
        </w:tcBorders>
      </w:tcPr>
    </w:tblStylePr>
  </w:style>
  <w:style w:type="table" w:customStyle="1" w:styleId="-741">
    <w:name w:val="Таблица-сетка 7 цветная — акцент 41"/>
    <w:basedOn w:val="a4"/>
    <w:uiPriority w:val="52"/>
    <w:rsid w:val="004230D9"/>
    <w:pPr>
      <w:spacing w:after="0" w:line="240" w:lineRule="auto"/>
    </w:pPr>
    <w:rPr>
      <w:color w:val="5A696A" w:themeColor="accent4" w:themeShade="BF"/>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bottom w:val="single" w:sz="4" w:space="0" w:color="AFB9BB" w:themeColor="accent4" w:themeTint="99"/>
        </w:tcBorders>
      </w:tcPr>
    </w:tblStylePr>
    <w:tblStylePr w:type="nwCell">
      <w:tblPr/>
      <w:tcPr>
        <w:tcBorders>
          <w:bottom w:val="single" w:sz="4" w:space="0" w:color="AFB9BB" w:themeColor="accent4" w:themeTint="99"/>
        </w:tcBorders>
      </w:tcPr>
    </w:tblStylePr>
    <w:tblStylePr w:type="seCell">
      <w:tblPr/>
      <w:tcPr>
        <w:tcBorders>
          <w:top w:val="single" w:sz="4" w:space="0" w:color="AFB9BB" w:themeColor="accent4" w:themeTint="99"/>
        </w:tcBorders>
      </w:tcPr>
    </w:tblStylePr>
    <w:tblStylePr w:type="swCell">
      <w:tblPr/>
      <w:tcPr>
        <w:tcBorders>
          <w:top w:val="single" w:sz="4" w:space="0" w:color="AFB9BB" w:themeColor="accent4" w:themeTint="99"/>
        </w:tcBorders>
      </w:tcPr>
    </w:tblStylePr>
  </w:style>
  <w:style w:type="table" w:customStyle="1" w:styleId="-751">
    <w:name w:val="Таблица-сетка 7 цветная — акцент 51"/>
    <w:basedOn w:val="a4"/>
    <w:uiPriority w:val="52"/>
    <w:rsid w:val="004230D9"/>
    <w:pPr>
      <w:spacing w:after="0" w:line="240" w:lineRule="auto"/>
    </w:pPr>
    <w:rPr>
      <w:color w:val="578793" w:themeColor="accent5" w:themeShade="BF"/>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bottom w:val="single" w:sz="4" w:space="0" w:color="B5CDD3" w:themeColor="accent5" w:themeTint="99"/>
        </w:tcBorders>
      </w:tcPr>
    </w:tblStylePr>
    <w:tblStylePr w:type="nwCell">
      <w:tblPr/>
      <w:tcPr>
        <w:tcBorders>
          <w:bottom w:val="single" w:sz="4" w:space="0" w:color="B5CDD3" w:themeColor="accent5" w:themeTint="99"/>
        </w:tcBorders>
      </w:tcPr>
    </w:tblStylePr>
    <w:tblStylePr w:type="seCell">
      <w:tblPr/>
      <w:tcPr>
        <w:tcBorders>
          <w:top w:val="single" w:sz="4" w:space="0" w:color="B5CDD3" w:themeColor="accent5" w:themeTint="99"/>
        </w:tcBorders>
      </w:tcPr>
    </w:tblStylePr>
    <w:tblStylePr w:type="swCell">
      <w:tblPr/>
      <w:tcPr>
        <w:tcBorders>
          <w:top w:val="single" w:sz="4" w:space="0" w:color="B5CDD3" w:themeColor="accent5" w:themeTint="99"/>
        </w:tcBorders>
      </w:tcPr>
    </w:tblStylePr>
  </w:style>
  <w:style w:type="table" w:customStyle="1" w:styleId="-761">
    <w:name w:val="Таблица-сетка 7 цветная — акцент 61"/>
    <w:basedOn w:val="a4"/>
    <w:uiPriority w:val="52"/>
    <w:rsid w:val="004230D9"/>
    <w:pPr>
      <w:spacing w:after="0" w:line="240" w:lineRule="auto"/>
    </w:pPr>
    <w:rPr>
      <w:color w:val="1C6194" w:themeColor="accent6" w:themeShade="BF"/>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character" w:styleId="HTMLa">
    <w:name w:val="HTML Sample"/>
    <w:basedOn w:val="a3"/>
    <w:uiPriority w:val="99"/>
    <w:semiHidden/>
    <w:unhideWhenUsed/>
    <w:rsid w:val="004230D9"/>
    <w:rPr>
      <w:rFonts w:ascii="Consolas" w:hAnsi="Consolas" w:cs="Times New Roman"/>
      <w:sz w:val="24"/>
      <w:szCs w:val="24"/>
    </w:rPr>
  </w:style>
  <w:style w:type="paragraph" w:styleId="2c">
    <w:name w:val="index 2"/>
    <w:basedOn w:val="a2"/>
    <w:next w:val="a2"/>
    <w:autoRedefine/>
    <w:uiPriority w:val="99"/>
    <w:semiHidden/>
    <w:unhideWhenUsed/>
    <w:rsid w:val="004230D9"/>
    <w:pPr>
      <w:ind w:left="480" w:hanging="240"/>
    </w:pPr>
  </w:style>
  <w:style w:type="paragraph" w:styleId="36">
    <w:name w:val="index 3"/>
    <w:basedOn w:val="a2"/>
    <w:next w:val="a2"/>
    <w:autoRedefine/>
    <w:uiPriority w:val="99"/>
    <w:semiHidden/>
    <w:unhideWhenUsed/>
    <w:rsid w:val="004230D9"/>
    <w:pPr>
      <w:ind w:left="720" w:hanging="240"/>
    </w:pPr>
  </w:style>
  <w:style w:type="paragraph" w:styleId="43">
    <w:name w:val="index 4"/>
    <w:basedOn w:val="a2"/>
    <w:next w:val="a2"/>
    <w:autoRedefine/>
    <w:uiPriority w:val="99"/>
    <w:semiHidden/>
    <w:unhideWhenUsed/>
    <w:rsid w:val="004230D9"/>
    <w:pPr>
      <w:ind w:left="960" w:hanging="240"/>
    </w:pPr>
  </w:style>
  <w:style w:type="paragraph" w:styleId="53">
    <w:name w:val="index 5"/>
    <w:basedOn w:val="a2"/>
    <w:next w:val="a2"/>
    <w:autoRedefine/>
    <w:uiPriority w:val="99"/>
    <w:semiHidden/>
    <w:unhideWhenUsed/>
    <w:rsid w:val="004230D9"/>
    <w:pPr>
      <w:ind w:left="1200" w:hanging="240"/>
    </w:pPr>
  </w:style>
  <w:style w:type="paragraph" w:styleId="61">
    <w:name w:val="index 6"/>
    <w:basedOn w:val="a2"/>
    <w:next w:val="a2"/>
    <w:autoRedefine/>
    <w:uiPriority w:val="99"/>
    <w:semiHidden/>
    <w:unhideWhenUsed/>
    <w:rsid w:val="004230D9"/>
    <w:pPr>
      <w:ind w:left="1440" w:hanging="240"/>
    </w:pPr>
  </w:style>
  <w:style w:type="paragraph" w:styleId="71">
    <w:name w:val="index 7"/>
    <w:basedOn w:val="a2"/>
    <w:next w:val="a2"/>
    <w:autoRedefine/>
    <w:uiPriority w:val="99"/>
    <w:semiHidden/>
    <w:unhideWhenUsed/>
    <w:rsid w:val="004230D9"/>
    <w:pPr>
      <w:ind w:left="1680" w:hanging="240"/>
    </w:pPr>
  </w:style>
  <w:style w:type="paragraph" w:styleId="81">
    <w:name w:val="index 8"/>
    <w:basedOn w:val="a2"/>
    <w:next w:val="a2"/>
    <w:autoRedefine/>
    <w:uiPriority w:val="99"/>
    <w:semiHidden/>
    <w:unhideWhenUsed/>
    <w:rsid w:val="004230D9"/>
    <w:pPr>
      <w:ind w:left="1920" w:hanging="240"/>
    </w:pPr>
  </w:style>
  <w:style w:type="paragraph" w:styleId="92">
    <w:name w:val="index 9"/>
    <w:basedOn w:val="a2"/>
    <w:next w:val="a2"/>
    <w:autoRedefine/>
    <w:uiPriority w:val="99"/>
    <w:semiHidden/>
    <w:unhideWhenUsed/>
    <w:rsid w:val="004230D9"/>
    <w:pPr>
      <w:ind w:left="2160" w:hanging="240"/>
    </w:pPr>
  </w:style>
  <w:style w:type="table" w:styleId="affffe">
    <w:name w:val="Light Grid"/>
    <w:basedOn w:val="a4"/>
    <w:uiPriority w:val="62"/>
    <w:semiHidden/>
    <w:unhideWhenUsed/>
    <w:rsid w:val="004230D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3">
    <w:name w:val="Light Grid Accent 1"/>
    <w:basedOn w:val="a4"/>
    <w:uiPriority w:val="62"/>
    <w:semiHidden/>
    <w:unhideWhenUsed/>
    <w:rsid w:val="004230D9"/>
    <w:pPr>
      <w:spacing w:after="0" w:line="240" w:lineRule="auto"/>
    </w:p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18" w:space="0" w:color="3494BA" w:themeColor="accent1"/>
          <w:right w:val="single" w:sz="8" w:space="0" w:color="3494BA" w:themeColor="accent1"/>
          <w:insideH w:val="nil"/>
          <w:insideV w:val="single" w:sz="8" w:space="0" w:color="3494B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insideH w:val="nil"/>
          <w:insideV w:val="single" w:sz="8" w:space="0" w:color="3494B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shd w:val="clear" w:color="auto" w:fill="CAE5F0" w:themeFill="accent1" w:themeFillTint="3F"/>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shd w:val="clear" w:color="auto" w:fill="CAE5F0" w:themeFill="accent1" w:themeFillTint="3F"/>
      </w:tcPr>
    </w:tblStylePr>
    <w:tblStylePr w:type="band2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tcPr>
    </w:tblStylePr>
  </w:style>
  <w:style w:type="table" w:styleId="-23">
    <w:name w:val="Light Grid Accent 2"/>
    <w:basedOn w:val="a4"/>
    <w:uiPriority w:val="62"/>
    <w:semiHidden/>
    <w:unhideWhenUsed/>
    <w:rsid w:val="004230D9"/>
    <w:pPr>
      <w:spacing w:after="0" w:line="240" w:lineRule="auto"/>
    </w:p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18" w:space="0" w:color="58B6C0" w:themeColor="accent2"/>
          <w:right w:val="single" w:sz="8" w:space="0" w:color="58B6C0" w:themeColor="accent2"/>
          <w:insideH w:val="nil"/>
          <w:insideV w:val="single" w:sz="8" w:space="0" w:color="58B6C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insideH w:val="nil"/>
          <w:insideV w:val="single" w:sz="8" w:space="0" w:color="58B6C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shd w:val="clear" w:color="auto" w:fill="D5ECEF" w:themeFill="accent2" w:themeFillTint="3F"/>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shd w:val="clear" w:color="auto" w:fill="D5ECEF" w:themeFill="accent2" w:themeFillTint="3F"/>
      </w:tcPr>
    </w:tblStylePr>
    <w:tblStylePr w:type="band2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tcPr>
    </w:tblStylePr>
  </w:style>
  <w:style w:type="table" w:styleId="-33">
    <w:name w:val="Light Grid Accent 3"/>
    <w:basedOn w:val="a4"/>
    <w:uiPriority w:val="62"/>
    <w:semiHidden/>
    <w:unhideWhenUsed/>
    <w:rsid w:val="004230D9"/>
    <w:pPr>
      <w:spacing w:after="0" w:line="240" w:lineRule="auto"/>
    </w:p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18" w:space="0" w:color="75BDA7" w:themeColor="accent3"/>
          <w:right w:val="single" w:sz="8" w:space="0" w:color="75BDA7" w:themeColor="accent3"/>
          <w:insideH w:val="nil"/>
          <w:insideV w:val="single" w:sz="8" w:space="0" w:color="75BDA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insideH w:val="nil"/>
          <w:insideV w:val="single" w:sz="8" w:space="0" w:color="75BDA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shd w:val="clear" w:color="auto" w:fill="DCEEE9" w:themeFill="accent3" w:themeFillTint="3F"/>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shd w:val="clear" w:color="auto" w:fill="DCEEE9" w:themeFill="accent3" w:themeFillTint="3F"/>
      </w:tcPr>
    </w:tblStylePr>
    <w:tblStylePr w:type="band2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tcPr>
    </w:tblStylePr>
  </w:style>
  <w:style w:type="table" w:styleId="-43">
    <w:name w:val="Light Grid Accent 4"/>
    <w:basedOn w:val="a4"/>
    <w:uiPriority w:val="62"/>
    <w:semiHidden/>
    <w:unhideWhenUsed/>
    <w:rsid w:val="004230D9"/>
    <w:pPr>
      <w:spacing w:after="0" w:line="240" w:lineRule="auto"/>
    </w:p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18" w:space="0" w:color="7A8C8E" w:themeColor="accent4"/>
          <w:right w:val="single" w:sz="8" w:space="0" w:color="7A8C8E" w:themeColor="accent4"/>
          <w:insideH w:val="nil"/>
          <w:insideV w:val="single" w:sz="8" w:space="0" w:color="7A8C8E"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insideH w:val="nil"/>
          <w:insideV w:val="single" w:sz="8" w:space="0" w:color="7A8C8E"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shd w:val="clear" w:color="auto" w:fill="DEE2E3" w:themeFill="accent4" w:themeFillTint="3F"/>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shd w:val="clear" w:color="auto" w:fill="DEE2E3" w:themeFill="accent4" w:themeFillTint="3F"/>
      </w:tcPr>
    </w:tblStylePr>
    <w:tblStylePr w:type="band2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tcPr>
    </w:tblStylePr>
  </w:style>
  <w:style w:type="table" w:styleId="-53">
    <w:name w:val="Light Grid Accent 5"/>
    <w:basedOn w:val="a4"/>
    <w:uiPriority w:val="62"/>
    <w:semiHidden/>
    <w:unhideWhenUsed/>
    <w:rsid w:val="004230D9"/>
    <w:pPr>
      <w:spacing w:after="0" w:line="240" w:lineRule="auto"/>
    </w:p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18" w:space="0" w:color="84ACB6" w:themeColor="accent5"/>
          <w:right w:val="single" w:sz="8" w:space="0" w:color="84ACB6" w:themeColor="accent5"/>
          <w:insideH w:val="nil"/>
          <w:insideV w:val="single" w:sz="8" w:space="0" w:color="84ACB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insideH w:val="nil"/>
          <w:insideV w:val="single" w:sz="8" w:space="0" w:color="84ACB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shd w:val="clear" w:color="auto" w:fill="E0EAED" w:themeFill="accent5" w:themeFillTint="3F"/>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shd w:val="clear" w:color="auto" w:fill="E0EAED" w:themeFill="accent5" w:themeFillTint="3F"/>
      </w:tcPr>
    </w:tblStylePr>
    <w:tblStylePr w:type="band2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tcPr>
    </w:tblStylePr>
  </w:style>
  <w:style w:type="table" w:styleId="-63">
    <w:name w:val="Light Grid Accent 6"/>
    <w:basedOn w:val="a4"/>
    <w:uiPriority w:val="62"/>
    <w:semiHidden/>
    <w:unhideWhenUsed/>
    <w:rsid w:val="004230D9"/>
    <w:pPr>
      <w:spacing w:after="0" w:line="240" w:lineRule="auto"/>
    </w:p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18" w:space="0" w:color="2683C6" w:themeColor="accent6"/>
          <w:right w:val="single" w:sz="8" w:space="0" w:color="2683C6" w:themeColor="accent6"/>
          <w:insideH w:val="nil"/>
          <w:insideV w:val="single" w:sz="8" w:space="0" w:color="2683C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insideH w:val="nil"/>
          <w:insideV w:val="single" w:sz="8" w:space="0" w:color="2683C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shd w:val="clear" w:color="auto" w:fill="C5E0F4" w:themeFill="accent6" w:themeFillTint="3F"/>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shd w:val="clear" w:color="auto" w:fill="C5E0F4" w:themeFill="accent6" w:themeFillTint="3F"/>
      </w:tcPr>
    </w:tblStylePr>
    <w:tblStylePr w:type="band2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tcPr>
    </w:tblStylePr>
  </w:style>
  <w:style w:type="table" w:styleId="afffff">
    <w:name w:val="Light List"/>
    <w:basedOn w:val="a4"/>
    <w:uiPriority w:val="61"/>
    <w:semiHidden/>
    <w:unhideWhenUsed/>
    <w:rsid w:val="004230D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4">
    <w:name w:val="Light List Accent 1"/>
    <w:basedOn w:val="a4"/>
    <w:uiPriority w:val="61"/>
    <w:semiHidden/>
    <w:unhideWhenUsed/>
    <w:rsid w:val="004230D9"/>
    <w:pPr>
      <w:spacing w:after="0" w:line="240" w:lineRule="auto"/>
    </w:p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pPr>
        <w:spacing w:before="0" w:after="0" w:line="240" w:lineRule="auto"/>
      </w:pPr>
      <w:rPr>
        <w:b/>
        <w:bCs/>
        <w:color w:val="FFFFFF" w:themeColor="background1"/>
      </w:rPr>
      <w:tblPr/>
      <w:tcPr>
        <w:shd w:val="clear" w:color="auto" w:fill="3494BA" w:themeFill="accent1"/>
      </w:tcPr>
    </w:tblStylePr>
    <w:tblStylePr w:type="lastRow">
      <w:pPr>
        <w:spacing w:before="0" w:after="0" w:line="240" w:lineRule="auto"/>
      </w:pPr>
      <w:rPr>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tcBorders>
      </w:tcPr>
    </w:tblStylePr>
    <w:tblStylePr w:type="firstCol">
      <w:rPr>
        <w:b/>
        <w:bCs/>
      </w:rPr>
    </w:tblStylePr>
    <w:tblStylePr w:type="lastCol">
      <w:rPr>
        <w:b/>
        <w:bCs/>
      </w:r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style>
  <w:style w:type="table" w:styleId="-24">
    <w:name w:val="Light List Accent 2"/>
    <w:basedOn w:val="a4"/>
    <w:uiPriority w:val="61"/>
    <w:semiHidden/>
    <w:unhideWhenUsed/>
    <w:rsid w:val="004230D9"/>
    <w:pPr>
      <w:spacing w:after="0" w:line="240" w:lineRule="auto"/>
    </w:p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pPr>
        <w:spacing w:before="0" w:after="0" w:line="240" w:lineRule="auto"/>
      </w:pPr>
      <w:rPr>
        <w:b/>
        <w:bCs/>
        <w:color w:val="FFFFFF" w:themeColor="background1"/>
      </w:rPr>
      <w:tblPr/>
      <w:tcPr>
        <w:shd w:val="clear" w:color="auto" w:fill="58B6C0" w:themeFill="accent2"/>
      </w:tcPr>
    </w:tblStylePr>
    <w:tblStylePr w:type="lastRow">
      <w:pPr>
        <w:spacing w:before="0" w:after="0" w:line="240" w:lineRule="auto"/>
      </w:pPr>
      <w:rPr>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tcBorders>
      </w:tcPr>
    </w:tblStylePr>
    <w:tblStylePr w:type="firstCol">
      <w:rPr>
        <w:b/>
        <w:bCs/>
      </w:rPr>
    </w:tblStylePr>
    <w:tblStylePr w:type="lastCol">
      <w:rPr>
        <w:b/>
        <w:bCs/>
      </w:r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style>
  <w:style w:type="table" w:styleId="-34">
    <w:name w:val="Light List Accent 3"/>
    <w:basedOn w:val="a4"/>
    <w:uiPriority w:val="61"/>
    <w:semiHidden/>
    <w:unhideWhenUsed/>
    <w:rsid w:val="004230D9"/>
    <w:pPr>
      <w:spacing w:after="0" w:line="240" w:lineRule="auto"/>
    </w:p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pPr>
        <w:spacing w:before="0" w:after="0" w:line="240" w:lineRule="auto"/>
      </w:pPr>
      <w:rPr>
        <w:b/>
        <w:bCs/>
        <w:color w:val="FFFFFF" w:themeColor="background1"/>
      </w:rPr>
      <w:tblPr/>
      <w:tcPr>
        <w:shd w:val="clear" w:color="auto" w:fill="75BDA7" w:themeFill="accent3"/>
      </w:tcPr>
    </w:tblStylePr>
    <w:tblStylePr w:type="lastRow">
      <w:pPr>
        <w:spacing w:before="0" w:after="0" w:line="240" w:lineRule="auto"/>
      </w:pPr>
      <w:rPr>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tcBorders>
      </w:tcPr>
    </w:tblStylePr>
    <w:tblStylePr w:type="firstCol">
      <w:rPr>
        <w:b/>
        <w:bCs/>
      </w:rPr>
    </w:tblStylePr>
    <w:tblStylePr w:type="lastCol">
      <w:rPr>
        <w:b/>
        <w:bCs/>
      </w:r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style>
  <w:style w:type="table" w:styleId="-44">
    <w:name w:val="Light List Accent 4"/>
    <w:basedOn w:val="a4"/>
    <w:uiPriority w:val="61"/>
    <w:semiHidden/>
    <w:unhideWhenUsed/>
    <w:rsid w:val="004230D9"/>
    <w:pPr>
      <w:spacing w:after="0" w:line="240" w:lineRule="auto"/>
    </w:p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pPr>
        <w:spacing w:before="0" w:after="0" w:line="240" w:lineRule="auto"/>
      </w:pPr>
      <w:rPr>
        <w:b/>
        <w:bCs/>
        <w:color w:val="FFFFFF" w:themeColor="background1"/>
      </w:rPr>
      <w:tblPr/>
      <w:tcPr>
        <w:shd w:val="clear" w:color="auto" w:fill="7A8C8E" w:themeFill="accent4"/>
      </w:tcPr>
    </w:tblStylePr>
    <w:tblStylePr w:type="lastRow">
      <w:pPr>
        <w:spacing w:before="0" w:after="0" w:line="240" w:lineRule="auto"/>
      </w:pPr>
      <w:rPr>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tcBorders>
      </w:tcPr>
    </w:tblStylePr>
    <w:tblStylePr w:type="firstCol">
      <w:rPr>
        <w:b/>
        <w:bCs/>
      </w:rPr>
    </w:tblStylePr>
    <w:tblStylePr w:type="lastCol">
      <w:rPr>
        <w:b/>
        <w:bCs/>
      </w:r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style>
  <w:style w:type="table" w:styleId="-54">
    <w:name w:val="Light List Accent 5"/>
    <w:basedOn w:val="a4"/>
    <w:uiPriority w:val="61"/>
    <w:semiHidden/>
    <w:unhideWhenUsed/>
    <w:rsid w:val="004230D9"/>
    <w:pPr>
      <w:spacing w:after="0" w:line="240" w:lineRule="auto"/>
    </w:p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pPr>
        <w:spacing w:before="0" w:after="0" w:line="240" w:lineRule="auto"/>
      </w:pPr>
      <w:rPr>
        <w:b/>
        <w:bCs/>
        <w:color w:val="FFFFFF" w:themeColor="background1"/>
      </w:rPr>
      <w:tblPr/>
      <w:tcPr>
        <w:shd w:val="clear" w:color="auto" w:fill="84ACB6" w:themeFill="accent5"/>
      </w:tcPr>
    </w:tblStylePr>
    <w:tblStylePr w:type="lastRow">
      <w:pPr>
        <w:spacing w:before="0" w:after="0" w:line="240" w:lineRule="auto"/>
      </w:pPr>
      <w:rPr>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tcBorders>
      </w:tcPr>
    </w:tblStylePr>
    <w:tblStylePr w:type="firstCol">
      <w:rPr>
        <w:b/>
        <w:bCs/>
      </w:rPr>
    </w:tblStylePr>
    <w:tblStylePr w:type="lastCol">
      <w:rPr>
        <w:b/>
        <w:bCs/>
      </w:r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style>
  <w:style w:type="table" w:styleId="-64">
    <w:name w:val="Light List Accent 6"/>
    <w:basedOn w:val="a4"/>
    <w:uiPriority w:val="61"/>
    <w:semiHidden/>
    <w:unhideWhenUsed/>
    <w:rsid w:val="004230D9"/>
    <w:pPr>
      <w:spacing w:after="0" w:line="240" w:lineRule="auto"/>
    </w:p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pPr>
        <w:spacing w:before="0" w:after="0" w:line="240" w:lineRule="auto"/>
      </w:pPr>
      <w:rPr>
        <w:b/>
        <w:bCs/>
        <w:color w:val="FFFFFF" w:themeColor="background1"/>
      </w:rPr>
      <w:tblPr/>
      <w:tcPr>
        <w:shd w:val="clear" w:color="auto" w:fill="2683C6" w:themeFill="accent6"/>
      </w:tcPr>
    </w:tblStylePr>
    <w:tblStylePr w:type="lastRow">
      <w:pPr>
        <w:spacing w:before="0" w:after="0" w:line="240" w:lineRule="auto"/>
      </w:pPr>
      <w:rPr>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tcBorders>
      </w:tcPr>
    </w:tblStylePr>
    <w:tblStylePr w:type="firstCol">
      <w:rPr>
        <w:b/>
        <w:bCs/>
      </w:rPr>
    </w:tblStylePr>
    <w:tblStylePr w:type="lastCol">
      <w:rPr>
        <w:b/>
        <w:bCs/>
      </w:r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style>
  <w:style w:type="table" w:styleId="afffff0">
    <w:name w:val="Light Shading"/>
    <w:basedOn w:val="a4"/>
    <w:uiPriority w:val="60"/>
    <w:semiHidden/>
    <w:unhideWhenUsed/>
    <w:rsid w:val="004230D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5">
    <w:name w:val="Light Shading Accent 1"/>
    <w:basedOn w:val="a4"/>
    <w:uiPriority w:val="60"/>
    <w:semiHidden/>
    <w:unhideWhenUsed/>
    <w:rsid w:val="004230D9"/>
    <w:pPr>
      <w:spacing w:after="0" w:line="240" w:lineRule="auto"/>
    </w:pPr>
    <w:rPr>
      <w:color w:val="276E8B" w:themeColor="accent1" w:themeShade="BF"/>
    </w:rPr>
    <w:tblPr>
      <w:tblStyleRowBandSize w:val="1"/>
      <w:tblStyleColBandSize w:val="1"/>
      <w:tblBorders>
        <w:top w:val="single" w:sz="8" w:space="0" w:color="3494BA" w:themeColor="accent1"/>
        <w:bottom w:val="single" w:sz="8" w:space="0" w:color="3494BA" w:themeColor="accent1"/>
      </w:tblBorders>
    </w:tblPr>
    <w:tblStylePr w:type="fir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la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left w:val="nil"/>
          <w:right w:val="nil"/>
          <w:insideH w:val="nil"/>
          <w:insideV w:val="nil"/>
        </w:tcBorders>
        <w:shd w:val="clear" w:color="auto" w:fill="CAE5F0" w:themeFill="accent1" w:themeFillTint="3F"/>
      </w:tcPr>
    </w:tblStylePr>
  </w:style>
  <w:style w:type="table" w:styleId="-25">
    <w:name w:val="Light Shading Accent 2"/>
    <w:basedOn w:val="a4"/>
    <w:uiPriority w:val="60"/>
    <w:semiHidden/>
    <w:unhideWhenUsed/>
    <w:rsid w:val="004230D9"/>
    <w:pPr>
      <w:spacing w:after="0" w:line="240" w:lineRule="auto"/>
    </w:pPr>
    <w:rPr>
      <w:color w:val="398E98" w:themeColor="accent2" w:themeShade="BF"/>
    </w:rPr>
    <w:tblPr>
      <w:tblStyleRowBandSize w:val="1"/>
      <w:tblStyleColBandSize w:val="1"/>
      <w:tblBorders>
        <w:top w:val="single" w:sz="8" w:space="0" w:color="58B6C0" w:themeColor="accent2"/>
        <w:bottom w:val="single" w:sz="8" w:space="0" w:color="58B6C0" w:themeColor="accent2"/>
      </w:tblBorders>
    </w:tblPr>
    <w:tblStylePr w:type="fir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la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left w:val="nil"/>
          <w:right w:val="nil"/>
          <w:insideH w:val="nil"/>
          <w:insideV w:val="nil"/>
        </w:tcBorders>
        <w:shd w:val="clear" w:color="auto" w:fill="D5ECEF" w:themeFill="accent2" w:themeFillTint="3F"/>
      </w:tcPr>
    </w:tblStylePr>
  </w:style>
  <w:style w:type="table" w:styleId="-35">
    <w:name w:val="Light Shading Accent 3"/>
    <w:basedOn w:val="a4"/>
    <w:uiPriority w:val="60"/>
    <w:semiHidden/>
    <w:unhideWhenUsed/>
    <w:rsid w:val="004230D9"/>
    <w:pPr>
      <w:spacing w:after="0" w:line="240" w:lineRule="auto"/>
    </w:pPr>
    <w:rPr>
      <w:color w:val="4A9A82" w:themeColor="accent3" w:themeShade="BF"/>
    </w:rPr>
    <w:tblPr>
      <w:tblStyleRowBandSize w:val="1"/>
      <w:tblStyleColBandSize w:val="1"/>
      <w:tblBorders>
        <w:top w:val="single" w:sz="8" w:space="0" w:color="75BDA7" w:themeColor="accent3"/>
        <w:bottom w:val="single" w:sz="8" w:space="0" w:color="75BDA7" w:themeColor="accent3"/>
      </w:tblBorders>
    </w:tblPr>
    <w:tblStylePr w:type="fir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la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left w:val="nil"/>
          <w:right w:val="nil"/>
          <w:insideH w:val="nil"/>
          <w:insideV w:val="nil"/>
        </w:tcBorders>
        <w:shd w:val="clear" w:color="auto" w:fill="DCEEE9" w:themeFill="accent3" w:themeFillTint="3F"/>
      </w:tcPr>
    </w:tblStylePr>
  </w:style>
  <w:style w:type="table" w:styleId="-45">
    <w:name w:val="Light Shading Accent 4"/>
    <w:basedOn w:val="a4"/>
    <w:uiPriority w:val="60"/>
    <w:semiHidden/>
    <w:unhideWhenUsed/>
    <w:rsid w:val="004230D9"/>
    <w:pPr>
      <w:spacing w:after="0" w:line="240" w:lineRule="auto"/>
    </w:pPr>
    <w:rPr>
      <w:color w:val="5A696A" w:themeColor="accent4" w:themeShade="BF"/>
    </w:rPr>
    <w:tblPr>
      <w:tblStyleRowBandSize w:val="1"/>
      <w:tblStyleColBandSize w:val="1"/>
      <w:tblBorders>
        <w:top w:val="single" w:sz="8" w:space="0" w:color="7A8C8E" w:themeColor="accent4"/>
        <w:bottom w:val="single" w:sz="8" w:space="0" w:color="7A8C8E" w:themeColor="accent4"/>
      </w:tblBorders>
    </w:tblPr>
    <w:tblStylePr w:type="fir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la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left w:val="nil"/>
          <w:right w:val="nil"/>
          <w:insideH w:val="nil"/>
          <w:insideV w:val="nil"/>
        </w:tcBorders>
        <w:shd w:val="clear" w:color="auto" w:fill="DEE2E3" w:themeFill="accent4" w:themeFillTint="3F"/>
      </w:tcPr>
    </w:tblStylePr>
  </w:style>
  <w:style w:type="table" w:styleId="-55">
    <w:name w:val="Light Shading Accent 5"/>
    <w:basedOn w:val="a4"/>
    <w:uiPriority w:val="60"/>
    <w:semiHidden/>
    <w:unhideWhenUsed/>
    <w:rsid w:val="004230D9"/>
    <w:pPr>
      <w:spacing w:after="0" w:line="240" w:lineRule="auto"/>
    </w:pPr>
    <w:rPr>
      <w:color w:val="578793" w:themeColor="accent5" w:themeShade="BF"/>
    </w:rPr>
    <w:tblPr>
      <w:tblStyleRowBandSize w:val="1"/>
      <w:tblStyleColBandSize w:val="1"/>
      <w:tblBorders>
        <w:top w:val="single" w:sz="8" w:space="0" w:color="84ACB6" w:themeColor="accent5"/>
        <w:bottom w:val="single" w:sz="8" w:space="0" w:color="84ACB6" w:themeColor="accent5"/>
      </w:tblBorders>
    </w:tblPr>
    <w:tblStylePr w:type="fir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la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left w:val="nil"/>
          <w:right w:val="nil"/>
          <w:insideH w:val="nil"/>
          <w:insideV w:val="nil"/>
        </w:tcBorders>
        <w:shd w:val="clear" w:color="auto" w:fill="E0EAED" w:themeFill="accent5" w:themeFillTint="3F"/>
      </w:tcPr>
    </w:tblStylePr>
  </w:style>
  <w:style w:type="table" w:styleId="-65">
    <w:name w:val="Light Shading Accent 6"/>
    <w:basedOn w:val="a4"/>
    <w:uiPriority w:val="60"/>
    <w:semiHidden/>
    <w:unhideWhenUsed/>
    <w:rsid w:val="004230D9"/>
    <w:pPr>
      <w:spacing w:after="0" w:line="240" w:lineRule="auto"/>
    </w:pPr>
    <w:rPr>
      <w:color w:val="1C6194" w:themeColor="accent6" w:themeShade="BF"/>
    </w:rPr>
    <w:tblPr>
      <w:tblStyleRowBandSize w:val="1"/>
      <w:tblStyleColBandSize w:val="1"/>
      <w:tblBorders>
        <w:top w:val="single" w:sz="8" w:space="0" w:color="2683C6" w:themeColor="accent6"/>
        <w:bottom w:val="single" w:sz="8" w:space="0" w:color="2683C6" w:themeColor="accent6"/>
      </w:tblBorders>
    </w:tblPr>
    <w:tblStylePr w:type="fir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la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left w:val="nil"/>
          <w:right w:val="nil"/>
          <w:insideH w:val="nil"/>
          <w:insideV w:val="nil"/>
        </w:tcBorders>
        <w:shd w:val="clear" w:color="auto" w:fill="C5E0F4" w:themeFill="accent6" w:themeFillTint="3F"/>
      </w:tcPr>
    </w:tblStylePr>
  </w:style>
  <w:style w:type="paragraph" w:styleId="afffff1">
    <w:name w:val="List"/>
    <w:basedOn w:val="a2"/>
    <w:uiPriority w:val="99"/>
    <w:semiHidden/>
    <w:unhideWhenUsed/>
    <w:rsid w:val="004230D9"/>
    <w:pPr>
      <w:ind w:left="360" w:hanging="360"/>
      <w:contextualSpacing/>
    </w:pPr>
  </w:style>
  <w:style w:type="paragraph" w:styleId="2d">
    <w:name w:val="List 2"/>
    <w:basedOn w:val="a2"/>
    <w:uiPriority w:val="99"/>
    <w:semiHidden/>
    <w:unhideWhenUsed/>
    <w:rsid w:val="004230D9"/>
    <w:pPr>
      <w:ind w:left="720" w:hanging="360"/>
      <w:contextualSpacing/>
    </w:pPr>
  </w:style>
  <w:style w:type="paragraph" w:styleId="37">
    <w:name w:val="List 3"/>
    <w:basedOn w:val="a2"/>
    <w:uiPriority w:val="99"/>
    <w:semiHidden/>
    <w:unhideWhenUsed/>
    <w:rsid w:val="004230D9"/>
    <w:pPr>
      <w:ind w:left="1080" w:hanging="360"/>
      <w:contextualSpacing/>
    </w:pPr>
  </w:style>
  <w:style w:type="paragraph" w:styleId="44">
    <w:name w:val="List 4"/>
    <w:basedOn w:val="a2"/>
    <w:uiPriority w:val="99"/>
    <w:semiHidden/>
    <w:unhideWhenUsed/>
    <w:rsid w:val="004230D9"/>
    <w:pPr>
      <w:ind w:left="1440" w:hanging="360"/>
      <w:contextualSpacing/>
    </w:pPr>
  </w:style>
  <w:style w:type="paragraph" w:styleId="54">
    <w:name w:val="List 5"/>
    <w:basedOn w:val="a2"/>
    <w:uiPriority w:val="99"/>
    <w:semiHidden/>
    <w:unhideWhenUsed/>
    <w:rsid w:val="004230D9"/>
    <w:pPr>
      <w:ind w:left="1800" w:hanging="360"/>
      <w:contextualSpacing/>
    </w:pPr>
  </w:style>
  <w:style w:type="paragraph" w:styleId="2">
    <w:name w:val="List Bullet 2"/>
    <w:basedOn w:val="a2"/>
    <w:uiPriority w:val="99"/>
    <w:semiHidden/>
    <w:unhideWhenUsed/>
    <w:rsid w:val="004230D9"/>
    <w:pPr>
      <w:numPr>
        <w:numId w:val="2"/>
      </w:numPr>
      <w:contextualSpacing/>
    </w:pPr>
  </w:style>
  <w:style w:type="paragraph" w:styleId="30">
    <w:name w:val="List Bullet 3"/>
    <w:basedOn w:val="a2"/>
    <w:uiPriority w:val="99"/>
    <w:semiHidden/>
    <w:unhideWhenUsed/>
    <w:rsid w:val="004230D9"/>
    <w:pPr>
      <w:numPr>
        <w:numId w:val="3"/>
      </w:numPr>
      <w:contextualSpacing/>
    </w:pPr>
  </w:style>
  <w:style w:type="paragraph" w:styleId="40">
    <w:name w:val="List Bullet 4"/>
    <w:basedOn w:val="a2"/>
    <w:uiPriority w:val="99"/>
    <w:semiHidden/>
    <w:unhideWhenUsed/>
    <w:rsid w:val="004230D9"/>
    <w:pPr>
      <w:numPr>
        <w:numId w:val="4"/>
      </w:numPr>
      <w:contextualSpacing/>
    </w:pPr>
  </w:style>
  <w:style w:type="paragraph" w:styleId="50">
    <w:name w:val="List Bullet 5"/>
    <w:basedOn w:val="a2"/>
    <w:uiPriority w:val="99"/>
    <w:semiHidden/>
    <w:unhideWhenUsed/>
    <w:rsid w:val="004230D9"/>
    <w:pPr>
      <w:numPr>
        <w:numId w:val="5"/>
      </w:numPr>
      <w:contextualSpacing/>
    </w:pPr>
  </w:style>
  <w:style w:type="paragraph" w:styleId="afffff2">
    <w:name w:val="List Continue"/>
    <w:basedOn w:val="a2"/>
    <w:uiPriority w:val="99"/>
    <w:semiHidden/>
    <w:unhideWhenUsed/>
    <w:rsid w:val="004230D9"/>
    <w:pPr>
      <w:spacing w:after="120"/>
      <w:ind w:left="360"/>
      <w:contextualSpacing/>
    </w:pPr>
  </w:style>
  <w:style w:type="paragraph" w:styleId="2e">
    <w:name w:val="List Continue 2"/>
    <w:basedOn w:val="a2"/>
    <w:uiPriority w:val="99"/>
    <w:semiHidden/>
    <w:unhideWhenUsed/>
    <w:rsid w:val="004230D9"/>
    <w:pPr>
      <w:spacing w:after="120"/>
      <w:ind w:left="720"/>
      <w:contextualSpacing/>
    </w:pPr>
  </w:style>
  <w:style w:type="paragraph" w:styleId="38">
    <w:name w:val="List Continue 3"/>
    <w:basedOn w:val="a2"/>
    <w:uiPriority w:val="99"/>
    <w:semiHidden/>
    <w:unhideWhenUsed/>
    <w:rsid w:val="004230D9"/>
    <w:pPr>
      <w:spacing w:after="120"/>
      <w:ind w:left="1080"/>
      <w:contextualSpacing/>
    </w:pPr>
  </w:style>
  <w:style w:type="paragraph" w:styleId="45">
    <w:name w:val="List Continue 4"/>
    <w:basedOn w:val="a2"/>
    <w:uiPriority w:val="99"/>
    <w:semiHidden/>
    <w:unhideWhenUsed/>
    <w:rsid w:val="004230D9"/>
    <w:pPr>
      <w:spacing w:after="120"/>
      <w:ind w:left="1440"/>
      <w:contextualSpacing/>
    </w:pPr>
  </w:style>
  <w:style w:type="paragraph" w:styleId="55">
    <w:name w:val="List Continue 5"/>
    <w:basedOn w:val="a2"/>
    <w:uiPriority w:val="99"/>
    <w:semiHidden/>
    <w:unhideWhenUsed/>
    <w:rsid w:val="004230D9"/>
    <w:pPr>
      <w:spacing w:after="120"/>
      <w:ind w:left="1800"/>
      <w:contextualSpacing/>
    </w:pPr>
  </w:style>
  <w:style w:type="paragraph" w:styleId="3">
    <w:name w:val="List Number 3"/>
    <w:basedOn w:val="a2"/>
    <w:uiPriority w:val="99"/>
    <w:semiHidden/>
    <w:unhideWhenUsed/>
    <w:rsid w:val="004230D9"/>
    <w:pPr>
      <w:numPr>
        <w:numId w:val="6"/>
      </w:numPr>
      <w:contextualSpacing/>
    </w:pPr>
  </w:style>
  <w:style w:type="paragraph" w:styleId="4">
    <w:name w:val="List Number 4"/>
    <w:basedOn w:val="a2"/>
    <w:uiPriority w:val="99"/>
    <w:semiHidden/>
    <w:unhideWhenUsed/>
    <w:rsid w:val="004230D9"/>
    <w:pPr>
      <w:numPr>
        <w:numId w:val="7"/>
      </w:numPr>
      <w:contextualSpacing/>
    </w:pPr>
  </w:style>
  <w:style w:type="paragraph" w:styleId="5">
    <w:name w:val="List Number 5"/>
    <w:basedOn w:val="a2"/>
    <w:uiPriority w:val="99"/>
    <w:semiHidden/>
    <w:unhideWhenUsed/>
    <w:rsid w:val="004230D9"/>
    <w:pPr>
      <w:numPr>
        <w:numId w:val="8"/>
      </w:numPr>
      <w:contextualSpacing/>
    </w:pPr>
  </w:style>
  <w:style w:type="table" w:customStyle="1" w:styleId="-112">
    <w:name w:val="Список-таблица 1 светлая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10">
    <w:name w:val="Список-таблица 1 светлая — акцент 1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7FC0DB" w:themeColor="accent1" w:themeTint="99"/>
        </w:tcBorders>
      </w:tcPr>
    </w:tblStylePr>
    <w:tblStylePr w:type="lastRow">
      <w:rPr>
        <w:b/>
        <w:bCs/>
      </w:rPr>
      <w:tblPr/>
      <w:tcPr>
        <w:tcBorders>
          <w:top w:val="sing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1210">
    <w:name w:val="Список-таблица 1 светлая — акцент 2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9AD3D9" w:themeColor="accent2" w:themeTint="99"/>
        </w:tcBorders>
      </w:tcPr>
    </w:tblStylePr>
    <w:tblStylePr w:type="lastRow">
      <w:rPr>
        <w:b/>
        <w:bCs/>
      </w:rPr>
      <w:tblPr/>
      <w:tcPr>
        <w:tcBorders>
          <w:top w:val="sing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1310">
    <w:name w:val="Список-таблица 1 светлая — акцент 3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ACD7CA" w:themeColor="accent3" w:themeTint="99"/>
        </w:tcBorders>
      </w:tcPr>
    </w:tblStylePr>
    <w:tblStylePr w:type="lastRow">
      <w:rPr>
        <w:b/>
        <w:bCs/>
      </w:rPr>
      <w:tblPr/>
      <w:tcPr>
        <w:tcBorders>
          <w:top w:val="sing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1410">
    <w:name w:val="Список-таблица 1 светлая — акцент 4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AFB9BB" w:themeColor="accent4" w:themeTint="99"/>
        </w:tcBorders>
      </w:tcPr>
    </w:tblStylePr>
    <w:tblStylePr w:type="lastRow">
      <w:rPr>
        <w:b/>
        <w:bCs/>
      </w:rPr>
      <w:tblPr/>
      <w:tcPr>
        <w:tcBorders>
          <w:top w:val="sing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1510">
    <w:name w:val="Список-таблица 1 светлая — акцент 5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B5CDD3" w:themeColor="accent5" w:themeTint="99"/>
        </w:tcBorders>
      </w:tcPr>
    </w:tblStylePr>
    <w:tblStylePr w:type="lastRow">
      <w:rPr>
        <w:b/>
        <w:bCs/>
      </w:rPr>
      <w:tblPr/>
      <w:tcPr>
        <w:tcBorders>
          <w:top w:val="sing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1610">
    <w:name w:val="Список-таблица 1 светлая — акцент 6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74B5E4" w:themeColor="accent6" w:themeTint="99"/>
        </w:tcBorders>
      </w:tcPr>
    </w:tblStylePr>
    <w:tblStylePr w:type="lastRow">
      <w:rPr>
        <w:b/>
        <w:bCs/>
      </w:rPr>
      <w:tblPr/>
      <w:tcPr>
        <w:tcBorders>
          <w:top w:val="sing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212">
    <w:name w:val="Список-таблица 21"/>
    <w:basedOn w:val="a4"/>
    <w:uiPriority w:val="47"/>
    <w:rsid w:val="004230D9"/>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0">
    <w:name w:val="Список-таблица 2 — акцент 11"/>
    <w:basedOn w:val="a4"/>
    <w:uiPriority w:val="47"/>
    <w:rsid w:val="004230D9"/>
    <w:pPr>
      <w:spacing w:after="0" w:line="240" w:lineRule="auto"/>
    </w:pPr>
    <w:tblPr>
      <w:tblStyleRowBandSize w:val="1"/>
      <w:tblStyleColBandSize w:val="1"/>
      <w:tblBorders>
        <w:top w:val="single" w:sz="4" w:space="0" w:color="7FC0DB" w:themeColor="accent1" w:themeTint="99"/>
        <w:bottom w:val="single" w:sz="4" w:space="0" w:color="7FC0DB" w:themeColor="accent1" w:themeTint="99"/>
        <w:insideH w:val="single" w:sz="4" w:space="0" w:color="7FC0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2210">
    <w:name w:val="Список-таблица 2 — акцент 21"/>
    <w:basedOn w:val="a4"/>
    <w:uiPriority w:val="47"/>
    <w:rsid w:val="004230D9"/>
    <w:pPr>
      <w:spacing w:after="0" w:line="240" w:lineRule="auto"/>
    </w:pPr>
    <w:tblPr>
      <w:tblStyleRowBandSize w:val="1"/>
      <w:tblStyleColBandSize w:val="1"/>
      <w:tblBorders>
        <w:top w:val="single" w:sz="4" w:space="0" w:color="9AD3D9" w:themeColor="accent2" w:themeTint="99"/>
        <w:bottom w:val="single" w:sz="4" w:space="0" w:color="9AD3D9" w:themeColor="accent2" w:themeTint="99"/>
        <w:insideH w:val="single" w:sz="4" w:space="0" w:color="9AD3D9"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2310">
    <w:name w:val="Список-таблица 2 — акцент 31"/>
    <w:basedOn w:val="a4"/>
    <w:uiPriority w:val="47"/>
    <w:rsid w:val="004230D9"/>
    <w:pPr>
      <w:spacing w:after="0" w:line="240" w:lineRule="auto"/>
    </w:pPr>
    <w:tblPr>
      <w:tblStyleRowBandSize w:val="1"/>
      <w:tblStyleColBandSize w:val="1"/>
      <w:tblBorders>
        <w:top w:val="single" w:sz="4" w:space="0" w:color="ACD7CA" w:themeColor="accent3" w:themeTint="99"/>
        <w:bottom w:val="single" w:sz="4" w:space="0" w:color="ACD7CA" w:themeColor="accent3" w:themeTint="99"/>
        <w:insideH w:val="single" w:sz="4" w:space="0" w:color="ACD7CA"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2410">
    <w:name w:val="Список-таблица 2 — акцент 41"/>
    <w:basedOn w:val="a4"/>
    <w:uiPriority w:val="47"/>
    <w:rsid w:val="004230D9"/>
    <w:pPr>
      <w:spacing w:after="0" w:line="240" w:lineRule="auto"/>
    </w:pPr>
    <w:tblPr>
      <w:tblStyleRowBandSize w:val="1"/>
      <w:tblStyleColBandSize w:val="1"/>
      <w:tblBorders>
        <w:top w:val="single" w:sz="4" w:space="0" w:color="AFB9BB" w:themeColor="accent4" w:themeTint="99"/>
        <w:bottom w:val="single" w:sz="4" w:space="0" w:color="AFB9BB" w:themeColor="accent4" w:themeTint="99"/>
        <w:insideH w:val="single" w:sz="4" w:space="0" w:color="AFB9BB"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2510">
    <w:name w:val="Список-таблица 2 — акцент 51"/>
    <w:basedOn w:val="a4"/>
    <w:uiPriority w:val="47"/>
    <w:rsid w:val="004230D9"/>
    <w:pPr>
      <w:spacing w:after="0" w:line="240" w:lineRule="auto"/>
    </w:pPr>
    <w:tblPr>
      <w:tblStyleRowBandSize w:val="1"/>
      <w:tblStyleColBandSize w:val="1"/>
      <w:tblBorders>
        <w:top w:val="single" w:sz="4" w:space="0" w:color="B5CDD3" w:themeColor="accent5" w:themeTint="99"/>
        <w:bottom w:val="single" w:sz="4" w:space="0" w:color="B5CDD3" w:themeColor="accent5" w:themeTint="99"/>
        <w:insideH w:val="single" w:sz="4" w:space="0" w:color="B5CDD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2610">
    <w:name w:val="Список-таблица 2 — акцент 61"/>
    <w:basedOn w:val="a4"/>
    <w:uiPriority w:val="47"/>
    <w:rsid w:val="004230D9"/>
    <w:pPr>
      <w:spacing w:after="0" w:line="240" w:lineRule="auto"/>
    </w:pPr>
    <w:tblPr>
      <w:tblStyleRowBandSize w:val="1"/>
      <w:tblStyleColBandSize w:val="1"/>
      <w:tblBorders>
        <w:top w:val="single" w:sz="4" w:space="0" w:color="74B5E4" w:themeColor="accent6" w:themeTint="99"/>
        <w:bottom w:val="single" w:sz="4" w:space="0" w:color="74B5E4" w:themeColor="accent6" w:themeTint="99"/>
        <w:insideH w:val="single" w:sz="4" w:space="0" w:color="74B5E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312">
    <w:name w:val="Список-таблица 31"/>
    <w:basedOn w:val="a4"/>
    <w:uiPriority w:val="48"/>
    <w:rsid w:val="004230D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3110">
    <w:name w:val="Список-таблица 3 — акцент 11"/>
    <w:basedOn w:val="a4"/>
    <w:uiPriority w:val="48"/>
    <w:rsid w:val="004230D9"/>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table" w:customStyle="1" w:styleId="-3210">
    <w:name w:val="Список-таблица 3 — акцент 21"/>
    <w:basedOn w:val="a4"/>
    <w:uiPriority w:val="48"/>
    <w:rsid w:val="004230D9"/>
    <w:pPr>
      <w:spacing w:after="0" w:line="240" w:lineRule="auto"/>
    </w:pPr>
    <w:tblPr>
      <w:tblStyleRowBandSize w:val="1"/>
      <w:tblStyleColBandSize w:val="1"/>
      <w:tblBorders>
        <w:top w:val="single" w:sz="4" w:space="0" w:color="58B6C0" w:themeColor="accent2"/>
        <w:left w:val="single" w:sz="4" w:space="0" w:color="58B6C0" w:themeColor="accent2"/>
        <w:bottom w:val="single" w:sz="4" w:space="0" w:color="58B6C0" w:themeColor="accent2"/>
        <w:right w:val="single" w:sz="4" w:space="0" w:color="58B6C0" w:themeColor="accent2"/>
      </w:tblBorders>
    </w:tblPr>
    <w:tblStylePr w:type="firstRow">
      <w:rPr>
        <w:b/>
        <w:bCs/>
        <w:color w:val="FFFFFF" w:themeColor="background1"/>
      </w:rPr>
      <w:tblPr/>
      <w:tcPr>
        <w:shd w:val="clear" w:color="auto" w:fill="58B6C0" w:themeFill="accent2"/>
      </w:tcPr>
    </w:tblStylePr>
    <w:tblStylePr w:type="lastRow">
      <w:rPr>
        <w:b/>
        <w:bCs/>
      </w:rPr>
      <w:tblPr/>
      <w:tcPr>
        <w:tcBorders>
          <w:top w:val="double" w:sz="4" w:space="0" w:color="58B6C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8B6C0" w:themeColor="accent2"/>
          <w:right w:val="single" w:sz="4" w:space="0" w:color="58B6C0" w:themeColor="accent2"/>
        </w:tcBorders>
      </w:tcPr>
    </w:tblStylePr>
    <w:tblStylePr w:type="band1Horz">
      <w:tblPr/>
      <w:tcPr>
        <w:tcBorders>
          <w:top w:val="single" w:sz="4" w:space="0" w:color="58B6C0" w:themeColor="accent2"/>
          <w:bottom w:val="single" w:sz="4" w:space="0" w:color="58B6C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8B6C0" w:themeColor="accent2"/>
          <w:left w:val="nil"/>
        </w:tcBorders>
      </w:tcPr>
    </w:tblStylePr>
    <w:tblStylePr w:type="swCell">
      <w:tblPr/>
      <w:tcPr>
        <w:tcBorders>
          <w:top w:val="double" w:sz="4" w:space="0" w:color="58B6C0" w:themeColor="accent2"/>
          <w:right w:val="nil"/>
        </w:tcBorders>
      </w:tcPr>
    </w:tblStylePr>
  </w:style>
  <w:style w:type="table" w:customStyle="1" w:styleId="-3310">
    <w:name w:val="Список-таблица 3 — акцент 31"/>
    <w:basedOn w:val="a4"/>
    <w:uiPriority w:val="48"/>
    <w:rsid w:val="004230D9"/>
    <w:pPr>
      <w:spacing w:after="0" w:line="240" w:lineRule="auto"/>
    </w:pPr>
    <w:tblPr>
      <w:tblStyleRowBandSize w:val="1"/>
      <w:tblStyleColBandSize w:val="1"/>
      <w:tblBorders>
        <w:top w:val="single" w:sz="4" w:space="0" w:color="75BDA7" w:themeColor="accent3"/>
        <w:left w:val="single" w:sz="4" w:space="0" w:color="75BDA7" w:themeColor="accent3"/>
        <w:bottom w:val="single" w:sz="4" w:space="0" w:color="75BDA7" w:themeColor="accent3"/>
        <w:right w:val="single" w:sz="4" w:space="0" w:color="75BDA7" w:themeColor="accent3"/>
      </w:tblBorders>
    </w:tblPr>
    <w:tblStylePr w:type="firstRow">
      <w:rPr>
        <w:b/>
        <w:bCs/>
        <w:color w:val="FFFFFF" w:themeColor="background1"/>
      </w:rPr>
      <w:tblPr/>
      <w:tcPr>
        <w:shd w:val="clear" w:color="auto" w:fill="75BDA7" w:themeFill="accent3"/>
      </w:tcPr>
    </w:tblStylePr>
    <w:tblStylePr w:type="lastRow">
      <w:rPr>
        <w:b/>
        <w:bCs/>
      </w:rPr>
      <w:tblPr/>
      <w:tcPr>
        <w:tcBorders>
          <w:top w:val="double" w:sz="4" w:space="0" w:color="75BDA7"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5BDA7" w:themeColor="accent3"/>
          <w:right w:val="single" w:sz="4" w:space="0" w:color="75BDA7" w:themeColor="accent3"/>
        </w:tcBorders>
      </w:tcPr>
    </w:tblStylePr>
    <w:tblStylePr w:type="band1Horz">
      <w:tblPr/>
      <w:tcPr>
        <w:tcBorders>
          <w:top w:val="single" w:sz="4" w:space="0" w:color="75BDA7" w:themeColor="accent3"/>
          <w:bottom w:val="single" w:sz="4" w:space="0" w:color="75BDA7"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5BDA7" w:themeColor="accent3"/>
          <w:left w:val="nil"/>
        </w:tcBorders>
      </w:tcPr>
    </w:tblStylePr>
    <w:tblStylePr w:type="swCell">
      <w:tblPr/>
      <w:tcPr>
        <w:tcBorders>
          <w:top w:val="double" w:sz="4" w:space="0" w:color="75BDA7" w:themeColor="accent3"/>
          <w:right w:val="nil"/>
        </w:tcBorders>
      </w:tcPr>
    </w:tblStylePr>
  </w:style>
  <w:style w:type="table" w:customStyle="1" w:styleId="-3410">
    <w:name w:val="Список-таблица 3 — акцент 41"/>
    <w:basedOn w:val="a4"/>
    <w:uiPriority w:val="48"/>
    <w:rsid w:val="004230D9"/>
    <w:pPr>
      <w:spacing w:after="0" w:line="240" w:lineRule="auto"/>
    </w:pPr>
    <w:tblPr>
      <w:tblStyleRowBandSize w:val="1"/>
      <w:tblStyleColBandSize w:val="1"/>
      <w:tblBorders>
        <w:top w:val="single" w:sz="4" w:space="0" w:color="7A8C8E" w:themeColor="accent4"/>
        <w:left w:val="single" w:sz="4" w:space="0" w:color="7A8C8E" w:themeColor="accent4"/>
        <w:bottom w:val="single" w:sz="4" w:space="0" w:color="7A8C8E" w:themeColor="accent4"/>
        <w:right w:val="single" w:sz="4" w:space="0" w:color="7A8C8E" w:themeColor="accent4"/>
      </w:tblBorders>
    </w:tblPr>
    <w:tblStylePr w:type="firstRow">
      <w:rPr>
        <w:b/>
        <w:bCs/>
        <w:color w:val="FFFFFF" w:themeColor="background1"/>
      </w:rPr>
      <w:tblPr/>
      <w:tcPr>
        <w:shd w:val="clear" w:color="auto" w:fill="7A8C8E" w:themeFill="accent4"/>
      </w:tcPr>
    </w:tblStylePr>
    <w:tblStylePr w:type="lastRow">
      <w:rPr>
        <w:b/>
        <w:bCs/>
      </w:rPr>
      <w:tblPr/>
      <w:tcPr>
        <w:tcBorders>
          <w:top w:val="double" w:sz="4" w:space="0" w:color="7A8C8E"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A8C8E" w:themeColor="accent4"/>
          <w:right w:val="single" w:sz="4" w:space="0" w:color="7A8C8E" w:themeColor="accent4"/>
        </w:tcBorders>
      </w:tcPr>
    </w:tblStylePr>
    <w:tblStylePr w:type="band1Horz">
      <w:tblPr/>
      <w:tcPr>
        <w:tcBorders>
          <w:top w:val="single" w:sz="4" w:space="0" w:color="7A8C8E" w:themeColor="accent4"/>
          <w:bottom w:val="single" w:sz="4" w:space="0" w:color="7A8C8E"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A8C8E" w:themeColor="accent4"/>
          <w:left w:val="nil"/>
        </w:tcBorders>
      </w:tcPr>
    </w:tblStylePr>
    <w:tblStylePr w:type="swCell">
      <w:tblPr/>
      <w:tcPr>
        <w:tcBorders>
          <w:top w:val="double" w:sz="4" w:space="0" w:color="7A8C8E" w:themeColor="accent4"/>
          <w:right w:val="nil"/>
        </w:tcBorders>
      </w:tcPr>
    </w:tblStylePr>
  </w:style>
  <w:style w:type="table" w:customStyle="1" w:styleId="-3510">
    <w:name w:val="Список-таблица 3 — акцент 51"/>
    <w:basedOn w:val="a4"/>
    <w:uiPriority w:val="48"/>
    <w:rsid w:val="004230D9"/>
    <w:pPr>
      <w:spacing w:after="0" w:line="240" w:lineRule="auto"/>
    </w:pPr>
    <w:tblPr>
      <w:tblStyleRowBandSize w:val="1"/>
      <w:tblStyleColBandSize w:val="1"/>
      <w:tblBorders>
        <w:top w:val="single" w:sz="4" w:space="0" w:color="84ACB6" w:themeColor="accent5"/>
        <w:left w:val="single" w:sz="4" w:space="0" w:color="84ACB6" w:themeColor="accent5"/>
        <w:bottom w:val="single" w:sz="4" w:space="0" w:color="84ACB6" w:themeColor="accent5"/>
        <w:right w:val="single" w:sz="4" w:space="0" w:color="84ACB6" w:themeColor="accent5"/>
      </w:tblBorders>
    </w:tblPr>
    <w:tblStylePr w:type="firstRow">
      <w:rPr>
        <w:b/>
        <w:bCs/>
        <w:color w:val="FFFFFF" w:themeColor="background1"/>
      </w:rPr>
      <w:tblPr/>
      <w:tcPr>
        <w:shd w:val="clear" w:color="auto" w:fill="84ACB6" w:themeFill="accent5"/>
      </w:tcPr>
    </w:tblStylePr>
    <w:tblStylePr w:type="lastRow">
      <w:rPr>
        <w:b/>
        <w:bCs/>
      </w:rPr>
      <w:tblPr/>
      <w:tcPr>
        <w:tcBorders>
          <w:top w:val="double" w:sz="4" w:space="0" w:color="84ACB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4ACB6" w:themeColor="accent5"/>
          <w:right w:val="single" w:sz="4" w:space="0" w:color="84ACB6" w:themeColor="accent5"/>
        </w:tcBorders>
      </w:tcPr>
    </w:tblStylePr>
    <w:tblStylePr w:type="band1Horz">
      <w:tblPr/>
      <w:tcPr>
        <w:tcBorders>
          <w:top w:val="single" w:sz="4" w:space="0" w:color="84ACB6" w:themeColor="accent5"/>
          <w:bottom w:val="single" w:sz="4" w:space="0" w:color="84ACB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4ACB6" w:themeColor="accent5"/>
          <w:left w:val="nil"/>
        </w:tcBorders>
      </w:tcPr>
    </w:tblStylePr>
    <w:tblStylePr w:type="swCell">
      <w:tblPr/>
      <w:tcPr>
        <w:tcBorders>
          <w:top w:val="double" w:sz="4" w:space="0" w:color="84ACB6" w:themeColor="accent5"/>
          <w:right w:val="nil"/>
        </w:tcBorders>
      </w:tcPr>
    </w:tblStylePr>
  </w:style>
  <w:style w:type="table" w:customStyle="1" w:styleId="-3610">
    <w:name w:val="Список-таблица 3 — акцент 61"/>
    <w:basedOn w:val="a4"/>
    <w:uiPriority w:val="48"/>
    <w:rsid w:val="004230D9"/>
    <w:pPr>
      <w:spacing w:after="0" w:line="240" w:lineRule="auto"/>
    </w:pPr>
    <w:tblPr>
      <w:tblStyleRowBandSize w:val="1"/>
      <w:tblStyleColBandSize w:val="1"/>
      <w:tblBorders>
        <w:top w:val="single" w:sz="4" w:space="0" w:color="2683C6" w:themeColor="accent6"/>
        <w:left w:val="single" w:sz="4" w:space="0" w:color="2683C6" w:themeColor="accent6"/>
        <w:bottom w:val="single" w:sz="4" w:space="0" w:color="2683C6" w:themeColor="accent6"/>
        <w:right w:val="single" w:sz="4" w:space="0" w:color="2683C6" w:themeColor="accent6"/>
      </w:tblBorders>
    </w:tblPr>
    <w:tblStylePr w:type="firstRow">
      <w:rPr>
        <w:b/>
        <w:bCs/>
        <w:color w:val="FFFFFF" w:themeColor="background1"/>
      </w:rPr>
      <w:tblPr/>
      <w:tcPr>
        <w:shd w:val="clear" w:color="auto" w:fill="2683C6" w:themeFill="accent6"/>
      </w:tcPr>
    </w:tblStylePr>
    <w:tblStylePr w:type="lastRow">
      <w:rPr>
        <w:b/>
        <w:bCs/>
      </w:rPr>
      <w:tblPr/>
      <w:tcPr>
        <w:tcBorders>
          <w:top w:val="double" w:sz="4" w:space="0" w:color="2683C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683C6" w:themeColor="accent6"/>
          <w:right w:val="single" w:sz="4" w:space="0" w:color="2683C6" w:themeColor="accent6"/>
        </w:tcBorders>
      </w:tcPr>
    </w:tblStylePr>
    <w:tblStylePr w:type="band1Horz">
      <w:tblPr/>
      <w:tcPr>
        <w:tcBorders>
          <w:top w:val="single" w:sz="4" w:space="0" w:color="2683C6" w:themeColor="accent6"/>
          <w:bottom w:val="single" w:sz="4" w:space="0" w:color="2683C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683C6" w:themeColor="accent6"/>
          <w:left w:val="nil"/>
        </w:tcBorders>
      </w:tcPr>
    </w:tblStylePr>
    <w:tblStylePr w:type="swCell">
      <w:tblPr/>
      <w:tcPr>
        <w:tcBorders>
          <w:top w:val="double" w:sz="4" w:space="0" w:color="2683C6" w:themeColor="accent6"/>
          <w:right w:val="nil"/>
        </w:tcBorders>
      </w:tcPr>
    </w:tblStylePr>
  </w:style>
  <w:style w:type="table" w:customStyle="1" w:styleId="-412">
    <w:name w:val="Список-таблица 41"/>
    <w:basedOn w:val="a4"/>
    <w:uiPriority w:val="49"/>
    <w:rsid w:val="00423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0">
    <w:name w:val="Список-таблица 4 — акцент 11"/>
    <w:basedOn w:val="a4"/>
    <w:uiPriority w:val="49"/>
    <w:rsid w:val="004230D9"/>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tcBorders>
        <w:shd w:val="clear" w:color="auto" w:fill="3494BA" w:themeFill="accent1"/>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4210">
    <w:name w:val="Список-таблица 4 — акцент 21"/>
    <w:basedOn w:val="a4"/>
    <w:uiPriority w:val="49"/>
    <w:rsid w:val="004230D9"/>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tblBorders>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tcBorders>
        <w:shd w:val="clear" w:color="auto" w:fill="58B6C0" w:themeFill="accent2"/>
      </w:tcPr>
    </w:tblStylePr>
    <w:tblStylePr w:type="lastRow">
      <w:rPr>
        <w:b/>
        <w:bCs/>
      </w:rPr>
      <w:tblPr/>
      <w:tcPr>
        <w:tcBorders>
          <w:top w:val="doub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4310">
    <w:name w:val="Список-таблица 4 — акцент 31"/>
    <w:basedOn w:val="a4"/>
    <w:uiPriority w:val="49"/>
    <w:rsid w:val="004230D9"/>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tcBorders>
        <w:shd w:val="clear" w:color="auto" w:fill="75BDA7" w:themeFill="accent3"/>
      </w:tcPr>
    </w:tblStylePr>
    <w:tblStylePr w:type="lastRow">
      <w:rPr>
        <w:b/>
        <w:bCs/>
      </w:rPr>
      <w:tblPr/>
      <w:tcPr>
        <w:tcBorders>
          <w:top w:val="doub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4410">
    <w:name w:val="Список-таблица 4 — акцент 41"/>
    <w:basedOn w:val="a4"/>
    <w:uiPriority w:val="49"/>
    <w:rsid w:val="004230D9"/>
    <w:pPr>
      <w:spacing w:after="0" w:line="240" w:lineRule="auto"/>
    </w:p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tblBorders>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tcBorders>
        <w:shd w:val="clear" w:color="auto" w:fill="7A8C8E" w:themeFill="accent4"/>
      </w:tcPr>
    </w:tblStylePr>
    <w:tblStylePr w:type="lastRow">
      <w:rPr>
        <w:b/>
        <w:bCs/>
      </w:rPr>
      <w:tblPr/>
      <w:tcPr>
        <w:tcBorders>
          <w:top w:val="doub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4510">
    <w:name w:val="Список-таблица 4 — акцент 51"/>
    <w:basedOn w:val="a4"/>
    <w:uiPriority w:val="49"/>
    <w:rsid w:val="004230D9"/>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tcBorders>
        <w:shd w:val="clear" w:color="auto" w:fill="84ACB6" w:themeFill="accent5"/>
      </w:tcPr>
    </w:tblStylePr>
    <w:tblStylePr w:type="lastRow">
      <w:rPr>
        <w:b/>
        <w:bCs/>
      </w:rPr>
      <w:tblPr/>
      <w:tcPr>
        <w:tcBorders>
          <w:top w:val="doub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4610">
    <w:name w:val="Список-таблица 4 — акцент 61"/>
    <w:basedOn w:val="a4"/>
    <w:uiPriority w:val="49"/>
    <w:rsid w:val="004230D9"/>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tblBorders>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tcBorders>
        <w:shd w:val="clear" w:color="auto" w:fill="2683C6" w:themeFill="accent6"/>
      </w:tcPr>
    </w:tblStylePr>
    <w:tblStylePr w:type="lastRow">
      <w:rPr>
        <w:b/>
        <w:bCs/>
      </w:rPr>
      <w:tblPr/>
      <w:tcPr>
        <w:tcBorders>
          <w:top w:val="doub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512">
    <w:name w:val="Список-таблица 5 темная1"/>
    <w:basedOn w:val="a4"/>
    <w:uiPriority w:val="50"/>
    <w:rsid w:val="004230D9"/>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110">
    <w:name w:val="Список-таблица 5 темная — акцент 11"/>
    <w:basedOn w:val="a4"/>
    <w:uiPriority w:val="50"/>
    <w:rsid w:val="004230D9"/>
    <w:pPr>
      <w:spacing w:after="0" w:line="240" w:lineRule="auto"/>
    </w:pPr>
    <w:rPr>
      <w:color w:val="FFFFFF" w:themeColor="background1"/>
    </w:rPr>
    <w:tblPr>
      <w:tblStyleRowBandSize w:val="1"/>
      <w:tblStyleColBandSize w:val="1"/>
      <w:tblBorders>
        <w:top w:val="single" w:sz="24" w:space="0" w:color="3494BA" w:themeColor="accent1"/>
        <w:left w:val="single" w:sz="24" w:space="0" w:color="3494BA" w:themeColor="accent1"/>
        <w:bottom w:val="single" w:sz="24" w:space="0" w:color="3494BA" w:themeColor="accent1"/>
        <w:right w:val="single" w:sz="24" w:space="0" w:color="3494BA" w:themeColor="accent1"/>
      </w:tblBorders>
    </w:tblPr>
    <w:tcPr>
      <w:shd w:val="clear" w:color="auto" w:fill="3494BA"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210">
    <w:name w:val="Список-таблица 5 темная — акцент 21"/>
    <w:basedOn w:val="a4"/>
    <w:uiPriority w:val="50"/>
    <w:rsid w:val="004230D9"/>
    <w:pPr>
      <w:spacing w:after="0" w:line="240" w:lineRule="auto"/>
    </w:pPr>
    <w:rPr>
      <w:color w:val="FFFFFF" w:themeColor="background1"/>
    </w:rPr>
    <w:tblPr>
      <w:tblStyleRowBandSize w:val="1"/>
      <w:tblStyleColBandSize w:val="1"/>
      <w:tblBorders>
        <w:top w:val="single" w:sz="24" w:space="0" w:color="58B6C0" w:themeColor="accent2"/>
        <w:left w:val="single" w:sz="24" w:space="0" w:color="58B6C0" w:themeColor="accent2"/>
        <w:bottom w:val="single" w:sz="24" w:space="0" w:color="58B6C0" w:themeColor="accent2"/>
        <w:right w:val="single" w:sz="24" w:space="0" w:color="58B6C0" w:themeColor="accent2"/>
      </w:tblBorders>
    </w:tblPr>
    <w:tcPr>
      <w:shd w:val="clear" w:color="auto" w:fill="58B6C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310">
    <w:name w:val="Список-таблица 5 темная — акцент 31"/>
    <w:basedOn w:val="a4"/>
    <w:uiPriority w:val="50"/>
    <w:rsid w:val="004230D9"/>
    <w:pPr>
      <w:spacing w:after="0" w:line="240" w:lineRule="auto"/>
    </w:pPr>
    <w:rPr>
      <w:color w:val="FFFFFF" w:themeColor="background1"/>
    </w:rPr>
    <w:tblPr>
      <w:tblStyleRowBandSize w:val="1"/>
      <w:tblStyleColBandSize w:val="1"/>
      <w:tblBorders>
        <w:top w:val="single" w:sz="24" w:space="0" w:color="75BDA7" w:themeColor="accent3"/>
        <w:left w:val="single" w:sz="24" w:space="0" w:color="75BDA7" w:themeColor="accent3"/>
        <w:bottom w:val="single" w:sz="24" w:space="0" w:color="75BDA7" w:themeColor="accent3"/>
        <w:right w:val="single" w:sz="24" w:space="0" w:color="75BDA7" w:themeColor="accent3"/>
      </w:tblBorders>
    </w:tblPr>
    <w:tcPr>
      <w:shd w:val="clear" w:color="auto" w:fill="75BDA7"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410">
    <w:name w:val="Список-таблица 5 темная — акцент 41"/>
    <w:basedOn w:val="a4"/>
    <w:uiPriority w:val="50"/>
    <w:rsid w:val="004230D9"/>
    <w:pPr>
      <w:spacing w:after="0" w:line="240" w:lineRule="auto"/>
    </w:pPr>
    <w:rPr>
      <w:color w:val="FFFFFF" w:themeColor="background1"/>
    </w:rPr>
    <w:tblPr>
      <w:tblStyleRowBandSize w:val="1"/>
      <w:tblStyleColBandSize w:val="1"/>
      <w:tblBorders>
        <w:top w:val="single" w:sz="24" w:space="0" w:color="7A8C8E" w:themeColor="accent4"/>
        <w:left w:val="single" w:sz="24" w:space="0" w:color="7A8C8E" w:themeColor="accent4"/>
        <w:bottom w:val="single" w:sz="24" w:space="0" w:color="7A8C8E" w:themeColor="accent4"/>
        <w:right w:val="single" w:sz="24" w:space="0" w:color="7A8C8E" w:themeColor="accent4"/>
      </w:tblBorders>
    </w:tblPr>
    <w:tcPr>
      <w:shd w:val="clear" w:color="auto" w:fill="7A8C8E"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510">
    <w:name w:val="Список-таблица 5 темная — акцент 51"/>
    <w:basedOn w:val="a4"/>
    <w:uiPriority w:val="50"/>
    <w:rsid w:val="004230D9"/>
    <w:pPr>
      <w:spacing w:after="0" w:line="240" w:lineRule="auto"/>
    </w:pPr>
    <w:rPr>
      <w:color w:val="FFFFFF" w:themeColor="background1"/>
    </w:rPr>
    <w:tblPr>
      <w:tblStyleRowBandSize w:val="1"/>
      <w:tblStyleColBandSize w:val="1"/>
      <w:tblBorders>
        <w:top w:val="single" w:sz="24" w:space="0" w:color="84ACB6" w:themeColor="accent5"/>
        <w:left w:val="single" w:sz="24" w:space="0" w:color="84ACB6" w:themeColor="accent5"/>
        <w:bottom w:val="single" w:sz="24" w:space="0" w:color="84ACB6" w:themeColor="accent5"/>
        <w:right w:val="single" w:sz="24" w:space="0" w:color="84ACB6" w:themeColor="accent5"/>
      </w:tblBorders>
    </w:tblPr>
    <w:tcPr>
      <w:shd w:val="clear" w:color="auto" w:fill="84ACB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610">
    <w:name w:val="Список-таблица 5 темная — акцент 61"/>
    <w:basedOn w:val="a4"/>
    <w:uiPriority w:val="50"/>
    <w:rsid w:val="004230D9"/>
    <w:pPr>
      <w:spacing w:after="0" w:line="240" w:lineRule="auto"/>
    </w:pPr>
    <w:rPr>
      <w:color w:val="FFFFFF" w:themeColor="background1"/>
    </w:rPr>
    <w:tblPr>
      <w:tblStyleRowBandSize w:val="1"/>
      <w:tblStyleColBandSize w:val="1"/>
      <w:tblBorders>
        <w:top w:val="single" w:sz="24" w:space="0" w:color="2683C6" w:themeColor="accent6"/>
        <w:left w:val="single" w:sz="24" w:space="0" w:color="2683C6" w:themeColor="accent6"/>
        <w:bottom w:val="single" w:sz="24" w:space="0" w:color="2683C6" w:themeColor="accent6"/>
        <w:right w:val="single" w:sz="24" w:space="0" w:color="2683C6" w:themeColor="accent6"/>
      </w:tblBorders>
    </w:tblPr>
    <w:tcPr>
      <w:shd w:val="clear" w:color="auto" w:fill="2683C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612">
    <w:name w:val="Список-таблица 6 цветная1"/>
    <w:basedOn w:val="a4"/>
    <w:uiPriority w:val="51"/>
    <w:rsid w:val="004230D9"/>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0">
    <w:name w:val="Список-таблица 6 цветная — акцент 11"/>
    <w:basedOn w:val="a4"/>
    <w:uiPriority w:val="51"/>
    <w:rsid w:val="004230D9"/>
    <w:pPr>
      <w:spacing w:after="0" w:line="240" w:lineRule="auto"/>
    </w:pPr>
    <w:rPr>
      <w:color w:val="276E8B" w:themeColor="accent1" w:themeShade="BF"/>
    </w:rPr>
    <w:tblPr>
      <w:tblStyleRowBandSize w:val="1"/>
      <w:tblStyleColBandSize w:val="1"/>
      <w:tblBorders>
        <w:top w:val="single" w:sz="4" w:space="0" w:color="3494BA" w:themeColor="accent1"/>
        <w:bottom w:val="single" w:sz="4" w:space="0" w:color="3494BA" w:themeColor="accent1"/>
      </w:tblBorders>
    </w:tblPr>
    <w:tblStylePr w:type="firstRow">
      <w:rPr>
        <w:b/>
        <w:bCs/>
      </w:rPr>
      <w:tblPr/>
      <w:tcPr>
        <w:tcBorders>
          <w:bottom w:val="single" w:sz="4" w:space="0" w:color="3494BA" w:themeColor="accent1"/>
        </w:tcBorders>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6210">
    <w:name w:val="Список-таблица 6 цветная — акцент 21"/>
    <w:basedOn w:val="a4"/>
    <w:uiPriority w:val="51"/>
    <w:rsid w:val="004230D9"/>
    <w:pPr>
      <w:spacing w:after="0" w:line="240" w:lineRule="auto"/>
    </w:pPr>
    <w:rPr>
      <w:color w:val="398E98" w:themeColor="accent2" w:themeShade="BF"/>
    </w:rPr>
    <w:tblPr>
      <w:tblStyleRowBandSize w:val="1"/>
      <w:tblStyleColBandSize w:val="1"/>
      <w:tblBorders>
        <w:top w:val="single" w:sz="4" w:space="0" w:color="58B6C0" w:themeColor="accent2"/>
        <w:bottom w:val="single" w:sz="4" w:space="0" w:color="58B6C0" w:themeColor="accent2"/>
      </w:tblBorders>
    </w:tblPr>
    <w:tblStylePr w:type="firstRow">
      <w:rPr>
        <w:b/>
        <w:bCs/>
      </w:rPr>
      <w:tblPr/>
      <w:tcPr>
        <w:tcBorders>
          <w:bottom w:val="single" w:sz="4" w:space="0" w:color="58B6C0" w:themeColor="accent2"/>
        </w:tcBorders>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6310">
    <w:name w:val="Список-таблица 6 цветная — акцент 31"/>
    <w:basedOn w:val="a4"/>
    <w:uiPriority w:val="51"/>
    <w:rsid w:val="004230D9"/>
    <w:pPr>
      <w:spacing w:after="0" w:line="240" w:lineRule="auto"/>
    </w:pPr>
    <w:rPr>
      <w:color w:val="4A9A82" w:themeColor="accent3" w:themeShade="BF"/>
    </w:rPr>
    <w:tblPr>
      <w:tblStyleRowBandSize w:val="1"/>
      <w:tblStyleColBandSize w:val="1"/>
      <w:tblBorders>
        <w:top w:val="single" w:sz="4" w:space="0" w:color="75BDA7" w:themeColor="accent3"/>
        <w:bottom w:val="single" w:sz="4" w:space="0" w:color="75BDA7" w:themeColor="accent3"/>
      </w:tblBorders>
    </w:tblPr>
    <w:tblStylePr w:type="firstRow">
      <w:rPr>
        <w:b/>
        <w:bCs/>
      </w:rPr>
      <w:tblPr/>
      <w:tcPr>
        <w:tcBorders>
          <w:bottom w:val="single" w:sz="4" w:space="0" w:color="75BDA7" w:themeColor="accent3"/>
        </w:tcBorders>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6410">
    <w:name w:val="Список-таблица 6 цветная — акцент 41"/>
    <w:basedOn w:val="a4"/>
    <w:uiPriority w:val="51"/>
    <w:rsid w:val="004230D9"/>
    <w:pPr>
      <w:spacing w:after="0" w:line="240" w:lineRule="auto"/>
    </w:pPr>
    <w:rPr>
      <w:color w:val="5A696A" w:themeColor="accent4" w:themeShade="BF"/>
    </w:rPr>
    <w:tblPr>
      <w:tblStyleRowBandSize w:val="1"/>
      <w:tblStyleColBandSize w:val="1"/>
      <w:tblBorders>
        <w:top w:val="single" w:sz="4" w:space="0" w:color="7A8C8E" w:themeColor="accent4"/>
        <w:bottom w:val="single" w:sz="4" w:space="0" w:color="7A8C8E" w:themeColor="accent4"/>
      </w:tblBorders>
    </w:tblPr>
    <w:tblStylePr w:type="firstRow">
      <w:rPr>
        <w:b/>
        <w:bCs/>
      </w:rPr>
      <w:tblPr/>
      <w:tcPr>
        <w:tcBorders>
          <w:bottom w:val="single" w:sz="4" w:space="0" w:color="7A8C8E" w:themeColor="accent4"/>
        </w:tcBorders>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6510">
    <w:name w:val="Список-таблица 6 цветная — акцент 51"/>
    <w:basedOn w:val="a4"/>
    <w:uiPriority w:val="51"/>
    <w:rsid w:val="004230D9"/>
    <w:pPr>
      <w:spacing w:after="0" w:line="240" w:lineRule="auto"/>
    </w:pPr>
    <w:rPr>
      <w:color w:val="578793" w:themeColor="accent5" w:themeShade="BF"/>
    </w:rPr>
    <w:tblPr>
      <w:tblStyleRowBandSize w:val="1"/>
      <w:tblStyleColBandSize w:val="1"/>
      <w:tblBorders>
        <w:top w:val="single" w:sz="4" w:space="0" w:color="84ACB6" w:themeColor="accent5"/>
        <w:bottom w:val="single" w:sz="4" w:space="0" w:color="84ACB6" w:themeColor="accent5"/>
      </w:tblBorders>
    </w:tblPr>
    <w:tblStylePr w:type="firstRow">
      <w:rPr>
        <w:b/>
        <w:bCs/>
      </w:rPr>
      <w:tblPr/>
      <w:tcPr>
        <w:tcBorders>
          <w:bottom w:val="single" w:sz="4" w:space="0" w:color="84ACB6" w:themeColor="accent5"/>
        </w:tcBorders>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6610">
    <w:name w:val="Список-таблица 6 цветная — акцент 61"/>
    <w:basedOn w:val="a4"/>
    <w:uiPriority w:val="51"/>
    <w:rsid w:val="004230D9"/>
    <w:pPr>
      <w:spacing w:after="0" w:line="240" w:lineRule="auto"/>
    </w:pPr>
    <w:rPr>
      <w:color w:val="1C6194" w:themeColor="accent6" w:themeShade="BF"/>
    </w:rPr>
    <w:tblPr>
      <w:tblStyleRowBandSize w:val="1"/>
      <w:tblStyleColBandSize w:val="1"/>
      <w:tblBorders>
        <w:top w:val="single" w:sz="4" w:space="0" w:color="2683C6" w:themeColor="accent6"/>
        <w:bottom w:val="single" w:sz="4" w:space="0" w:color="2683C6" w:themeColor="accent6"/>
      </w:tblBorders>
    </w:tblPr>
    <w:tblStylePr w:type="firstRow">
      <w:rPr>
        <w:b/>
        <w:bCs/>
      </w:rPr>
      <w:tblPr/>
      <w:tcPr>
        <w:tcBorders>
          <w:bottom w:val="single" w:sz="4" w:space="0" w:color="2683C6" w:themeColor="accent6"/>
        </w:tcBorders>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710">
    <w:name w:val="Список-таблица 7 цветная1"/>
    <w:basedOn w:val="a4"/>
    <w:uiPriority w:val="52"/>
    <w:rsid w:val="004230D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0">
    <w:name w:val="Список-таблица 7 цветная — акцент 11"/>
    <w:basedOn w:val="a4"/>
    <w:uiPriority w:val="52"/>
    <w:rsid w:val="004230D9"/>
    <w:pPr>
      <w:spacing w:after="0" w:line="240" w:lineRule="auto"/>
    </w:pPr>
    <w:rPr>
      <w:color w:val="276E8B"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494BA"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494BA"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494BA"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494BA" w:themeColor="accent1"/>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0">
    <w:name w:val="Список-таблица 7 цветная — акцент 21"/>
    <w:basedOn w:val="a4"/>
    <w:uiPriority w:val="52"/>
    <w:rsid w:val="004230D9"/>
    <w:pPr>
      <w:spacing w:after="0" w:line="240" w:lineRule="auto"/>
    </w:pPr>
    <w:rPr>
      <w:color w:val="398E9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8B6C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8B6C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8B6C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8B6C0" w:themeColor="accent2"/>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Список-таблица 7 цветная — акцент 31"/>
    <w:basedOn w:val="a4"/>
    <w:uiPriority w:val="52"/>
    <w:rsid w:val="004230D9"/>
    <w:pPr>
      <w:spacing w:after="0" w:line="240" w:lineRule="auto"/>
    </w:pPr>
    <w:rPr>
      <w:color w:val="4A9A8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5BDA7"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5BDA7"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5BDA7"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5BDA7" w:themeColor="accent3"/>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0">
    <w:name w:val="Список-таблица 7 цветная — акцент 41"/>
    <w:basedOn w:val="a4"/>
    <w:uiPriority w:val="52"/>
    <w:rsid w:val="004230D9"/>
    <w:pPr>
      <w:spacing w:after="0" w:line="240" w:lineRule="auto"/>
    </w:pPr>
    <w:rPr>
      <w:color w:val="5A696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A8C8E"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A8C8E"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A8C8E"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A8C8E" w:themeColor="accent4"/>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0">
    <w:name w:val="Список-таблица 7 цветная — акцент 51"/>
    <w:basedOn w:val="a4"/>
    <w:uiPriority w:val="52"/>
    <w:rsid w:val="004230D9"/>
    <w:pPr>
      <w:spacing w:after="0" w:line="240" w:lineRule="auto"/>
    </w:pPr>
    <w:rPr>
      <w:color w:val="578793"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4AC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4AC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4AC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4ACB6" w:themeColor="accent5"/>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0">
    <w:name w:val="Список-таблица 7 цветная — акцент 61"/>
    <w:basedOn w:val="a4"/>
    <w:uiPriority w:val="52"/>
    <w:rsid w:val="004230D9"/>
    <w:pPr>
      <w:spacing w:after="0" w:line="240" w:lineRule="auto"/>
    </w:pPr>
    <w:rPr>
      <w:color w:val="1C619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683C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683C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683C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683C6" w:themeColor="accent6"/>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3">
    <w:name w:val="Medium Grid 1"/>
    <w:basedOn w:val="a4"/>
    <w:uiPriority w:val="67"/>
    <w:semiHidden/>
    <w:unhideWhenUsed/>
    <w:rsid w:val="004230D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
    <w:name w:val="Medium Grid 1 Accent 1"/>
    <w:basedOn w:val="a4"/>
    <w:uiPriority w:val="67"/>
    <w:semiHidden/>
    <w:unhideWhenUsed/>
    <w:rsid w:val="004230D9"/>
    <w:pPr>
      <w:spacing w:after="0" w:line="240" w:lineRule="auto"/>
    </w:p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insideV w:val="single" w:sz="8" w:space="0" w:color="5FB1D2" w:themeColor="accent1" w:themeTint="BF"/>
      </w:tblBorders>
    </w:tblPr>
    <w:tcPr>
      <w:shd w:val="clear" w:color="auto" w:fill="CAE5F0" w:themeFill="accent1" w:themeFillTint="3F"/>
    </w:tcPr>
    <w:tblStylePr w:type="firstRow">
      <w:rPr>
        <w:b/>
        <w:bCs/>
      </w:rPr>
    </w:tblStylePr>
    <w:tblStylePr w:type="lastRow">
      <w:rPr>
        <w:b/>
        <w:bCs/>
      </w:rPr>
      <w:tblPr/>
      <w:tcPr>
        <w:tcBorders>
          <w:top w:val="single" w:sz="18" w:space="0" w:color="5FB1D2" w:themeColor="accent1" w:themeTint="BF"/>
        </w:tcBorders>
      </w:tcPr>
    </w:tblStylePr>
    <w:tblStylePr w:type="firstCol">
      <w:rPr>
        <w:b/>
        <w:bCs/>
      </w:rPr>
    </w:tblStylePr>
    <w:tblStylePr w:type="lastCol">
      <w:rPr>
        <w:b/>
        <w:bCs/>
      </w:r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1-2">
    <w:name w:val="Medium Grid 1 Accent 2"/>
    <w:basedOn w:val="a4"/>
    <w:uiPriority w:val="67"/>
    <w:semiHidden/>
    <w:unhideWhenUsed/>
    <w:rsid w:val="004230D9"/>
    <w:pPr>
      <w:spacing w:after="0" w:line="240" w:lineRule="auto"/>
    </w:p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insideV w:val="single" w:sz="8" w:space="0" w:color="81C8CF" w:themeColor="accent2" w:themeTint="BF"/>
      </w:tblBorders>
    </w:tblPr>
    <w:tcPr>
      <w:shd w:val="clear" w:color="auto" w:fill="D5ECEF" w:themeFill="accent2" w:themeFillTint="3F"/>
    </w:tcPr>
    <w:tblStylePr w:type="firstRow">
      <w:rPr>
        <w:b/>
        <w:bCs/>
      </w:rPr>
    </w:tblStylePr>
    <w:tblStylePr w:type="lastRow">
      <w:rPr>
        <w:b/>
        <w:bCs/>
      </w:rPr>
      <w:tblPr/>
      <w:tcPr>
        <w:tcBorders>
          <w:top w:val="single" w:sz="18" w:space="0" w:color="81C8CF" w:themeColor="accent2" w:themeTint="BF"/>
        </w:tcBorders>
      </w:tcPr>
    </w:tblStylePr>
    <w:tblStylePr w:type="firstCol">
      <w:rPr>
        <w:b/>
        <w:bCs/>
      </w:rPr>
    </w:tblStylePr>
    <w:tblStylePr w:type="lastCol">
      <w:rPr>
        <w:b/>
        <w:bCs/>
      </w:r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1-3">
    <w:name w:val="Medium Grid 1 Accent 3"/>
    <w:basedOn w:val="a4"/>
    <w:uiPriority w:val="67"/>
    <w:semiHidden/>
    <w:unhideWhenUsed/>
    <w:rsid w:val="004230D9"/>
    <w:pPr>
      <w:spacing w:after="0" w:line="240" w:lineRule="auto"/>
    </w:p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insideV w:val="single" w:sz="8" w:space="0" w:color="97CDBC" w:themeColor="accent3" w:themeTint="BF"/>
      </w:tblBorders>
    </w:tblPr>
    <w:tcPr>
      <w:shd w:val="clear" w:color="auto" w:fill="DCEEE9" w:themeFill="accent3" w:themeFillTint="3F"/>
    </w:tcPr>
    <w:tblStylePr w:type="firstRow">
      <w:rPr>
        <w:b/>
        <w:bCs/>
      </w:rPr>
    </w:tblStylePr>
    <w:tblStylePr w:type="lastRow">
      <w:rPr>
        <w:b/>
        <w:bCs/>
      </w:rPr>
      <w:tblPr/>
      <w:tcPr>
        <w:tcBorders>
          <w:top w:val="single" w:sz="18" w:space="0" w:color="97CDBC" w:themeColor="accent3" w:themeTint="BF"/>
        </w:tcBorders>
      </w:tcPr>
    </w:tblStylePr>
    <w:tblStylePr w:type="firstCol">
      <w:rPr>
        <w:b/>
        <w:bCs/>
      </w:rPr>
    </w:tblStylePr>
    <w:tblStylePr w:type="lastCol">
      <w:rPr>
        <w:b/>
        <w:bCs/>
      </w:r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1-4">
    <w:name w:val="Medium Grid 1 Accent 4"/>
    <w:basedOn w:val="a4"/>
    <w:uiPriority w:val="67"/>
    <w:semiHidden/>
    <w:unhideWhenUsed/>
    <w:rsid w:val="004230D9"/>
    <w:pPr>
      <w:spacing w:after="0" w:line="240" w:lineRule="auto"/>
    </w:p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insideV w:val="single" w:sz="8" w:space="0" w:color="9BA8AA" w:themeColor="accent4" w:themeTint="BF"/>
      </w:tblBorders>
    </w:tblPr>
    <w:tcPr>
      <w:shd w:val="clear" w:color="auto" w:fill="DEE2E3" w:themeFill="accent4" w:themeFillTint="3F"/>
    </w:tcPr>
    <w:tblStylePr w:type="firstRow">
      <w:rPr>
        <w:b/>
        <w:bCs/>
      </w:rPr>
    </w:tblStylePr>
    <w:tblStylePr w:type="lastRow">
      <w:rPr>
        <w:b/>
        <w:bCs/>
      </w:rPr>
      <w:tblPr/>
      <w:tcPr>
        <w:tcBorders>
          <w:top w:val="single" w:sz="18" w:space="0" w:color="9BA8AA" w:themeColor="accent4" w:themeTint="BF"/>
        </w:tcBorders>
      </w:tcPr>
    </w:tblStylePr>
    <w:tblStylePr w:type="firstCol">
      <w:rPr>
        <w:b/>
        <w:bCs/>
      </w:rPr>
    </w:tblStylePr>
    <w:tblStylePr w:type="lastCol">
      <w:rPr>
        <w:b/>
        <w:bCs/>
      </w:r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1-5">
    <w:name w:val="Medium Grid 1 Accent 5"/>
    <w:basedOn w:val="a4"/>
    <w:uiPriority w:val="67"/>
    <w:semiHidden/>
    <w:unhideWhenUsed/>
    <w:rsid w:val="004230D9"/>
    <w:pPr>
      <w:spacing w:after="0" w:line="240" w:lineRule="auto"/>
    </w:p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insideV w:val="single" w:sz="8" w:space="0" w:color="A2C0C8" w:themeColor="accent5" w:themeTint="BF"/>
      </w:tblBorders>
    </w:tblPr>
    <w:tcPr>
      <w:shd w:val="clear" w:color="auto" w:fill="E0EAED" w:themeFill="accent5" w:themeFillTint="3F"/>
    </w:tcPr>
    <w:tblStylePr w:type="firstRow">
      <w:rPr>
        <w:b/>
        <w:bCs/>
      </w:rPr>
    </w:tblStylePr>
    <w:tblStylePr w:type="lastRow">
      <w:rPr>
        <w:b/>
        <w:bCs/>
      </w:rPr>
      <w:tblPr/>
      <w:tcPr>
        <w:tcBorders>
          <w:top w:val="single" w:sz="18" w:space="0" w:color="A2C0C8" w:themeColor="accent5" w:themeTint="BF"/>
        </w:tcBorders>
      </w:tcPr>
    </w:tblStylePr>
    <w:tblStylePr w:type="firstCol">
      <w:rPr>
        <w:b/>
        <w:bCs/>
      </w:rPr>
    </w:tblStylePr>
    <w:tblStylePr w:type="lastCol">
      <w:rPr>
        <w:b/>
        <w:bCs/>
      </w:r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1-6">
    <w:name w:val="Medium Grid 1 Accent 6"/>
    <w:basedOn w:val="a4"/>
    <w:uiPriority w:val="67"/>
    <w:semiHidden/>
    <w:unhideWhenUsed/>
    <w:rsid w:val="004230D9"/>
    <w:pPr>
      <w:spacing w:after="0" w:line="240" w:lineRule="auto"/>
    </w:p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insideV w:val="single" w:sz="8" w:space="0" w:color="52A3DE" w:themeColor="accent6" w:themeTint="BF"/>
      </w:tblBorders>
    </w:tblPr>
    <w:tcPr>
      <w:shd w:val="clear" w:color="auto" w:fill="C5E0F4" w:themeFill="accent6" w:themeFillTint="3F"/>
    </w:tcPr>
    <w:tblStylePr w:type="firstRow">
      <w:rPr>
        <w:b/>
        <w:bCs/>
      </w:rPr>
    </w:tblStylePr>
    <w:tblStylePr w:type="lastRow">
      <w:rPr>
        <w:b/>
        <w:bCs/>
      </w:rPr>
      <w:tblPr/>
      <w:tcPr>
        <w:tcBorders>
          <w:top w:val="single" w:sz="18" w:space="0" w:color="52A3DE" w:themeColor="accent6" w:themeTint="BF"/>
        </w:tcBorders>
      </w:tcPr>
    </w:tblStylePr>
    <w:tblStylePr w:type="firstCol">
      <w:rPr>
        <w:b/>
        <w:bCs/>
      </w:rPr>
    </w:tblStylePr>
    <w:tblStylePr w:type="lastCol">
      <w:rPr>
        <w:b/>
        <w:bCs/>
      </w:r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2f">
    <w:name w:val="Medium Grid 2"/>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
    <w:name w:val="Medium Grid 2 Accent 1"/>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cPr>
      <w:shd w:val="clear" w:color="auto" w:fill="CAE5F0" w:themeFill="accent1" w:themeFillTint="3F"/>
    </w:tcPr>
    <w:tblStylePr w:type="firstRow">
      <w:rPr>
        <w:b/>
        <w:bCs/>
        <w:color w:val="000000" w:themeColor="text1"/>
      </w:rPr>
      <w:tblPr/>
      <w:tcPr>
        <w:shd w:val="clear" w:color="auto" w:fill="EAF4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4EAF3" w:themeFill="accent1" w:themeFillTint="33"/>
      </w:tcPr>
    </w:tblStylePr>
    <w:tblStylePr w:type="band1Vert">
      <w:tblPr/>
      <w:tcPr>
        <w:shd w:val="clear" w:color="auto" w:fill="94CBE1" w:themeFill="accent1" w:themeFillTint="7F"/>
      </w:tcPr>
    </w:tblStylePr>
    <w:tblStylePr w:type="band1Horz">
      <w:tblPr/>
      <w:tcPr>
        <w:tcBorders>
          <w:insideH w:val="single" w:sz="6" w:space="0" w:color="3494BA" w:themeColor="accent1"/>
          <w:insideV w:val="single" w:sz="6" w:space="0" w:color="3494BA" w:themeColor="accent1"/>
        </w:tcBorders>
        <w:shd w:val="clear" w:color="auto" w:fill="94CBE1" w:themeFill="accent1" w:themeFillTint="7F"/>
      </w:tcPr>
    </w:tblStylePr>
    <w:tblStylePr w:type="nwCell">
      <w:tblPr/>
      <w:tcPr>
        <w:shd w:val="clear" w:color="auto" w:fill="FFFFFF" w:themeFill="background1"/>
      </w:tcPr>
    </w:tblStylePr>
  </w:style>
  <w:style w:type="table" w:styleId="2-2">
    <w:name w:val="Medium Grid 2 Accent 2"/>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cPr>
      <w:shd w:val="clear" w:color="auto" w:fill="D5ECEF" w:themeFill="accent2" w:themeFillTint="3F"/>
    </w:tcPr>
    <w:tblStylePr w:type="firstRow">
      <w:rPr>
        <w:b/>
        <w:bCs/>
        <w:color w:val="000000" w:themeColor="text1"/>
      </w:rPr>
      <w:tblPr/>
      <w:tcPr>
        <w:shd w:val="clear" w:color="auto" w:fill="EEF7F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0F2" w:themeFill="accent2" w:themeFillTint="33"/>
      </w:tcPr>
    </w:tblStylePr>
    <w:tblStylePr w:type="band1Vert">
      <w:tblPr/>
      <w:tcPr>
        <w:shd w:val="clear" w:color="auto" w:fill="ABDADF" w:themeFill="accent2" w:themeFillTint="7F"/>
      </w:tcPr>
    </w:tblStylePr>
    <w:tblStylePr w:type="band1Horz">
      <w:tblPr/>
      <w:tcPr>
        <w:tcBorders>
          <w:insideH w:val="single" w:sz="6" w:space="0" w:color="58B6C0" w:themeColor="accent2"/>
          <w:insideV w:val="single" w:sz="6" w:space="0" w:color="58B6C0" w:themeColor="accent2"/>
        </w:tcBorders>
        <w:shd w:val="clear" w:color="auto" w:fill="ABDADF" w:themeFill="accent2" w:themeFillTint="7F"/>
      </w:tcPr>
    </w:tblStylePr>
    <w:tblStylePr w:type="nwCell">
      <w:tblPr/>
      <w:tcPr>
        <w:shd w:val="clear" w:color="auto" w:fill="FFFFFF" w:themeFill="background1"/>
      </w:tcPr>
    </w:tblStylePr>
  </w:style>
  <w:style w:type="table" w:styleId="2-3">
    <w:name w:val="Medium Grid 2 Accent 3"/>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cPr>
      <w:shd w:val="clear" w:color="auto" w:fill="DCEEE9" w:themeFill="accent3" w:themeFillTint="3F"/>
    </w:tcPr>
    <w:tblStylePr w:type="firstRow">
      <w:rPr>
        <w:b/>
        <w:bCs/>
        <w:color w:val="000000" w:themeColor="text1"/>
      </w:rPr>
      <w:tblPr/>
      <w:tcPr>
        <w:shd w:val="clear" w:color="auto" w:fill="F1F8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F1ED" w:themeFill="accent3" w:themeFillTint="33"/>
      </w:tcPr>
    </w:tblStylePr>
    <w:tblStylePr w:type="band1Vert">
      <w:tblPr/>
      <w:tcPr>
        <w:shd w:val="clear" w:color="auto" w:fill="BADED3" w:themeFill="accent3" w:themeFillTint="7F"/>
      </w:tcPr>
    </w:tblStylePr>
    <w:tblStylePr w:type="band1Horz">
      <w:tblPr/>
      <w:tcPr>
        <w:tcBorders>
          <w:insideH w:val="single" w:sz="6" w:space="0" w:color="75BDA7" w:themeColor="accent3"/>
          <w:insideV w:val="single" w:sz="6" w:space="0" w:color="75BDA7" w:themeColor="accent3"/>
        </w:tcBorders>
        <w:shd w:val="clear" w:color="auto" w:fill="BADED3" w:themeFill="accent3" w:themeFillTint="7F"/>
      </w:tcPr>
    </w:tblStylePr>
    <w:tblStylePr w:type="nwCell">
      <w:tblPr/>
      <w:tcPr>
        <w:shd w:val="clear" w:color="auto" w:fill="FFFFFF" w:themeFill="background1"/>
      </w:tcPr>
    </w:tblStylePr>
  </w:style>
  <w:style w:type="table" w:styleId="2-4">
    <w:name w:val="Medium Grid 2 Accent 4"/>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cPr>
      <w:shd w:val="clear" w:color="auto" w:fill="DEE2E3" w:themeFill="accent4" w:themeFillTint="3F"/>
    </w:tcPr>
    <w:tblStylePr w:type="firstRow">
      <w:rPr>
        <w:b/>
        <w:bCs/>
        <w:color w:val="000000" w:themeColor="text1"/>
      </w:rPr>
      <w:tblPr/>
      <w:tcPr>
        <w:shd w:val="clear" w:color="auto" w:fill="F1F3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E7E8" w:themeFill="accent4" w:themeFillTint="33"/>
      </w:tcPr>
    </w:tblStylePr>
    <w:tblStylePr w:type="band1Vert">
      <w:tblPr/>
      <w:tcPr>
        <w:shd w:val="clear" w:color="auto" w:fill="BCC5C6" w:themeFill="accent4" w:themeFillTint="7F"/>
      </w:tcPr>
    </w:tblStylePr>
    <w:tblStylePr w:type="band1Horz">
      <w:tblPr/>
      <w:tcPr>
        <w:tcBorders>
          <w:insideH w:val="single" w:sz="6" w:space="0" w:color="7A8C8E" w:themeColor="accent4"/>
          <w:insideV w:val="single" w:sz="6" w:space="0" w:color="7A8C8E" w:themeColor="accent4"/>
        </w:tcBorders>
        <w:shd w:val="clear" w:color="auto" w:fill="BCC5C6" w:themeFill="accent4" w:themeFillTint="7F"/>
      </w:tcPr>
    </w:tblStylePr>
    <w:tblStylePr w:type="nwCell">
      <w:tblPr/>
      <w:tcPr>
        <w:shd w:val="clear" w:color="auto" w:fill="FFFFFF" w:themeFill="background1"/>
      </w:tcPr>
    </w:tblStylePr>
  </w:style>
  <w:style w:type="table" w:styleId="2-5">
    <w:name w:val="Medium Grid 2 Accent 5"/>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cPr>
      <w:shd w:val="clear" w:color="auto" w:fill="E0EAED" w:themeFill="accent5" w:themeFillTint="3F"/>
    </w:tcPr>
    <w:tblStylePr w:type="firstRow">
      <w:rPr>
        <w:b/>
        <w:bCs/>
        <w:color w:val="000000" w:themeColor="text1"/>
      </w:rPr>
      <w:tblPr/>
      <w:tcPr>
        <w:shd w:val="clear" w:color="auto" w:fill="F2F6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EF0" w:themeFill="accent5" w:themeFillTint="33"/>
      </w:tcPr>
    </w:tblStylePr>
    <w:tblStylePr w:type="band1Vert">
      <w:tblPr/>
      <w:tcPr>
        <w:shd w:val="clear" w:color="auto" w:fill="C1D5DA" w:themeFill="accent5" w:themeFillTint="7F"/>
      </w:tcPr>
    </w:tblStylePr>
    <w:tblStylePr w:type="band1Horz">
      <w:tblPr/>
      <w:tcPr>
        <w:tcBorders>
          <w:insideH w:val="single" w:sz="6" w:space="0" w:color="84ACB6" w:themeColor="accent5"/>
          <w:insideV w:val="single" w:sz="6" w:space="0" w:color="84ACB6" w:themeColor="accent5"/>
        </w:tcBorders>
        <w:shd w:val="clear" w:color="auto" w:fill="C1D5DA" w:themeFill="accent5" w:themeFillTint="7F"/>
      </w:tcPr>
    </w:tblStylePr>
    <w:tblStylePr w:type="nwCell">
      <w:tblPr/>
      <w:tcPr>
        <w:shd w:val="clear" w:color="auto" w:fill="FFFFFF" w:themeFill="background1"/>
      </w:tcPr>
    </w:tblStylePr>
  </w:style>
  <w:style w:type="table" w:styleId="2-6">
    <w:name w:val="Medium Grid 2 Accent 6"/>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cPr>
      <w:shd w:val="clear" w:color="auto" w:fill="C5E0F4" w:themeFill="accent6" w:themeFillTint="3F"/>
    </w:tcPr>
    <w:tblStylePr w:type="firstRow">
      <w:rPr>
        <w:b/>
        <w:bCs/>
        <w:color w:val="000000" w:themeColor="text1"/>
      </w:rPr>
      <w:tblPr/>
      <w:tcPr>
        <w:shd w:val="clear" w:color="auto" w:fill="E8F2F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E6F6" w:themeFill="accent6" w:themeFillTint="33"/>
      </w:tcPr>
    </w:tblStylePr>
    <w:tblStylePr w:type="band1Vert">
      <w:tblPr/>
      <w:tcPr>
        <w:shd w:val="clear" w:color="auto" w:fill="8CC2E9" w:themeFill="accent6" w:themeFillTint="7F"/>
      </w:tcPr>
    </w:tblStylePr>
    <w:tblStylePr w:type="band1Horz">
      <w:tblPr/>
      <w:tcPr>
        <w:tcBorders>
          <w:insideH w:val="single" w:sz="6" w:space="0" w:color="2683C6" w:themeColor="accent6"/>
          <w:insideV w:val="single" w:sz="6" w:space="0" w:color="2683C6" w:themeColor="accent6"/>
        </w:tcBorders>
        <w:shd w:val="clear" w:color="auto" w:fill="8CC2E9" w:themeFill="accent6" w:themeFillTint="7F"/>
      </w:tcPr>
    </w:tblStylePr>
    <w:tblStylePr w:type="nwCell">
      <w:tblPr/>
      <w:tcPr>
        <w:shd w:val="clear" w:color="auto" w:fill="FFFFFF" w:themeFill="background1"/>
      </w:tcPr>
    </w:tblStylePr>
  </w:style>
  <w:style w:type="table" w:styleId="39">
    <w:name w:val="Medium Grid 3"/>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AE5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494B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494B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CB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CBE1" w:themeFill="accent1" w:themeFillTint="7F"/>
      </w:tcPr>
    </w:tblStylePr>
  </w:style>
  <w:style w:type="table" w:styleId="3-2">
    <w:name w:val="Medium Grid 3 Accent 2"/>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ECE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8B6C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8B6C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DAD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DADF" w:themeFill="accent2" w:themeFillTint="7F"/>
      </w:tcPr>
    </w:tblStylePr>
  </w:style>
  <w:style w:type="table" w:styleId="3-3">
    <w:name w:val="Medium Grid 3 Accent 3"/>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CEEE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5BDA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5BDA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DED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DED3" w:themeFill="accent3" w:themeFillTint="7F"/>
      </w:tcPr>
    </w:tblStylePr>
  </w:style>
  <w:style w:type="table" w:styleId="3-4">
    <w:name w:val="Medium Grid 3 Accent 4"/>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EE2E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8C8E"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8C8E"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CC5C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CC5C6" w:themeFill="accent4" w:themeFillTint="7F"/>
      </w:tcPr>
    </w:tblStylePr>
  </w:style>
  <w:style w:type="table" w:styleId="3-5">
    <w:name w:val="Medium Grid 3 Accent 5"/>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EAE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4ACB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4ACB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1D5D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1D5DA" w:themeFill="accent5" w:themeFillTint="7F"/>
      </w:tcPr>
    </w:tblStylePr>
  </w:style>
  <w:style w:type="table" w:styleId="3-6">
    <w:name w:val="Medium Grid 3 Accent 6"/>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5E0F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83C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83C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CC2E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CC2E9" w:themeFill="accent6" w:themeFillTint="7F"/>
      </w:tcPr>
    </w:tblStylePr>
  </w:style>
  <w:style w:type="table" w:styleId="14">
    <w:name w:val="Medium List 1"/>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354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3494BA" w:themeColor="accent1"/>
        <w:bottom w:val="single" w:sz="8" w:space="0" w:color="3494BA" w:themeColor="accent1"/>
      </w:tblBorders>
    </w:tblPr>
    <w:tblStylePr w:type="firstRow">
      <w:rPr>
        <w:rFonts w:asciiTheme="majorHAnsi" w:eastAsiaTheme="majorEastAsia" w:hAnsiTheme="majorHAnsi" w:cstheme="majorBidi"/>
      </w:rPr>
      <w:tblPr/>
      <w:tcPr>
        <w:tcBorders>
          <w:top w:val="nil"/>
          <w:bottom w:val="single" w:sz="8" w:space="0" w:color="3494BA" w:themeColor="accent1"/>
        </w:tcBorders>
      </w:tcPr>
    </w:tblStylePr>
    <w:tblStylePr w:type="lastRow">
      <w:rPr>
        <w:b/>
        <w:bCs/>
        <w:color w:val="373545" w:themeColor="text2"/>
      </w:rPr>
      <w:tblPr/>
      <w:tcPr>
        <w:tcBorders>
          <w:top w:val="single" w:sz="8" w:space="0" w:color="3494BA" w:themeColor="accent1"/>
          <w:bottom w:val="single" w:sz="8" w:space="0" w:color="3494BA" w:themeColor="accent1"/>
        </w:tcBorders>
      </w:tcPr>
    </w:tblStylePr>
    <w:tblStylePr w:type="firstCol">
      <w:rPr>
        <w:b/>
        <w:bCs/>
      </w:rPr>
    </w:tblStylePr>
    <w:tblStylePr w:type="lastCol">
      <w:rPr>
        <w:b/>
        <w:bCs/>
      </w:rPr>
      <w:tblPr/>
      <w:tcPr>
        <w:tcBorders>
          <w:top w:val="single" w:sz="8" w:space="0" w:color="3494BA" w:themeColor="accent1"/>
          <w:bottom w:val="single" w:sz="8" w:space="0" w:color="3494BA" w:themeColor="accent1"/>
        </w:tcBorders>
      </w:tcPr>
    </w:tblStylePr>
    <w:tblStylePr w:type="band1Vert">
      <w:tblPr/>
      <w:tcPr>
        <w:shd w:val="clear" w:color="auto" w:fill="CAE5F0" w:themeFill="accent1" w:themeFillTint="3F"/>
      </w:tcPr>
    </w:tblStylePr>
    <w:tblStylePr w:type="band1Horz">
      <w:tblPr/>
      <w:tcPr>
        <w:shd w:val="clear" w:color="auto" w:fill="CAE5F0" w:themeFill="accent1" w:themeFillTint="3F"/>
      </w:tcPr>
    </w:tblStylePr>
  </w:style>
  <w:style w:type="table" w:styleId="1-20">
    <w:name w:val="Medium List 1 Accent 2"/>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58B6C0" w:themeColor="accent2"/>
        <w:bottom w:val="single" w:sz="8" w:space="0" w:color="58B6C0" w:themeColor="accent2"/>
      </w:tblBorders>
    </w:tblPr>
    <w:tblStylePr w:type="firstRow">
      <w:rPr>
        <w:rFonts w:asciiTheme="majorHAnsi" w:eastAsiaTheme="majorEastAsia" w:hAnsiTheme="majorHAnsi" w:cstheme="majorBidi"/>
      </w:rPr>
      <w:tblPr/>
      <w:tcPr>
        <w:tcBorders>
          <w:top w:val="nil"/>
          <w:bottom w:val="single" w:sz="8" w:space="0" w:color="58B6C0" w:themeColor="accent2"/>
        </w:tcBorders>
      </w:tcPr>
    </w:tblStylePr>
    <w:tblStylePr w:type="lastRow">
      <w:rPr>
        <w:b/>
        <w:bCs/>
        <w:color w:val="373545" w:themeColor="text2"/>
      </w:rPr>
      <w:tblPr/>
      <w:tcPr>
        <w:tcBorders>
          <w:top w:val="single" w:sz="8" w:space="0" w:color="58B6C0" w:themeColor="accent2"/>
          <w:bottom w:val="single" w:sz="8" w:space="0" w:color="58B6C0" w:themeColor="accent2"/>
        </w:tcBorders>
      </w:tcPr>
    </w:tblStylePr>
    <w:tblStylePr w:type="firstCol">
      <w:rPr>
        <w:b/>
        <w:bCs/>
      </w:rPr>
    </w:tblStylePr>
    <w:tblStylePr w:type="lastCol">
      <w:rPr>
        <w:b/>
        <w:bCs/>
      </w:rPr>
      <w:tblPr/>
      <w:tcPr>
        <w:tcBorders>
          <w:top w:val="single" w:sz="8" w:space="0" w:color="58B6C0" w:themeColor="accent2"/>
          <w:bottom w:val="single" w:sz="8" w:space="0" w:color="58B6C0" w:themeColor="accent2"/>
        </w:tcBorders>
      </w:tcPr>
    </w:tblStylePr>
    <w:tblStylePr w:type="band1Vert">
      <w:tblPr/>
      <w:tcPr>
        <w:shd w:val="clear" w:color="auto" w:fill="D5ECEF" w:themeFill="accent2" w:themeFillTint="3F"/>
      </w:tcPr>
    </w:tblStylePr>
    <w:tblStylePr w:type="band1Horz">
      <w:tblPr/>
      <w:tcPr>
        <w:shd w:val="clear" w:color="auto" w:fill="D5ECEF" w:themeFill="accent2" w:themeFillTint="3F"/>
      </w:tcPr>
    </w:tblStylePr>
  </w:style>
  <w:style w:type="table" w:styleId="1-30">
    <w:name w:val="Medium List 1 Accent 3"/>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75BDA7" w:themeColor="accent3"/>
        <w:bottom w:val="single" w:sz="8" w:space="0" w:color="75BDA7" w:themeColor="accent3"/>
      </w:tblBorders>
    </w:tblPr>
    <w:tblStylePr w:type="firstRow">
      <w:rPr>
        <w:rFonts w:asciiTheme="majorHAnsi" w:eastAsiaTheme="majorEastAsia" w:hAnsiTheme="majorHAnsi" w:cstheme="majorBidi"/>
      </w:rPr>
      <w:tblPr/>
      <w:tcPr>
        <w:tcBorders>
          <w:top w:val="nil"/>
          <w:bottom w:val="single" w:sz="8" w:space="0" w:color="75BDA7" w:themeColor="accent3"/>
        </w:tcBorders>
      </w:tcPr>
    </w:tblStylePr>
    <w:tblStylePr w:type="lastRow">
      <w:rPr>
        <w:b/>
        <w:bCs/>
        <w:color w:val="373545" w:themeColor="text2"/>
      </w:rPr>
      <w:tblPr/>
      <w:tcPr>
        <w:tcBorders>
          <w:top w:val="single" w:sz="8" w:space="0" w:color="75BDA7" w:themeColor="accent3"/>
          <w:bottom w:val="single" w:sz="8" w:space="0" w:color="75BDA7" w:themeColor="accent3"/>
        </w:tcBorders>
      </w:tcPr>
    </w:tblStylePr>
    <w:tblStylePr w:type="firstCol">
      <w:rPr>
        <w:b/>
        <w:bCs/>
      </w:rPr>
    </w:tblStylePr>
    <w:tblStylePr w:type="lastCol">
      <w:rPr>
        <w:b/>
        <w:bCs/>
      </w:rPr>
      <w:tblPr/>
      <w:tcPr>
        <w:tcBorders>
          <w:top w:val="single" w:sz="8" w:space="0" w:color="75BDA7" w:themeColor="accent3"/>
          <w:bottom w:val="single" w:sz="8" w:space="0" w:color="75BDA7" w:themeColor="accent3"/>
        </w:tcBorders>
      </w:tcPr>
    </w:tblStylePr>
    <w:tblStylePr w:type="band1Vert">
      <w:tblPr/>
      <w:tcPr>
        <w:shd w:val="clear" w:color="auto" w:fill="DCEEE9" w:themeFill="accent3" w:themeFillTint="3F"/>
      </w:tcPr>
    </w:tblStylePr>
    <w:tblStylePr w:type="band1Horz">
      <w:tblPr/>
      <w:tcPr>
        <w:shd w:val="clear" w:color="auto" w:fill="DCEEE9" w:themeFill="accent3" w:themeFillTint="3F"/>
      </w:tcPr>
    </w:tblStylePr>
  </w:style>
  <w:style w:type="table" w:styleId="1-40">
    <w:name w:val="Medium List 1 Accent 4"/>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7A8C8E" w:themeColor="accent4"/>
        <w:bottom w:val="single" w:sz="8" w:space="0" w:color="7A8C8E" w:themeColor="accent4"/>
      </w:tblBorders>
    </w:tblPr>
    <w:tblStylePr w:type="firstRow">
      <w:rPr>
        <w:rFonts w:asciiTheme="majorHAnsi" w:eastAsiaTheme="majorEastAsia" w:hAnsiTheme="majorHAnsi" w:cstheme="majorBidi"/>
      </w:rPr>
      <w:tblPr/>
      <w:tcPr>
        <w:tcBorders>
          <w:top w:val="nil"/>
          <w:bottom w:val="single" w:sz="8" w:space="0" w:color="7A8C8E" w:themeColor="accent4"/>
        </w:tcBorders>
      </w:tcPr>
    </w:tblStylePr>
    <w:tblStylePr w:type="lastRow">
      <w:rPr>
        <w:b/>
        <w:bCs/>
        <w:color w:val="373545" w:themeColor="text2"/>
      </w:rPr>
      <w:tblPr/>
      <w:tcPr>
        <w:tcBorders>
          <w:top w:val="single" w:sz="8" w:space="0" w:color="7A8C8E" w:themeColor="accent4"/>
          <w:bottom w:val="single" w:sz="8" w:space="0" w:color="7A8C8E" w:themeColor="accent4"/>
        </w:tcBorders>
      </w:tcPr>
    </w:tblStylePr>
    <w:tblStylePr w:type="firstCol">
      <w:rPr>
        <w:b/>
        <w:bCs/>
      </w:rPr>
    </w:tblStylePr>
    <w:tblStylePr w:type="lastCol">
      <w:rPr>
        <w:b/>
        <w:bCs/>
      </w:rPr>
      <w:tblPr/>
      <w:tcPr>
        <w:tcBorders>
          <w:top w:val="single" w:sz="8" w:space="0" w:color="7A8C8E" w:themeColor="accent4"/>
          <w:bottom w:val="single" w:sz="8" w:space="0" w:color="7A8C8E" w:themeColor="accent4"/>
        </w:tcBorders>
      </w:tcPr>
    </w:tblStylePr>
    <w:tblStylePr w:type="band1Vert">
      <w:tblPr/>
      <w:tcPr>
        <w:shd w:val="clear" w:color="auto" w:fill="DEE2E3" w:themeFill="accent4" w:themeFillTint="3F"/>
      </w:tcPr>
    </w:tblStylePr>
    <w:tblStylePr w:type="band1Horz">
      <w:tblPr/>
      <w:tcPr>
        <w:shd w:val="clear" w:color="auto" w:fill="DEE2E3" w:themeFill="accent4" w:themeFillTint="3F"/>
      </w:tcPr>
    </w:tblStylePr>
  </w:style>
  <w:style w:type="table" w:styleId="1-50">
    <w:name w:val="Medium List 1 Accent 5"/>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84ACB6" w:themeColor="accent5"/>
        <w:bottom w:val="single" w:sz="8" w:space="0" w:color="84ACB6" w:themeColor="accent5"/>
      </w:tblBorders>
    </w:tblPr>
    <w:tblStylePr w:type="firstRow">
      <w:rPr>
        <w:rFonts w:asciiTheme="majorHAnsi" w:eastAsiaTheme="majorEastAsia" w:hAnsiTheme="majorHAnsi" w:cstheme="majorBidi"/>
      </w:rPr>
      <w:tblPr/>
      <w:tcPr>
        <w:tcBorders>
          <w:top w:val="nil"/>
          <w:bottom w:val="single" w:sz="8" w:space="0" w:color="84ACB6" w:themeColor="accent5"/>
        </w:tcBorders>
      </w:tcPr>
    </w:tblStylePr>
    <w:tblStylePr w:type="lastRow">
      <w:rPr>
        <w:b/>
        <w:bCs/>
        <w:color w:val="373545" w:themeColor="text2"/>
      </w:rPr>
      <w:tblPr/>
      <w:tcPr>
        <w:tcBorders>
          <w:top w:val="single" w:sz="8" w:space="0" w:color="84ACB6" w:themeColor="accent5"/>
          <w:bottom w:val="single" w:sz="8" w:space="0" w:color="84ACB6" w:themeColor="accent5"/>
        </w:tcBorders>
      </w:tcPr>
    </w:tblStylePr>
    <w:tblStylePr w:type="firstCol">
      <w:rPr>
        <w:b/>
        <w:bCs/>
      </w:rPr>
    </w:tblStylePr>
    <w:tblStylePr w:type="lastCol">
      <w:rPr>
        <w:b/>
        <w:bCs/>
      </w:rPr>
      <w:tblPr/>
      <w:tcPr>
        <w:tcBorders>
          <w:top w:val="single" w:sz="8" w:space="0" w:color="84ACB6" w:themeColor="accent5"/>
          <w:bottom w:val="single" w:sz="8" w:space="0" w:color="84ACB6" w:themeColor="accent5"/>
        </w:tcBorders>
      </w:tcPr>
    </w:tblStylePr>
    <w:tblStylePr w:type="band1Vert">
      <w:tblPr/>
      <w:tcPr>
        <w:shd w:val="clear" w:color="auto" w:fill="E0EAED" w:themeFill="accent5" w:themeFillTint="3F"/>
      </w:tcPr>
    </w:tblStylePr>
    <w:tblStylePr w:type="band1Horz">
      <w:tblPr/>
      <w:tcPr>
        <w:shd w:val="clear" w:color="auto" w:fill="E0EAED" w:themeFill="accent5" w:themeFillTint="3F"/>
      </w:tcPr>
    </w:tblStylePr>
  </w:style>
  <w:style w:type="table" w:styleId="1-60">
    <w:name w:val="Medium List 1 Accent 6"/>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2683C6" w:themeColor="accent6"/>
        <w:bottom w:val="single" w:sz="8" w:space="0" w:color="2683C6" w:themeColor="accent6"/>
      </w:tblBorders>
    </w:tblPr>
    <w:tblStylePr w:type="firstRow">
      <w:rPr>
        <w:rFonts w:asciiTheme="majorHAnsi" w:eastAsiaTheme="majorEastAsia" w:hAnsiTheme="majorHAnsi" w:cstheme="majorBidi"/>
      </w:rPr>
      <w:tblPr/>
      <w:tcPr>
        <w:tcBorders>
          <w:top w:val="nil"/>
          <w:bottom w:val="single" w:sz="8" w:space="0" w:color="2683C6" w:themeColor="accent6"/>
        </w:tcBorders>
      </w:tcPr>
    </w:tblStylePr>
    <w:tblStylePr w:type="lastRow">
      <w:rPr>
        <w:b/>
        <w:bCs/>
        <w:color w:val="373545" w:themeColor="text2"/>
      </w:rPr>
      <w:tblPr/>
      <w:tcPr>
        <w:tcBorders>
          <w:top w:val="single" w:sz="8" w:space="0" w:color="2683C6" w:themeColor="accent6"/>
          <w:bottom w:val="single" w:sz="8" w:space="0" w:color="2683C6" w:themeColor="accent6"/>
        </w:tcBorders>
      </w:tcPr>
    </w:tblStylePr>
    <w:tblStylePr w:type="firstCol">
      <w:rPr>
        <w:b/>
        <w:bCs/>
      </w:rPr>
    </w:tblStylePr>
    <w:tblStylePr w:type="lastCol">
      <w:rPr>
        <w:b/>
        <w:bCs/>
      </w:rPr>
      <w:tblPr/>
      <w:tcPr>
        <w:tcBorders>
          <w:top w:val="single" w:sz="8" w:space="0" w:color="2683C6" w:themeColor="accent6"/>
          <w:bottom w:val="single" w:sz="8" w:space="0" w:color="2683C6" w:themeColor="accent6"/>
        </w:tcBorders>
      </w:tcPr>
    </w:tblStylePr>
    <w:tblStylePr w:type="band1Vert">
      <w:tblPr/>
      <w:tcPr>
        <w:shd w:val="clear" w:color="auto" w:fill="C5E0F4" w:themeFill="accent6" w:themeFillTint="3F"/>
      </w:tcPr>
    </w:tblStylePr>
    <w:tblStylePr w:type="band1Horz">
      <w:tblPr/>
      <w:tcPr>
        <w:shd w:val="clear" w:color="auto" w:fill="C5E0F4" w:themeFill="accent6" w:themeFillTint="3F"/>
      </w:tcPr>
    </w:tblStylePr>
  </w:style>
  <w:style w:type="table" w:styleId="2f0">
    <w:name w:val="Medium List 2"/>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rPr>
        <w:sz w:val="24"/>
        <w:szCs w:val="24"/>
      </w:rPr>
      <w:tblPr/>
      <w:tcPr>
        <w:tcBorders>
          <w:top w:val="nil"/>
          <w:left w:val="nil"/>
          <w:bottom w:val="single" w:sz="24" w:space="0" w:color="3494BA"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494BA" w:themeColor="accent1"/>
          <w:insideH w:val="nil"/>
          <w:insideV w:val="nil"/>
        </w:tcBorders>
        <w:shd w:val="clear" w:color="auto" w:fill="FFFFFF" w:themeFill="background1"/>
      </w:tcPr>
    </w:tblStylePr>
    <w:tblStylePr w:type="lastCol">
      <w:tblPr/>
      <w:tcPr>
        <w:tcBorders>
          <w:top w:val="nil"/>
          <w:left w:val="single" w:sz="8" w:space="0" w:color="3494B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top w:val="nil"/>
          <w:bottom w:val="nil"/>
          <w:insideH w:val="nil"/>
          <w:insideV w:val="nil"/>
        </w:tcBorders>
        <w:shd w:val="clear" w:color="auto" w:fill="CAE5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rPr>
        <w:sz w:val="24"/>
        <w:szCs w:val="24"/>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8B6C0" w:themeColor="accent2"/>
          <w:insideH w:val="nil"/>
          <w:insideV w:val="nil"/>
        </w:tcBorders>
        <w:shd w:val="clear" w:color="auto" w:fill="FFFFFF" w:themeFill="background1"/>
      </w:tcPr>
    </w:tblStylePr>
    <w:tblStylePr w:type="lastCol">
      <w:tblPr/>
      <w:tcPr>
        <w:tcBorders>
          <w:top w:val="nil"/>
          <w:left w:val="single" w:sz="8" w:space="0" w:color="58B6C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top w:val="nil"/>
          <w:bottom w:val="nil"/>
          <w:insideH w:val="nil"/>
          <w:insideV w:val="nil"/>
        </w:tcBorders>
        <w:shd w:val="clear" w:color="auto" w:fill="D5ECE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rPr>
        <w:sz w:val="24"/>
        <w:szCs w:val="24"/>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5BDA7" w:themeColor="accent3"/>
          <w:insideH w:val="nil"/>
          <w:insideV w:val="nil"/>
        </w:tcBorders>
        <w:shd w:val="clear" w:color="auto" w:fill="FFFFFF" w:themeFill="background1"/>
      </w:tcPr>
    </w:tblStylePr>
    <w:tblStylePr w:type="lastCol">
      <w:tblPr/>
      <w:tcPr>
        <w:tcBorders>
          <w:top w:val="nil"/>
          <w:left w:val="single" w:sz="8" w:space="0" w:color="75BDA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top w:val="nil"/>
          <w:bottom w:val="nil"/>
          <w:insideH w:val="nil"/>
          <w:insideV w:val="nil"/>
        </w:tcBorders>
        <w:shd w:val="clear" w:color="auto" w:fill="DCEEE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rPr>
        <w:sz w:val="24"/>
        <w:szCs w:val="24"/>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8C8E" w:themeColor="accent4"/>
          <w:insideH w:val="nil"/>
          <w:insideV w:val="nil"/>
        </w:tcBorders>
        <w:shd w:val="clear" w:color="auto" w:fill="FFFFFF" w:themeFill="background1"/>
      </w:tcPr>
    </w:tblStylePr>
    <w:tblStylePr w:type="lastCol">
      <w:tblPr/>
      <w:tcPr>
        <w:tcBorders>
          <w:top w:val="nil"/>
          <w:left w:val="single" w:sz="8" w:space="0" w:color="7A8C8E"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top w:val="nil"/>
          <w:bottom w:val="nil"/>
          <w:insideH w:val="nil"/>
          <w:insideV w:val="nil"/>
        </w:tcBorders>
        <w:shd w:val="clear" w:color="auto" w:fill="DEE2E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rPr>
        <w:sz w:val="24"/>
        <w:szCs w:val="24"/>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4ACB6" w:themeColor="accent5"/>
          <w:insideH w:val="nil"/>
          <w:insideV w:val="nil"/>
        </w:tcBorders>
        <w:shd w:val="clear" w:color="auto" w:fill="FFFFFF" w:themeFill="background1"/>
      </w:tcPr>
    </w:tblStylePr>
    <w:tblStylePr w:type="lastCol">
      <w:tblPr/>
      <w:tcPr>
        <w:tcBorders>
          <w:top w:val="nil"/>
          <w:left w:val="single" w:sz="8" w:space="0" w:color="84ACB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top w:val="nil"/>
          <w:bottom w:val="nil"/>
          <w:insideH w:val="nil"/>
          <w:insideV w:val="nil"/>
        </w:tcBorders>
        <w:shd w:val="clear" w:color="auto" w:fill="E0EA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rPr>
        <w:sz w:val="24"/>
        <w:szCs w:val="24"/>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83C6" w:themeColor="accent6"/>
          <w:insideH w:val="nil"/>
          <w:insideV w:val="nil"/>
        </w:tcBorders>
        <w:shd w:val="clear" w:color="auto" w:fill="FFFFFF" w:themeFill="background1"/>
      </w:tcPr>
    </w:tblStylePr>
    <w:tblStylePr w:type="lastCol">
      <w:tblPr/>
      <w:tcPr>
        <w:tcBorders>
          <w:top w:val="nil"/>
          <w:left w:val="single" w:sz="8" w:space="0" w:color="2683C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top w:val="nil"/>
          <w:bottom w:val="nil"/>
          <w:insideH w:val="nil"/>
          <w:insideV w:val="nil"/>
        </w:tcBorders>
        <w:shd w:val="clear" w:color="auto" w:fill="C5E0F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5">
    <w:name w:val="Medium Shading 1"/>
    <w:basedOn w:val="a4"/>
    <w:uiPriority w:val="63"/>
    <w:semiHidden/>
    <w:unhideWhenUsed/>
    <w:rsid w:val="004230D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1">
    <w:name w:val="Medium Shading 1 Accent 1"/>
    <w:basedOn w:val="a4"/>
    <w:uiPriority w:val="63"/>
    <w:semiHidden/>
    <w:unhideWhenUsed/>
    <w:rsid w:val="004230D9"/>
    <w:pPr>
      <w:spacing w:after="0" w:line="240" w:lineRule="auto"/>
    </w:p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tblBorders>
    </w:tblPr>
    <w:tblStylePr w:type="firstRow">
      <w:pPr>
        <w:spacing w:before="0" w:after="0" w:line="240" w:lineRule="auto"/>
      </w:pPr>
      <w:rPr>
        <w:b/>
        <w:bCs/>
        <w:color w:val="FFFFFF" w:themeColor="background1"/>
      </w:rPr>
      <w:tblPr/>
      <w:tcPr>
        <w:tc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shd w:val="clear" w:color="auto" w:fill="3494BA" w:themeFill="accent1"/>
      </w:tcPr>
    </w:tblStylePr>
    <w:tblStylePr w:type="lastRow">
      <w:pPr>
        <w:spacing w:before="0" w:after="0" w:line="240" w:lineRule="auto"/>
      </w:pPr>
      <w:rPr>
        <w:b/>
        <w:bCs/>
      </w:rPr>
      <w:tblPr/>
      <w:tcPr>
        <w:tcBorders>
          <w:top w:val="double" w:sz="6"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AE5F0" w:themeFill="accent1" w:themeFillTint="3F"/>
      </w:tcPr>
    </w:tblStylePr>
    <w:tblStylePr w:type="band1Horz">
      <w:tblPr/>
      <w:tcPr>
        <w:tcBorders>
          <w:insideH w:val="nil"/>
          <w:insideV w:val="nil"/>
        </w:tcBorders>
        <w:shd w:val="clear" w:color="auto" w:fill="CAE5F0" w:themeFill="accent1" w:themeFillTint="3F"/>
      </w:tcPr>
    </w:tblStylePr>
    <w:tblStylePr w:type="band2Horz">
      <w:tblPr/>
      <w:tcPr>
        <w:tcBorders>
          <w:insideH w:val="nil"/>
          <w:insideV w:val="nil"/>
        </w:tcBorders>
      </w:tcPr>
    </w:tblStylePr>
  </w:style>
  <w:style w:type="table" w:styleId="1-21">
    <w:name w:val="Medium Shading 1 Accent 2"/>
    <w:basedOn w:val="a4"/>
    <w:uiPriority w:val="63"/>
    <w:semiHidden/>
    <w:unhideWhenUsed/>
    <w:rsid w:val="004230D9"/>
    <w:pPr>
      <w:spacing w:after="0" w:line="240" w:lineRule="auto"/>
    </w:p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tblBorders>
    </w:tblPr>
    <w:tblStylePr w:type="firstRow">
      <w:pPr>
        <w:spacing w:before="0" w:after="0" w:line="240" w:lineRule="auto"/>
      </w:pPr>
      <w:rPr>
        <w:b/>
        <w:bCs/>
        <w:color w:val="FFFFFF" w:themeColor="background1"/>
      </w:rPr>
      <w:tblPr/>
      <w:tcPr>
        <w:tc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shd w:val="clear" w:color="auto" w:fill="58B6C0" w:themeFill="accent2"/>
      </w:tcPr>
    </w:tblStylePr>
    <w:tblStylePr w:type="lastRow">
      <w:pPr>
        <w:spacing w:before="0" w:after="0" w:line="240" w:lineRule="auto"/>
      </w:pPr>
      <w:rPr>
        <w:b/>
        <w:bCs/>
      </w:rPr>
      <w:tblPr/>
      <w:tcPr>
        <w:tcBorders>
          <w:top w:val="double" w:sz="6"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tcPr>
    </w:tblStylePr>
    <w:tblStylePr w:type="firstCol">
      <w:rPr>
        <w:b/>
        <w:bCs/>
      </w:rPr>
    </w:tblStylePr>
    <w:tblStylePr w:type="lastCol">
      <w:rPr>
        <w:b/>
        <w:bCs/>
      </w:rPr>
    </w:tblStylePr>
    <w:tblStylePr w:type="band1Vert">
      <w:tblPr/>
      <w:tcPr>
        <w:shd w:val="clear" w:color="auto" w:fill="D5ECEF" w:themeFill="accent2" w:themeFillTint="3F"/>
      </w:tcPr>
    </w:tblStylePr>
    <w:tblStylePr w:type="band1Horz">
      <w:tblPr/>
      <w:tcPr>
        <w:tcBorders>
          <w:insideH w:val="nil"/>
          <w:insideV w:val="nil"/>
        </w:tcBorders>
        <w:shd w:val="clear" w:color="auto" w:fill="D5ECEF" w:themeFill="accent2" w:themeFillTint="3F"/>
      </w:tcPr>
    </w:tblStylePr>
    <w:tblStylePr w:type="band2Horz">
      <w:tblPr/>
      <w:tcPr>
        <w:tcBorders>
          <w:insideH w:val="nil"/>
          <w:insideV w:val="nil"/>
        </w:tcBorders>
      </w:tcPr>
    </w:tblStylePr>
  </w:style>
  <w:style w:type="table" w:styleId="1-31">
    <w:name w:val="Medium Shading 1 Accent 3"/>
    <w:basedOn w:val="a4"/>
    <w:uiPriority w:val="63"/>
    <w:semiHidden/>
    <w:unhideWhenUsed/>
    <w:rsid w:val="004230D9"/>
    <w:pPr>
      <w:spacing w:after="0" w:line="240" w:lineRule="auto"/>
    </w:p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tblBorders>
    </w:tblPr>
    <w:tblStylePr w:type="firstRow">
      <w:pPr>
        <w:spacing w:before="0" w:after="0" w:line="240" w:lineRule="auto"/>
      </w:pPr>
      <w:rPr>
        <w:b/>
        <w:bCs/>
        <w:color w:val="FFFFFF" w:themeColor="background1"/>
      </w:rPr>
      <w:tblPr/>
      <w:tcPr>
        <w:tc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shd w:val="clear" w:color="auto" w:fill="75BDA7" w:themeFill="accent3"/>
      </w:tcPr>
    </w:tblStylePr>
    <w:tblStylePr w:type="lastRow">
      <w:pPr>
        <w:spacing w:before="0" w:after="0" w:line="240" w:lineRule="auto"/>
      </w:pPr>
      <w:rPr>
        <w:b/>
        <w:bCs/>
      </w:rPr>
      <w:tblPr/>
      <w:tcPr>
        <w:tcBorders>
          <w:top w:val="double" w:sz="6"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tcPr>
    </w:tblStylePr>
    <w:tblStylePr w:type="firstCol">
      <w:rPr>
        <w:b/>
        <w:bCs/>
      </w:rPr>
    </w:tblStylePr>
    <w:tblStylePr w:type="lastCol">
      <w:rPr>
        <w:b/>
        <w:bCs/>
      </w:rPr>
    </w:tblStylePr>
    <w:tblStylePr w:type="band1Vert">
      <w:tblPr/>
      <w:tcPr>
        <w:shd w:val="clear" w:color="auto" w:fill="DCEEE9" w:themeFill="accent3" w:themeFillTint="3F"/>
      </w:tcPr>
    </w:tblStylePr>
    <w:tblStylePr w:type="band1Horz">
      <w:tblPr/>
      <w:tcPr>
        <w:tcBorders>
          <w:insideH w:val="nil"/>
          <w:insideV w:val="nil"/>
        </w:tcBorders>
        <w:shd w:val="clear" w:color="auto" w:fill="DCEEE9" w:themeFill="accent3" w:themeFillTint="3F"/>
      </w:tcPr>
    </w:tblStylePr>
    <w:tblStylePr w:type="band2Horz">
      <w:tblPr/>
      <w:tcPr>
        <w:tcBorders>
          <w:insideH w:val="nil"/>
          <w:insideV w:val="nil"/>
        </w:tcBorders>
      </w:tcPr>
    </w:tblStylePr>
  </w:style>
  <w:style w:type="table" w:styleId="1-41">
    <w:name w:val="Medium Shading 1 Accent 4"/>
    <w:basedOn w:val="a4"/>
    <w:uiPriority w:val="63"/>
    <w:semiHidden/>
    <w:unhideWhenUsed/>
    <w:rsid w:val="004230D9"/>
    <w:pPr>
      <w:spacing w:after="0" w:line="240" w:lineRule="auto"/>
    </w:p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tblBorders>
    </w:tblPr>
    <w:tblStylePr w:type="firstRow">
      <w:pPr>
        <w:spacing w:before="0" w:after="0" w:line="240" w:lineRule="auto"/>
      </w:pPr>
      <w:rPr>
        <w:b/>
        <w:bCs/>
        <w:color w:val="FFFFFF" w:themeColor="background1"/>
      </w:rPr>
      <w:tblPr/>
      <w:tcPr>
        <w:tc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shd w:val="clear" w:color="auto" w:fill="7A8C8E" w:themeFill="accent4"/>
      </w:tcPr>
    </w:tblStylePr>
    <w:tblStylePr w:type="lastRow">
      <w:pPr>
        <w:spacing w:before="0" w:after="0" w:line="240" w:lineRule="auto"/>
      </w:pPr>
      <w:rPr>
        <w:b/>
        <w:bCs/>
      </w:rPr>
      <w:tblPr/>
      <w:tcPr>
        <w:tcBorders>
          <w:top w:val="double" w:sz="6"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tcPr>
    </w:tblStylePr>
    <w:tblStylePr w:type="firstCol">
      <w:rPr>
        <w:b/>
        <w:bCs/>
      </w:rPr>
    </w:tblStylePr>
    <w:tblStylePr w:type="lastCol">
      <w:rPr>
        <w:b/>
        <w:bCs/>
      </w:rPr>
    </w:tblStylePr>
    <w:tblStylePr w:type="band1Vert">
      <w:tblPr/>
      <w:tcPr>
        <w:shd w:val="clear" w:color="auto" w:fill="DEE2E3" w:themeFill="accent4" w:themeFillTint="3F"/>
      </w:tcPr>
    </w:tblStylePr>
    <w:tblStylePr w:type="band1Horz">
      <w:tblPr/>
      <w:tcPr>
        <w:tcBorders>
          <w:insideH w:val="nil"/>
          <w:insideV w:val="nil"/>
        </w:tcBorders>
        <w:shd w:val="clear" w:color="auto" w:fill="DEE2E3" w:themeFill="accent4" w:themeFillTint="3F"/>
      </w:tcPr>
    </w:tblStylePr>
    <w:tblStylePr w:type="band2Horz">
      <w:tblPr/>
      <w:tcPr>
        <w:tcBorders>
          <w:insideH w:val="nil"/>
          <w:insideV w:val="nil"/>
        </w:tcBorders>
      </w:tcPr>
    </w:tblStylePr>
  </w:style>
  <w:style w:type="table" w:styleId="1-51">
    <w:name w:val="Medium Shading 1 Accent 5"/>
    <w:basedOn w:val="a4"/>
    <w:uiPriority w:val="63"/>
    <w:semiHidden/>
    <w:unhideWhenUsed/>
    <w:rsid w:val="004230D9"/>
    <w:pPr>
      <w:spacing w:after="0" w:line="240" w:lineRule="auto"/>
    </w:p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tblBorders>
    </w:tblPr>
    <w:tblStylePr w:type="firstRow">
      <w:pPr>
        <w:spacing w:before="0" w:after="0" w:line="240" w:lineRule="auto"/>
      </w:pPr>
      <w:rPr>
        <w:b/>
        <w:bCs/>
        <w:color w:val="FFFFFF" w:themeColor="background1"/>
      </w:rPr>
      <w:tblPr/>
      <w:tcPr>
        <w:tc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shd w:val="clear" w:color="auto" w:fill="84ACB6" w:themeFill="accent5"/>
      </w:tcPr>
    </w:tblStylePr>
    <w:tblStylePr w:type="lastRow">
      <w:pPr>
        <w:spacing w:before="0" w:after="0" w:line="240" w:lineRule="auto"/>
      </w:pPr>
      <w:rPr>
        <w:b/>
        <w:bCs/>
      </w:rPr>
      <w:tblPr/>
      <w:tcPr>
        <w:tcBorders>
          <w:top w:val="double" w:sz="6"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0EAED" w:themeFill="accent5" w:themeFillTint="3F"/>
      </w:tcPr>
    </w:tblStylePr>
    <w:tblStylePr w:type="band1Horz">
      <w:tblPr/>
      <w:tcPr>
        <w:tcBorders>
          <w:insideH w:val="nil"/>
          <w:insideV w:val="nil"/>
        </w:tcBorders>
        <w:shd w:val="clear" w:color="auto" w:fill="E0EAED" w:themeFill="accent5" w:themeFillTint="3F"/>
      </w:tcPr>
    </w:tblStylePr>
    <w:tblStylePr w:type="band2Horz">
      <w:tblPr/>
      <w:tcPr>
        <w:tcBorders>
          <w:insideH w:val="nil"/>
          <w:insideV w:val="nil"/>
        </w:tcBorders>
      </w:tcPr>
    </w:tblStylePr>
  </w:style>
  <w:style w:type="table" w:styleId="1-61">
    <w:name w:val="Medium Shading 1 Accent 6"/>
    <w:basedOn w:val="a4"/>
    <w:uiPriority w:val="63"/>
    <w:semiHidden/>
    <w:unhideWhenUsed/>
    <w:rsid w:val="004230D9"/>
    <w:pPr>
      <w:spacing w:after="0" w:line="240" w:lineRule="auto"/>
    </w:p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tblBorders>
    </w:tblPr>
    <w:tblStylePr w:type="firstRow">
      <w:pPr>
        <w:spacing w:before="0" w:after="0" w:line="240" w:lineRule="auto"/>
      </w:pPr>
      <w:rPr>
        <w:b/>
        <w:bCs/>
        <w:color w:val="FFFFFF" w:themeColor="background1"/>
      </w:rPr>
      <w:tblPr/>
      <w:tcPr>
        <w:tc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shd w:val="clear" w:color="auto" w:fill="2683C6" w:themeFill="accent6"/>
      </w:tcPr>
    </w:tblStylePr>
    <w:tblStylePr w:type="lastRow">
      <w:pPr>
        <w:spacing w:before="0" w:after="0" w:line="240" w:lineRule="auto"/>
      </w:pPr>
      <w:rPr>
        <w:b/>
        <w:bCs/>
      </w:rPr>
      <w:tblPr/>
      <w:tcPr>
        <w:tcBorders>
          <w:top w:val="double" w:sz="6"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tcPr>
    </w:tblStylePr>
    <w:tblStylePr w:type="firstCol">
      <w:rPr>
        <w:b/>
        <w:bCs/>
      </w:rPr>
    </w:tblStylePr>
    <w:tblStylePr w:type="lastCol">
      <w:rPr>
        <w:b/>
        <w:bCs/>
      </w:rPr>
    </w:tblStylePr>
    <w:tblStylePr w:type="band1Vert">
      <w:tblPr/>
      <w:tcPr>
        <w:shd w:val="clear" w:color="auto" w:fill="C5E0F4" w:themeFill="accent6" w:themeFillTint="3F"/>
      </w:tcPr>
    </w:tblStylePr>
    <w:tblStylePr w:type="band1Horz">
      <w:tblPr/>
      <w:tcPr>
        <w:tcBorders>
          <w:insideH w:val="nil"/>
          <w:insideV w:val="nil"/>
        </w:tcBorders>
        <w:shd w:val="clear" w:color="auto" w:fill="C5E0F4" w:themeFill="accent6" w:themeFillTint="3F"/>
      </w:tcPr>
    </w:tblStylePr>
    <w:tblStylePr w:type="band2Horz">
      <w:tblPr/>
      <w:tcPr>
        <w:tcBorders>
          <w:insideH w:val="nil"/>
          <w:insideV w:val="nil"/>
        </w:tcBorders>
      </w:tcPr>
    </w:tblStylePr>
  </w:style>
  <w:style w:type="table" w:styleId="2f1">
    <w:name w:val="Medium Shading 2"/>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11">
    <w:name w:val="Medium Shading 2 Accent 1"/>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494B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494BA" w:themeFill="accent1"/>
      </w:tcPr>
    </w:tblStylePr>
    <w:tblStylePr w:type="lastCol">
      <w:rPr>
        <w:b/>
        <w:bCs/>
        <w:color w:val="FFFFFF" w:themeColor="background1"/>
      </w:rPr>
      <w:tblPr/>
      <w:tcPr>
        <w:tcBorders>
          <w:left w:val="nil"/>
          <w:right w:val="nil"/>
          <w:insideH w:val="nil"/>
          <w:insideV w:val="nil"/>
        </w:tcBorders>
        <w:shd w:val="clear" w:color="auto" w:fill="3494B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21">
    <w:name w:val="Medium Shading 2 Accent 2"/>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8B6C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8B6C0" w:themeFill="accent2"/>
      </w:tcPr>
    </w:tblStylePr>
    <w:tblStylePr w:type="lastCol">
      <w:rPr>
        <w:b/>
        <w:bCs/>
        <w:color w:val="FFFFFF" w:themeColor="background1"/>
      </w:rPr>
      <w:tblPr/>
      <w:tcPr>
        <w:tcBorders>
          <w:left w:val="nil"/>
          <w:right w:val="nil"/>
          <w:insideH w:val="nil"/>
          <w:insideV w:val="nil"/>
        </w:tcBorders>
        <w:shd w:val="clear" w:color="auto" w:fill="58B6C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31">
    <w:name w:val="Medium Shading 2 Accent 3"/>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5BDA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5BDA7" w:themeFill="accent3"/>
      </w:tcPr>
    </w:tblStylePr>
    <w:tblStylePr w:type="lastCol">
      <w:rPr>
        <w:b/>
        <w:bCs/>
        <w:color w:val="FFFFFF" w:themeColor="background1"/>
      </w:rPr>
      <w:tblPr/>
      <w:tcPr>
        <w:tcBorders>
          <w:left w:val="nil"/>
          <w:right w:val="nil"/>
          <w:insideH w:val="nil"/>
          <w:insideV w:val="nil"/>
        </w:tcBorders>
        <w:shd w:val="clear" w:color="auto" w:fill="75BDA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41">
    <w:name w:val="Medium Shading 2 Accent 4"/>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8C8E"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A8C8E" w:themeFill="accent4"/>
      </w:tcPr>
    </w:tblStylePr>
    <w:tblStylePr w:type="lastCol">
      <w:rPr>
        <w:b/>
        <w:bCs/>
        <w:color w:val="FFFFFF" w:themeColor="background1"/>
      </w:rPr>
      <w:tblPr/>
      <w:tcPr>
        <w:tcBorders>
          <w:left w:val="nil"/>
          <w:right w:val="nil"/>
          <w:insideH w:val="nil"/>
          <w:insideV w:val="nil"/>
        </w:tcBorders>
        <w:shd w:val="clear" w:color="auto" w:fill="7A8C8E"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51">
    <w:name w:val="Medium Shading 2 Accent 5"/>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4ACB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4ACB6" w:themeFill="accent5"/>
      </w:tcPr>
    </w:tblStylePr>
    <w:tblStylePr w:type="lastCol">
      <w:rPr>
        <w:b/>
        <w:bCs/>
        <w:color w:val="FFFFFF" w:themeColor="background1"/>
      </w:rPr>
      <w:tblPr/>
      <w:tcPr>
        <w:tcBorders>
          <w:left w:val="nil"/>
          <w:right w:val="nil"/>
          <w:insideH w:val="nil"/>
          <w:insideV w:val="nil"/>
        </w:tcBorders>
        <w:shd w:val="clear" w:color="auto" w:fill="84AC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61">
    <w:name w:val="Medium Shading 2 Accent 6"/>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83C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683C6" w:themeFill="accent6"/>
      </w:tcPr>
    </w:tblStylePr>
    <w:tblStylePr w:type="lastCol">
      <w:rPr>
        <w:b/>
        <w:bCs/>
        <w:color w:val="FFFFFF" w:themeColor="background1"/>
      </w:rPr>
      <w:tblPr/>
      <w:tcPr>
        <w:tcBorders>
          <w:left w:val="nil"/>
          <w:right w:val="nil"/>
          <w:insideH w:val="nil"/>
          <w:insideV w:val="nil"/>
        </w:tcBorders>
        <w:shd w:val="clear" w:color="auto" w:fill="2683C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afffff3">
    <w:name w:val="No Spacing"/>
    <w:uiPriority w:val="1"/>
    <w:semiHidden/>
    <w:unhideWhenUsed/>
    <w:qFormat/>
    <w:rsid w:val="004230D9"/>
    <w:pPr>
      <w:spacing w:after="0" w:line="240" w:lineRule="auto"/>
    </w:pPr>
    <w:rPr>
      <w:rFonts w:ascii="Times New Roman" w:hAnsi="Times New Roman"/>
    </w:rPr>
  </w:style>
  <w:style w:type="paragraph" w:styleId="afffff4">
    <w:name w:val="Normal (Web)"/>
    <w:basedOn w:val="a2"/>
    <w:uiPriority w:val="99"/>
    <w:unhideWhenUsed/>
    <w:rsid w:val="004230D9"/>
  </w:style>
  <w:style w:type="paragraph" w:styleId="afffff5">
    <w:name w:val="Normal Indent"/>
    <w:basedOn w:val="a2"/>
    <w:uiPriority w:val="99"/>
    <w:semiHidden/>
    <w:unhideWhenUsed/>
    <w:rsid w:val="004230D9"/>
    <w:pPr>
      <w:ind w:left="708"/>
    </w:pPr>
  </w:style>
  <w:style w:type="character" w:styleId="afffff6">
    <w:name w:val="page number"/>
    <w:basedOn w:val="a3"/>
    <w:uiPriority w:val="99"/>
    <w:semiHidden/>
    <w:unhideWhenUsed/>
    <w:rsid w:val="004230D9"/>
    <w:rPr>
      <w:rFonts w:ascii="Times New Roman" w:hAnsi="Times New Roman" w:cs="Times New Roman"/>
    </w:rPr>
  </w:style>
  <w:style w:type="table" w:customStyle="1" w:styleId="110">
    <w:name w:val="Таблица простая 11"/>
    <w:basedOn w:val="a4"/>
    <w:uiPriority w:val="41"/>
    <w:rsid w:val="004230D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0">
    <w:name w:val="Таблица простая 21"/>
    <w:basedOn w:val="a4"/>
    <w:uiPriority w:val="42"/>
    <w:rsid w:val="004230D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310">
    <w:name w:val="Таблица простая 31"/>
    <w:basedOn w:val="a4"/>
    <w:uiPriority w:val="43"/>
    <w:rsid w:val="004230D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410">
    <w:name w:val="Таблица простая 41"/>
    <w:basedOn w:val="a4"/>
    <w:uiPriority w:val="44"/>
    <w:rsid w:val="004230D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510">
    <w:name w:val="Таблица простая 51"/>
    <w:basedOn w:val="a4"/>
    <w:uiPriority w:val="45"/>
    <w:rsid w:val="004230D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6">
    <w:name w:val="Table 3D effects 1"/>
    <w:basedOn w:val="a4"/>
    <w:uiPriority w:val="99"/>
    <w:semiHidden/>
    <w:unhideWhenUsed/>
    <w:rsid w:val="004230D9"/>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2">
    <w:name w:val="Table 3D effects 2"/>
    <w:basedOn w:val="a4"/>
    <w:uiPriority w:val="99"/>
    <w:semiHidden/>
    <w:unhideWhenUsed/>
    <w:rsid w:val="004230D9"/>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4"/>
    <w:uiPriority w:val="99"/>
    <w:semiHidden/>
    <w:unhideWhenUsed/>
    <w:rsid w:val="004230D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lassic 1"/>
    <w:basedOn w:val="a4"/>
    <w:uiPriority w:val="99"/>
    <w:semiHidden/>
    <w:unhideWhenUsed/>
    <w:rsid w:val="004230D9"/>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lassic 2"/>
    <w:basedOn w:val="a4"/>
    <w:uiPriority w:val="99"/>
    <w:semiHidden/>
    <w:unhideWhenUsed/>
    <w:rsid w:val="004230D9"/>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b">
    <w:name w:val="Table Classic 3"/>
    <w:basedOn w:val="a4"/>
    <w:uiPriority w:val="99"/>
    <w:semiHidden/>
    <w:unhideWhenUsed/>
    <w:rsid w:val="004230D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4"/>
    <w:uiPriority w:val="99"/>
    <w:semiHidden/>
    <w:unhideWhenUsed/>
    <w:rsid w:val="004230D9"/>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8">
    <w:name w:val="Table Colorful 1"/>
    <w:basedOn w:val="a4"/>
    <w:uiPriority w:val="99"/>
    <w:semiHidden/>
    <w:unhideWhenUsed/>
    <w:rsid w:val="004230D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4">
    <w:name w:val="Table Colorful 2"/>
    <w:basedOn w:val="a4"/>
    <w:uiPriority w:val="99"/>
    <w:semiHidden/>
    <w:unhideWhenUsed/>
    <w:rsid w:val="004230D9"/>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4"/>
    <w:uiPriority w:val="99"/>
    <w:semiHidden/>
    <w:unhideWhenUsed/>
    <w:rsid w:val="004230D9"/>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Columns 1"/>
    <w:basedOn w:val="a4"/>
    <w:uiPriority w:val="99"/>
    <w:semiHidden/>
    <w:unhideWhenUsed/>
    <w:rsid w:val="004230D9"/>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4"/>
    <w:uiPriority w:val="99"/>
    <w:semiHidden/>
    <w:unhideWhenUsed/>
    <w:rsid w:val="004230D9"/>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Columns 3"/>
    <w:basedOn w:val="a4"/>
    <w:uiPriority w:val="99"/>
    <w:semiHidden/>
    <w:unhideWhenUsed/>
    <w:rsid w:val="004230D9"/>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4"/>
    <w:uiPriority w:val="99"/>
    <w:semiHidden/>
    <w:unhideWhenUsed/>
    <w:rsid w:val="004230D9"/>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4"/>
    <w:uiPriority w:val="99"/>
    <w:semiHidden/>
    <w:unhideWhenUsed/>
    <w:rsid w:val="004230D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f7">
    <w:name w:val="Table Contemporary"/>
    <w:basedOn w:val="a4"/>
    <w:uiPriority w:val="99"/>
    <w:semiHidden/>
    <w:unhideWhenUsed/>
    <w:rsid w:val="004230D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8">
    <w:name w:val="Table Elegant"/>
    <w:basedOn w:val="a4"/>
    <w:uiPriority w:val="99"/>
    <w:semiHidden/>
    <w:unhideWhenUsed/>
    <w:rsid w:val="004230D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ff9">
    <w:name w:val="Table Grid"/>
    <w:basedOn w:val="a4"/>
    <w:uiPriority w:val="59"/>
    <w:rsid w:val="004230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a">
    <w:name w:val="Table Grid 1"/>
    <w:basedOn w:val="a4"/>
    <w:uiPriority w:val="99"/>
    <w:semiHidden/>
    <w:unhideWhenUsed/>
    <w:rsid w:val="004230D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4"/>
    <w:uiPriority w:val="99"/>
    <w:semiHidden/>
    <w:unhideWhenUsed/>
    <w:rsid w:val="004230D9"/>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e">
    <w:name w:val="Table Grid 3"/>
    <w:basedOn w:val="a4"/>
    <w:uiPriority w:val="99"/>
    <w:semiHidden/>
    <w:unhideWhenUsed/>
    <w:rsid w:val="004230D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8">
    <w:name w:val="Table Grid 4"/>
    <w:basedOn w:val="a4"/>
    <w:uiPriority w:val="99"/>
    <w:semiHidden/>
    <w:unhideWhenUsed/>
    <w:rsid w:val="004230D9"/>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7">
    <w:name w:val="Table Grid 5"/>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uiPriority w:val="99"/>
    <w:semiHidden/>
    <w:unhideWhenUsed/>
    <w:rsid w:val="004230D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uiPriority w:val="99"/>
    <w:semiHidden/>
    <w:unhideWhenUsed/>
    <w:rsid w:val="004230D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b">
    <w:name w:val="Сетка таблицы светлая1"/>
    <w:basedOn w:val="a4"/>
    <w:uiPriority w:val="40"/>
    <w:rsid w:val="004230D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6">
    <w:name w:val="Table List 1"/>
    <w:basedOn w:val="a4"/>
    <w:uiPriority w:val="99"/>
    <w:semiHidden/>
    <w:unhideWhenUsed/>
    <w:rsid w:val="004230D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List 2"/>
    <w:basedOn w:val="a4"/>
    <w:uiPriority w:val="99"/>
    <w:semiHidden/>
    <w:unhideWhenUsed/>
    <w:rsid w:val="004230D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List 3"/>
    <w:basedOn w:val="a4"/>
    <w:uiPriority w:val="99"/>
    <w:semiHidden/>
    <w:unhideWhenUsed/>
    <w:rsid w:val="004230D9"/>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4"/>
    <w:uiPriority w:val="99"/>
    <w:semiHidden/>
    <w:unhideWhenUsed/>
    <w:rsid w:val="004230D9"/>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6">
    <w:name w:val="Table List 6"/>
    <w:basedOn w:val="a4"/>
    <w:uiPriority w:val="99"/>
    <w:semiHidden/>
    <w:unhideWhenUsed/>
    <w:rsid w:val="004230D9"/>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uiPriority w:val="99"/>
    <w:semiHidden/>
    <w:unhideWhenUsed/>
    <w:rsid w:val="004230D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uiPriority w:val="99"/>
    <w:semiHidden/>
    <w:unhideWhenUsed/>
    <w:rsid w:val="004230D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fa">
    <w:name w:val="table of authorities"/>
    <w:basedOn w:val="a2"/>
    <w:next w:val="a2"/>
    <w:uiPriority w:val="99"/>
    <w:semiHidden/>
    <w:unhideWhenUsed/>
    <w:rsid w:val="004230D9"/>
    <w:pPr>
      <w:ind w:left="240" w:hanging="240"/>
    </w:pPr>
  </w:style>
  <w:style w:type="paragraph" w:styleId="afffffb">
    <w:name w:val="table of figures"/>
    <w:basedOn w:val="a2"/>
    <w:next w:val="a2"/>
    <w:uiPriority w:val="99"/>
    <w:semiHidden/>
    <w:unhideWhenUsed/>
    <w:rsid w:val="004230D9"/>
  </w:style>
  <w:style w:type="table" w:styleId="afffffc">
    <w:name w:val="Table Professional"/>
    <w:basedOn w:val="a4"/>
    <w:uiPriority w:val="99"/>
    <w:semiHidden/>
    <w:unhideWhenUsed/>
    <w:rsid w:val="004230D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c">
    <w:name w:val="Table Simple 1"/>
    <w:basedOn w:val="a4"/>
    <w:uiPriority w:val="99"/>
    <w:semiHidden/>
    <w:unhideWhenUsed/>
    <w:rsid w:val="004230D9"/>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uiPriority w:val="99"/>
    <w:semiHidden/>
    <w:unhideWhenUsed/>
    <w:rsid w:val="004230D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
    <w:name w:val="Table Simple 3"/>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d">
    <w:name w:val="Table Subtle 1"/>
    <w:basedOn w:val="a4"/>
    <w:uiPriority w:val="99"/>
    <w:semiHidden/>
    <w:unhideWhenUsed/>
    <w:rsid w:val="004230D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Subtle 2"/>
    <w:basedOn w:val="a4"/>
    <w:uiPriority w:val="99"/>
    <w:semiHidden/>
    <w:unhideWhenUsed/>
    <w:rsid w:val="004230D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d">
    <w:name w:val="Table Theme"/>
    <w:basedOn w:val="a4"/>
    <w:uiPriority w:val="99"/>
    <w:semiHidden/>
    <w:unhideWhenUsed/>
    <w:rsid w:val="00423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7">
    <w:name w:val="Table Web 1"/>
    <w:basedOn w:val="a4"/>
    <w:uiPriority w:val="99"/>
    <w:semiHidden/>
    <w:unhideWhenUsed/>
    <w:rsid w:val="004230D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7">
    <w:name w:val="Table Web 2"/>
    <w:basedOn w:val="a4"/>
    <w:uiPriority w:val="99"/>
    <w:semiHidden/>
    <w:unhideWhenUsed/>
    <w:rsid w:val="004230D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7">
    <w:name w:val="Table Web 3"/>
    <w:basedOn w:val="a4"/>
    <w:uiPriority w:val="99"/>
    <w:semiHidden/>
    <w:unhideWhenUsed/>
    <w:rsid w:val="004230D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fe">
    <w:name w:val="toa heading"/>
    <w:basedOn w:val="a2"/>
    <w:next w:val="a2"/>
    <w:uiPriority w:val="99"/>
    <w:semiHidden/>
    <w:unhideWhenUsed/>
    <w:rsid w:val="004230D9"/>
    <w:pPr>
      <w:spacing w:before="120"/>
    </w:pPr>
    <w:rPr>
      <w:rFonts w:ascii="Arial" w:eastAsiaTheme="majorEastAsia" w:hAnsi="Arial" w:cs="Arial"/>
      <w:b/>
      <w:bCs/>
    </w:rPr>
  </w:style>
  <w:style w:type="paragraph" w:styleId="2f9">
    <w:name w:val="toc 2"/>
    <w:basedOn w:val="a2"/>
    <w:next w:val="a2"/>
    <w:autoRedefine/>
    <w:uiPriority w:val="39"/>
    <w:unhideWhenUsed/>
    <w:rsid w:val="004230D9"/>
    <w:pPr>
      <w:spacing w:after="100"/>
      <w:ind w:left="240"/>
    </w:pPr>
  </w:style>
  <w:style w:type="paragraph" w:styleId="3f0">
    <w:name w:val="toc 3"/>
    <w:basedOn w:val="a2"/>
    <w:next w:val="a2"/>
    <w:autoRedefine/>
    <w:uiPriority w:val="39"/>
    <w:unhideWhenUsed/>
    <w:rsid w:val="004230D9"/>
    <w:pPr>
      <w:spacing w:after="100"/>
      <w:ind w:left="480"/>
    </w:pPr>
  </w:style>
  <w:style w:type="paragraph" w:styleId="49">
    <w:name w:val="toc 4"/>
    <w:basedOn w:val="a2"/>
    <w:next w:val="a2"/>
    <w:autoRedefine/>
    <w:uiPriority w:val="39"/>
    <w:unhideWhenUsed/>
    <w:rsid w:val="004230D9"/>
    <w:pPr>
      <w:spacing w:after="100"/>
      <w:ind w:left="720"/>
    </w:pPr>
  </w:style>
  <w:style w:type="paragraph" w:styleId="58">
    <w:name w:val="toc 5"/>
    <w:basedOn w:val="a2"/>
    <w:next w:val="a2"/>
    <w:autoRedefine/>
    <w:uiPriority w:val="39"/>
    <w:unhideWhenUsed/>
    <w:rsid w:val="004230D9"/>
    <w:pPr>
      <w:spacing w:after="100"/>
      <w:ind w:left="960"/>
    </w:pPr>
  </w:style>
  <w:style w:type="paragraph" w:styleId="63">
    <w:name w:val="toc 6"/>
    <w:basedOn w:val="a2"/>
    <w:next w:val="a2"/>
    <w:autoRedefine/>
    <w:uiPriority w:val="39"/>
    <w:unhideWhenUsed/>
    <w:rsid w:val="004230D9"/>
    <w:pPr>
      <w:spacing w:after="100"/>
      <w:ind w:left="1200"/>
    </w:pPr>
  </w:style>
  <w:style w:type="paragraph" w:styleId="73">
    <w:name w:val="toc 7"/>
    <w:basedOn w:val="a2"/>
    <w:next w:val="a2"/>
    <w:autoRedefine/>
    <w:uiPriority w:val="39"/>
    <w:unhideWhenUsed/>
    <w:rsid w:val="004230D9"/>
    <w:pPr>
      <w:spacing w:after="100"/>
      <w:ind w:left="1440"/>
    </w:pPr>
  </w:style>
  <w:style w:type="paragraph" w:styleId="83">
    <w:name w:val="toc 8"/>
    <w:basedOn w:val="a2"/>
    <w:next w:val="a2"/>
    <w:autoRedefine/>
    <w:uiPriority w:val="39"/>
    <w:unhideWhenUsed/>
    <w:rsid w:val="004230D9"/>
    <w:pPr>
      <w:spacing w:after="100"/>
      <w:ind w:left="1680"/>
    </w:pPr>
  </w:style>
  <w:style w:type="character" w:customStyle="1" w:styleId="a8">
    <w:name w:val="Дата Знак"/>
    <w:basedOn w:val="a3"/>
    <w:link w:val="a7"/>
    <w:uiPriority w:val="10"/>
    <w:rsid w:val="00C47362"/>
    <w:rPr>
      <w:rFonts w:ascii="Times New Roman" w:hAnsi="Times New Roman"/>
    </w:rPr>
  </w:style>
  <w:style w:type="paragraph" w:customStyle="1" w:styleId="affffff">
    <w:name w:val="МестоДатаВремя"/>
    <w:basedOn w:val="a2"/>
    <w:qFormat/>
    <w:rsid w:val="00F50B79"/>
    <w:pPr>
      <w:framePr w:wrap="around" w:vAnchor="page" w:hAnchor="text" w:xAlign="right" w:y="318"/>
      <w:spacing w:line="220" w:lineRule="exact"/>
      <w:ind w:left="431" w:hanging="431"/>
    </w:pPr>
    <w:rPr>
      <w:rFonts w:asciiTheme="majorHAnsi" w:hAnsiTheme="majorHAnsi"/>
      <w:color w:val="FFFFFF" w:themeColor="background1"/>
      <w:sz w:val="16"/>
    </w:rPr>
  </w:style>
  <w:style w:type="numbering" w:customStyle="1" w:styleId="1e">
    <w:name w:val="Нет списка1"/>
    <w:next w:val="a5"/>
    <w:uiPriority w:val="99"/>
    <w:semiHidden/>
    <w:unhideWhenUsed/>
    <w:rsid w:val="00FA3FA4"/>
  </w:style>
  <w:style w:type="character" w:customStyle="1" w:styleId="10">
    <w:name w:val="Заголовок 1 Знак"/>
    <w:basedOn w:val="a3"/>
    <w:link w:val="1"/>
    <w:uiPriority w:val="9"/>
    <w:rsid w:val="00FA3FA4"/>
    <w:rPr>
      <w:rFonts w:asciiTheme="majorHAnsi" w:hAnsiTheme="majorHAnsi" w:cs="Arial"/>
      <w:b/>
      <w:bCs/>
      <w:kern w:val="32"/>
      <w:sz w:val="32"/>
      <w:szCs w:val="32"/>
      <w:lang w:eastAsia="ru-RU"/>
    </w:rPr>
  </w:style>
  <w:style w:type="character" w:customStyle="1" w:styleId="22">
    <w:name w:val="Заголовок 2 Знак"/>
    <w:basedOn w:val="a3"/>
    <w:link w:val="21"/>
    <w:uiPriority w:val="9"/>
    <w:rsid w:val="00FA3FA4"/>
    <w:rPr>
      <w:rFonts w:ascii="Arial" w:hAnsi="Arial" w:cs="Arial"/>
      <w:b/>
      <w:bCs/>
      <w:iCs/>
      <w:sz w:val="20"/>
      <w:szCs w:val="28"/>
      <w:lang w:eastAsia="ru-RU"/>
    </w:rPr>
  </w:style>
  <w:style w:type="numbering" w:customStyle="1" w:styleId="111">
    <w:name w:val="Нет списка11"/>
    <w:next w:val="a5"/>
    <w:uiPriority w:val="99"/>
    <w:semiHidden/>
    <w:unhideWhenUsed/>
    <w:rsid w:val="00FA3FA4"/>
  </w:style>
  <w:style w:type="paragraph" w:customStyle="1" w:styleId="FR1">
    <w:name w:val="FR1"/>
    <w:uiPriority w:val="99"/>
    <w:rsid w:val="00FA3FA4"/>
    <w:pPr>
      <w:widowControl w:val="0"/>
      <w:spacing w:after="0" w:line="240" w:lineRule="auto"/>
      <w:ind w:left="0"/>
      <w:jc w:val="center"/>
    </w:pPr>
    <w:rPr>
      <w:rFonts w:ascii="Arial" w:hAnsi="Arial"/>
      <w:b/>
      <w:sz w:val="16"/>
      <w:szCs w:val="20"/>
      <w:lang w:eastAsia="ru-RU"/>
    </w:rPr>
  </w:style>
  <w:style w:type="paragraph" w:customStyle="1" w:styleId="FR2">
    <w:name w:val="FR2"/>
    <w:uiPriority w:val="99"/>
    <w:rsid w:val="00FA3FA4"/>
    <w:pPr>
      <w:widowControl w:val="0"/>
      <w:spacing w:after="0" w:line="240" w:lineRule="auto"/>
      <w:ind w:left="0"/>
      <w:jc w:val="both"/>
    </w:pPr>
    <w:rPr>
      <w:rFonts w:ascii="Arial" w:hAnsi="Arial"/>
      <w:sz w:val="12"/>
      <w:szCs w:val="20"/>
      <w:lang w:eastAsia="ru-RU"/>
    </w:rPr>
  </w:style>
  <w:style w:type="paragraph" w:customStyle="1" w:styleId="FR3">
    <w:name w:val="FR3"/>
    <w:uiPriority w:val="99"/>
    <w:rsid w:val="00FA3FA4"/>
    <w:pPr>
      <w:widowControl w:val="0"/>
      <w:autoSpaceDE w:val="0"/>
      <w:autoSpaceDN w:val="0"/>
      <w:adjustRightInd w:val="0"/>
      <w:spacing w:after="0" w:line="240" w:lineRule="auto"/>
      <w:ind w:left="0" w:right="200"/>
      <w:jc w:val="center"/>
    </w:pPr>
    <w:rPr>
      <w:rFonts w:ascii="Arial" w:hAnsi="Arial" w:cs="Arial"/>
      <w:sz w:val="12"/>
      <w:szCs w:val="12"/>
      <w:lang w:eastAsia="ru-RU"/>
    </w:rPr>
  </w:style>
  <w:style w:type="paragraph" w:customStyle="1" w:styleId="heading2">
    <w:name w:val="heading2"/>
    <w:basedOn w:val="a2"/>
    <w:rsid w:val="00FA3FA4"/>
    <w:pPr>
      <w:widowControl/>
      <w:autoSpaceDE/>
      <w:autoSpaceDN/>
      <w:adjustRightInd/>
      <w:spacing w:before="100" w:beforeAutospacing="1" w:after="100" w:afterAutospacing="1"/>
    </w:pPr>
    <w:rPr>
      <w:sz w:val="36"/>
      <w:szCs w:val="36"/>
    </w:rPr>
  </w:style>
  <w:style w:type="paragraph" w:customStyle="1" w:styleId="author">
    <w:name w:val="author"/>
    <w:basedOn w:val="a2"/>
    <w:rsid w:val="00FA3FA4"/>
    <w:pPr>
      <w:widowControl/>
      <w:autoSpaceDE/>
      <w:autoSpaceDN/>
      <w:adjustRightInd/>
      <w:spacing w:before="100" w:beforeAutospacing="1" w:after="100" w:afterAutospacing="1"/>
      <w:jc w:val="right"/>
    </w:pPr>
    <w:rPr>
      <w:sz w:val="27"/>
      <w:szCs w:val="27"/>
    </w:rPr>
  </w:style>
  <w:style w:type="paragraph" w:customStyle="1" w:styleId="authors">
    <w:name w:val="authors"/>
    <w:basedOn w:val="a2"/>
    <w:rsid w:val="00FA3FA4"/>
    <w:pPr>
      <w:widowControl/>
      <w:autoSpaceDE/>
      <w:autoSpaceDN/>
      <w:adjustRightInd/>
      <w:spacing w:before="100" w:beforeAutospacing="1"/>
    </w:pPr>
    <w:rPr>
      <w:sz w:val="24"/>
      <w:szCs w:val="24"/>
    </w:rPr>
  </w:style>
  <w:style w:type="paragraph" w:customStyle="1" w:styleId="level00">
    <w:name w:val="level00"/>
    <w:basedOn w:val="a2"/>
    <w:rsid w:val="00FA3FA4"/>
    <w:pPr>
      <w:widowControl/>
      <w:autoSpaceDE/>
      <w:autoSpaceDN/>
      <w:adjustRightInd/>
      <w:spacing w:before="100" w:beforeAutospacing="1" w:after="100" w:afterAutospacing="1"/>
    </w:pPr>
    <w:rPr>
      <w:sz w:val="24"/>
      <w:szCs w:val="24"/>
    </w:rPr>
  </w:style>
  <w:style w:type="paragraph" w:customStyle="1" w:styleId="heading1">
    <w:name w:val="heading1"/>
    <w:basedOn w:val="a2"/>
    <w:rsid w:val="00FA3FA4"/>
    <w:pPr>
      <w:widowControl/>
      <w:autoSpaceDE/>
      <w:autoSpaceDN/>
      <w:adjustRightInd/>
      <w:spacing w:before="100" w:beforeAutospacing="1" w:after="100" w:afterAutospacing="1"/>
    </w:pPr>
    <w:rPr>
      <w:sz w:val="48"/>
      <w:szCs w:val="48"/>
    </w:rPr>
  </w:style>
  <w:style w:type="paragraph" w:customStyle="1" w:styleId="literature">
    <w:name w:val="literature"/>
    <w:basedOn w:val="a2"/>
    <w:rsid w:val="00FA3FA4"/>
    <w:pPr>
      <w:widowControl/>
      <w:autoSpaceDE/>
      <w:autoSpaceDN/>
      <w:adjustRightInd/>
      <w:spacing w:before="30"/>
      <w:ind w:left="300" w:hanging="300"/>
    </w:pPr>
    <w:rPr>
      <w:sz w:val="24"/>
      <w:szCs w:val="24"/>
    </w:rPr>
  </w:style>
  <w:style w:type="paragraph" w:customStyle="1" w:styleId="level10">
    <w:name w:val="level10"/>
    <w:basedOn w:val="a2"/>
    <w:rsid w:val="00FA3FA4"/>
    <w:pPr>
      <w:widowControl/>
      <w:autoSpaceDE/>
      <w:autoSpaceDN/>
      <w:adjustRightInd/>
      <w:spacing w:before="30"/>
      <w:ind w:left="300" w:hanging="300"/>
    </w:pPr>
    <w:rPr>
      <w:sz w:val="24"/>
      <w:szCs w:val="24"/>
    </w:rPr>
  </w:style>
  <w:style w:type="paragraph" w:customStyle="1" w:styleId="level11">
    <w:name w:val="level11"/>
    <w:basedOn w:val="a2"/>
    <w:rsid w:val="00FA3FA4"/>
    <w:pPr>
      <w:widowControl/>
      <w:autoSpaceDE/>
      <w:autoSpaceDN/>
      <w:adjustRightInd/>
      <w:spacing w:before="30"/>
      <w:ind w:left="300"/>
    </w:pPr>
    <w:rPr>
      <w:sz w:val="24"/>
      <w:szCs w:val="24"/>
    </w:rPr>
  </w:style>
  <w:style w:type="paragraph" w:customStyle="1" w:styleId="level20">
    <w:name w:val="level20"/>
    <w:basedOn w:val="a2"/>
    <w:rsid w:val="00FA3FA4"/>
    <w:pPr>
      <w:widowControl/>
      <w:autoSpaceDE/>
      <w:autoSpaceDN/>
      <w:adjustRightInd/>
      <w:spacing w:before="30"/>
      <w:ind w:left="600" w:hanging="300"/>
    </w:pPr>
    <w:rPr>
      <w:sz w:val="24"/>
      <w:szCs w:val="24"/>
    </w:rPr>
  </w:style>
  <w:style w:type="paragraph" w:customStyle="1" w:styleId="level21">
    <w:name w:val="level21"/>
    <w:basedOn w:val="a2"/>
    <w:rsid w:val="00FA3FA4"/>
    <w:pPr>
      <w:widowControl/>
      <w:autoSpaceDE/>
      <w:autoSpaceDN/>
      <w:adjustRightInd/>
      <w:spacing w:before="30"/>
      <w:ind w:left="600"/>
    </w:pPr>
    <w:rPr>
      <w:sz w:val="24"/>
      <w:szCs w:val="24"/>
    </w:rPr>
  </w:style>
  <w:style w:type="paragraph" w:customStyle="1" w:styleId="level30">
    <w:name w:val="level30"/>
    <w:basedOn w:val="a2"/>
    <w:rsid w:val="00FA3FA4"/>
    <w:pPr>
      <w:widowControl/>
      <w:autoSpaceDE/>
      <w:autoSpaceDN/>
      <w:adjustRightInd/>
      <w:spacing w:before="30"/>
      <w:ind w:left="900" w:hanging="300"/>
    </w:pPr>
    <w:rPr>
      <w:sz w:val="24"/>
      <w:szCs w:val="24"/>
    </w:rPr>
  </w:style>
  <w:style w:type="paragraph" w:customStyle="1" w:styleId="level40">
    <w:name w:val="level40"/>
    <w:basedOn w:val="a2"/>
    <w:rsid w:val="00FA3FA4"/>
    <w:pPr>
      <w:widowControl/>
      <w:autoSpaceDE/>
      <w:autoSpaceDN/>
      <w:adjustRightInd/>
      <w:spacing w:before="30"/>
      <w:ind w:left="1200" w:hanging="300"/>
    </w:pPr>
    <w:rPr>
      <w:sz w:val="24"/>
      <w:szCs w:val="24"/>
    </w:rPr>
  </w:style>
  <w:style w:type="paragraph" w:customStyle="1" w:styleId="level50">
    <w:name w:val="level50"/>
    <w:basedOn w:val="a2"/>
    <w:rsid w:val="00FA3FA4"/>
    <w:pPr>
      <w:widowControl/>
      <w:autoSpaceDE/>
      <w:autoSpaceDN/>
      <w:adjustRightInd/>
      <w:spacing w:before="30"/>
      <w:ind w:left="1500" w:hanging="300"/>
    </w:pPr>
    <w:rPr>
      <w:sz w:val="24"/>
      <w:szCs w:val="24"/>
    </w:rPr>
  </w:style>
  <w:style w:type="paragraph" w:customStyle="1" w:styleId="level31">
    <w:name w:val="level31"/>
    <w:basedOn w:val="a2"/>
    <w:rsid w:val="00FA3FA4"/>
    <w:pPr>
      <w:widowControl/>
      <w:autoSpaceDE/>
      <w:autoSpaceDN/>
      <w:adjustRightInd/>
      <w:spacing w:before="30"/>
      <w:ind w:left="900"/>
    </w:pPr>
    <w:rPr>
      <w:sz w:val="24"/>
      <w:szCs w:val="24"/>
    </w:rPr>
  </w:style>
  <w:style w:type="paragraph" w:customStyle="1" w:styleId="level60">
    <w:name w:val="level60"/>
    <w:basedOn w:val="a2"/>
    <w:rsid w:val="00FA3FA4"/>
    <w:pPr>
      <w:widowControl/>
      <w:autoSpaceDE/>
      <w:autoSpaceDN/>
      <w:adjustRightInd/>
      <w:spacing w:before="30"/>
      <w:ind w:left="1800" w:hanging="300"/>
    </w:pPr>
    <w:rPr>
      <w:sz w:val="24"/>
      <w:szCs w:val="24"/>
    </w:rPr>
  </w:style>
  <w:style w:type="paragraph" w:customStyle="1" w:styleId="level41">
    <w:name w:val="level41"/>
    <w:basedOn w:val="a2"/>
    <w:rsid w:val="00FA3FA4"/>
    <w:pPr>
      <w:widowControl/>
      <w:autoSpaceDE/>
      <w:autoSpaceDN/>
      <w:adjustRightInd/>
      <w:spacing w:before="30"/>
      <w:ind w:left="1200"/>
    </w:pPr>
    <w:rPr>
      <w:sz w:val="24"/>
      <w:szCs w:val="24"/>
    </w:rPr>
  </w:style>
  <w:style w:type="paragraph" w:customStyle="1" w:styleId="level51">
    <w:name w:val="level51"/>
    <w:basedOn w:val="a2"/>
    <w:rsid w:val="00FA3FA4"/>
    <w:pPr>
      <w:widowControl/>
      <w:autoSpaceDE/>
      <w:autoSpaceDN/>
      <w:adjustRightInd/>
      <w:spacing w:before="30"/>
      <w:ind w:left="1500"/>
    </w:pPr>
    <w:rPr>
      <w:sz w:val="24"/>
      <w:szCs w:val="24"/>
    </w:rPr>
  </w:style>
  <w:style w:type="paragraph" w:customStyle="1" w:styleId="level61">
    <w:name w:val="level61"/>
    <w:basedOn w:val="a2"/>
    <w:rsid w:val="00FA3FA4"/>
    <w:pPr>
      <w:widowControl/>
      <w:autoSpaceDE/>
      <w:autoSpaceDN/>
      <w:adjustRightInd/>
      <w:spacing w:before="30"/>
      <w:ind w:left="1800"/>
    </w:pPr>
    <w:rPr>
      <w:sz w:val="24"/>
      <w:szCs w:val="24"/>
    </w:rPr>
  </w:style>
  <w:style w:type="paragraph" w:customStyle="1" w:styleId="tblnorm">
    <w:name w:val="tblnorm"/>
    <w:basedOn w:val="a2"/>
    <w:rsid w:val="00FA3FA4"/>
    <w:pPr>
      <w:widowControl/>
      <w:autoSpaceDE/>
      <w:autoSpaceDN/>
      <w:adjustRightInd/>
    </w:pPr>
    <w:rPr>
      <w:sz w:val="24"/>
      <w:szCs w:val="24"/>
    </w:rPr>
  </w:style>
  <w:style w:type="paragraph" w:customStyle="1" w:styleId="tblshift">
    <w:name w:val="tblshift"/>
    <w:basedOn w:val="a2"/>
    <w:rsid w:val="00FA3FA4"/>
    <w:pPr>
      <w:widowControl/>
      <w:autoSpaceDE/>
      <w:autoSpaceDN/>
      <w:adjustRightInd/>
      <w:ind w:left="300"/>
    </w:pPr>
    <w:rPr>
      <w:sz w:val="24"/>
      <w:szCs w:val="24"/>
    </w:rPr>
  </w:style>
  <w:style w:type="paragraph" w:customStyle="1" w:styleId="figurelegend">
    <w:name w:val="figurelegend"/>
    <w:basedOn w:val="a2"/>
    <w:rsid w:val="00FA3FA4"/>
    <w:pPr>
      <w:widowControl/>
      <w:autoSpaceDE/>
      <w:autoSpaceDN/>
      <w:adjustRightInd/>
      <w:spacing w:before="100" w:beforeAutospacing="1" w:after="100" w:afterAutospacing="1"/>
    </w:pPr>
    <w:rPr>
      <w:sz w:val="24"/>
      <w:szCs w:val="24"/>
    </w:rPr>
  </w:style>
  <w:style w:type="paragraph" w:customStyle="1" w:styleId="tblshift1">
    <w:name w:val="tblshift1"/>
    <w:basedOn w:val="a2"/>
    <w:rsid w:val="00FA3FA4"/>
    <w:pPr>
      <w:widowControl/>
      <w:autoSpaceDE/>
      <w:autoSpaceDN/>
      <w:adjustRightInd/>
      <w:ind w:left="600"/>
    </w:pPr>
    <w:rPr>
      <w:sz w:val="24"/>
      <w:szCs w:val="24"/>
    </w:rPr>
  </w:style>
  <w:style w:type="paragraph" w:customStyle="1" w:styleId="1f">
    <w:name w:val="Стиль1"/>
    <w:basedOn w:val="afb"/>
    <w:link w:val="1f0"/>
    <w:qFormat/>
    <w:rsid w:val="00FA3FA4"/>
    <w:pPr>
      <w:keepLines/>
      <w:framePr w:wrap="auto" w:vAnchor="margin" w:yAlign="inline"/>
      <w:widowControl/>
      <w:autoSpaceDE/>
      <w:autoSpaceDN/>
      <w:adjustRightInd/>
      <w:spacing w:after="0" w:line="276" w:lineRule="auto"/>
      <w:contextualSpacing w:val="0"/>
      <w:jc w:val="left"/>
      <w:outlineLvl w:val="9"/>
    </w:pPr>
    <w:rPr>
      <w:rFonts w:ascii="Cambria" w:hAnsi="Cambria"/>
    </w:rPr>
  </w:style>
  <w:style w:type="character" w:customStyle="1" w:styleId="afc">
    <w:name w:val="Заголовок оглавления Знак"/>
    <w:basedOn w:val="10"/>
    <w:link w:val="afb"/>
    <w:uiPriority w:val="39"/>
    <w:rsid w:val="00FA3FA4"/>
    <w:rPr>
      <w:rFonts w:asciiTheme="majorHAnsi" w:eastAsiaTheme="majorEastAsia" w:hAnsiTheme="majorHAnsi" w:cs="Arial"/>
      <w:b/>
      <w:bCs w:val="0"/>
      <w:kern w:val="32"/>
      <w:sz w:val="32"/>
      <w:szCs w:val="32"/>
      <w:lang w:eastAsia="ru-RU"/>
    </w:rPr>
  </w:style>
  <w:style w:type="character" w:customStyle="1" w:styleId="1f0">
    <w:name w:val="Стиль1 Знак"/>
    <w:basedOn w:val="afc"/>
    <w:link w:val="1f"/>
    <w:rsid w:val="00FA3FA4"/>
    <w:rPr>
      <w:rFonts w:ascii="Cambria" w:eastAsiaTheme="majorEastAsia" w:hAnsi="Cambria" w:cs="Arial"/>
      <w:b/>
      <w:bCs w:val="0"/>
      <w:kern w:val="32"/>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03390">
      <w:bodyDiv w:val="1"/>
      <w:marLeft w:val="0"/>
      <w:marRight w:val="0"/>
      <w:marTop w:val="0"/>
      <w:marBottom w:val="0"/>
      <w:divBdr>
        <w:top w:val="none" w:sz="0" w:space="0" w:color="auto"/>
        <w:left w:val="none" w:sz="0" w:space="0" w:color="auto"/>
        <w:bottom w:val="none" w:sz="0" w:space="0" w:color="auto"/>
        <w:right w:val="none" w:sz="0" w:space="0" w:color="auto"/>
      </w:divBdr>
    </w:div>
    <w:div w:id="570389781">
      <w:bodyDiv w:val="1"/>
      <w:marLeft w:val="0"/>
      <w:marRight w:val="0"/>
      <w:marTop w:val="0"/>
      <w:marBottom w:val="0"/>
      <w:divBdr>
        <w:top w:val="none" w:sz="0" w:space="0" w:color="auto"/>
        <w:left w:val="none" w:sz="0" w:space="0" w:color="auto"/>
        <w:bottom w:val="none" w:sz="0" w:space="0" w:color="auto"/>
        <w:right w:val="none" w:sz="0" w:space="0" w:color="auto"/>
      </w:divBdr>
      <w:divsChild>
        <w:div w:id="1335646927">
          <w:marLeft w:val="547"/>
          <w:marRight w:val="0"/>
          <w:marTop w:val="115"/>
          <w:marBottom w:val="0"/>
          <w:divBdr>
            <w:top w:val="none" w:sz="0" w:space="0" w:color="auto"/>
            <w:left w:val="none" w:sz="0" w:space="0" w:color="auto"/>
            <w:bottom w:val="none" w:sz="0" w:space="0" w:color="auto"/>
            <w:right w:val="none" w:sz="0" w:space="0" w:color="auto"/>
          </w:divBdr>
        </w:div>
        <w:div w:id="1487279069">
          <w:marLeft w:val="547"/>
          <w:marRight w:val="0"/>
          <w:marTop w:val="115"/>
          <w:marBottom w:val="0"/>
          <w:divBdr>
            <w:top w:val="none" w:sz="0" w:space="0" w:color="auto"/>
            <w:left w:val="none" w:sz="0" w:space="0" w:color="auto"/>
            <w:bottom w:val="none" w:sz="0" w:space="0" w:color="auto"/>
            <w:right w:val="none" w:sz="0" w:space="0" w:color="auto"/>
          </w:divBdr>
        </w:div>
        <w:div w:id="561794560">
          <w:marLeft w:val="547"/>
          <w:marRight w:val="0"/>
          <w:marTop w:val="115"/>
          <w:marBottom w:val="0"/>
          <w:divBdr>
            <w:top w:val="none" w:sz="0" w:space="0" w:color="auto"/>
            <w:left w:val="none" w:sz="0" w:space="0" w:color="auto"/>
            <w:bottom w:val="none" w:sz="0" w:space="0" w:color="auto"/>
            <w:right w:val="none" w:sz="0" w:space="0" w:color="auto"/>
          </w:divBdr>
        </w:div>
        <w:div w:id="734931193">
          <w:marLeft w:val="547"/>
          <w:marRight w:val="0"/>
          <w:marTop w:val="115"/>
          <w:marBottom w:val="0"/>
          <w:divBdr>
            <w:top w:val="none" w:sz="0" w:space="0" w:color="auto"/>
            <w:left w:val="none" w:sz="0" w:space="0" w:color="auto"/>
            <w:bottom w:val="none" w:sz="0" w:space="0" w:color="auto"/>
            <w:right w:val="none" w:sz="0" w:space="0" w:color="auto"/>
          </w:divBdr>
        </w:div>
        <w:div w:id="1064332117">
          <w:marLeft w:val="547"/>
          <w:marRight w:val="0"/>
          <w:marTop w:val="115"/>
          <w:marBottom w:val="0"/>
          <w:divBdr>
            <w:top w:val="none" w:sz="0" w:space="0" w:color="auto"/>
            <w:left w:val="none" w:sz="0" w:space="0" w:color="auto"/>
            <w:bottom w:val="none" w:sz="0" w:space="0" w:color="auto"/>
            <w:right w:val="none" w:sz="0" w:space="0" w:color="auto"/>
          </w:divBdr>
        </w:div>
        <w:div w:id="227545335">
          <w:marLeft w:val="547"/>
          <w:marRight w:val="0"/>
          <w:marTop w:val="115"/>
          <w:marBottom w:val="0"/>
          <w:divBdr>
            <w:top w:val="none" w:sz="0" w:space="0" w:color="auto"/>
            <w:left w:val="none" w:sz="0" w:space="0" w:color="auto"/>
            <w:bottom w:val="none" w:sz="0" w:space="0" w:color="auto"/>
            <w:right w:val="none" w:sz="0" w:space="0" w:color="auto"/>
          </w:divBdr>
        </w:div>
        <w:div w:id="415136050">
          <w:marLeft w:val="547"/>
          <w:marRight w:val="0"/>
          <w:marTop w:val="115"/>
          <w:marBottom w:val="0"/>
          <w:divBdr>
            <w:top w:val="none" w:sz="0" w:space="0" w:color="auto"/>
            <w:left w:val="none" w:sz="0" w:space="0" w:color="auto"/>
            <w:bottom w:val="none" w:sz="0" w:space="0" w:color="auto"/>
            <w:right w:val="none" w:sz="0" w:space="0" w:color="auto"/>
          </w:divBdr>
        </w:div>
      </w:divsChild>
    </w:div>
    <w:div w:id="725758836">
      <w:bodyDiv w:val="1"/>
      <w:marLeft w:val="0"/>
      <w:marRight w:val="0"/>
      <w:marTop w:val="0"/>
      <w:marBottom w:val="0"/>
      <w:divBdr>
        <w:top w:val="none" w:sz="0" w:space="0" w:color="auto"/>
        <w:left w:val="none" w:sz="0" w:space="0" w:color="auto"/>
        <w:bottom w:val="none" w:sz="0" w:space="0" w:color="auto"/>
        <w:right w:val="none" w:sz="0" w:space="0" w:color="auto"/>
      </w:divBdr>
    </w:div>
    <w:div w:id="78107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tf23071820.dotx" TargetMode="Externa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Custom 14">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F9A439-08CB-4BF0-B5C9-E9020D5951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D00AEE-3F06-4626-AB25-35C6D09AE97B}">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664D29EE-BCA5-4847-AAAA-8D9E4282C105}">
  <ds:schemaRefs>
    <ds:schemaRef ds:uri="http://schemas.microsoft.com/sharepoint/v3/contenttype/forms"/>
  </ds:schemaRefs>
</ds:datastoreItem>
</file>

<file path=customXml/itemProps5.xml><?xml version="1.0" encoding="utf-8"?>
<ds:datastoreItem xmlns:ds="http://schemas.openxmlformats.org/officeDocument/2006/customXml" ds:itemID="{6B7F3283-FA77-4167-AB36-69F1D35BE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tf23071820.dotx</Template>
  <TotalTime>0</TotalTime>
  <Pages>53</Pages>
  <Words>21647</Words>
  <Characters>123390</Characters>
  <Application>Microsoft Office Word</Application>
  <DocSecurity>0</DocSecurity>
  <Lines>1028</Lines>
  <Paragraphs>289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cp:lastModifiedBy/>
  <cp:revision>1</cp:revision>
  <dcterms:created xsi:type="dcterms:W3CDTF">2022-03-19T13:50:00Z</dcterms:created>
  <dcterms:modified xsi:type="dcterms:W3CDTF">2022-06-08T02:29:00Z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