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D8B" w:rsidRPr="00BF7C29" w:rsidRDefault="00DD6D8B" w:rsidP="00BF7C29">
      <w:pPr>
        <w:jc w:val="center"/>
        <w:rPr>
          <w:b/>
          <w:color w:val="002060"/>
          <w:sz w:val="24"/>
          <w:szCs w:val="24"/>
          <w:lang w:val="en-US"/>
        </w:rPr>
      </w:pPr>
      <w:bookmarkStart w:id="0" w:name="_Toc213118549"/>
      <w:bookmarkStart w:id="1" w:name="_Toc213164096"/>
      <w:r w:rsidRPr="00BF7C29">
        <w:rPr>
          <w:b/>
          <w:color w:val="002060"/>
          <w:sz w:val="24"/>
          <w:szCs w:val="24"/>
          <w:lang w:val="en-US"/>
        </w:rPr>
        <w:t>THE COURSE TITLE "ENDOCRINOLOGY: NEW ASPECTS IN DIAGNOSIS AND TREATMENT"</w:t>
      </w:r>
    </w:p>
    <w:p w:rsidR="00FA3FA4" w:rsidRPr="00BF7C29" w:rsidRDefault="009F7D3C" w:rsidP="00BF7C29">
      <w:pPr>
        <w:jc w:val="center"/>
        <w:rPr>
          <w:b/>
          <w:bCs/>
          <w:color w:val="002060"/>
          <w:sz w:val="24"/>
          <w:szCs w:val="24"/>
          <w:lang w:val="en-US"/>
        </w:rPr>
      </w:pPr>
      <w:r w:rsidRPr="00BF7C29">
        <w:rPr>
          <w:b/>
          <w:color w:val="002060"/>
          <w:sz w:val="24"/>
          <w:szCs w:val="24"/>
          <w:lang w:val="en-US"/>
        </w:rPr>
        <w:t>LECTURE</w:t>
      </w:r>
      <w:r w:rsidR="0062682A" w:rsidRPr="00BF7C29">
        <w:rPr>
          <w:b/>
          <w:color w:val="002060"/>
          <w:sz w:val="24"/>
          <w:szCs w:val="24"/>
          <w:lang w:val="en-US"/>
        </w:rPr>
        <w:t>_</w:t>
      </w:r>
      <w:r w:rsidR="00E25736" w:rsidRPr="00BF7C29">
        <w:rPr>
          <w:b/>
          <w:color w:val="002060"/>
          <w:sz w:val="24"/>
          <w:szCs w:val="24"/>
          <w:lang w:val="uz-Cyrl-UZ"/>
        </w:rPr>
        <w:t>1</w:t>
      </w:r>
      <w:r w:rsidR="00156128" w:rsidRPr="00BF7C29">
        <w:rPr>
          <w:b/>
          <w:color w:val="002060"/>
          <w:sz w:val="24"/>
          <w:szCs w:val="24"/>
          <w:lang w:val="uz-Cyrl-UZ"/>
        </w:rPr>
        <w:t>2</w:t>
      </w:r>
      <w:r w:rsidR="0062682A" w:rsidRPr="00BF7C29">
        <w:rPr>
          <w:rFonts w:eastAsiaTheme="minorEastAsia"/>
          <w:b/>
          <w:bCs/>
          <w:color w:val="002060"/>
          <w:kern w:val="24"/>
          <w:sz w:val="24"/>
          <w:szCs w:val="24"/>
          <w:lang w:val="en-US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</w:t>
      </w:r>
      <w:r w:rsidR="00E25736" w:rsidRPr="00BF7C29">
        <w:rPr>
          <w:b/>
          <w:bCs/>
          <w:color w:val="002060"/>
          <w:sz w:val="24"/>
          <w:szCs w:val="24"/>
          <w:lang w:val="en-US"/>
        </w:rPr>
        <w:t>NEUROENDOCRINE DISEASES.</w:t>
      </w:r>
    </w:p>
    <w:p w:rsidR="00FA3FA4" w:rsidRPr="00BF7C29" w:rsidRDefault="0062682A" w:rsidP="00BF7C29">
      <w:pPr>
        <w:jc w:val="center"/>
        <w:rPr>
          <w:b/>
          <w:bCs/>
          <w:color w:val="002060"/>
          <w:sz w:val="24"/>
          <w:szCs w:val="24"/>
          <w:lang w:val="en-US"/>
        </w:rPr>
      </w:pPr>
      <w:r w:rsidRPr="00BF7C29">
        <w:rPr>
          <w:b/>
          <w:bCs/>
          <w:color w:val="002060"/>
          <w:sz w:val="24"/>
          <w:szCs w:val="24"/>
        </w:rPr>
        <w:t>ТЕМА</w:t>
      </w:r>
      <w:r w:rsidRPr="00BF7C29">
        <w:rPr>
          <w:b/>
          <w:bCs/>
          <w:color w:val="002060"/>
          <w:sz w:val="24"/>
          <w:szCs w:val="24"/>
          <w:lang w:val="en-US"/>
        </w:rPr>
        <w:t>-</w:t>
      </w:r>
      <w:r w:rsidR="00E25736" w:rsidRPr="00BF7C29">
        <w:rPr>
          <w:b/>
          <w:bCs/>
          <w:color w:val="002060"/>
          <w:sz w:val="24"/>
          <w:szCs w:val="24"/>
          <w:lang w:val="uz-Cyrl-UZ"/>
        </w:rPr>
        <w:t>1</w:t>
      </w:r>
      <w:r w:rsidR="00156128" w:rsidRPr="00BF7C29">
        <w:rPr>
          <w:b/>
          <w:bCs/>
          <w:color w:val="002060"/>
          <w:sz w:val="24"/>
          <w:szCs w:val="24"/>
          <w:lang w:val="uz-Cyrl-UZ"/>
        </w:rPr>
        <w:t>2</w:t>
      </w:r>
      <w:r w:rsidRPr="00BF7C29">
        <w:rPr>
          <w:b/>
          <w:bCs/>
          <w:color w:val="002060"/>
          <w:sz w:val="24"/>
          <w:szCs w:val="24"/>
          <w:lang w:val="en-US"/>
        </w:rPr>
        <w:t xml:space="preserve">: </w:t>
      </w:r>
      <w:r w:rsidR="00E25736" w:rsidRPr="00BF7C29">
        <w:rPr>
          <w:b/>
          <w:bCs/>
          <w:color w:val="002060"/>
          <w:sz w:val="24"/>
          <w:szCs w:val="24"/>
        </w:rPr>
        <w:t>НЕЙРОЭНДОКРИННЫЕ</w:t>
      </w:r>
      <w:r w:rsidR="00E25736" w:rsidRPr="00BF7C29">
        <w:rPr>
          <w:b/>
          <w:bCs/>
          <w:color w:val="002060"/>
          <w:sz w:val="24"/>
          <w:szCs w:val="24"/>
          <w:lang w:val="en-US"/>
        </w:rPr>
        <w:t xml:space="preserve"> </w:t>
      </w:r>
      <w:r w:rsidR="00E25736" w:rsidRPr="00BF7C29">
        <w:rPr>
          <w:b/>
          <w:bCs/>
          <w:color w:val="002060"/>
          <w:sz w:val="24"/>
          <w:szCs w:val="24"/>
        </w:rPr>
        <w:t>ЗАБОЛЕВАНИЯ</w:t>
      </w:r>
      <w:r w:rsidR="00E25736" w:rsidRPr="00BF7C29">
        <w:rPr>
          <w:b/>
          <w:bCs/>
          <w:color w:val="002060"/>
          <w:sz w:val="24"/>
          <w:szCs w:val="24"/>
          <w:lang w:val="en-US"/>
        </w:rPr>
        <w:t>.</w:t>
      </w:r>
    </w:p>
    <w:p w:rsidR="005D1C1F" w:rsidRPr="00BF7C29" w:rsidRDefault="005D1C1F" w:rsidP="00BF7C29">
      <w:pPr>
        <w:jc w:val="center"/>
        <w:rPr>
          <w:b/>
          <w:bCs/>
          <w:color w:val="002060"/>
          <w:sz w:val="24"/>
          <w:szCs w:val="24"/>
        </w:rPr>
      </w:pPr>
      <w:r w:rsidRPr="00BF7C29">
        <w:rPr>
          <w:b/>
          <w:bCs/>
          <w:color w:val="002060"/>
          <w:sz w:val="24"/>
          <w:szCs w:val="24"/>
        </w:rPr>
        <w:t>План лекции:</w:t>
      </w:r>
    </w:p>
    <w:p w:rsidR="00FA3FA4" w:rsidRPr="00BF7C29" w:rsidRDefault="00FA3FA4" w:rsidP="00BF7C29">
      <w:pPr>
        <w:jc w:val="center"/>
        <w:rPr>
          <w:b/>
          <w:color w:val="00B050"/>
          <w:sz w:val="24"/>
          <w:szCs w:val="24"/>
        </w:rPr>
      </w:pPr>
    </w:p>
    <w:p w:rsidR="00156128" w:rsidRPr="00BF7C29" w:rsidRDefault="00156128" w:rsidP="00BF7C29">
      <w:pPr>
        <w:pStyle w:val="af8"/>
        <w:numPr>
          <w:ilvl w:val="0"/>
          <w:numId w:val="13"/>
        </w:numPr>
        <w:spacing w:after="160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Синдром гиперкальциемии</w:t>
      </w:r>
    </w:p>
    <w:p w:rsidR="00156128" w:rsidRPr="00BF7C29" w:rsidRDefault="00156128" w:rsidP="00BF7C29">
      <w:pPr>
        <w:pStyle w:val="af8"/>
        <w:numPr>
          <w:ilvl w:val="0"/>
          <w:numId w:val="13"/>
        </w:numPr>
        <w:spacing w:after="160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Синдром гипокальциемии</w:t>
      </w:r>
    </w:p>
    <w:p w:rsidR="00E74942" w:rsidRPr="00BF7C29" w:rsidRDefault="00156128" w:rsidP="00BF7C29">
      <w:pPr>
        <w:pStyle w:val="af8"/>
        <w:numPr>
          <w:ilvl w:val="0"/>
          <w:numId w:val="13"/>
        </w:numPr>
        <w:spacing w:after="160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Синдром гиперпаратиреоза</w:t>
      </w:r>
    </w:p>
    <w:p w:rsidR="00156128" w:rsidRPr="00BF7C29" w:rsidRDefault="00156128" w:rsidP="00BF7C29">
      <w:pPr>
        <w:pStyle w:val="af8"/>
        <w:numPr>
          <w:ilvl w:val="0"/>
          <w:numId w:val="13"/>
        </w:numPr>
        <w:spacing w:after="160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Синдром гипопаратиреоза</w:t>
      </w:r>
    </w:p>
    <w:p w:rsidR="00156128" w:rsidRPr="00BF7C29" w:rsidRDefault="00156128" w:rsidP="00BF7C29">
      <w:pPr>
        <w:pStyle w:val="af8"/>
        <w:widowControl/>
        <w:numPr>
          <w:ilvl w:val="0"/>
          <w:numId w:val="13"/>
        </w:numPr>
        <w:autoSpaceDE/>
        <w:autoSpaceDN/>
        <w:adjustRightInd/>
        <w:spacing w:after="160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Остеопороз</w:t>
      </w:r>
    </w:p>
    <w:p w:rsidR="00FA3FA4" w:rsidRPr="00BF7C29" w:rsidRDefault="00280C04" w:rsidP="00BF7C29">
      <w:pPr>
        <w:pStyle w:val="af8"/>
        <w:widowControl/>
        <w:numPr>
          <w:ilvl w:val="0"/>
          <w:numId w:val="13"/>
        </w:numPr>
        <w:autoSpaceDE/>
        <w:autoSpaceDN/>
        <w:adjustRightInd/>
        <w:spacing w:after="160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Литература</w:t>
      </w:r>
    </w:p>
    <w:bookmarkEnd w:id="0"/>
    <w:bookmarkEnd w:id="1"/>
    <w:p w:rsidR="00BF7C29" w:rsidRPr="00BF7C29" w:rsidRDefault="00BF7C29" w:rsidP="00BF7C29">
      <w:pPr>
        <w:widowControl/>
        <w:autoSpaceDE/>
        <w:autoSpaceDN/>
        <w:adjustRightInd/>
        <w:spacing w:before="100" w:beforeAutospacing="1" w:after="100" w:afterAutospacing="1"/>
        <w:jc w:val="both"/>
        <w:outlineLvl w:val="1"/>
        <w:rPr>
          <w:bCs/>
          <w:sz w:val="24"/>
          <w:szCs w:val="24"/>
          <w:lang w:val="uz-Cyrl-UZ"/>
        </w:rPr>
      </w:pPr>
    </w:p>
    <w:p w:rsidR="00BF7C29" w:rsidRDefault="00BF7C29" w:rsidP="00BF7C29">
      <w:pPr>
        <w:pStyle w:val="1f1"/>
        <w:jc w:val="both"/>
        <w:rPr>
          <w:rFonts w:eastAsia="Arial"/>
          <w:b/>
          <w:bCs/>
          <w:color w:val="000000"/>
          <w:sz w:val="24"/>
          <w:szCs w:val="24"/>
          <w:lang w:bidi="ru-RU"/>
        </w:rPr>
      </w:pPr>
      <w:bookmarkStart w:id="2" w:name="bookmark2757"/>
      <w:r w:rsidRPr="00BF7C29">
        <w:rPr>
          <w:rFonts w:eastAsia="Arial"/>
          <w:b/>
          <w:bCs/>
          <w:color w:val="000000"/>
          <w:sz w:val="24"/>
          <w:szCs w:val="24"/>
          <w:lang w:bidi="ru-RU"/>
        </w:rPr>
        <w:t xml:space="preserve">ПЛАН </w:t>
      </w:r>
      <w:r w:rsidRPr="00BF7C29">
        <w:rPr>
          <w:rFonts w:eastAsia="Arial"/>
          <w:b/>
          <w:bCs/>
          <w:color w:val="000000"/>
          <w:sz w:val="24"/>
          <w:szCs w:val="24"/>
          <w:lang w:val="uz-Latn-UZ" w:bidi="ru-RU"/>
        </w:rPr>
        <w:t>1</w:t>
      </w:r>
      <w:r w:rsidRPr="00BF7C29">
        <w:rPr>
          <w:rFonts w:eastAsia="Arial"/>
          <w:b/>
          <w:bCs/>
          <w:color w:val="000000"/>
          <w:sz w:val="24"/>
          <w:szCs w:val="24"/>
          <w:lang w:bidi="ru-RU"/>
        </w:rPr>
        <w:t>. СИНДРОМ ГИПЕРКАЛЬЦИЕМИИ</w:t>
      </w:r>
    </w:p>
    <w:p w:rsidR="00BF7C29" w:rsidRPr="00BF7C29" w:rsidRDefault="00BF7C29" w:rsidP="00BF7C29">
      <w:pPr>
        <w:pStyle w:val="1f1"/>
        <w:jc w:val="both"/>
        <w:rPr>
          <w:rFonts w:eastAsia="Arial"/>
          <w:b/>
          <w:bCs/>
          <w:color w:val="000000"/>
          <w:sz w:val="24"/>
          <w:szCs w:val="24"/>
          <w:lang w:bidi="ru-RU"/>
        </w:rPr>
      </w:pP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гиперкальциемии — повышение содержания свобод</w:t>
      </w:r>
      <w:r w:rsidRPr="00BF7C29">
        <w:rPr>
          <w:color w:val="000000"/>
          <w:sz w:val="24"/>
          <w:szCs w:val="24"/>
          <w:lang w:eastAsia="ru-RU" w:bidi="ru-RU"/>
        </w:rPr>
        <w:softHyphen/>
        <w:t>ного кальция в крови, сопровождающееся характерными клини</w:t>
      </w:r>
      <w:r w:rsidRPr="00BF7C29">
        <w:rPr>
          <w:color w:val="000000"/>
          <w:sz w:val="24"/>
          <w:szCs w:val="24"/>
          <w:lang w:eastAsia="ru-RU" w:bidi="ru-RU"/>
        </w:rPr>
        <w:softHyphen/>
        <w:t>ческими проявлениями.</w:t>
      </w:r>
    </w:p>
    <w:p w:rsidR="00BF7C29" w:rsidRPr="00BF7C29" w:rsidRDefault="00BF7C29" w:rsidP="0038538C">
      <w:pPr>
        <w:pStyle w:val="1f1"/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Симптомы гиперкальциемии обычно развиваются при по</w:t>
      </w:r>
      <w:r w:rsidRPr="00BF7C29">
        <w:rPr>
          <w:color w:val="000000"/>
          <w:sz w:val="24"/>
          <w:szCs w:val="24"/>
          <w:lang w:eastAsia="ru-RU" w:bidi="ru-RU"/>
        </w:rPr>
        <w:softHyphen/>
        <w:t>вышении концентрации свободного кальция в крови до 2,0</w:t>
      </w:r>
      <w:r w:rsidRPr="00BF7C29">
        <w:rPr>
          <w:color w:val="000000"/>
          <w:sz w:val="24"/>
          <w:szCs w:val="24"/>
          <w:lang w:eastAsia="ru-RU" w:bidi="ru-RU"/>
        </w:rPr>
        <w:softHyphen/>
        <w:t>2,5 ммоль/л (8-10 мг/дл), общего кальция — до 3,0-3,5 ммоль/л (12-14 мг/дл), и в этих случаях гиперкальциемия уже имеет угро</w:t>
      </w:r>
      <w:r w:rsidRPr="00BF7C29">
        <w:rPr>
          <w:color w:val="000000"/>
          <w:sz w:val="24"/>
          <w:szCs w:val="24"/>
          <w:lang w:eastAsia="ru-RU" w:bidi="ru-RU"/>
        </w:rPr>
        <w:softHyphen/>
        <w:t>жающий характер.</w:t>
      </w:r>
    </w:p>
    <w:p w:rsidR="00BF7C29" w:rsidRPr="00BF7C29" w:rsidRDefault="00BF7C29" w:rsidP="0038538C">
      <w:pPr>
        <w:pStyle w:val="3f2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bookmark273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Неотложные мероприятия</w:t>
      </w:r>
      <w:bookmarkEnd w:id="3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подозрении на гиперкальциемию необходимо срочно определить содержание свободного и/или общего кальция в кро</w:t>
      </w:r>
      <w:r w:rsidRPr="00BF7C29">
        <w:rPr>
          <w:color w:val="000000"/>
          <w:sz w:val="24"/>
          <w:szCs w:val="24"/>
          <w:lang w:eastAsia="ru-RU" w:bidi="ru-RU"/>
        </w:rPr>
        <w:softHyphen/>
        <w:t>ви.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Тяжелую гиперкальциемию необходимо начать лечить неза</w:t>
      </w:r>
      <w:r w:rsidRPr="00BF7C29">
        <w:rPr>
          <w:color w:val="000000"/>
          <w:sz w:val="24"/>
          <w:szCs w:val="24"/>
          <w:lang w:eastAsia="ru-RU" w:bidi="ru-RU"/>
        </w:rPr>
        <w:softHyphen/>
        <w:t>медлительно: отменить ЛС, способствующие повышению кон</w:t>
      </w:r>
      <w:r w:rsidRPr="00BF7C29">
        <w:rPr>
          <w:color w:val="000000"/>
          <w:sz w:val="24"/>
          <w:szCs w:val="24"/>
          <w:lang w:eastAsia="ru-RU" w:bidi="ru-RU"/>
        </w:rPr>
        <w:softHyphen/>
        <w:t>центрации кальция, провести адекватную регидратацию наряду с назначением форсированного диуреза.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отсутствии тяжелой патологии сердечно-сосудистой системы и почечной недостаточности введение 0,9% рас</w:t>
      </w:r>
      <w:r w:rsidRPr="00BF7C29">
        <w:rPr>
          <w:color w:val="000000"/>
          <w:sz w:val="24"/>
          <w:szCs w:val="24"/>
          <w:lang w:eastAsia="ru-RU" w:bidi="ru-RU"/>
        </w:rPr>
        <w:softHyphen/>
        <w:t>твора хлорида натрия начинают со скорости 300-500 мл/ч и проводят до полного возмещения дефицита жидкости и восстановления диуреза (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&gt;</w:t>
      </w:r>
      <w:r w:rsidRPr="00BF7C29">
        <w:rPr>
          <w:color w:val="000000"/>
          <w:sz w:val="24"/>
          <w:szCs w:val="24"/>
          <w:lang w:eastAsia="ru-RU" w:bidi="ru-RU"/>
        </w:rPr>
        <w:t>200-300 мл/ч), что способству</w:t>
      </w:r>
      <w:r w:rsidRPr="00BF7C29">
        <w:rPr>
          <w:color w:val="000000"/>
          <w:sz w:val="24"/>
          <w:szCs w:val="24"/>
          <w:lang w:eastAsia="ru-RU" w:bidi="ru-RU"/>
        </w:rPr>
        <w:softHyphen/>
        <w:t>ет нормализации экскреции кальция с мочой в объеме до 2,5-7,5 ммоль/сут и снижению кальциемии в среднем на 0,6 ммоль/л. При отсутствии адекватного диуреза в течение нескольких часов после начала инфузионной терапии пока</w:t>
      </w:r>
      <w:r w:rsidRPr="00BF7C29">
        <w:rPr>
          <w:color w:val="000000"/>
          <w:sz w:val="24"/>
          <w:szCs w:val="24"/>
          <w:lang w:eastAsia="ru-RU" w:bidi="ru-RU"/>
        </w:rPr>
        <w:softHyphen/>
        <w:t>зан срочный гемодиализ с бескальциевым диализирующим раствором.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 фоне продолжающейся инфузионной терапии для увели</w:t>
      </w:r>
      <w:r w:rsidRPr="00BF7C29">
        <w:rPr>
          <w:color w:val="000000"/>
          <w:sz w:val="24"/>
          <w:szCs w:val="24"/>
          <w:lang w:eastAsia="ru-RU" w:bidi="ru-RU"/>
        </w:rPr>
        <w:softHyphen/>
        <w:t>чения экскреции кальция с помощью фуросемида проводят форсированный диурез (до 6 л/сут) под контролем содержа</w:t>
      </w:r>
      <w:r w:rsidRPr="00BF7C29">
        <w:rPr>
          <w:color w:val="000000"/>
          <w:sz w:val="24"/>
          <w:szCs w:val="24"/>
          <w:lang w:eastAsia="ru-RU" w:bidi="ru-RU"/>
        </w:rPr>
        <w:softHyphen/>
        <w:t>ния магния и калия в крови. При ХСН или ХПН из-за невоз</w:t>
      </w:r>
      <w:r w:rsidRPr="00BF7C29">
        <w:rPr>
          <w:color w:val="000000"/>
          <w:sz w:val="24"/>
          <w:szCs w:val="24"/>
          <w:lang w:eastAsia="ru-RU" w:bidi="ru-RU"/>
        </w:rPr>
        <w:softHyphen/>
        <w:t>можности активной инфузионной терапии показан срочный гемодиализ или перитонеальный диализ. Использование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диализирующего раствора без кальция или с низким содер</w:t>
      </w:r>
      <w:r w:rsidRPr="00BF7C29">
        <w:rPr>
          <w:color w:val="000000"/>
          <w:sz w:val="24"/>
          <w:szCs w:val="24"/>
          <w:lang w:eastAsia="ru-RU" w:bidi="ru-RU"/>
        </w:rPr>
        <w:softHyphen/>
        <w:t>жанием этого электролита позволяет за 24-48 ч вывести из организма до 5,0-12,5 ммоль/л (200-500 мг/дл) кальция и снизить его концентрацию в крови на 0,7-3,0 ммоль/л (3-12 мг/дл) под контролем содержания фосфора в крови.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Параллельно с этим показано введение бисфосфонатов — антирезорбтивных препаратов, непосредственно снижающих содержание кальция в крови. Они эффективны при гиперкальци</w:t>
      </w:r>
      <w:r w:rsidRPr="00BF7C29">
        <w:rPr>
          <w:color w:val="000000"/>
          <w:sz w:val="24"/>
          <w:szCs w:val="24"/>
          <w:lang w:eastAsia="ru-RU" w:bidi="ru-RU"/>
        </w:rPr>
        <w:softHyphen/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емии любого генеза. При паранеопластической гиперкальциемии назначают памидроновую кислоту в дозе 15-90 мг однократно внутривенно капельно в течение 4-6 ч, ибандроновую кислоту в дозе 2-6 мг однократно внутривенно капельно в 500 мл 0,9% раствора хлорида натрия или 5% раствора декстрозы в течение 2 ч, золедроновую кислоту — по 4-8 мг. Альтернативным препа</w:t>
      </w:r>
      <w:r w:rsidRPr="00BF7C29">
        <w:rPr>
          <w:color w:val="000000"/>
          <w:sz w:val="24"/>
          <w:szCs w:val="24"/>
          <w:lang w:eastAsia="ru-RU" w:bidi="ru-RU"/>
        </w:rPr>
        <w:softHyphen/>
        <w:t>ратом служит кальцитонин в дозе 4-8 ЕД/кг массы тела (200-500 ЕД) в сутки внутримышечно, внутривенно или подкожно каждые 6-12 ч.</w:t>
      </w:r>
    </w:p>
    <w:p w:rsidR="00BF7C29" w:rsidRPr="00BF7C29" w:rsidRDefault="00BF7C29" w:rsidP="0038538C">
      <w:pPr>
        <w:pStyle w:val="1f1"/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Гиперкальциемический криз при первичном гиперпаратиреозе считают показанием для экстренной операции — удаления адено</w:t>
      </w:r>
      <w:r w:rsidRPr="00BF7C29">
        <w:rPr>
          <w:color w:val="000000"/>
          <w:sz w:val="24"/>
          <w:szCs w:val="24"/>
          <w:lang w:eastAsia="ru-RU" w:bidi="ru-RU"/>
        </w:rPr>
        <w:softHyphen/>
        <w:t>мы околощитовидной железы.</w:t>
      </w:r>
    </w:p>
    <w:p w:rsidR="00BF7C29" w:rsidRPr="00BF7C29" w:rsidRDefault="00BF7C29" w:rsidP="0038538C">
      <w:pPr>
        <w:pStyle w:val="3f2"/>
        <w:ind w:firstLine="567"/>
        <w:rPr>
          <w:rFonts w:ascii="Times New Roman" w:hAnsi="Times New Roman" w:cs="Times New Roman"/>
          <w:sz w:val="24"/>
          <w:szCs w:val="24"/>
        </w:rPr>
      </w:pPr>
      <w:bookmarkStart w:id="4" w:name="bookmark273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Классификация</w:t>
      </w:r>
      <w:bookmarkEnd w:id="4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Степени повышения концентрации кальция в крови.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Легкая — повышение содержания общего кальция в крови до 3 ммоль/л (12 мг/дл), свободного кальция — до 2 ммоль/л (8 мг/дл).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Умеренная — повышение содержания общего кальция в крови до 3,0-3,5 ммоль/л (12-14 мг/дл), свободного кальция — до 2,0-2,5 ммоль/л (8-10 мг/дл).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Тяжелая — содержание общего кальция в крови превышает 3,5 ммоль/л (14 мг/дл), свободного кальция — 2,5 ммоль/л (10 мг/дл).</w:t>
      </w:r>
    </w:p>
    <w:p w:rsidR="00BF7C29" w:rsidRPr="00BF7C29" w:rsidRDefault="00BF7C29" w:rsidP="0038538C">
      <w:pPr>
        <w:pStyle w:val="3f2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bookmark273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характеристика</w:t>
      </w:r>
      <w:bookmarkEnd w:id="5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Умеренная и тяжелая гиперкальциемия оказывают выражен</w:t>
      </w:r>
      <w:r w:rsidRPr="00BF7C29">
        <w:rPr>
          <w:color w:val="000000"/>
          <w:sz w:val="24"/>
          <w:szCs w:val="24"/>
          <w:lang w:eastAsia="ru-RU" w:bidi="ru-RU"/>
        </w:rPr>
        <w:softHyphen/>
        <w:t>ное воздейств</w:t>
      </w:r>
      <w:r w:rsidR="00776A0C">
        <w:rPr>
          <w:color w:val="000000"/>
          <w:sz w:val="24"/>
          <w:szCs w:val="24"/>
          <w:lang w:eastAsia="ru-RU" w:bidi="ru-RU"/>
        </w:rPr>
        <w:t>ие на различные системы органов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длительной умеренной или высокой гиперкальциемии возможны нефрокальциноз и обызвествление кожи, сосудов, лег</w:t>
      </w:r>
      <w:r w:rsidRPr="00BF7C29">
        <w:rPr>
          <w:color w:val="000000"/>
          <w:sz w:val="24"/>
          <w:szCs w:val="24"/>
          <w:lang w:eastAsia="ru-RU" w:bidi="ru-RU"/>
        </w:rPr>
        <w:softHyphen/>
        <w:t>ких, сердца и желудка.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Поскольку основными причинами повышения концентрации кальция в крови бывают первичный гиперпаратиреоз и костные метастазы, при гиперкальциемии пациенты часто жалуются на боли в костях и суставах.</w:t>
      </w:r>
    </w:p>
    <w:p w:rsidR="00BF7C29" w:rsidRPr="00BF7C29" w:rsidRDefault="00BF7C29" w:rsidP="0038538C">
      <w:pPr>
        <w:pStyle w:val="1f1"/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Гиперкальциемический криз — осложнение тяжелого гиперпа</w:t>
      </w:r>
      <w:r w:rsidRPr="00BF7C29">
        <w:rPr>
          <w:color w:val="000000"/>
          <w:sz w:val="24"/>
          <w:szCs w:val="24"/>
          <w:lang w:eastAsia="ru-RU" w:bidi="ru-RU"/>
        </w:rPr>
        <w:softHyphen/>
        <w:t>ратиреоза, возникающее на фоне резкого повышения содержания кальция в крови при инфекционных заболеваниях, переломах, длительной иммобилизации, беременности, приеме антацидов. При этом зависимость степени проявлений от содержания 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ция может не быть линейной. Криз характеризуется внезапным развитием лихорадки, судорог, тошноты, боли в мышцах и су</w:t>
      </w:r>
      <w:r w:rsidRPr="00BF7C29">
        <w:rPr>
          <w:color w:val="000000"/>
          <w:sz w:val="24"/>
          <w:szCs w:val="24"/>
          <w:lang w:eastAsia="ru-RU" w:bidi="ru-RU"/>
        </w:rPr>
        <w:softHyphen/>
        <w:t>ставах, острой боли в животе, неукротимой рвоты, спутанности сознания, ступора, комы. В 57-60% случаев криз заканчивает</w:t>
      </w:r>
      <w:r w:rsidRPr="00BF7C29">
        <w:rPr>
          <w:color w:val="000000"/>
          <w:sz w:val="24"/>
          <w:szCs w:val="24"/>
          <w:lang w:eastAsia="ru-RU" w:bidi="ru-RU"/>
        </w:rPr>
        <w:softHyphen/>
        <w:t>ся летально.</w:t>
      </w:r>
    </w:p>
    <w:p w:rsidR="00BF7C29" w:rsidRPr="00BF7C29" w:rsidRDefault="00BF7C29" w:rsidP="0038538C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" w:name="bookmark273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Этиология</w:t>
      </w:r>
      <w:bookmarkEnd w:id="6"/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Почти в 90% случаев причиной гиперкальциемии бывают первичный (иногда третичный на фоне ХПН) гиперпара</w:t>
      </w:r>
      <w:r w:rsidRPr="00BF7C29">
        <w:rPr>
          <w:color w:val="000000"/>
          <w:sz w:val="24"/>
          <w:szCs w:val="24"/>
          <w:lang w:eastAsia="ru-RU" w:bidi="ru-RU"/>
        </w:rPr>
        <w:softHyphen/>
        <w:t>тиреоз или паранеопластический процесс, приводящие к выраженной активации процессов костной резорбции. Ги</w:t>
      </w:r>
      <w:r w:rsidRPr="00BF7C29">
        <w:rPr>
          <w:color w:val="000000"/>
          <w:sz w:val="24"/>
          <w:szCs w:val="24"/>
          <w:lang w:eastAsia="ru-RU" w:bidi="ru-RU"/>
        </w:rPr>
        <w:softHyphen/>
        <w:t>перкальциемию отмечают как при множественных, так и при солидных опухолях (РМЖ, опухолях легких и почек), гемобластозах (миеломной болезни, лимфомах, лимфогра</w:t>
      </w:r>
      <w:r w:rsidRPr="00BF7C29">
        <w:rPr>
          <w:color w:val="000000"/>
          <w:sz w:val="24"/>
          <w:szCs w:val="24"/>
          <w:lang w:eastAsia="ru-RU" w:bidi="ru-RU"/>
        </w:rPr>
        <w:softHyphen/>
        <w:t>нулематозе, лейкозах), лейкемии. Реже она возникает при раке толстой кишки и простаты. Возможны эктопические раковые образования неоколощитовидной железы, которые выделяют ПТГ (чаще это РМЖ).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Гиперкальциемию обнаруживают более чем у 30% больных РМЖ и обширными костными метастазами, принимающих эстрогены или антиэстрогены, а также при введении изотре</w:t>
      </w:r>
      <w:r w:rsidRPr="00BF7C29">
        <w:rPr>
          <w:color w:val="000000"/>
          <w:sz w:val="24"/>
          <w:szCs w:val="24"/>
          <w:lang w:eastAsia="ru-RU" w:bidi="ru-RU"/>
        </w:rPr>
        <w:softHyphen/>
        <w:t>тиноина.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иммобилизации и болезни Педжета гиперкальциемия возникает в результате усиления костной резорбции.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Гипертиреоз вследствие активизации костной резорбции сопровождается умеренной гиперкальциемией в 15-20% случаев. При достижении эутиреоидного состояния содер</w:t>
      </w:r>
      <w:r w:rsidRPr="00BF7C29">
        <w:rPr>
          <w:color w:val="000000"/>
          <w:sz w:val="24"/>
          <w:szCs w:val="24"/>
          <w:lang w:eastAsia="ru-RU" w:bidi="ru-RU"/>
        </w:rPr>
        <w:softHyphen/>
        <w:t>жание кальция в крови нормализуется.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Повышенное всасывание кальция — редкое состояние, ко</w:t>
      </w:r>
      <w:r w:rsidRPr="00BF7C29">
        <w:rPr>
          <w:color w:val="000000"/>
          <w:sz w:val="24"/>
          <w:szCs w:val="24"/>
          <w:lang w:eastAsia="ru-RU" w:bidi="ru-RU"/>
        </w:rPr>
        <w:softHyphen/>
        <w:t>торое при сочетании с гипокальциурией может приводить к гиперкальциемии, что отмечают при ХПН (до 50% случаев) и молочно-щелочном синдроме. Кальций активно и пассив</w:t>
      </w:r>
      <w:r w:rsidRPr="00BF7C29">
        <w:rPr>
          <w:color w:val="000000"/>
          <w:sz w:val="24"/>
          <w:szCs w:val="24"/>
          <w:lang w:eastAsia="ru-RU" w:bidi="ru-RU"/>
        </w:rPr>
        <w:softHyphen/>
        <w:t>но всасывается в тонкой кишке. Активный транспорт, сти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мулируемый метаболитами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физиологически более важен.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Гипервитаминоз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наблюдают при длительном приеме вита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в дозе более 50 000 МЕ/сут, что может происходить при лечении некоторых дерматозов (кальципотриолом, кальцитриолом), гипопаратиреоза. Кальцитриолиндуциро- ванная гиперкальциемия может иметь эндогенное проис</w:t>
      </w:r>
      <w:r w:rsidRPr="00BF7C29">
        <w:rPr>
          <w:color w:val="000000"/>
          <w:sz w:val="24"/>
          <w:szCs w:val="24"/>
          <w:lang w:eastAsia="ru-RU" w:bidi="ru-RU"/>
        </w:rPr>
        <w:softHyphen/>
        <w:t>хождение, в частности, ее регистрируют при хронических гранулематозах (саркоидозе), злокачественной лимфоме, феохромоцитоме и акромегалии в составе МЭН-синдрома, а также на фоне идиопатической гиперпродукции кальцитри- ола, при которой показано назначение глюкокортикоидов.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Длительный прием препаратов лития может приводить к легкому хроническому гиперпаратиреозу и умеренной ги</w:t>
      </w:r>
      <w:r w:rsidRPr="00BF7C29">
        <w:rPr>
          <w:color w:val="000000"/>
          <w:sz w:val="24"/>
          <w:szCs w:val="24"/>
          <w:lang w:eastAsia="ru-RU" w:bidi="ru-RU"/>
        </w:rPr>
        <w:softHyphen/>
        <w:t>перкальциемии, которые исчезают на фоне отмены ЛС. В случае сохранения гиперкальциемии необходимо исклю</w:t>
      </w:r>
      <w:r w:rsidRPr="00BF7C29">
        <w:rPr>
          <w:color w:val="000000"/>
          <w:sz w:val="24"/>
          <w:szCs w:val="24"/>
          <w:lang w:eastAsia="ru-RU" w:bidi="ru-RU"/>
        </w:rPr>
        <w:softHyphen/>
        <w:t>чить первичный гиперпаратиреоз.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 гиперкальциемии также могут приводить длительный при</w:t>
      </w:r>
      <w:r w:rsidRPr="00BF7C29">
        <w:rPr>
          <w:color w:val="000000"/>
          <w:sz w:val="24"/>
          <w:szCs w:val="24"/>
          <w:lang w:eastAsia="ru-RU" w:bidi="ru-RU"/>
        </w:rPr>
        <w:softHyphen/>
        <w:t>ем тиазидных диуретиков и теофиллиновая интоксикация.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ОНН и ХНН сопровождаются повышением костной резорб</w:t>
      </w:r>
      <w:r w:rsidRPr="00BF7C29">
        <w:rPr>
          <w:color w:val="000000"/>
          <w:sz w:val="24"/>
          <w:szCs w:val="24"/>
          <w:lang w:eastAsia="ru-RU" w:bidi="ru-RU"/>
        </w:rPr>
        <w:softHyphen/>
        <w:t>ции, канальцевой реабсорбции кальция, гемоконцентраци</w:t>
      </w:r>
      <w:r w:rsidRPr="00BF7C29">
        <w:rPr>
          <w:color w:val="000000"/>
          <w:sz w:val="24"/>
          <w:szCs w:val="24"/>
          <w:lang w:eastAsia="ru-RU" w:bidi="ru-RU"/>
        </w:rPr>
        <w:softHyphen/>
        <w:t>ей и, возможно, увеличением связывания кальция с белками крови, что вызывает гиперкальциемию, для купирования которой назначают глюкокортикоиды в течение нескольких дней.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Острая почечная недостаточность на фоне острого некроза скелетных мышц в течение диуретической фазы сопрово</w:t>
      </w:r>
      <w:r w:rsidRPr="00BF7C29">
        <w:rPr>
          <w:color w:val="000000"/>
          <w:sz w:val="24"/>
          <w:szCs w:val="24"/>
          <w:lang w:eastAsia="ru-RU" w:bidi="ru-RU"/>
        </w:rPr>
        <w:softHyphen/>
        <w:t>ждается гиперкальциемией, обусловленной высвобождени</w:t>
      </w:r>
      <w:r w:rsidRPr="00BF7C29">
        <w:rPr>
          <w:color w:val="000000"/>
          <w:sz w:val="24"/>
          <w:szCs w:val="24"/>
          <w:lang w:eastAsia="ru-RU" w:bidi="ru-RU"/>
        </w:rPr>
        <w:softHyphen/>
        <w:t>ем кальция, ранее депонированного в поврежденной мышце, реакцией на гиперфосфатемию, умеренным вторичным ги</w:t>
      </w:r>
      <w:r w:rsidRPr="00BF7C29">
        <w:rPr>
          <w:color w:val="000000"/>
          <w:sz w:val="24"/>
          <w:szCs w:val="24"/>
          <w:lang w:eastAsia="ru-RU" w:bidi="ru-RU"/>
        </w:rPr>
        <w:softHyphen/>
        <w:t>перпаратиреозом, повышением содержания кальцитриола в крови. Концентрация кальция нормализуется после транс</w:t>
      </w:r>
      <w:r w:rsidRPr="00BF7C29">
        <w:rPr>
          <w:color w:val="000000"/>
          <w:sz w:val="24"/>
          <w:szCs w:val="24"/>
          <w:lang w:eastAsia="ru-RU" w:bidi="ru-RU"/>
        </w:rPr>
        <w:softHyphen/>
        <w:t>плантации почки.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Семейная гипокальциурическая гиперкальциемия — ред</w:t>
      </w:r>
      <w:r w:rsidRPr="00BF7C29">
        <w:rPr>
          <w:color w:val="000000"/>
          <w:sz w:val="24"/>
          <w:szCs w:val="24"/>
          <w:lang w:eastAsia="ru-RU" w:bidi="ru-RU"/>
        </w:rPr>
        <w:softHyphen/>
        <w:t>кое заболевание с аутосомно-доминантным наследованием, характеризующееся умеренной гиперкальциемией, гипо- кальциурией (вследствие повышения реабсорбции кальция в канальцах почек), нормальным или умеренно повышен</w:t>
      </w:r>
      <w:r w:rsidRPr="00BF7C29">
        <w:rPr>
          <w:color w:val="000000"/>
          <w:sz w:val="24"/>
          <w:szCs w:val="24"/>
          <w:lang w:eastAsia="ru-RU" w:bidi="ru-RU"/>
        </w:rPr>
        <w:softHyphen/>
        <w:t>ным содержанием магния и ПТГ в крови. Причиной этого нарушения является мутация, приводящая к снижению чувствительности кальцийчувствительных рецепторов в клетках околощитовидной железы и почек. По этой при</w:t>
      </w:r>
      <w:r w:rsidRPr="00BF7C29">
        <w:rPr>
          <w:color w:val="000000"/>
          <w:sz w:val="24"/>
          <w:szCs w:val="24"/>
          <w:lang w:eastAsia="ru-RU" w:bidi="ru-RU"/>
        </w:rPr>
        <w:softHyphen/>
        <w:t>чине для поддержания нормальной концентрации ПТГ (для предотвращения ее повышения) необходимо более высокое содержание кальция в крови. У большей части пациентов с этим заболеванием отмечают симптомы гиперкальциемии, однако терапию не проводят. После субтотальной парати</w:t>
      </w:r>
      <w:r w:rsidRPr="00BF7C29">
        <w:rPr>
          <w:color w:val="000000"/>
          <w:sz w:val="24"/>
          <w:szCs w:val="24"/>
          <w:lang w:eastAsia="ru-RU" w:bidi="ru-RU"/>
        </w:rPr>
        <w:softHyphen/>
        <w:t>реоидэктомии гиперкальциемия не исчезает.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Метафизарная хондродисплазия Янсена — редкая форма карликовости, которая связана с бессимптомной, но вы</w:t>
      </w:r>
      <w:r w:rsidRPr="00BF7C29">
        <w:rPr>
          <w:color w:val="000000"/>
          <w:sz w:val="24"/>
          <w:szCs w:val="24"/>
          <w:lang w:eastAsia="ru-RU" w:bidi="ru-RU"/>
        </w:rPr>
        <w:softHyphen/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раженной гиперкальциемией и гипофосфатемией. При</w:t>
      </w:r>
      <w:r w:rsidRPr="00BF7C29">
        <w:rPr>
          <w:color w:val="000000"/>
          <w:sz w:val="24"/>
          <w:szCs w:val="24"/>
          <w:lang w:eastAsia="ru-RU" w:bidi="ru-RU"/>
        </w:rPr>
        <w:softHyphen/>
        <w:t>чиной болезни является мутация гена рецептора ПТГ и ПТГ-подобного пептида. Клетки околощитовидной железы в норме, содержание ПТГ и ПТГ-подобного пептида в крови в норме или снижено.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466"/>
        </w:tabs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Врожденный дефицит лактазы сопровождается гиперкаль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циемией и кальцинозом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мозгового вещества почек у ново</w:t>
      </w:r>
      <w:r w:rsidRPr="00BF7C29">
        <w:rPr>
          <w:color w:val="000000"/>
          <w:sz w:val="24"/>
          <w:szCs w:val="24"/>
          <w:lang w:eastAsia="ru-RU" w:bidi="ru-RU"/>
        </w:rPr>
        <w:softHyphen/>
        <w:t>рожденных вследствие увеличения всасывания кальция в подвздошной кишке в присутствии негидролизованной лактозы. Гиперкальциемия быстро купируется после вве</w:t>
      </w:r>
      <w:r w:rsidRPr="00BF7C29">
        <w:rPr>
          <w:color w:val="000000"/>
          <w:sz w:val="24"/>
          <w:szCs w:val="24"/>
          <w:lang w:eastAsia="ru-RU" w:bidi="ru-RU"/>
        </w:rPr>
        <w:softHyphen/>
        <w:t>дения безлактозной диеты, но нефрокальциноз может со</w:t>
      </w:r>
      <w:r w:rsidRPr="00BF7C29">
        <w:rPr>
          <w:color w:val="000000"/>
          <w:sz w:val="24"/>
          <w:szCs w:val="24"/>
          <w:lang w:eastAsia="ru-RU" w:bidi="ru-RU"/>
        </w:rPr>
        <w:softHyphen/>
        <w:t>храниться.</w:t>
      </w:r>
    </w:p>
    <w:p w:rsidR="00BF7C29" w:rsidRPr="00BF7C29" w:rsidRDefault="00BF7C29" w:rsidP="0038538C">
      <w:pPr>
        <w:pStyle w:val="3f2"/>
        <w:ind w:firstLine="567"/>
        <w:rPr>
          <w:rFonts w:ascii="Times New Roman" w:hAnsi="Times New Roman" w:cs="Times New Roman"/>
          <w:sz w:val="24"/>
          <w:szCs w:val="24"/>
        </w:rPr>
      </w:pPr>
      <w:bookmarkStart w:id="7" w:name="bookmark273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Патогенез</w:t>
      </w:r>
      <w:bookmarkEnd w:id="7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Содержание кальция в крови — одна из наиболее постоянных величин в организме. Истинная гиперкальциемия возникает, ког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да концентрация кальция в крови превышает выделение кальция с мочой или содержание в костях. При гипервитаминозе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увели</w:t>
      </w:r>
      <w:r w:rsidRPr="00BF7C29">
        <w:rPr>
          <w:color w:val="000000"/>
          <w:sz w:val="24"/>
          <w:szCs w:val="24"/>
          <w:lang w:eastAsia="ru-RU" w:bidi="ru-RU"/>
        </w:rPr>
        <w:softHyphen/>
        <w:t>чиваются кишечное всасывание кальция и костная резорбция, а первичный гиперпаратиреоз ассоциирован с усилением костной резорбции, канальцевой реабсорбцией кальция и синтезом каль- цитриола в почках.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Вследствие прямого токсического действия повышенного со</w:t>
      </w:r>
      <w:r w:rsidRPr="00BF7C29">
        <w:rPr>
          <w:color w:val="000000"/>
          <w:sz w:val="24"/>
          <w:szCs w:val="24"/>
          <w:lang w:eastAsia="ru-RU" w:bidi="ru-RU"/>
        </w:rPr>
        <w:softHyphen/>
        <w:t>держания кальция на процессы канальцевой реабсорбции при гиперкальциемии происходит нарушение концентрационной функции почек. Выраженная дегидратация сопровождается снижением скорости клубочковой фильтрации, поэтому полиу</w:t>
      </w:r>
      <w:r w:rsidRPr="00BF7C29">
        <w:rPr>
          <w:color w:val="000000"/>
          <w:sz w:val="24"/>
          <w:szCs w:val="24"/>
          <w:lang w:eastAsia="ru-RU" w:bidi="ru-RU"/>
        </w:rPr>
        <w:softHyphen/>
        <w:t>рическая стадия сменяется олигоурической, что еще более спо</w:t>
      </w:r>
      <w:r w:rsidRPr="00BF7C29">
        <w:rPr>
          <w:color w:val="000000"/>
          <w:sz w:val="24"/>
          <w:szCs w:val="24"/>
          <w:lang w:eastAsia="ru-RU" w:bidi="ru-RU"/>
        </w:rPr>
        <w:softHyphen/>
        <w:t>собствует увеличению гиперкальциемии.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Одновременно с этим появляются симптомы гиперкальциеми- ческого поражения нервной системы, выражающиеся на ранних этапах нарушением сознания от небольшой депрессии, слабости и заторможенности до галлюцинаций, дезориентации и комы.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умеренном повышении концентрации кальция в крови со</w:t>
      </w:r>
      <w:r w:rsidRPr="00BF7C29">
        <w:rPr>
          <w:color w:val="000000"/>
          <w:sz w:val="24"/>
          <w:szCs w:val="24"/>
          <w:lang w:eastAsia="ru-RU" w:bidi="ru-RU"/>
        </w:rPr>
        <w:softHyphen/>
        <w:t>кратимость миокарда может возрастать, но при содержании этого иона в крови более 3,5 ммоль/л (14 мг/дл) сократимость миокар</w:t>
      </w:r>
      <w:r w:rsidRPr="00BF7C29">
        <w:rPr>
          <w:color w:val="000000"/>
          <w:sz w:val="24"/>
          <w:szCs w:val="24"/>
          <w:lang w:eastAsia="ru-RU" w:bidi="ru-RU"/>
        </w:rPr>
        <w:softHyphen/>
        <w:t>да, наоборот, снижается. При гиперкальциемии может повышать</w:t>
      </w:r>
      <w:r w:rsidRPr="00BF7C29">
        <w:rPr>
          <w:color w:val="000000"/>
          <w:sz w:val="24"/>
          <w:szCs w:val="24"/>
          <w:lang w:eastAsia="ru-RU" w:bidi="ru-RU"/>
        </w:rPr>
        <w:softHyphen/>
        <w:t>ся АД, а также усиливаться токсичность сердечных гликозидов. Гипокалиемия, развивающаяся вследствие нарушения концентра</w:t>
      </w:r>
      <w:r w:rsidRPr="00BF7C29">
        <w:rPr>
          <w:color w:val="000000"/>
          <w:sz w:val="24"/>
          <w:szCs w:val="24"/>
          <w:lang w:eastAsia="ru-RU" w:bidi="ru-RU"/>
        </w:rPr>
        <w:softHyphen/>
        <w:t>ционной функции почек, способствует потенцированию проарит- могенного эффекта повышенного содержания кальция в крови. Тяжелая гиперкальциемия может быть непосредственной причи</w:t>
      </w:r>
      <w:r w:rsidRPr="00BF7C29">
        <w:rPr>
          <w:color w:val="000000"/>
          <w:sz w:val="24"/>
          <w:szCs w:val="24"/>
          <w:lang w:eastAsia="ru-RU" w:bidi="ru-RU"/>
        </w:rPr>
        <w:softHyphen/>
        <w:t>ной АВ-блокады и других нарушений проведения вплоть до оста</w:t>
      </w:r>
      <w:r w:rsidRPr="00BF7C29">
        <w:rPr>
          <w:color w:val="000000"/>
          <w:sz w:val="24"/>
          <w:szCs w:val="24"/>
          <w:lang w:eastAsia="ru-RU" w:bidi="ru-RU"/>
        </w:rPr>
        <w:softHyphen/>
        <w:t>новки сердца и внезапной смерти. Однако клинически значимые состояния, связанные с этими нарушениями функционирования миокарда при электролитных нарушениях, при гиперкальциеми- ческом кризе возникают сравнительно редко. Основными причи</w:t>
      </w:r>
      <w:r w:rsidRPr="00BF7C29">
        <w:rPr>
          <w:color w:val="000000"/>
          <w:sz w:val="24"/>
          <w:szCs w:val="24"/>
          <w:lang w:eastAsia="ru-RU" w:bidi="ru-RU"/>
        </w:rPr>
        <w:softHyphen/>
        <w:t>нами смерти бывают угнетение деятельности ЦНС и кома.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Псевдогиперкальциемия — повышение концентрации общего кальция в крови вследствие гиперальбуминемии в результате вы</w:t>
      </w:r>
      <w:r w:rsidRPr="00BF7C29">
        <w:rPr>
          <w:color w:val="000000"/>
          <w:sz w:val="24"/>
          <w:szCs w:val="24"/>
          <w:lang w:eastAsia="ru-RU" w:bidi="ru-RU"/>
        </w:rPr>
        <w:softHyphen/>
        <w:t>раженной дегидратации либо при миеломной болезни. Содержа</w:t>
      </w:r>
      <w:r w:rsidRPr="00BF7C29">
        <w:rPr>
          <w:color w:val="000000"/>
          <w:sz w:val="24"/>
          <w:szCs w:val="24"/>
          <w:lang w:eastAsia="ru-RU" w:bidi="ru-RU"/>
        </w:rPr>
        <w:softHyphen/>
        <w:t>ние свободного кальция в этих ситуациях бывает нормальным.</w:t>
      </w:r>
    </w:p>
    <w:p w:rsidR="00BF7C29" w:rsidRPr="00BF7C29" w:rsidRDefault="00BF7C29" w:rsidP="0038538C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" w:name="bookmark274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8"/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" w:name="bookmark274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Анамнез</w:t>
      </w:r>
      <w:bookmarkEnd w:id="9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Следует уточнить причину гиперкальциемии, выявить заболева</w:t>
      </w:r>
      <w:r w:rsidRPr="00BF7C29">
        <w:rPr>
          <w:color w:val="000000"/>
          <w:sz w:val="24"/>
          <w:szCs w:val="24"/>
          <w:lang w:eastAsia="ru-RU" w:bidi="ru-RU"/>
        </w:rPr>
        <w:softHyphen/>
        <w:t>ние, ставшее причиной повышения содержания кальция в крови.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" w:name="bookmark274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Физикальное обследование</w:t>
      </w:r>
      <w:bookmarkEnd w:id="10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Можно выявить изменения костей скелета, походки, обнару</w:t>
      </w:r>
      <w:r w:rsidRPr="00BF7C29">
        <w:rPr>
          <w:color w:val="000000"/>
          <w:sz w:val="24"/>
          <w:szCs w:val="24"/>
          <w:lang w:eastAsia="ru-RU" w:bidi="ru-RU"/>
        </w:rPr>
        <w:softHyphen/>
        <w:t>жить участки кожного обызвествления.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" w:name="bookmark274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Лабораторные исследования</w:t>
      </w:r>
      <w:bookmarkEnd w:id="11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Для подтверждения гиперкальциемии.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503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Двукратное определение концентрации общего кальция в крови (необязательно натощак).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503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Исследование содержания свободного кальция в крови.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Для диагностики причины гиперкальциемии.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503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Биохимический анализ крови (определение концентрации фосфора, магния, белка, креатинина, мочевины в крови).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503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Определение показателей костного метаболизма.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503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Исследование содержания ПТГ и ПТГ-подобных пептидов в крови.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503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Определение белка Бенс-Джонса в моче.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503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Оценка экскреции кальция с мочой.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 признакам паранеопластической гиперкальциемии относят: повышение в крови уровня ПТГ-подобных пептидов, низкое со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держание фосфата, ПТГ1-84 и </w:t>
      </w:r>
      <w:r w:rsidRPr="00BF7C29">
        <w:rPr>
          <w:color w:val="000000"/>
          <w:sz w:val="24"/>
          <w:szCs w:val="24"/>
          <w:lang w:bidi="en-US"/>
        </w:rPr>
        <w:t>25(</w:t>
      </w:r>
      <w:r w:rsidRPr="00BF7C29">
        <w:rPr>
          <w:color w:val="000000"/>
          <w:sz w:val="24"/>
          <w:szCs w:val="24"/>
          <w:lang w:val="en-US" w:bidi="en-US"/>
        </w:rPr>
        <w:t>OH</w:t>
      </w:r>
      <w:r w:rsidRPr="00BF7C29">
        <w:rPr>
          <w:color w:val="000000"/>
          <w:sz w:val="24"/>
          <w:szCs w:val="24"/>
          <w:lang w:bidi="en-US"/>
        </w:rPr>
        <w:t>)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vertAlign w:val="subscript"/>
          <w:lang w:bidi="en-US"/>
        </w:rPr>
        <w:t>3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увеличение концен</w:t>
      </w:r>
      <w:r w:rsidRPr="00BF7C29">
        <w:rPr>
          <w:color w:val="000000"/>
          <w:sz w:val="24"/>
          <w:szCs w:val="24"/>
          <w:lang w:eastAsia="ru-RU" w:bidi="ru-RU"/>
        </w:rPr>
        <w:softHyphen/>
        <w:t>трации нефрогенного цАМФ и нормальную либо повышенную экскрецию кальция с мочой.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гиперкальциемии, обусловленной миеломной болезнью, выявляют белок Бенс-Джонса в моче, повышение СОЭ и нормо- фосфатемию.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" w:name="bookmark274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Инструментальные исследования</w:t>
      </w:r>
      <w:bookmarkEnd w:id="12"/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503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Типичные признаки гиперкальциемии на ЭКГ: укорочение интервала 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Q</w:t>
      </w:r>
      <w:r w:rsidRPr="00BF7C29">
        <w:rPr>
          <w:i/>
          <w:iCs/>
          <w:color w:val="000000"/>
          <w:sz w:val="24"/>
          <w:szCs w:val="24"/>
          <w:lang w:bidi="en-US"/>
        </w:rPr>
        <w:t>-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T</w:t>
      </w:r>
      <w:r w:rsidRPr="00BF7C29">
        <w:rPr>
          <w:color w:val="000000"/>
          <w:sz w:val="24"/>
          <w:szCs w:val="24"/>
          <w:lang w:eastAsia="ru-RU" w:bidi="ru-RU"/>
        </w:rPr>
        <w:t xml:space="preserve">, удлинение интервала 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P</w:t>
      </w:r>
      <w:r w:rsidRPr="00BF7C29">
        <w:rPr>
          <w:i/>
          <w:iCs/>
          <w:color w:val="000000"/>
          <w:sz w:val="24"/>
          <w:szCs w:val="24"/>
          <w:lang w:bidi="en-US"/>
        </w:rPr>
        <w:t>-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R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 xml:space="preserve">и комплекса 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QRS</w:t>
      </w:r>
      <w:r w:rsidRPr="00BF7C29">
        <w:rPr>
          <w:color w:val="000000"/>
          <w:sz w:val="24"/>
          <w:szCs w:val="24"/>
          <w:lang w:eastAsia="ru-RU" w:bidi="ru-RU"/>
        </w:rPr>
        <w:t>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503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рентгенографии кистей, различных частей скелета: участки субпериостальной резорбции и кисты, очаги мета</w:t>
      </w:r>
      <w:r w:rsidRPr="00BF7C29">
        <w:rPr>
          <w:color w:val="000000"/>
          <w:sz w:val="24"/>
          <w:szCs w:val="24"/>
          <w:lang w:eastAsia="ru-RU" w:bidi="ru-RU"/>
        </w:rPr>
        <w:softHyphen/>
        <w:t>статического остеолизиса.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503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Остеоденситометрия показана для диагностики остеопении (остеопороза) различных отделов осевого скелета.</w:t>
      </w:r>
    </w:p>
    <w:p w:rsidR="00BF7C29" w:rsidRPr="00BF7C29" w:rsidRDefault="00BF7C29" w:rsidP="0038538C">
      <w:pPr>
        <w:pStyle w:val="1f1"/>
        <w:numPr>
          <w:ilvl w:val="0"/>
          <w:numId w:val="15"/>
        </w:numPr>
        <w:tabs>
          <w:tab w:val="left" w:pos="503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УЗИ почек: нефролитиаз, изменение паренхимы почек.</w:t>
      </w:r>
    </w:p>
    <w:p w:rsidR="00BF7C29" w:rsidRPr="00BF7C29" w:rsidRDefault="00BF7C29" w:rsidP="0038538C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" w:name="bookmark275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13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После купирования угрожающего состояния (тяжелой гипер</w:t>
      </w:r>
      <w:r w:rsidRPr="00BF7C29">
        <w:rPr>
          <w:color w:val="000000"/>
          <w:sz w:val="24"/>
          <w:szCs w:val="24"/>
          <w:lang w:eastAsia="ru-RU" w:bidi="ru-RU"/>
        </w:rPr>
        <w:softHyphen/>
        <w:t>кальциемии) лечение гиперкальциемии следует продолжить.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паранеопластической гиперкальциемии назначают пами- дроновую кислоту 1 раз в 4-6 нед в течение 2-5 лет. Эффективна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также комбинация памидроновой кислоты и кальцитонина. По</w:t>
      </w:r>
      <w:r w:rsidRPr="00BF7C29">
        <w:rPr>
          <w:color w:val="000000"/>
          <w:sz w:val="24"/>
          <w:szCs w:val="24"/>
          <w:lang w:eastAsia="ru-RU" w:bidi="ru-RU"/>
        </w:rPr>
        <w:softHyphen/>
        <w:t>вторную инфузию ибандроновой кислоты проводят через 18</w:t>
      </w:r>
      <w:r w:rsidRPr="00BF7C29">
        <w:rPr>
          <w:color w:val="000000"/>
          <w:sz w:val="24"/>
          <w:szCs w:val="24"/>
          <w:lang w:eastAsia="ru-RU" w:bidi="ru-RU"/>
        </w:rPr>
        <w:softHyphen/>
        <w:t>19 сут после введения 2-4 мг или через 26 сут после применения препарата в дозе 6 мг. Лечение кальцитонином продолжают в дозе 200-400 ЕД ежедневно внутримышечно, подкожно или интраназально. Для предупреждения привыкания к нему на</w:t>
      </w:r>
      <w:r w:rsidRPr="00BF7C29">
        <w:rPr>
          <w:color w:val="000000"/>
          <w:sz w:val="24"/>
          <w:szCs w:val="24"/>
          <w:lang w:eastAsia="ru-RU" w:bidi="ru-RU"/>
        </w:rPr>
        <w:softHyphen/>
        <w:t>значают глюкокортикоиды, которые способствуют снижению концентрации кальция в крови, уменьшая его кишечную абсорб</w:t>
      </w:r>
      <w:r w:rsidRPr="00BF7C29">
        <w:rPr>
          <w:color w:val="000000"/>
          <w:sz w:val="24"/>
          <w:szCs w:val="24"/>
          <w:lang w:eastAsia="ru-RU" w:bidi="ru-RU"/>
        </w:rPr>
        <w:softHyphen/>
        <w:t>цию. Показанием к применению глюкокортикоидов, поскольку они имеют цитостатический эффект, служат также гемобласто</w:t>
      </w:r>
      <w:r w:rsidRPr="00BF7C29">
        <w:rPr>
          <w:color w:val="000000"/>
          <w:sz w:val="24"/>
          <w:szCs w:val="24"/>
          <w:lang w:eastAsia="ru-RU" w:bidi="ru-RU"/>
        </w:rPr>
        <w:softHyphen/>
        <w:t>зы (миеломная болезнь, метастазы РМЖ в кости). Преднизолон назначают в суточной дозе 40-100 мг в течение не более 10 сут. При тяжелой паранеопластической гиперкальциемии, резистент</w:t>
      </w:r>
      <w:r w:rsidRPr="00BF7C29">
        <w:rPr>
          <w:color w:val="000000"/>
          <w:sz w:val="24"/>
          <w:szCs w:val="24"/>
          <w:lang w:eastAsia="ru-RU" w:bidi="ru-RU"/>
        </w:rPr>
        <w:softHyphen/>
        <w:t>ности к бисфосфонатам можно использовать митомицин (проти</w:t>
      </w:r>
      <w:r w:rsidRPr="00BF7C29">
        <w:rPr>
          <w:color w:val="000000"/>
          <w:sz w:val="24"/>
          <w:szCs w:val="24"/>
          <w:lang w:eastAsia="ru-RU" w:bidi="ru-RU"/>
        </w:rPr>
        <w:softHyphen/>
        <w:t>воопухолевый препарат, подавляющий синтез РНК, в том числе в остеокластах) в дозе 25 мкг/кг массы тела (10% обычной химио</w:t>
      </w:r>
      <w:r w:rsidRPr="00BF7C29">
        <w:rPr>
          <w:color w:val="000000"/>
          <w:sz w:val="24"/>
          <w:szCs w:val="24"/>
          <w:lang w:eastAsia="ru-RU" w:bidi="ru-RU"/>
        </w:rPr>
        <w:softHyphen/>
        <w:t>терапевтической дозы), которую вводят в течение 4 ч ежедневно на протяжении 3-4 сут. Нитрат галлия способствует снижению мобилизации кальция из костей, связываясь с гидроксиапатитом и уменьшая его растворимость. Препарат вводят внутривенно ка</w:t>
      </w:r>
      <w:r w:rsidRPr="00BF7C29">
        <w:rPr>
          <w:color w:val="000000"/>
          <w:sz w:val="24"/>
          <w:szCs w:val="24"/>
          <w:lang w:eastAsia="ru-RU" w:bidi="ru-RU"/>
        </w:rPr>
        <w:softHyphen/>
        <w:t>пельно непрерывно в течение 5 сут.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случае умеренной гиперкальциемии при бессимптомном и легком первичном гиперпаратиреозе и других состояниях экс</w:t>
      </w:r>
      <w:r w:rsidRPr="00BF7C29">
        <w:rPr>
          <w:color w:val="000000"/>
          <w:sz w:val="24"/>
          <w:szCs w:val="24"/>
          <w:lang w:eastAsia="ru-RU" w:bidi="ru-RU"/>
        </w:rPr>
        <w:softHyphen/>
        <w:t>тренная инфузионная терапия не показана. Достаточно назначить бисфосфонаты внутрь: алендроновую кислоту в дозе 10 мг 1 раз в сутки, или 70 мг 1 раз в неделю, натощак.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Кальцитриолиндуцированная гиперкальциемия бывает крат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ковременной вследствие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короткого периода полураспада, поэтому следует только отменить препарат и увеличить прием жидкости или внутривенно назначить 0,9% раствор хлорида натрия.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Кальцидиолиндуцированная гиперкальциемия бывает более длительной, поэтому может появиться необходимость назначе</w:t>
      </w:r>
      <w:r w:rsidRPr="00BF7C29">
        <w:rPr>
          <w:color w:val="000000"/>
          <w:sz w:val="24"/>
          <w:szCs w:val="24"/>
          <w:lang w:eastAsia="ru-RU" w:bidi="ru-RU"/>
        </w:rPr>
        <w:softHyphen/>
        <w:t>ния глюкокортикоидов и бисфосфонатов.</w:t>
      </w:r>
    </w:p>
    <w:p w:rsidR="00BF7C29" w:rsidRPr="00BF7C29" w:rsidRDefault="00BF7C29" w:rsidP="0038538C">
      <w:pPr>
        <w:pStyle w:val="1f1"/>
        <w:spacing w:after="1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гипофосфатемии применяют фосфаты внутрь в дозе 1000-1500 мг/сут в пересчете на фосфор, в несколько приемов. Максимальная доза составляет 3000, а при внутривенном введе</w:t>
      </w:r>
      <w:r w:rsidRPr="00BF7C29">
        <w:rPr>
          <w:color w:val="000000"/>
          <w:sz w:val="24"/>
          <w:szCs w:val="24"/>
          <w:lang w:eastAsia="ru-RU" w:bidi="ru-RU"/>
        </w:rPr>
        <w:softHyphen/>
        <w:t>нии (в течение 4-6 ч) — 1000 мг/сут. Фосфаты противопоказаны при гиперфосфатемии и концентрации общего кальция в крови более 3 ммоль/л, поэтому их не используют для купирования ги- перкальциемического криза.</w:t>
      </w:r>
    </w:p>
    <w:p w:rsidR="00BF7C29" w:rsidRPr="00BF7C29" w:rsidRDefault="00BF7C29" w:rsidP="00BF7C29">
      <w:pPr>
        <w:widowControl/>
        <w:autoSpaceDE/>
        <w:autoSpaceDN/>
        <w:adjustRightInd/>
        <w:spacing w:before="100" w:beforeAutospacing="1" w:after="100" w:afterAutospacing="1"/>
        <w:jc w:val="both"/>
        <w:outlineLvl w:val="1"/>
        <w:rPr>
          <w:b/>
          <w:bCs/>
          <w:sz w:val="24"/>
          <w:szCs w:val="24"/>
        </w:rPr>
      </w:pPr>
      <w:bookmarkStart w:id="14" w:name="_Toc213118550"/>
      <w:bookmarkStart w:id="15" w:name="_Toc213164097"/>
      <w:r w:rsidRPr="00BF7C29">
        <w:rPr>
          <w:b/>
          <w:bCs/>
          <w:sz w:val="24"/>
          <w:szCs w:val="24"/>
        </w:rPr>
        <w:t xml:space="preserve">ПЛАН </w:t>
      </w:r>
      <w:r w:rsidRPr="00BF7C29">
        <w:rPr>
          <w:b/>
          <w:bCs/>
          <w:sz w:val="24"/>
          <w:szCs w:val="24"/>
          <w:lang w:val="uz-Latn-UZ"/>
        </w:rPr>
        <w:t>2</w:t>
      </w:r>
      <w:r w:rsidRPr="00BF7C29">
        <w:rPr>
          <w:b/>
          <w:bCs/>
          <w:sz w:val="24"/>
          <w:szCs w:val="24"/>
        </w:rPr>
        <w:t>. СИНДРОМ ГИПОКАЛЬЦИЕМИИ</w:t>
      </w:r>
    </w:p>
    <w:bookmarkEnd w:id="14"/>
    <w:bookmarkEnd w:id="15"/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гипокальциемии обусловлен либо увеличением вы</w:t>
      </w:r>
      <w:r w:rsidRPr="00BF7C29">
        <w:rPr>
          <w:color w:val="000000"/>
          <w:sz w:val="24"/>
          <w:szCs w:val="24"/>
          <w:lang w:eastAsia="ru-RU" w:bidi="ru-RU"/>
        </w:rPr>
        <w:softHyphen/>
        <w:t>хода ионизированного кальция из кровотока (вследствие отложе</w:t>
      </w:r>
      <w:r w:rsidRPr="00BF7C29">
        <w:rPr>
          <w:color w:val="000000"/>
          <w:sz w:val="24"/>
          <w:szCs w:val="24"/>
          <w:lang w:eastAsia="ru-RU" w:bidi="ru-RU"/>
        </w:rPr>
        <w:softHyphen/>
        <w:t>ния в тканях, включая кость, потери с мочой или увеличенным связыванием кальция в сыворотке), либо уменьшением поступле</w:t>
      </w:r>
      <w:r w:rsidRPr="00BF7C29">
        <w:rPr>
          <w:color w:val="000000"/>
          <w:sz w:val="24"/>
          <w:szCs w:val="24"/>
          <w:lang w:eastAsia="ru-RU" w:bidi="ru-RU"/>
        </w:rPr>
        <w:softHyphen/>
        <w:t>ния кальция в циркуляцию (синдром мальабсорбции, снижение</w:t>
      </w:r>
    </w:p>
    <w:p w:rsidR="00BF7C29" w:rsidRPr="00BF7C29" w:rsidRDefault="00BF7C29" w:rsidP="0038538C">
      <w:pPr>
        <w:pStyle w:val="1f1"/>
        <w:tabs>
          <w:tab w:val="left" w:pos="709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костной резорбции). Синдром развивается вследствие понижения концентрации ионизированного кальция в плазме крови ниже минимально допустимого значения.</w:t>
      </w:r>
    </w:p>
    <w:p w:rsidR="00BF7C29" w:rsidRPr="00BF7C29" w:rsidRDefault="00BF7C29" w:rsidP="0038538C">
      <w:pPr>
        <w:pStyle w:val="3f2"/>
        <w:tabs>
          <w:tab w:val="left" w:pos="709"/>
        </w:tabs>
        <w:spacing w:after="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6" w:name="bookmark275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Неотложные мероприятия</w:t>
      </w:r>
      <w:bookmarkEnd w:id="16"/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Необходимы при остро развившейся и выраженной гипо</w:t>
      </w:r>
      <w:r w:rsidRPr="00BF7C29">
        <w:rPr>
          <w:color w:val="000000"/>
          <w:sz w:val="24"/>
          <w:szCs w:val="24"/>
          <w:lang w:eastAsia="ru-RU" w:bidi="ru-RU"/>
        </w:rPr>
        <w:softHyphen/>
        <w:t>кальциемии, когда уровень общего кальция менее 1,9 ммоль/л (7,6 мг%).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Проявления выраженной гипокальциемии </w:t>
      </w:r>
      <w:r w:rsidRPr="00BF7C29">
        <w:rPr>
          <w:color w:val="000000"/>
          <w:sz w:val="24"/>
          <w:szCs w:val="24"/>
          <w:lang w:eastAsia="ru-RU" w:bidi="ru-RU"/>
        </w:rPr>
        <w:t>— острые сим</w:t>
      </w:r>
      <w:r w:rsidRPr="00BF7C29">
        <w:rPr>
          <w:color w:val="000000"/>
          <w:sz w:val="24"/>
          <w:szCs w:val="24"/>
          <w:lang w:eastAsia="ru-RU" w:bidi="ru-RU"/>
        </w:rPr>
        <w:softHyphen/>
        <w:t>птомы нервно-мышечной возбудимости: парестезии, судороги, эпилептиформные приступы, остановка дыхания, ларингоспазм, бронхоспазм.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Наряду с низкой концентрацией общего кальция в сыворотке крови определяется низкий уровень ионизированного кальция (&lt;0,9 ммоль/л), иногда возможно развитие гипомагниемии (чаще наблюдается при алкоголизме, выраженной мальабсорбции и в ранний послеоперационный период после паратиреоидэктомии).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Лечение острой гипокальциемии </w:t>
      </w:r>
      <w:r w:rsidRPr="00BF7C29">
        <w:rPr>
          <w:color w:val="000000"/>
          <w:sz w:val="24"/>
          <w:szCs w:val="24"/>
          <w:lang w:eastAsia="ru-RU" w:bidi="ru-RU"/>
        </w:rPr>
        <w:t>зависит от ее выраженно</w:t>
      </w:r>
      <w:r w:rsidRPr="00BF7C29">
        <w:rPr>
          <w:color w:val="000000"/>
          <w:sz w:val="24"/>
          <w:szCs w:val="24"/>
          <w:lang w:eastAsia="ru-RU" w:bidi="ru-RU"/>
        </w:rPr>
        <w:softHyphen/>
        <w:t>сти, тяжести симптомов повышенной нервно-мышечной возбуди</w:t>
      </w:r>
      <w:r w:rsidRPr="00BF7C29">
        <w:rPr>
          <w:color w:val="000000"/>
          <w:sz w:val="24"/>
          <w:szCs w:val="24"/>
          <w:lang w:eastAsia="ru-RU" w:bidi="ru-RU"/>
        </w:rPr>
        <w:softHyphen/>
        <w:t>мости и ответа на лечение.</w:t>
      </w:r>
    </w:p>
    <w:p w:rsidR="00BF7C29" w:rsidRPr="00BF7C29" w:rsidRDefault="00BF7C29" w:rsidP="0038538C">
      <w:pPr>
        <w:pStyle w:val="1f1"/>
        <w:numPr>
          <w:ilvl w:val="0"/>
          <w:numId w:val="16"/>
        </w:numPr>
        <w:tabs>
          <w:tab w:val="left" w:pos="466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Внутривенное медленное (в течение 5 мин) введение от10- 20 до 50 мл 10% раствора кальция глюконата, разведенного в 50-200 мл 5% раствора глюкозы или 0,9% раствора хло</w:t>
      </w:r>
      <w:r w:rsidRPr="00BF7C29">
        <w:rPr>
          <w:color w:val="000000"/>
          <w:sz w:val="24"/>
          <w:szCs w:val="24"/>
          <w:lang w:eastAsia="ru-RU" w:bidi="ru-RU"/>
        </w:rPr>
        <w:softHyphen/>
        <w:t>рида натрия. Вливание можно повторить при отсутствии положительной динамики в состоянии пациента или сохра</w:t>
      </w:r>
      <w:r w:rsidRPr="00BF7C29">
        <w:rPr>
          <w:color w:val="000000"/>
          <w:sz w:val="24"/>
          <w:szCs w:val="24"/>
          <w:lang w:eastAsia="ru-RU" w:bidi="ru-RU"/>
        </w:rPr>
        <w:softHyphen/>
        <w:t>нении низкого уровня кальция в течение 30 мин.</w:t>
      </w:r>
    </w:p>
    <w:p w:rsidR="00BF7C29" w:rsidRPr="00BF7C29" w:rsidRDefault="00BF7C29" w:rsidP="0038538C">
      <w:pPr>
        <w:pStyle w:val="1f1"/>
        <w:numPr>
          <w:ilvl w:val="0"/>
          <w:numId w:val="16"/>
        </w:numPr>
        <w:tabs>
          <w:tab w:val="left" w:pos="466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продолжающейся гипокальциемии внутривеннно ка</w:t>
      </w:r>
      <w:r w:rsidRPr="00BF7C29">
        <w:rPr>
          <w:color w:val="000000"/>
          <w:sz w:val="24"/>
          <w:szCs w:val="24"/>
          <w:lang w:eastAsia="ru-RU" w:bidi="ru-RU"/>
        </w:rPr>
        <w:softHyphen/>
        <w:t>пельно вводят 100 мл 10% раствора кальция глюконата в 1000 мл 0,9% раствора хлорида натрия. Начинают инфу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зию со скоростью 50 мл/ч, затем титруют для поддержания уровня кальция в крови в нормальных пределах. В среднем вводят за 4-6 ч 15 мг/кг массы тела элементарного кальция, увеличивая его уровень в крови на 0,5-0,75 ммоль/л. Если гипокальциемия сохраняется, назначают внутрь 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. </w:t>
      </w:r>
      <w:r w:rsidRPr="00BF7C29">
        <w:rPr>
          <w:color w:val="000000"/>
          <w:sz w:val="24"/>
          <w:szCs w:val="24"/>
          <w:lang w:eastAsia="ru-RU" w:bidi="ru-RU"/>
        </w:rPr>
        <w:t>В острой ситуации предпочтительны активные метаболиты или их аналоги, так как они обладают более быстрым дей</w:t>
      </w:r>
      <w:r w:rsidRPr="00BF7C29">
        <w:rPr>
          <w:color w:val="000000"/>
          <w:sz w:val="24"/>
          <w:szCs w:val="24"/>
          <w:lang w:eastAsia="ru-RU" w:bidi="ru-RU"/>
        </w:rPr>
        <w:softHyphen/>
        <w:t>ствием. Доза альфакальцидола или кальцитриола составля</w:t>
      </w:r>
      <w:r w:rsidRPr="00BF7C29">
        <w:rPr>
          <w:color w:val="000000"/>
          <w:sz w:val="24"/>
          <w:szCs w:val="24"/>
          <w:lang w:eastAsia="ru-RU" w:bidi="ru-RU"/>
        </w:rPr>
        <w:softHyphen/>
        <w:t>ет 0,5-3,0 мкг/сут.</w:t>
      </w:r>
    </w:p>
    <w:p w:rsidR="00BF7C29" w:rsidRPr="00BF7C29" w:rsidRDefault="00BF7C29" w:rsidP="0038538C">
      <w:pPr>
        <w:pStyle w:val="1f1"/>
        <w:numPr>
          <w:ilvl w:val="0"/>
          <w:numId w:val="16"/>
        </w:numPr>
        <w:tabs>
          <w:tab w:val="left" w:pos="466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 части пациентов с гипокальциемией может снизиться уро</w:t>
      </w:r>
      <w:r w:rsidRPr="00BF7C29">
        <w:rPr>
          <w:color w:val="000000"/>
          <w:sz w:val="24"/>
          <w:szCs w:val="24"/>
          <w:lang w:eastAsia="ru-RU" w:bidi="ru-RU"/>
        </w:rPr>
        <w:softHyphen/>
        <w:t>вень магния в крови. Его надо скорректировать до того, как нормализуется уровень кальция. При гипомагниемии вводят внутривенно струйно за 10-20 мин 2 г сульфата магния, по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том — капельно 1 г в 100 мл 0,9%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раствора натрия хлорида за час. Восполнение дефицита магния продолжают до дости</w:t>
      </w:r>
      <w:r w:rsidRPr="00BF7C29">
        <w:rPr>
          <w:color w:val="000000"/>
          <w:sz w:val="24"/>
          <w:szCs w:val="24"/>
          <w:lang w:eastAsia="ru-RU" w:bidi="ru-RU"/>
        </w:rPr>
        <w:softHyphen/>
        <w:t>жения его уровня в крови более 0,4 ммоль/л. Если гипокаль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циемия была связана с потерей магния, то восстановление уровня кальция происходит в промежутке от нескольких ми</w:t>
      </w:r>
      <w:r w:rsidRPr="00BF7C29">
        <w:rPr>
          <w:color w:val="000000"/>
          <w:sz w:val="24"/>
          <w:szCs w:val="24"/>
          <w:lang w:eastAsia="ru-RU" w:bidi="ru-RU"/>
        </w:rPr>
        <w:softHyphen/>
        <w:t>нут до часа после нормализации уровня магния в крови.</w:t>
      </w:r>
    </w:p>
    <w:p w:rsidR="00BF7C29" w:rsidRPr="00BF7C29" w:rsidRDefault="00BF7C29" w:rsidP="0038538C">
      <w:pPr>
        <w:pStyle w:val="3f2"/>
        <w:tabs>
          <w:tab w:val="left" w:pos="709"/>
        </w:tabs>
        <w:spacing w:after="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Классификация</w:t>
      </w:r>
      <w:bookmarkEnd w:id="2"/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Гипокальциемия.</w:t>
      </w:r>
    </w:p>
    <w:p w:rsidR="00BF7C29" w:rsidRPr="00BF7C29" w:rsidRDefault="00BF7C29" w:rsidP="0038538C">
      <w:pPr>
        <w:pStyle w:val="1f1"/>
        <w:numPr>
          <w:ilvl w:val="0"/>
          <w:numId w:val="16"/>
        </w:numPr>
        <w:tabs>
          <w:tab w:val="left" w:pos="496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Обусловленная низкой концентрацией ПТГ в крови.</w:t>
      </w:r>
    </w:p>
    <w:p w:rsidR="00BF7C29" w:rsidRPr="00BF7C29" w:rsidRDefault="00BF7C29" w:rsidP="0038538C">
      <w:pPr>
        <w:pStyle w:val="1f1"/>
        <w:numPr>
          <w:ilvl w:val="0"/>
          <w:numId w:val="16"/>
        </w:numPr>
        <w:tabs>
          <w:tab w:val="left" w:pos="496"/>
          <w:tab w:val="left" w:pos="709"/>
        </w:tabs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Обусловленная резистентностью к ПТГ, наблюдается при повышенном его содержании.</w:t>
      </w:r>
    </w:p>
    <w:p w:rsidR="00BF7C29" w:rsidRPr="00BF7C29" w:rsidRDefault="00BF7C29" w:rsidP="0038538C">
      <w:pPr>
        <w:pStyle w:val="3f2"/>
        <w:tabs>
          <w:tab w:val="left" w:pos="709"/>
        </w:tabs>
        <w:spacing w:after="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7" w:name="bookmark275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</w:t>
      </w:r>
      <w:bookmarkEnd w:id="17"/>
    </w:p>
    <w:p w:rsidR="00BF7C29" w:rsidRPr="00BF7C29" w:rsidRDefault="00BF7C29" w:rsidP="0038538C">
      <w:pPr>
        <w:pStyle w:val="1f1"/>
        <w:numPr>
          <w:ilvl w:val="0"/>
          <w:numId w:val="16"/>
        </w:numPr>
        <w:tabs>
          <w:tab w:val="left" w:pos="496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Бессимптомное течение — при содержании общего кальция в сыворотке крови 2,0-2,2 ммоль/л.</w:t>
      </w:r>
    </w:p>
    <w:p w:rsidR="00BF7C29" w:rsidRPr="00BF7C29" w:rsidRDefault="00BF7C29" w:rsidP="0038538C">
      <w:pPr>
        <w:pStyle w:val="1f1"/>
        <w:numPr>
          <w:ilvl w:val="0"/>
          <w:numId w:val="16"/>
        </w:numPr>
        <w:tabs>
          <w:tab w:val="left" w:pos="496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 симптомами — при более низких значениях общего 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ция в сыворотке крови: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повышенная нервно-мышечная возбудимость:</w:t>
      </w:r>
    </w:p>
    <w:p w:rsidR="00BF7C29" w:rsidRPr="00BF7C29" w:rsidRDefault="00BF7C29" w:rsidP="0038538C">
      <w:pPr>
        <w:pStyle w:val="1f1"/>
        <w:numPr>
          <w:ilvl w:val="0"/>
          <w:numId w:val="17"/>
        </w:numPr>
        <w:tabs>
          <w:tab w:val="left" w:pos="709"/>
          <w:tab w:val="left" w:pos="95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ларингоспазм, бронхоспазм;</w:t>
      </w:r>
    </w:p>
    <w:p w:rsidR="00BF7C29" w:rsidRPr="00BF7C29" w:rsidRDefault="00BF7C29" w:rsidP="0038538C">
      <w:pPr>
        <w:pStyle w:val="1f1"/>
        <w:numPr>
          <w:ilvl w:val="0"/>
          <w:numId w:val="17"/>
        </w:numPr>
        <w:tabs>
          <w:tab w:val="left" w:pos="709"/>
          <w:tab w:val="left" w:pos="95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парестезии (чаще в пальцах рук, ног, вокруг рта);</w:t>
      </w:r>
    </w:p>
    <w:p w:rsidR="00BF7C29" w:rsidRPr="00BF7C29" w:rsidRDefault="00BF7C29" w:rsidP="0038538C">
      <w:pPr>
        <w:pStyle w:val="1f1"/>
        <w:numPr>
          <w:ilvl w:val="0"/>
          <w:numId w:val="17"/>
        </w:numPr>
        <w:tabs>
          <w:tab w:val="left" w:pos="709"/>
          <w:tab w:val="left" w:pos="95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симптомы Хвостека и Труссо;</w:t>
      </w:r>
    </w:p>
    <w:p w:rsidR="00BF7C29" w:rsidRPr="00BF7C29" w:rsidRDefault="00BF7C29" w:rsidP="0038538C">
      <w:pPr>
        <w:pStyle w:val="1f1"/>
        <w:numPr>
          <w:ilvl w:val="0"/>
          <w:numId w:val="17"/>
        </w:numPr>
        <w:tabs>
          <w:tab w:val="left" w:pos="709"/>
          <w:tab w:val="left" w:pos="95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тетания, карпопедальный спазм, судороги;</w:t>
      </w:r>
    </w:p>
    <w:p w:rsidR="00BF7C29" w:rsidRPr="00BF7C29" w:rsidRDefault="00BF7C29" w:rsidP="0038538C">
      <w:pPr>
        <w:pStyle w:val="1f1"/>
        <w:numPr>
          <w:ilvl w:val="0"/>
          <w:numId w:val="17"/>
        </w:numPr>
        <w:tabs>
          <w:tab w:val="left" w:pos="709"/>
          <w:tab w:val="left" w:pos="95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удлинение интервала 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Q</w:t>
      </w:r>
      <w:r w:rsidRPr="00BF7C29">
        <w:rPr>
          <w:i/>
          <w:iCs/>
          <w:color w:val="000000"/>
          <w:sz w:val="24"/>
          <w:szCs w:val="24"/>
          <w:lang w:bidi="en-US"/>
        </w:rPr>
        <w:t>-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T</w:t>
      </w:r>
      <w:r w:rsidRPr="00BF7C29">
        <w:rPr>
          <w:color w:val="000000"/>
          <w:sz w:val="24"/>
          <w:szCs w:val="24"/>
          <w:lang w:eastAsia="ru-RU" w:bidi="ru-RU"/>
        </w:rPr>
        <w:t>на ЭКГ;</w:t>
      </w:r>
    </w:p>
    <w:p w:rsidR="00BF7C29" w:rsidRPr="00BF7C29" w:rsidRDefault="00BF7C29" w:rsidP="0038538C">
      <w:pPr>
        <w:pStyle w:val="1f1"/>
        <w:numPr>
          <w:ilvl w:val="0"/>
          <w:numId w:val="17"/>
        </w:numPr>
        <w:tabs>
          <w:tab w:val="left" w:pos="709"/>
          <w:tab w:val="left" w:pos="775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эктопическая кальцификация (например, в базальных ганглиях, что может сопровождаться экстрапирамидны- ми нарушениями);</w:t>
      </w:r>
    </w:p>
    <w:p w:rsidR="00BF7C29" w:rsidRPr="00BF7C29" w:rsidRDefault="00BF7C29" w:rsidP="0038538C">
      <w:pPr>
        <w:pStyle w:val="1f1"/>
        <w:numPr>
          <w:ilvl w:val="0"/>
          <w:numId w:val="17"/>
        </w:numPr>
        <w:tabs>
          <w:tab w:val="left" w:pos="709"/>
          <w:tab w:val="left" w:pos="775"/>
        </w:tabs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субкапсулярная катаракта.</w:t>
      </w:r>
    </w:p>
    <w:p w:rsidR="00BF7C29" w:rsidRPr="00BF7C29" w:rsidRDefault="00BF7C29" w:rsidP="0038538C">
      <w:pPr>
        <w:pStyle w:val="3f2"/>
        <w:tabs>
          <w:tab w:val="left" w:pos="709"/>
        </w:tabs>
        <w:spacing w:after="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8" w:name="bookmark276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Этиология и патогенез</w:t>
      </w:r>
      <w:bookmarkEnd w:id="18"/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Концентрация внеклеточного кальция жестко регулируется в узких физиологических пределах; основные регулирующие гор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моны — ПТГ, 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и его активные метаболиты. Околощито</w:t>
      </w:r>
      <w:r w:rsidRPr="00BF7C29">
        <w:rPr>
          <w:color w:val="000000"/>
          <w:sz w:val="24"/>
          <w:szCs w:val="24"/>
          <w:lang w:eastAsia="ru-RU" w:bidi="ru-RU"/>
        </w:rPr>
        <w:softHyphen/>
        <w:t>видные железы секретируют ПТГ в зависимости от концентрации ионизированного кальция в плазме.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Причины гипокальциемии: снижение ПТГ или развитие рези</w:t>
      </w:r>
      <w:r w:rsidRPr="00BF7C29">
        <w:rPr>
          <w:color w:val="000000"/>
          <w:sz w:val="24"/>
          <w:szCs w:val="24"/>
          <w:lang w:eastAsia="ru-RU" w:bidi="ru-RU"/>
        </w:rPr>
        <w:softHyphen/>
        <w:t>стентности к его действию, прием некоторых ЛС и др. Заболева</w:t>
      </w:r>
      <w:r w:rsidRPr="00BF7C29">
        <w:rPr>
          <w:color w:val="000000"/>
          <w:sz w:val="24"/>
          <w:szCs w:val="24"/>
          <w:lang w:eastAsia="ru-RU" w:bidi="ru-RU"/>
        </w:rPr>
        <w:softHyphen/>
        <w:t>ния, связанные с развитием гипокальциемии, могут происходить либо вследствие деструкции околощитовидных желез, либо в результате их недоразвития, либо при нарушении действия ПТГ на органы-мишени. Эти болезни могут быть обусловлены генети</w:t>
      </w:r>
      <w:r w:rsidRPr="00BF7C29">
        <w:rPr>
          <w:color w:val="000000"/>
          <w:sz w:val="24"/>
          <w:szCs w:val="24"/>
          <w:lang w:eastAsia="ru-RU" w:bidi="ru-RU"/>
        </w:rPr>
        <w:softHyphen/>
        <w:t>ческой патологией: дефектом рецептора ПТГ или ПТГ-подобного пептида, а также нечувствительностью к ПТГ.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Гипокальциемия вследствие низкого уровня ПТГ (гипопа</w:t>
      </w:r>
      <w:r w:rsidRPr="00BF7C29">
        <w:rPr>
          <w:color w:val="000000"/>
          <w:sz w:val="24"/>
          <w:szCs w:val="24"/>
          <w:lang w:eastAsia="ru-RU" w:bidi="ru-RU"/>
        </w:rPr>
        <w:softHyphen/>
        <w:t>ратиреоза).</w:t>
      </w:r>
    </w:p>
    <w:p w:rsidR="00BF7C29" w:rsidRPr="00BF7C29" w:rsidRDefault="00BF7C29" w:rsidP="0038538C">
      <w:pPr>
        <w:pStyle w:val="1f1"/>
        <w:numPr>
          <w:ilvl w:val="0"/>
          <w:numId w:val="18"/>
        </w:numPr>
        <w:tabs>
          <w:tab w:val="left" w:pos="709"/>
          <w:tab w:val="left" w:pos="775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Агенезия околощитовидных желез (в том числе синдром ди Джорджи).</w:t>
      </w:r>
    </w:p>
    <w:p w:rsidR="00BF7C29" w:rsidRPr="00BF7C29" w:rsidRDefault="00BF7C29" w:rsidP="0038538C">
      <w:pPr>
        <w:pStyle w:val="1f1"/>
        <w:numPr>
          <w:ilvl w:val="0"/>
          <w:numId w:val="18"/>
        </w:numPr>
        <w:tabs>
          <w:tab w:val="left" w:pos="709"/>
          <w:tab w:val="left" w:pos="775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Деструкция околощитовидных желез:</w:t>
      </w:r>
    </w:p>
    <w:p w:rsidR="00BF7C29" w:rsidRPr="00BF7C29" w:rsidRDefault="00BF7C29" w:rsidP="0038538C">
      <w:pPr>
        <w:pStyle w:val="1f1"/>
        <w:numPr>
          <w:ilvl w:val="0"/>
          <w:numId w:val="19"/>
        </w:numPr>
        <w:tabs>
          <w:tab w:val="left" w:pos="709"/>
          <w:tab w:val="left" w:pos="956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инфильтрация метастазами или поражение при си</w:t>
      </w:r>
      <w:r w:rsidRPr="00BF7C29">
        <w:rPr>
          <w:color w:val="000000"/>
          <w:sz w:val="24"/>
          <w:szCs w:val="24"/>
          <w:lang w:eastAsia="ru-RU" w:bidi="ru-RU"/>
        </w:rPr>
        <w:softHyphen/>
        <w:t>стемных заболеваниях соединительной ткани;</w:t>
      </w:r>
    </w:p>
    <w:p w:rsidR="00BF7C29" w:rsidRPr="00BF7C29" w:rsidRDefault="00BF7C29" w:rsidP="0038538C">
      <w:pPr>
        <w:pStyle w:val="1f1"/>
        <w:numPr>
          <w:ilvl w:val="0"/>
          <w:numId w:val="19"/>
        </w:numPr>
        <w:tabs>
          <w:tab w:val="left" w:pos="709"/>
          <w:tab w:val="left" w:pos="95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результате облучения;</w:t>
      </w:r>
    </w:p>
    <w:p w:rsidR="00BF7C29" w:rsidRPr="00BF7C29" w:rsidRDefault="00BF7C29" w:rsidP="0038538C">
      <w:pPr>
        <w:pStyle w:val="1f1"/>
        <w:numPr>
          <w:ilvl w:val="0"/>
          <w:numId w:val="19"/>
        </w:numPr>
        <w:tabs>
          <w:tab w:val="left" w:pos="709"/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после операций на ЩЖ или околощитовидной железе. </w:t>
      </w: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Аутоиммунное поражение околощитовидных желез.</w:t>
      </w:r>
    </w:p>
    <w:p w:rsidR="00BF7C29" w:rsidRPr="00BF7C29" w:rsidRDefault="00BF7C29" w:rsidP="0038538C">
      <w:pPr>
        <w:pStyle w:val="1f1"/>
        <w:numPr>
          <w:ilvl w:val="0"/>
          <w:numId w:val="19"/>
        </w:numPr>
        <w:tabs>
          <w:tab w:val="left" w:pos="709"/>
          <w:tab w:val="left" w:pos="95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изолированное;</w:t>
      </w:r>
    </w:p>
    <w:p w:rsidR="00BF7C29" w:rsidRPr="00BF7C29" w:rsidRDefault="00BF7C29" w:rsidP="0038538C">
      <w:pPr>
        <w:pStyle w:val="1f1"/>
        <w:numPr>
          <w:ilvl w:val="0"/>
          <w:numId w:val="19"/>
        </w:numPr>
        <w:tabs>
          <w:tab w:val="left" w:pos="709"/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полигландулярное (тип I).</w:t>
      </w:r>
    </w:p>
    <w:p w:rsidR="00BF7C29" w:rsidRPr="00BF7C29" w:rsidRDefault="00BF7C29" w:rsidP="0038538C">
      <w:pPr>
        <w:pStyle w:val="1f1"/>
        <w:numPr>
          <w:ilvl w:val="0"/>
          <w:numId w:val="19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Снижение секреции ПТГ:</w:t>
      </w:r>
    </w:p>
    <w:p w:rsidR="00BF7C29" w:rsidRPr="00BF7C29" w:rsidRDefault="00BF7C29" w:rsidP="0038538C">
      <w:pPr>
        <w:pStyle w:val="1f1"/>
        <w:numPr>
          <w:ilvl w:val="0"/>
          <w:numId w:val="20"/>
        </w:numPr>
        <w:tabs>
          <w:tab w:val="left" w:pos="709"/>
          <w:tab w:val="left" w:pos="967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гипомагниемия;</w:t>
      </w:r>
    </w:p>
    <w:p w:rsidR="00BF7C29" w:rsidRPr="00BF7C29" w:rsidRDefault="00BF7C29" w:rsidP="0038538C">
      <w:pPr>
        <w:pStyle w:val="1f1"/>
        <w:numPr>
          <w:ilvl w:val="0"/>
          <w:numId w:val="20"/>
        </w:numPr>
        <w:tabs>
          <w:tab w:val="left" w:pos="709"/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дефекты гена ПТГ;</w:t>
      </w:r>
    </w:p>
    <w:p w:rsidR="00BF7C29" w:rsidRPr="00BF7C29" w:rsidRDefault="00BF7C29" w:rsidP="0038538C">
      <w:pPr>
        <w:pStyle w:val="1f1"/>
        <w:numPr>
          <w:ilvl w:val="0"/>
          <w:numId w:val="20"/>
        </w:numPr>
        <w:tabs>
          <w:tab w:val="left" w:pos="709"/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неонатальная гипокальциемия (связанная с гипер</w:t>
      </w:r>
      <w:r w:rsidRPr="00BF7C29">
        <w:rPr>
          <w:color w:val="000000"/>
          <w:sz w:val="24"/>
          <w:szCs w:val="24"/>
          <w:lang w:eastAsia="ru-RU" w:bidi="ru-RU"/>
        </w:rPr>
        <w:softHyphen/>
        <w:t>кальциемией матери);</w:t>
      </w:r>
    </w:p>
    <w:p w:rsidR="00BF7C29" w:rsidRPr="00BF7C29" w:rsidRDefault="00BF7C29" w:rsidP="0038538C">
      <w:pPr>
        <w:pStyle w:val="1f1"/>
        <w:numPr>
          <w:ilvl w:val="0"/>
          <w:numId w:val="20"/>
        </w:numPr>
        <w:tabs>
          <w:tab w:val="left" w:pos="709"/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голодных костей (после паратиреоидэкто</w:t>
      </w:r>
      <w:r w:rsidRPr="00BF7C29">
        <w:rPr>
          <w:color w:val="000000"/>
          <w:sz w:val="24"/>
          <w:szCs w:val="24"/>
          <w:lang w:eastAsia="ru-RU" w:bidi="ru-RU"/>
        </w:rPr>
        <w:softHyphen/>
        <w:t>мии);</w:t>
      </w:r>
    </w:p>
    <w:p w:rsidR="00BF7C29" w:rsidRPr="00BF7C29" w:rsidRDefault="00BF7C29" w:rsidP="0038538C">
      <w:pPr>
        <w:pStyle w:val="1f1"/>
        <w:numPr>
          <w:ilvl w:val="0"/>
          <w:numId w:val="20"/>
        </w:numPr>
        <w:tabs>
          <w:tab w:val="left" w:pos="709"/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мутации кальцийчувствительного рецептора.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Гипокальциемия при высоком уровне ПТГ (вторичный ги</w:t>
      </w:r>
      <w:r w:rsidRPr="00BF7C29">
        <w:rPr>
          <w:color w:val="000000"/>
          <w:sz w:val="24"/>
          <w:szCs w:val="24"/>
          <w:lang w:eastAsia="ru-RU" w:bidi="ru-RU"/>
        </w:rPr>
        <w:softHyphen/>
        <w:t>попаратиреоз).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 xml:space="preserve">Дефицит витамина </w:t>
      </w:r>
      <w:r w:rsidRPr="00BF7C29">
        <w:rPr>
          <w:color w:val="000000"/>
          <w:sz w:val="24"/>
          <w:szCs w:val="24"/>
          <w:lang w:val="en-US" w:bidi="en-US"/>
        </w:rPr>
        <w:t>D:</w:t>
      </w:r>
    </w:p>
    <w:p w:rsidR="00BF7C29" w:rsidRPr="00BF7C29" w:rsidRDefault="00BF7C29" w:rsidP="0038538C">
      <w:pPr>
        <w:pStyle w:val="1f1"/>
        <w:numPr>
          <w:ilvl w:val="0"/>
          <w:numId w:val="21"/>
        </w:numPr>
        <w:tabs>
          <w:tab w:val="left" w:pos="709"/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болезни печени;</w:t>
      </w:r>
    </w:p>
    <w:p w:rsidR="00BF7C29" w:rsidRPr="00BF7C29" w:rsidRDefault="00BF7C29" w:rsidP="0038538C">
      <w:pPr>
        <w:pStyle w:val="1f1"/>
        <w:numPr>
          <w:ilvl w:val="0"/>
          <w:numId w:val="21"/>
        </w:numPr>
        <w:tabs>
          <w:tab w:val="left" w:pos="709"/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мальабсорбция;</w:t>
      </w:r>
    </w:p>
    <w:p w:rsidR="00BF7C29" w:rsidRPr="00BF7C29" w:rsidRDefault="00BF7C29" w:rsidP="0038538C">
      <w:pPr>
        <w:pStyle w:val="1f1"/>
        <w:numPr>
          <w:ilvl w:val="0"/>
          <w:numId w:val="21"/>
        </w:numPr>
        <w:tabs>
          <w:tab w:val="left" w:pos="709"/>
          <w:tab w:val="left" w:pos="967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недостаток питания, инсоляции;</w:t>
      </w:r>
    </w:p>
    <w:p w:rsidR="00BF7C29" w:rsidRPr="00BF7C29" w:rsidRDefault="00BF7C29" w:rsidP="0038538C">
      <w:pPr>
        <w:pStyle w:val="1f1"/>
        <w:numPr>
          <w:ilvl w:val="0"/>
          <w:numId w:val="21"/>
        </w:numPr>
        <w:tabs>
          <w:tab w:val="left" w:pos="709"/>
          <w:tab w:val="left" w:pos="967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острая или хроническая почечная недостаточность.</w:t>
      </w:r>
    </w:p>
    <w:p w:rsidR="00BF7C29" w:rsidRPr="00BF7C29" w:rsidRDefault="00BF7C29" w:rsidP="0038538C">
      <w:pPr>
        <w:pStyle w:val="1f1"/>
        <w:numPr>
          <w:ilvl w:val="0"/>
          <w:numId w:val="21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Резистентность к витамину </w:t>
      </w:r>
      <w:r w:rsidRPr="00BF7C29">
        <w:rPr>
          <w:color w:val="000000"/>
          <w:sz w:val="24"/>
          <w:szCs w:val="24"/>
          <w:lang w:val="en-US" w:bidi="en-US"/>
        </w:rPr>
        <w:t>D:</w:t>
      </w:r>
    </w:p>
    <w:p w:rsidR="00BF7C29" w:rsidRPr="00BF7C29" w:rsidRDefault="00BF7C29" w:rsidP="0038538C">
      <w:pPr>
        <w:pStyle w:val="1f1"/>
        <w:numPr>
          <w:ilvl w:val="0"/>
          <w:numId w:val="22"/>
        </w:numPr>
        <w:tabs>
          <w:tab w:val="left" w:pos="709"/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дефекты рецепторов к витамину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>;</w:t>
      </w:r>
    </w:p>
    <w:p w:rsidR="00BF7C29" w:rsidRPr="00BF7C29" w:rsidRDefault="00BF7C29" w:rsidP="0038538C">
      <w:pPr>
        <w:pStyle w:val="1f1"/>
        <w:numPr>
          <w:ilvl w:val="0"/>
          <w:numId w:val="22"/>
        </w:numPr>
        <w:tabs>
          <w:tab w:val="left" w:pos="709"/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почечная канальцевая дисфункция (синдром Фанко</w:t>
      </w:r>
      <w:r w:rsidRPr="00BF7C29">
        <w:rPr>
          <w:color w:val="000000"/>
          <w:sz w:val="24"/>
          <w:szCs w:val="24"/>
          <w:lang w:eastAsia="ru-RU" w:bidi="ru-RU"/>
        </w:rPr>
        <w:softHyphen/>
        <w:t>ни).</w:t>
      </w:r>
    </w:p>
    <w:p w:rsidR="00BF7C29" w:rsidRPr="00BF7C29" w:rsidRDefault="00BF7C29" w:rsidP="0038538C">
      <w:pPr>
        <w:pStyle w:val="1f1"/>
        <w:numPr>
          <w:ilvl w:val="0"/>
          <w:numId w:val="22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Резистентность к ПТГ (псевдогипопаратиреоз, гипомаг</w:t>
      </w:r>
      <w:r w:rsidRPr="00BF7C29">
        <w:rPr>
          <w:color w:val="000000"/>
          <w:sz w:val="24"/>
          <w:szCs w:val="24"/>
          <w:lang w:eastAsia="ru-RU" w:bidi="ru-RU"/>
        </w:rPr>
        <w:softHyphen/>
        <w:t>ниемия).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Гипокальциемии, вызванные приемом ЛС.</w:t>
      </w:r>
    </w:p>
    <w:p w:rsidR="00BF7C29" w:rsidRPr="00BF7C29" w:rsidRDefault="00BF7C29" w:rsidP="0038538C">
      <w:pPr>
        <w:pStyle w:val="1f1"/>
        <w:numPr>
          <w:ilvl w:val="0"/>
          <w:numId w:val="23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Донаторы кальция (гемотрансфузии цитратной крови, прием фосфатов).</w:t>
      </w:r>
    </w:p>
    <w:p w:rsidR="00BF7C29" w:rsidRPr="00BF7C29" w:rsidRDefault="00BF7C29" w:rsidP="0038538C">
      <w:pPr>
        <w:pStyle w:val="1f1"/>
        <w:numPr>
          <w:ilvl w:val="0"/>
          <w:numId w:val="23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Ингибиторы костной резорбции (бисфосфонаты, 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цитонин).</w:t>
      </w:r>
    </w:p>
    <w:p w:rsidR="00BF7C29" w:rsidRPr="00BF7C29" w:rsidRDefault="00BF7C29" w:rsidP="0038538C">
      <w:pPr>
        <w:pStyle w:val="1f1"/>
        <w:numPr>
          <w:ilvl w:val="0"/>
          <w:numId w:val="23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Препараты, нарушающие метаболизм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(про</w:t>
      </w:r>
      <w:r w:rsidRPr="00BF7C29">
        <w:rPr>
          <w:color w:val="000000"/>
          <w:sz w:val="24"/>
          <w:szCs w:val="24"/>
          <w:lang w:eastAsia="ru-RU" w:bidi="ru-RU"/>
        </w:rPr>
        <w:softHyphen/>
        <w:t>тивосудорожные, кетоконазол).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Прочие гипокальциемии, вызванные:</w:t>
      </w:r>
    </w:p>
    <w:p w:rsidR="00BF7C29" w:rsidRPr="00BF7C29" w:rsidRDefault="00BF7C29" w:rsidP="0038538C">
      <w:pPr>
        <w:pStyle w:val="1f1"/>
        <w:numPr>
          <w:ilvl w:val="0"/>
          <w:numId w:val="24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генетической патологией околощитовидных желез </w:t>
      </w:r>
    </w:p>
    <w:p w:rsidR="00BF7C29" w:rsidRPr="00BF7C29" w:rsidRDefault="00BF7C29" w:rsidP="0038538C">
      <w:pPr>
        <w:pStyle w:val="1f1"/>
        <w:numPr>
          <w:ilvl w:val="0"/>
          <w:numId w:val="24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гипервентиляцией;</w:t>
      </w:r>
    </w:p>
    <w:p w:rsidR="00BF7C29" w:rsidRPr="00BF7C29" w:rsidRDefault="00BF7C29" w:rsidP="0038538C">
      <w:pPr>
        <w:pStyle w:val="1f1"/>
        <w:numPr>
          <w:ilvl w:val="0"/>
          <w:numId w:val="24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массивным лизисом опухоли;</w:t>
      </w:r>
    </w:p>
    <w:p w:rsidR="00BF7C29" w:rsidRPr="00BF7C29" w:rsidRDefault="00BF7C29" w:rsidP="0038538C">
      <w:pPr>
        <w:pStyle w:val="1f1"/>
        <w:numPr>
          <w:ilvl w:val="0"/>
          <w:numId w:val="24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остеобластическими метастазами;</w:t>
      </w:r>
    </w:p>
    <w:p w:rsidR="00BF7C29" w:rsidRPr="00BF7C29" w:rsidRDefault="00BF7C29" w:rsidP="0038538C">
      <w:pPr>
        <w:pStyle w:val="1f1"/>
        <w:numPr>
          <w:ilvl w:val="0"/>
          <w:numId w:val="24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острым панкреатитом;</w:t>
      </w:r>
    </w:p>
    <w:p w:rsidR="00BF7C29" w:rsidRPr="00BF7C29" w:rsidRDefault="00BF7C29" w:rsidP="0038538C">
      <w:pPr>
        <w:pStyle w:val="1f1"/>
        <w:numPr>
          <w:ilvl w:val="0"/>
          <w:numId w:val="24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острым рабдомиолизом;</w:t>
      </w:r>
    </w:p>
    <w:p w:rsidR="00BF7C29" w:rsidRPr="00BF7C29" w:rsidRDefault="00BF7C29" w:rsidP="0038538C">
      <w:pPr>
        <w:pStyle w:val="1f1"/>
        <w:numPr>
          <w:ilvl w:val="0"/>
          <w:numId w:val="24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токсическим шоком.</w:t>
      </w:r>
    </w:p>
    <w:p w:rsidR="00BF7C29" w:rsidRPr="00BF7C29" w:rsidRDefault="00BF7C29" w:rsidP="0038538C">
      <w:pPr>
        <w:pStyle w:val="3f2"/>
        <w:tabs>
          <w:tab w:val="left" w:pos="709"/>
        </w:tabs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bookmarkStart w:id="19" w:name="bookmark2763"/>
      <w:bookmarkStart w:id="20" w:name="bookmark2779"/>
      <w:bookmarkStart w:id="21" w:name="bookmark278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19"/>
    </w:p>
    <w:p w:rsidR="00BF7C29" w:rsidRPr="00BF7C29" w:rsidRDefault="00BF7C29" w:rsidP="0038538C">
      <w:pPr>
        <w:pStyle w:val="4b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2" w:name="bookmark276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Анамнез</w:t>
      </w:r>
      <w:bookmarkEnd w:id="22"/>
    </w:p>
    <w:p w:rsidR="00BF7C29" w:rsidRPr="00BF7C29" w:rsidRDefault="00BF7C29" w:rsidP="0038538C">
      <w:pPr>
        <w:pStyle w:val="1f1"/>
        <w:numPr>
          <w:ilvl w:val="0"/>
          <w:numId w:val="25"/>
        </w:numPr>
        <w:tabs>
          <w:tab w:val="left" w:pos="507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Обращают внимание на заболевания, перечисленные в </w:t>
      </w:r>
    </w:p>
    <w:p w:rsidR="00BF7C29" w:rsidRPr="00BF7C29" w:rsidRDefault="00BF7C29" w:rsidP="0038538C">
      <w:pPr>
        <w:pStyle w:val="1f1"/>
        <w:numPr>
          <w:ilvl w:val="0"/>
          <w:numId w:val="25"/>
        </w:numPr>
        <w:tabs>
          <w:tab w:val="left" w:pos="507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Выявляют наличие судорог, случаев внезапной потери со</w:t>
      </w:r>
      <w:r w:rsidRPr="00BF7C29">
        <w:rPr>
          <w:color w:val="000000"/>
          <w:sz w:val="24"/>
          <w:szCs w:val="24"/>
          <w:lang w:eastAsia="ru-RU" w:bidi="ru-RU"/>
        </w:rPr>
        <w:softHyphen/>
        <w:t>знания, жалоб на снижение памяти, боли в области больше</w:t>
      </w:r>
      <w:r w:rsidRPr="00BF7C29">
        <w:rPr>
          <w:color w:val="000000"/>
          <w:sz w:val="24"/>
          <w:szCs w:val="24"/>
          <w:lang w:eastAsia="ru-RU" w:bidi="ru-RU"/>
        </w:rPr>
        <w:softHyphen/>
        <w:t>берцовых и костей предплечья, ключиц, грудины.</w:t>
      </w:r>
    </w:p>
    <w:p w:rsidR="00BF7C29" w:rsidRPr="00BF7C29" w:rsidRDefault="00BF7C29" w:rsidP="0038538C">
      <w:pPr>
        <w:pStyle w:val="1f1"/>
        <w:numPr>
          <w:ilvl w:val="0"/>
          <w:numId w:val="25"/>
        </w:numPr>
        <w:tabs>
          <w:tab w:val="left" w:pos="507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Наличие катаракты.</w:t>
      </w:r>
    </w:p>
    <w:p w:rsidR="00BF7C29" w:rsidRPr="00BF7C29" w:rsidRDefault="00BF7C29" w:rsidP="0038538C">
      <w:pPr>
        <w:pStyle w:val="1f1"/>
        <w:numPr>
          <w:ilvl w:val="0"/>
          <w:numId w:val="25"/>
        </w:numPr>
        <w:tabs>
          <w:tab w:val="left" w:pos="507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Сведения о ХПН, патологии ЖКТ.</w:t>
      </w:r>
    </w:p>
    <w:p w:rsidR="00BF7C29" w:rsidRPr="00BF7C29" w:rsidRDefault="00BF7C29" w:rsidP="0038538C">
      <w:pPr>
        <w:pStyle w:val="1f1"/>
        <w:numPr>
          <w:ilvl w:val="0"/>
          <w:numId w:val="25"/>
        </w:numPr>
        <w:tabs>
          <w:tab w:val="left" w:pos="507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Особое внимание уделяют возможности развития постопе</w:t>
      </w:r>
      <w:r w:rsidRPr="00BF7C29">
        <w:rPr>
          <w:color w:val="000000"/>
          <w:sz w:val="24"/>
          <w:szCs w:val="24"/>
          <w:lang w:eastAsia="ru-RU" w:bidi="ru-RU"/>
        </w:rPr>
        <w:softHyphen/>
        <w:t>рационного гипопаратиреоза.</w:t>
      </w:r>
    </w:p>
    <w:p w:rsidR="00BF7C29" w:rsidRPr="00BF7C29" w:rsidRDefault="00BF7C29" w:rsidP="0038538C">
      <w:pPr>
        <w:pStyle w:val="4b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3" w:name="bookmark276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Физикальное обследование</w:t>
      </w:r>
      <w:bookmarkEnd w:id="23"/>
    </w:p>
    <w:p w:rsidR="00BF7C29" w:rsidRPr="00BF7C29" w:rsidRDefault="00BF7C29" w:rsidP="0038538C">
      <w:pPr>
        <w:pStyle w:val="1f1"/>
        <w:numPr>
          <w:ilvl w:val="0"/>
          <w:numId w:val="25"/>
        </w:numPr>
        <w:tabs>
          <w:tab w:val="left" w:pos="507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Судорожные сокращения мышц различных групп:</w:t>
      </w:r>
    </w:p>
    <w:p w:rsidR="00BF7C29" w:rsidRPr="00BF7C29" w:rsidRDefault="00BF7C29" w:rsidP="0038538C">
      <w:pPr>
        <w:pStyle w:val="1f1"/>
        <w:numPr>
          <w:ilvl w:val="0"/>
          <w:numId w:val="26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ларингоспазм, бронхоспазм;</w:t>
      </w:r>
    </w:p>
    <w:p w:rsidR="00BF7C29" w:rsidRPr="00BF7C29" w:rsidRDefault="00BF7C29" w:rsidP="0038538C">
      <w:pPr>
        <w:pStyle w:val="1f1"/>
        <w:numPr>
          <w:ilvl w:val="0"/>
          <w:numId w:val="26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ЖКТ (дисфагия, рвота, диарея или запоры);</w:t>
      </w:r>
    </w:p>
    <w:p w:rsidR="00BF7C29" w:rsidRPr="00BF7C29" w:rsidRDefault="00BF7C29" w:rsidP="0038538C">
      <w:pPr>
        <w:pStyle w:val="1f1"/>
        <w:numPr>
          <w:ilvl w:val="0"/>
          <w:numId w:val="26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скелетных (парестезии, фибриллярные подергивания, тонические судороги).</w:t>
      </w:r>
    </w:p>
    <w:p w:rsidR="00BF7C29" w:rsidRPr="00BF7C29" w:rsidRDefault="00BF7C29" w:rsidP="0038538C">
      <w:pPr>
        <w:pStyle w:val="1f1"/>
        <w:numPr>
          <w:ilvl w:val="0"/>
          <w:numId w:val="27"/>
        </w:numPr>
        <w:tabs>
          <w:tab w:val="left" w:pos="507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Вегетативные нарушения (жар, озноб, головокружение, боли в области сердца, сердцебиение).</w:t>
      </w:r>
    </w:p>
    <w:p w:rsidR="00BF7C29" w:rsidRPr="00BF7C29" w:rsidRDefault="00BF7C29" w:rsidP="0038538C">
      <w:pPr>
        <w:pStyle w:val="1f1"/>
        <w:numPr>
          <w:ilvl w:val="0"/>
          <w:numId w:val="27"/>
        </w:numPr>
        <w:tabs>
          <w:tab w:val="left" w:pos="507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Трофические нарушения (катаракта, дефекты эмали зубов, ломкость ногтей, нарушение роста волос, раннее поседе</w:t>
      </w:r>
      <w:r w:rsidRPr="00BF7C29">
        <w:rPr>
          <w:color w:val="000000"/>
          <w:sz w:val="24"/>
          <w:szCs w:val="24"/>
          <w:lang w:eastAsia="ru-RU" w:bidi="ru-RU"/>
        </w:rPr>
        <w:softHyphen/>
        <w:t>ние).</w:t>
      </w:r>
    </w:p>
    <w:p w:rsidR="00BF7C29" w:rsidRPr="00BF7C29" w:rsidRDefault="00BF7C29" w:rsidP="0038538C">
      <w:pPr>
        <w:pStyle w:val="1f1"/>
        <w:numPr>
          <w:ilvl w:val="0"/>
          <w:numId w:val="27"/>
        </w:numPr>
        <w:tabs>
          <w:tab w:val="left" w:pos="507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Изменения психики (неврозы, снижение памяти, бессонни</w:t>
      </w:r>
      <w:r w:rsidRPr="00BF7C29">
        <w:rPr>
          <w:color w:val="000000"/>
          <w:sz w:val="24"/>
          <w:szCs w:val="24"/>
          <w:lang w:eastAsia="ru-RU" w:bidi="ru-RU"/>
        </w:rPr>
        <w:softHyphen/>
        <w:t>ца, депрессия).</w:t>
      </w:r>
    </w:p>
    <w:p w:rsidR="00BF7C29" w:rsidRPr="00BF7C29" w:rsidRDefault="00BF7C29" w:rsidP="0038538C">
      <w:pPr>
        <w:pStyle w:val="4b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4" w:name="bookmark276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Лабораторные исследования</w:t>
      </w:r>
      <w:bookmarkEnd w:id="24"/>
    </w:p>
    <w:p w:rsidR="00BF7C29" w:rsidRPr="00BF7C29" w:rsidRDefault="00BF7C29" w:rsidP="0038538C">
      <w:pPr>
        <w:pStyle w:val="1f1"/>
        <w:numPr>
          <w:ilvl w:val="0"/>
          <w:numId w:val="27"/>
        </w:numPr>
        <w:tabs>
          <w:tab w:val="left" w:pos="507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Для подтверждения гипокальциемии необходимо определе</w:t>
      </w:r>
      <w:r w:rsidRPr="00BF7C29">
        <w:rPr>
          <w:color w:val="000000"/>
          <w:sz w:val="24"/>
          <w:szCs w:val="24"/>
          <w:lang w:eastAsia="ru-RU" w:bidi="ru-RU"/>
        </w:rPr>
        <w:softHyphen/>
        <w:t>ние содержания:</w:t>
      </w:r>
    </w:p>
    <w:p w:rsidR="00BF7C29" w:rsidRPr="00BF7C29" w:rsidRDefault="00BF7C29" w:rsidP="0038538C">
      <w:pPr>
        <w:pStyle w:val="1f1"/>
        <w:numPr>
          <w:ilvl w:val="0"/>
          <w:numId w:val="28"/>
        </w:numPr>
        <w:tabs>
          <w:tab w:val="left" w:pos="709"/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общего кальция в сыворотке крови (2-3 раза);</w:t>
      </w:r>
    </w:p>
    <w:p w:rsidR="00BF7C29" w:rsidRPr="00BF7C29" w:rsidRDefault="00BF7C29" w:rsidP="0038538C">
      <w:pPr>
        <w:pStyle w:val="1f1"/>
        <w:numPr>
          <w:ilvl w:val="0"/>
          <w:numId w:val="28"/>
        </w:numPr>
        <w:tabs>
          <w:tab w:val="left" w:pos="709"/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ионизированного кальция в плазме (особенно при ати</w:t>
      </w:r>
      <w:r w:rsidRPr="00BF7C29">
        <w:rPr>
          <w:color w:val="000000"/>
          <w:sz w:val="24"/>
          <w:szCs w:val="24"/>
          <w:lang w:eastAsia="ru-RU" w:bidi="ru-RU"/>
        </w:rPr>
        <w:softHyphen/>
        <w:t>пичных симптомах гипокальциемии, у пациентов с гипо</w:t>
      </w:r>
      <w:r w:rsidRPr="00BF7C29">
        <w:rPr>
          <w:color w:val="000000"/>
          <w:sz w:val="24"/>
          <w:szCs w:val="24"/>
          <w:lang w:eastAsia="ru-RU" w:bidi="ru-RU"/>
        </w:rPr>
        <w:softHyphen/>
        <w:t>альбуминурией).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Если недоступно прямое измерение содержания ионизиро</w:t>
      </w:r>
      <w:r w:rsidRPr="00BF7C29">
        <w:rPr>
          <w:color w:val="000000"/>
          <w:sz w:val="24"/>
          <w:szCs w:val="24"/>
          <w:lang w:eastAsia="ru-RU" w:bidi="ru-RU"/>
        </w:rPr>
        <w:softHyphen/>
        <w:t>ванного кальция, определяют уровень альбумина в крови и рас</w:t>
      </w:r>
      <w:r w:rsidRPr="00BF7C29">
        <w:rPr>
          <w:color w:val="000000"/>
          <w:sz w:val="24"/>
          <w:szCs w:val="24"/>
          <w:lang w:eastAsia="ru-RU" w:bidi="ru-RU"/>
        </w:rPr>
        <w:softHyphen/>
        <w:t>считывают концентрацию общего кальция в зависимости от его уровня. Концентрация общего кальция снижается на 0,2 ммоль/л при падении уровня альбумина на 10 г/л. При содержании общего кальция 2,0 ммоль/л скорректированная на альбумин истинная концентрация кальция составит 2,4 ммоль/л, что укладывается в нормальные значения.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отсутствии ХПН, острого панкреатита, билиарного цир</w:t>
      </w:r>
      <w:r w:rsidRPr="00BF7C29">
        <w:rPr>
          <w:color w:val="000000"/>
          <w:sz w:val="24"/>
          <w:szCs w:val="24"/>
          <w:lang w:eastAsia="ru-RU" w:bidi="ru-RU"/>
        </w:rPr>
        <w:softHyphen/>
        <w:t>роза, синдромов клеточного лизиса наиболее вероятные причины гипокальциемии — нарушение секреции ПТГ и/или нечувстви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тельность органов-мишеней, а также недостаток или патология метаболизма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>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Для уточнения причин гипокальциемии выполняют:</w:t>
      </w:r>
    </w:p>
    <w:p w:rsidR="00BF7C29" w:rsidRPr="00BF7C29" w:rsidRDefault="00BF7C29" w:rsidP="0038538C">
      <w:pPr>
        <w:pStyle w:val="1f1"/>
        <w:numPr>
          <w:ilvl w:val="0"/>
          <w:numId w:val="29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биохимический анализ крови: определение концентра</w:t>
      </w:r>
      <w:r w:rsidRPr="00BF7C29">
        <w:rPr>
          <w:color w:val="000000"/>
          <w:sz w:val="24"/>
          <w:szCs w:val="24"/>
          <w:lang w:eastAsia="ru-RU" w:bidi="ru-RU"/>
        </w:rPr>
        <w:softHyphen/>
        <w:t>ции креатинина, билирубина, фосфата, активности ами</w:t>
      </w:r>
      <w:r w:rsidRPr="00BF7C29">
        <w:rPr>
          <w:color w:val="000000"/>
          <w:sz w:val="24"/>
          <w:szCs w:val="24"/>
          <w:lang w:eastAsia="ru-RU" w:bidi="ru-RU"/>
        </w:rPr>
        <w:softHyphen/>
        <w:t>лазы, АСТ, АЛТ, концентрации магния в сыворотке;</w:t>
      </w:r>
    </w:p>
    <w:p w:rsidR="00BF7C29" w:rsidRPr="00BF7C29" w:rsidRDefault="00BF7C29" w:rsidP="0038538C">
      <w:pPr>
        <w:pStyle w:val="1f1"/>
        <w:numPr>
          <w:ilvl w:val="0"/>
          <w:numId w:val="29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определение концентрации ПТГ;</w:t>
      </w:r>
    </w:p>
    <w:p w:rsidR="00BF7C29" w:rsidRPr="00BF7C29" w:rsidRDefault="00BF7C29" w:rsidP="0038538C">
      <w:pPr>
        <w:pStyle w:val="1f1"/>
        <w:numPr>
          <w:ilvl w:val="0"/>
          <w:numId w:val="29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исследование содержания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[25(</w:t>
      </w:r>
      <w:r w:rsidRPr="00BF7C29">
        <w:rPr>
          <w:color w:val="000000"/>
          <w:sz w:val="24"/>
          <w:szCs w:val="24"/>
          <w:lang w:val="en-US" w:bidi="en-US"/>
        </w:rPr>
        <w:t>OH</w:t>
      </w:r>
      <w:r w:rsidRPr="00BF7C29">
        <w:rPr>
          <w:color w:val="000000"/>
          <w:sz w:val="24"/>
          <w:szCs w:val="24"/>
          <w:lang w:bidi="en-US"/>
        </w:rPr>
        <w:t>)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>3]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bidi="en-US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Определение содержания магния в сыворотке крови.</w:t>
      </w:r>
    </w:p>
    <w:p w:rsidR="00BF7C29" w:rsidRPr="00BF7C29" w:rsidRDefault="00BF7C29" w:rsidP="0038538C">
      <w:pPr>
        <w:pStyle w:val="1f1"/>
        <w:numPr>
          <w:ilvl w:val="0"/>
          <w:numId w:val="30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Концентрация магния должна быть определена у каждо</w:t>
      </w:r>
      <w:r w:rsidRPr="00BF7C29">
        <w:rPr>
          <w:color w:val="000000"/>
          <w:sz w:val="24"/>
          <w:szCs w:val="24"/>
          <w:lang w:eastAsia="ru-RU" w:bidi="ru-RU"/>
        </w:rPr>
        <w:softHyphen/>
        <w:t>го пациента с гипокальциемией, причина которой неясна. Гипомагниемия может вызывать гипокальциемию, инду</w:t>
      </w:r>
      <w:r w:rsidRPr="00BF7C29">
        <w:rPr>
          <w:color w:val="000000"/>
          <w:sz w:val="24"/>
          <w:szCs w:val="24"/>
          <w:lang w:eastAsia="ru-RU" w:bidi="ru-RU"/>
        </w:rPr>
        <w:softHyphen/>
        <w:t>цируя устойчивость к ПТГ или его дефицит. Снижение уровня магния чаще наблюдают у пациентов с мальаб</w:t>
      </w:r>
      <w:r w:rsidRPr="00BF7C29">
        <w:rPr>
          <w:color w:val="000000"/>
          <w:sz w:val="24"/>
          <w:szCs w:val="24"/>
          <w:lang w:eastAsia="ru-RU" w:bidi="ru-RU"/>
        </w:rPr>
        <w:softHyphen/>
        <w:t>сорбцией или алкоголизмом.</w:t>
      </w:r>
    </w:p>
    <w:p w:rsidR="00BF7C29" w:rsidRPr="00BF7C29" w:rsidRDefault="00BF7C29" w:rsidP="0038538C">
      <w:pPr>
        <w:pStyle w:val="1f1"/>
        <w:numPr>
          <w:ilvl w:val="0"/>
          <w:numId w:val="30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 пациентов с концентрацией магния в сыворотке более 0,4 ммоль/л и у лиц без гиперфосфатемии, вызванной ХПН или распадом тканей, должны быть обязательно измерены уровни сывороточного фосфата, ПТГ, витами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и его метаболитов.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Определение содержания фосфора в сыворотке крови.</w:t>
      </w:r>
    </w:p>
    <w:p w:rsidR="00BF7C29" w:rsidRPr="00BF7C29" w:rsidRDefault="00BF7C29" w:rsidP="0038538C">
      <w:pPr>
        <w:pStyle w:val="1f1"/>
        <w:numPr>
          <w:ilvl w:val="0"/>
          <w:numId w:val="31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Гипофосфатемия указывает либо на избыточную секрецию ПТГ, которая связана с вторичным гиперпаратиреозом на фоне гипокальциемии (как правило, вследствие дефицита потребления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или нарушения его метаболиз</w:t>
      </w:r>
      <w:r w:rsidRPr="00BF7C29">
        <w:rPr>
          <w:color w:val="000000"/>
          <w:sz w:val="24"/>
          <w:szCs w:val="24"/>
          <w:lang w:eastAsia="ru-RU" w:bidi="ru-RU"/>
        </w:rPr>
        <w:softHyphen/>
        <w:t>ма), либо на низкое потребление фосфата с пищей. У па</w:t>
      </w:r>
      <w:r w:rsidRPr="00BF7C29">
        <w:rPr>
          <w:color w:val="000000"/>
          <w:sz w:val="24"/>
          <w:szCs w:val="24"/>
          <w:lang w:eastAsia="ru-RU" w:bidi="ru-RU"/>
        </w:rPr>
        <w:softHyphen/>
        <w:t>циентов с гипофосфатемией (за счет низкого потребления фосфата) теоретически весь фильтруемый фосфат реаб</w:t>
      </w:r>
      <w:r w:rsidRPr="00BF7C29">
        <w:rPr>
          <w:color w:val="000000"/>
          <w:sz w:val="24"/>
          <w:szCs w:val="24"/>
          <w:lang w:eastAsia="ru-RU" w:bidi="ru-RU"/>
        </w:rPr>
        <w:softHyphen/>
        <w:t>сорбируется и фракционная экскреция будет менее 5%. Фракционная экскреция фосфата более 5% может указы</w:t>
      </w:r>
      <w:r w:rsidRPr="00BF7C29">
        <w:rPr>
          <w:color w:val="000000"/>
          <w:sz w:val="24"/>
          <w:szCs w:val="24"/>
          <w:lang w:eastAsia="ru-RU" w:bidi="ru-RU"/>
        </w:rPr>
        <w:softHyphen/>
        <w:t>вать на фосфатурию и вторичный гиперпаратиреоз.</w:t>
      </w:r>
    </w:p>
    <w:p w:rsidR="00BF7C29" w:rsidRPr="00BF7C29" w:rsidRDefault="00BF7C29" w:rsidP="0038538C">
      <w:pPr>
        <w:pStyle w:val="1f1"/>
        <w:numPr>
          <w:ilvl w:val="0"/>
          <w:numId w:val="31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Гиперфосфатемия и гипокальциемия при отсутствии ХПН и признаков тканевого распада указывают на гипо</w:t>
      </w:r>
      <w:r w:rsidRPr="00BF7C29">
        <w:rPr>
          <w:color w:val="000000"/>
          <w:sz w:val="24"/>
          <w:szCs w:val="24"/>
          <w:lang w:eastAsia="ru-RU" w:bidi="ru-RU"/>
        </w:rPr>
        <w:softHyphen/>
        <w:t>паратиреоз или псевдогипопаратиреоз.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Измерение концентрации ПТГ в крови.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(при условии многократного измерения кальция). Гипо</w:t>
      </w:r>
      <w:r w:rsidRPr="00BF7C29">
        <w:rPr>
          <w:color w:val="000000"/>
          <w:sz w:val="24"/>
          <w:szCs w:val="24"/>
          <w:lang w:eastAsia="ru-RU" w:bidi="ru-RU"/>
        </w:rPr>
        <w:softHyphen/>
        <w:t>кальциемия — наиболее сильный стимул для секреции ПТГ, поэтому (при сниженной или даже нормальной его концентрации) она может быть доказательством гипопа</w:t>
      </w:r>
      <w:r w:rsidRPr="00BF7C29">
        <w:rPr>
          <w:color w:val="000000"/>
          <w:sz w:val="24"/>
          <w:szCs w:val="24"/>
          <w:lang w:eastAsia="ru-RU" w:bidi="ru-RU"/>
        </w:rPr>
        <w:softHyphen/>
        <w:t>ратиреоза.</w:t>
      </w:r>
    </w:p>
    <w:p w:rsidR="00BF7C29" w:rsidRPr="00BF7C29" w:rsidRDefault="00BF7C29" w:rsidP="0038538C">
      <w:pPr>
        <w:pStyle w:val="1f1"/>
        <w:numPr>
          <w:ilvl w:val="0"/>
          <w:numId w:val="32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Существуют варианты изменения концентрации ПТГ в зависимости от причины гипокальциемии:</w:t>
      </w:r>
    </w:p>
    <w:p w:rsidR="00BF7C29" w:rsidRPr="00BF7C29" w:rsidRDefault="00BF7C29" w:rsidP="0038538C">
      <w:pPr>
        <w:pStyle w:val="1f1"/>
        <w:numPr>
          <w:ilvl w:val="0"/>
          <w:numId w:val="32"/>
        </w:numPr>
        <w:tabs>
          <w:tab w:val="left" w:pos="709"/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концентрация может быть высокой, нормальной или пониженной при гипомагниемии;</w:t>
      </w:r>
    </w:p>
    <w:p w:rsidR="00BF7C29" w:rsidRPr="00BF7C29" w:rsidRDefault="00BF7C29" w:rsidP="0038538C">
      <w:pPr>
        <w:pStyle w:val="1f1"/>
        <w:numPr>
          <w:ilvl w:val="0"/>
          <w:numId w:val="32"/>
        </w:numPr>
        <w:tabs>
          <w:tab w:val="left" w:pos="709"/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снижение концентрации у большинства пациентов с гипопаратиреозом;</w:t>
      </w:r>
    </w:p>
    <w:p w:rsidR="00BF7C29" w:rsidRPr="00BF7C29" w:rsidRDefault="00BF7C29" w:rsidP="0038538C">
      <w:pPr>
        <w:pStyle w:val="1f1"/>
        <w:numPr>
          <w:ilvl w:val="0"/>
          <w:numId w:val="32"/>
        </w:numPr>
        <w:tabs>
          <w:tab w:val="left" w:pos="709"/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 xml:space="preserve">увеличение концентрации при псевдогипопаратиреозе или патологии метаболизма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ХПН.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Нормальную концентрацию ПТГ часто определяют у пациентов с аутосомно-доминантной гипокальциемией и при редкой патологии, характеризующейся мутацией гена кальцийчувствительного рецептора (семейной ги- покальциурической гиперкальциемии).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Определение концентрации кальцидиола и кальцитриола в сыворотке крови.</w:t>
      </w:r>
    </w:p>
    <w:p w:rsidR="00BF7C29" w:rsidRPr="00BF7C29" w:rsidRDefault="00BF7C29" w:rsidP="0038538C">
      <w:pPr>
        <w:pStyle w:val="1f1"/>
        <w:numPr>
          <w:ilvl w:val="0"/>
          <w:numId w:val="33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Дефицит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вызывает уменьшение кишечной абсорбции кальция, что приводит к развитию гипокаль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циемии, а низкая концентрация кальция стимулирует секрецию ПТГ. С другой стороны, уменьшается ингиби</w:t>
      </w:r>
      <w:r w:rsidRPr="00BF7C29">
        <w:rPr>
          <w:color w:val="000000"/>
          <w:sz w:val="24"/>
          <w:szCs w:val="24"/>
          <w:lang w:eastAsia="ru-RU" w:bidi="ru-RU"/>
        </w:rPr>
        <w:softHyphen/>
        <w:t>рующее действие кальцитриола на ПТГ. Дефицит вита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 xml:space="preserve">также уменьшает кишечную абсорбцию фосфата. Таким образом, у пациентов с дефицитом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наблюдают мягкую или умеренную гипокальциемию и более выраженную гипофосфатемию.</w:t>
      </w:r>
    </w:p>
    <w:p w:rsidR="00BF7C29" w:rsidRPr="00BF7C29" w:rsidRDefault="00BF7C29" w:rsidP="0038538C">
      <w:pPr>
        <w:pStyle w:val="1f1"/>
        <w:numPr>
          <w:ilvl w:val="0"/>
          <w:numId w:val="33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Различные варианты концентрации кальцидиола </w:t>
      </w:r>
      <w:r w:rsidRPr="00BF7C29">
        <w:rPr>
          <w:color w:val="000000"/>
          <w:sz w:val="24"/>
          <w:szCs w:val="24"/>
          <w:lang w:bidi="en-US"/>
        </w:rPr>
        <w:t>[25(</w:t>
      </w:r>
      <w:r w:rsidRPr="00BF7C29">
        <w:rPr>
          <w:color w:val="000000"/>
          <w:sz w:val="24"/>
          <w:szCs w:val="24"/>
          <w:lang w:val="en-US" w:bidi="en-US"/>
        </w:rPr>
        <w:t>OH</w:t>
      </w:r>
      <w:r w:rsidRPr="00BF7C29">
        <w:rPr>
          <w:color w:val="000000"/>
          <w:sz w:val="24"/>
          <w:szCs w:val="24"/>
          <w:lang w:bidi="en-US"/>
        </w:rPr>
        <w:t>)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3] </w:t>
      </w:r>
      <w:r w:rsidRPr="00BF7C29">
        <w:rPr>
          <w:color w:val="000000"/>
          <w:sz w:val="24"/>
          <w:szCs w:val="24"/>
          <w:lang w:eastAsia="ru-RU" w:bidi="ru-RU"/>
        </w:rPr>
        <w:t xml:space="preserve">и кальцитриола </w:t>
      </w:r>
      <w:r w:rsidRPr="00BF7C29">
        <w:rPr>
          <w:smallCaps/>
          <w:color w:val="000000"/>
          <w:sz w:val="24"/>
          <w:szCs w:val="24"/>
          <w:lang w:bidi="en-US"/>
        </w:rPr>
        <w:t>[1,25(</w:t>
      </w:r>
      <w:r w:rsidRPr="00BF7C29">
        <w:rPr>
          <w:smallCaps/>
          <w:color w:val="000000"/>
          <w:sz w:val="24"/>
          <w:szCs w:val="24"/>
          <w:lang w:val="en-US" w:bidi="en-US"/>
        </w:rPr>
        <w:t>Oh</w:t>
      </w:r>
      <w:r w:rsidRPr="00BF7C29">
        <w:rPr>
          <w:smallCaps/>
          <w:color w:val="000000"/>
          <w:sz w:val="24"/>
          <w:szCs w:val="24"/>
          <w:lang w:bidi="en-US"/>
        </w:rPr>
        <w:t>)</w:t>
      </w:r>
      <w:r w:rsidRPr="00BF7C29">
        <w:rPr>
          <w:smallCaps/>
          <w:color w:val="000000"/>
          <w:sz w:val="24"/>
          <w:szCs w:val="24"/>
          <w:vertAlign w:val="subscript"/>
          <w:lang w:bidi="en-US"/>
        </w:rPr>
        <w:t>2</w:t>
      </w:r>
      <w:r w:rsidRPr="00BF7C29">
        <w:rPr>
          <w:smallCaps/>
          <w:color w:val="000000"/>
          <w:sz w:val="24"/>
          <w:szCs w:val="24"/>
          <w:lang w:val="en-US" w:bidi="en-US"/>
        </w:rPr>
        <w:t>D</w:t>
      </w:r>
      <w:r w:rsidRPr="00BF7C29">
        <w:rPr>
          <w:smallCaps/>
          <w:color w:val="000000"/>
          <w:sz w:val="24"/>
          <w:szCs w:val="24"/>
          <w:vertAlign w:val="subscript"/>
          <w:lang w:bidi="en-US"/>
        </w:rPr>
        <w:t>3</w:t>
      </w:r>
      <w:r w:rsidRPr="00BF7C29">
        <w:rPr>
          <w:smallCaps/>
          <w:color w:val="000000"/>
          <w:sz w:val="24"/>
          <w:szCs w:val="24"/>
          <w:lang w:bidi="en-US"/>
        </w:rPr>
        <w:t>]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в зависимости от причины гипокальциемии.</w:t>
      </w:r>
    </w:p>
    <w:p w:rsidR="00BF7C29" w:rsidRPr="00BF7C29" w:rsidRDefault="00BF7C29" w:rsidP="0038538C">
      <w:pPr>
        <w:pStyle w:val="1f1"/>
        <w:numPr>
          <w:ilvl w:val="0"/>
          <w:numId w:val="34"/>
        </w:numPr>
        <w:tabs>
          <w:tab w:val="left" w:pos="709"/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Низкий уровень кальцидиола у пациентов с гипокаль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циемией и гипофосфатемией указывает, что потре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бление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или его абсорбция и выработка в коже снижены; другие причины: противосудорожная терапия (фенитоин), наследственные болезни или не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фротический синдром (при котором теряется с мочой 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eastAsia="ru-RU" w:bidi="ru-RU"/>
        </w:rPr>
        <w:t>-связывающий белок).</w:t>
      </w:r>
    </w:p>
    <w:p w:rsidR="00BF7C29" w:rsidRPr="00BF7C29" w:rsidRDefault="00BF7C29" w:rsidP="0038538C">
      <w:pPr>
        <w:pStyle w:val="1f1"/>
        <w:numPr>
          <w:ilvl w:val="0"/>
          <w:numId w:val="34"/>
        </w:numPr>
        <w:tabs>
          <w:tab w:val="left" w:pos="709"/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Комбинация нормального или повышенного уровня кальцидиола со сниженной концентрацией кальцитри- ола указывает на ХПН или 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eastAsia="ru-RU" w:bidi="ru-RU"/>
        </w:rPr>
        <w:t>-резистентный рахит типа 1 (дефицит почечной 1а-гидроксилазы).</w:t>
      </w:r>
    </w:p>
    <w:p w:rsidR="00BF7C29" w:rsidRPr="00BF7C29" w:rsidRDefault="00BF7C29" w:rsidP="0038538C">
      <w:pPr>
        <w:pStyle w:val="1f1"/>
        <w:numPr>
          <w:ilvl w:val="0"/>
          <w:numId w:val="34"/>
        </w:numPr>
        <w:tabs>
          <w:tab w:val="left" w:pos="709"/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Уровень кальцитриола низкий у пациентов с гипопа</w:t>
      </w:r>
      <w:r w:rsidRPr="00BF7C29">
        <w:rPr>
          <w:color w:val="000000"/>
          <w:sz w:val="24"/>
          <w:szCs w:val="24"/>
          <w:lang w:eastAsia="ru-RU" w:bidi="ru-RU"/>
        </w:rPr>
        <w:softHyphen/>
        <w:t>ратиреозом.</w:t>
      </w:r>
    </w:p>
    <w:p w:rsidR="00BF7C29" w:rsidRPr="00BF7C29" w:rsidRDefault="00BF7C29" w:rsidP="0038538C">
      <w:pPr>
        <w:pStyle w:val="1f1"/>
        <w:numPr>
          <w:ilvl w:val="0"/>
          <w:numId w:val="34"/>
        </w:numPr>
        <w:tabs>
          <w:tab w:val="left" w:pos="709"/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Наследственный витамин D</w:t>
      </w:r>
      <w:r w:rsidRPr="00BF7C29">
        <w:rPr>
          <w:color w:val="000000"/>
          <w:sz w:val="24"/>
          <w:szCs w:val="24"/>
          <w:vertAlign w:val="subscript"/>
          <w:lang w:eastAsia="ru-RU" w:bidi="ru-RU"/>
        </w:rPr>
        <w:t>3</w:t>
      </w:r>
      <w:r w:rsidRPr="00BF7C29">
        <w:rPr>
          <w:color w:val="000000"/>
          <w:sz w:val="24"/>
          <w:szCs w:val="24"/>
          <w:lang w:eastAsia="ru-RU" w:bidi="ru-RU"/>
        </w:rPr>
        <w:t>-резистентный рахит типа 2 связан с дефектом в рецепторе витамина и может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быть заподозрен, если уровень кальцитриола в крови высокий.</w:t>
      </w:r>
    </w:p>
    <w:p w:rsidR="00BF7C29" w:rsidRPr="00BF7C29" w:rsidRDefault="00BF7C29" w:rsidP="0038538C">
      <w:pPr>
        <w:pStyle w:val="4b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5" w:name="bookmark277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Инструментальные исследования</w:t>
      </w:r>
      <w:bookmarkEnd w:id="25"/>
    </w:p>
    <w:p w:rsidR="00BF7C29" w:rsidRPr="00BF7C29" w:rsidRDefault="00BF7C29" w:rsidP="0038538C">
      <w:pPr>
        <w:pStyle w:val="1f1"/>
        <w:tabs>
          <w:tab w:val="left" w:pos="709"/>
        </w:tabs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Для дифференциальной диагностики заболеваний, связанных с гипокальциемией, используют рентгенографию костей (при по</w:t>
      </w:r>
      <w:r w:rsidRPr="00BF7C29">
        <w:rPr>
          <w:color w:val="000000"/>
          <w:sz w:val="24"/>
          <w:szCs w:val="24"/>
          <w:lang w:eastAsia="ru-RU" w:bidi="ru-RU"/>
        </w:rPr>
        <w:softHyphen/>
        <w:t>дозрении на рахит или остеомаляцию), костную денситометрию (для установления остеопении и мониторинга лечения), КТ го</w:t>
      </w:r>
      <w:r w:rsidRPr="00BF7C29">
        <w:rPr>
          <w:color w:val="000000"/>
          <w:sz w:val="24"/>
          <w:szCs w:val="24"/>
          <w:lang w:eastAsia="ru-RU" w:bidi="ru-RU"/>
        </w:rPr>
        <w:softHyphen/>
        <w:t>ловного мозга (в целях исключения обызвествления базальных ядер).</w:t>
      </w:r>
    </w:p>
    <w:p w:rsidR="00BF7C29" w:rsidRPr="00BF7C29" w:rsidRDefault="00BF7C29" w:rsidP="0038538C">
      <w:pPr>
        <w:pStyle w:val="3f2"/>
        <w:tabs>
          <w:tab w:val="left" w:pos="70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6" w:name="bookmark277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26"/>
    </w:p>
    <w:p w:rsidR="00BF7C29" w:rsidRPr="00BF7C29" w:rsidRDefault="00BF7C29" w:rsidP="0038538C">
      <w:pPr>
        <w:pStyle w:val="4b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7" w:name="bookmark277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Немедикаментозное лечение</w:t>
      </w:r>
      <w:bookmarkEnd w:id="27"/>
    </w:p>
    <w:p w:rsidR="00BF7C29" w:rsidRPr="00BF7C29" w:rsidRDefault="00BF7C29" w:rsidP="0038538C">
      <w:pPr>
        <w:pStyle w:val="1f1"/>
        <w:numPr>
          <w:ilvl w:val="0"/>
          <w:numId w:val="35"/>
        </w:numPr>
        <w:tabs>
          <w:tab w:val="left" w:pos="461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Достаточное потребление солей кальция с пищей (1500</w:t>
      </w:r>
      <w:r w:rsidRPr="00BF7C29">
        <w:rPr>
          <w:color w:val="000000"/>
          <w:sz w:val="24"/>
          <w:szCs w:val="24"/>
          <w:lang w:eastAsia="ru-RU" w:bidi="ru-RU"/>
        </w:rPr>
        <w:softHyphen/>
        <w:t>2000 мг элементарного кальция).</w:t>
      </w:r>
    </w:p>
    <w:p w:rsidR="00BF7C29" w:rsidRPr="00BF7C29" w:rsidRDefault="00BF7C29" w:rsidP="0038538C">
      <w:pPr>
        <w:pStyle w:val="1f1"/>
        <w:numPr>
          <w:ilvl w:val="0"/>
          <w:numId w:val="35"/>
        </w:numPr>
        <w:tabs>
          <w:tab w:val="left" w:pos="461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Минимальное использование кремов, защищающих кожу от воздействия ультрафиолетовых лучей.</w:t>
      </w:r>
    </w:p>
    <w:p w:rsidR="00BF7C29" w:rsidRPr="00BF7C29" w:rsidRDefault="00BF7C29" w:rsidP="0038538C">
      <w:pPr>
        <w:pStyle w:val="1f1"/>
        <w:numPr>
          <w:ilvl w:val="0"/>
          <w:numId w:val="35"/>
        </w:numPr>
        <w:tabs>
          <w:tab w:val="left" w:pos="461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Пребывание на солнце (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&gt;</w:t>
      </w:r>
      <w:r w:rsidRPr="00BF7C29">
        <w:rPr>
          <w:color w:val="000000"/>
          <w:sz w:val="24"/>
          <w:szCs w:val="24"/>
          <w:lang w:eastAsia="ru-RU" w:bidi="ru-RU"/>
        </w:rPr>
        <w:t>10-30 мин/сут).</w:t>
      </w:r>
    </w:p>
    <w:p w:rsidR="00BF7C29" w:rsidRPr="00BF7C29" w:rsidRDefault="00BF7C29" w:rsidP="0038538C">
      <w:pPr>
        <w:pStyle w:val="4b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8" w:name="bookmark277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Медикаментозное лечение</w:t>
      </w:r>
      <w:bookmarkEnd w:id="28"/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Пациенты с гипопаратиреозом нуждаются в длительной те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рапии солями кальция и препаратами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. </w:t>
      </w:r>
      <w:r w:rsidRPr="00BF7C29">
        <w:rPr>
          <w:color w:val="000000"/>
          <w:sz w:val="24"/>
          <w:szCs w:val="24"/>
          <w:lang w:eastAsia="ru-RU" w:bidi="ru-RU"/>
        </w:rPr>
        <w:t>Необходимо поддерживать уровень кальция в крови на нижней границе нор</w:t>
      </w:r>
      <w:r w:rsidRPr="00BF7C29">
        <w:rPr>
          <w:color w:val="000000"/>
          <w:sz w:val="24"/>
          <w:szCs w:val="24"/>
          <w:lang w:eastAsia="ru-RU" w:bidi="ru-RU"/>
        </w:rPr>
        <w:softHyphen/>
        <w:t>мы для предотвращения гиперкальциурии и нефролитиаза. Ле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чение заболеваний, связанных с дефицитом или нарушениями метаболизма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требует применения адекватных форм витамина, доз препаратов и длительного лечения).</w:t>
      </w:r>
    </w:p>
    <w:p w:rsidR="00BF7C29" w:rsidRPr="00BF7C29" w:rsidRDefault="00BF7C29" w:rsidP="0038538C">
      <w:pPr>
        <w:pStyle w:val="1f1"/>
        <w:numPr>
          <w:ilvl w:val="0"/>
          <w:numId w:val="35"/>
        </w:numPr>
        <w:tabs>
          <w:tab w:val="left" w:pos="461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Препараты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суточные дозы:</w:t>
      </w:r>
    </w:p>
    <w:p w:rsidR="00BF7C29" w:rsidRPr="00BF7C29" w:rsidRDefault="00BF7C29" w:rsidP="0038538C">
      <w:pPr>
        <w:pStyle w:val="1f1"/>
        <w:numPr>
          <w:ilvl w:val="0"/>
          <w:numId w:val="36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альфакальцидол — 0,5-3,0 мкг;</w:t>
      </w:r>
    </w:p>
    <w:p w:rsidR="00BF7C29" w:rsidRPr="00BF7C29" w:rsidRDefault="00BF7C29" w:rsidP="0038538C">
      <w:pPr>
        <w:pStyle w:val="1f1"/>
        <w:numPr>
          <w:ilvl w:val="0"/>
          <w:numId w:val="36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дигидротахистерол — 0,2-1,0 мг;</w:t>
      </w:r>
    </w:p>
    <w:p w:rsidR="00BF7C29" w:rsidRPr="00BF7C29" w:rsidRDefault="00BF7C29" w:rsidP="0038538C">
      <w:pPr>
        <w:pStyle w:val="1f1"/>
        <w:numPr>
          <w:ilvl w:val="0"/>
          <w:numId w:val="36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кальцитриол — 0,5-2,0 мкг;</w:t>
      </w:r>
    </w:p>
    <w:p w:rsidR="00BF7C29" w:rsidRPr="00BF7C29" w:rsidRDefault="00BF7C29" w:rsidP="0038538C">
      <w:pPr>
        <w:pStyle w:val="1f1"/>
        <w:numPr>
          <w:ilvl w:val="0"/>
          <w:numId w:val="36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колекальциферол (витамин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3) </w:t>
      </w:r>
      <w:r w:rsidRPr="00BF7C29">
        <w:rPr>
          <w:color w:val="000000"/>
          <w:sz w:val="24"/>
          <w:szCs w:val="24"/>
          <w:lang w:eastAsia="ru-RU" w:bidi="ru-RU"/>
        </w:rPr>
        <w:t>— 10 000-50 000 МЕ (0,25-1,25 мг);</w:t>
      </w:r>
    </w:p>
    <w:p w:rsidR="00BF7C29" w:rsidRPr="00BF7C29" w:rsidRDefault="00BF7C29" w:rsidP="0038538C">
      <w:pPr>
        <w:pStyle w:val="1f1"/>
        <w:numPr>
          <w:ilvl w:val="0"/>
          <w:numId w:val="36"/>
        </w:numPr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эргокальциферол (витамин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2) </w:t>
      </w:r>
      <w:r w:rsidRPr="00BF7C29">
        <w:rPr>
          <w:color w:val="000000"/>
          <w:sz w:val="24"/>
          <w:szCs w:val="24"/>
          <w:lang w:eastAsia="ru-RU" w:bidi="ru-RU"/>
        </w:rPr>
        <w:t>— 10 000-50 000 МЕ (0,25-1,25 мг).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1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 пациентов с заболеваниями почек применяют только ак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тивные метаболиты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 xml:space="preserve">(кальцитриол) и их аналоги (альфакальцидол), поскольку у них нарушено превращение кальцидиола </w:t>
      </w:r>
      <w:r w:rsidRPr="00BF7C29">
        <w:rPr>
          <w:color w:val="000000"/>
          <w:sz w:val="24"/>
          <w:szCs w:val="24"/>
          <w:lang w:bidi="en-US"/>
        </w:rPr>
        <w:t>[25(</w:t>
      </w:r>
      <w:r w:rsidRPr="00BF7C29">
        <w:rPr>
          <w:color w:val="000000"/>
          <w:sz w:val="24"/>
          <w:szCs w:val="24"/>
          <w:lang w:val="en-US" w:bidi="en-US"/>
        </w:rPr>
        <w:t>OH</w:t>
      </w:r>
      <w:r w:rsidRPr="00BF7C29">
        <w:rPr>
          <w:color w:val="000000"/>
          <w:sz w:val="24"/>
          <w:szCs w:val="24"/>
          <w:lang w:bidi="en-US"/>
        </w:rPr>
        <w:t>)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vertAlign w:val="subscript"/>
          <w:lang w:bidi="en-US"/>
        </w:rPr>
        <w:t>3</w:t>
      </w:r>
      <w:r w:rsidRPr="00BF7C29">
        <w:rPr>
          <w:color w:val="000000"/>
          <w:sz w:val="24"/>
          <w:szCs w:val="24"/>
          <w:lang w:bidi="en-US"/>
        </w:rPr>
        <w:t xml:space="preserve">] </w:t>
      </w:r>
      <w:r w:rsidRPr="00BF7C29">
        <w:rPr>
          <w:color w:val="000000"/>
          <w:sz w:val="24"/>
          <w:szCs w:val="24"/>
          <w:lang w:eastAsia="ru-RU" w:bidi="ru-RU"/>
        </w:rPr>
        <w:t xml:space="preserve">в кальцитриол </w:t>
      </w:r>
      <w:r w:rsidRPr="00BF7C29">
        <w:rPr>
          <w:color w:val="000000"/>
          <w:sz w:val="24"/>
          <w:szCs w:val="24"/>
          <w:lang w:bidi="en-US"/>
        </w:rPr>
        <w:t>[1,25(</w:t>
      </w:r>
      <w:r w:rsidRPr="00BF7C29">
        <w:rPr>
          <w:color w:val="000000"/>
          <w:sz w:val="24"/>
          <w:szCs w:val="24"/>
          <w:lang w:val="en-US" w:bidi="en-US"/>
        </w:rPr>
        <w:t>OH</w:t>
      </w:r>
      <w:r w:rsidRPr="00BF7C29">
        <w:rPr>
          <w:color w:val="000000"/>
          <w:sz w:val="24"/>
          <w:szCs w:val="24"/>
          <w:lang w:bidi="en-US"/>
        </w:rPr>
        <w:t>)2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vertAlign w:val="subscript"/>
          <w:lang w:bidi="en-US"/>
        </w:rPr>
        <w:t>3</w:t>
      </w:r>
      <w:r w:rsidRPr="00BF7C29">
        <w:rPr>
          <w:color w:val="000000"/>
          <w:sz w:val="24"/>
          <w:szCs w:val="24"/>
          <w:lang w:bidi="en-US"/>
        </w:rPr>
        <w:t>].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1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 пациентов с патологией печени применяют активные ме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таболиты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так как его окисление в 25-й позиции происходит в печени.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1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Лечение пациентов с витамин D</w:t>
      </w:r>
      <w:r w:rsidRPr="00BF7C29">
        <w:rPr>
          <w:color w:val="000000"/>
          <w:sz w:val="24"/>
          <w:szCs w:val="24"/>
          <w:vertAlign w:val="subscript"/>
          <w:lang w:eastAsia="ru-RU" w:bidi="ru-RU"/>
        </w:rPr>
        <w:t>3</w:t>
      </w:r>
      <w:r w:rsidRPr="00BF7C29">
        <w:rPr>
          <w:color w:val="000000"/>
          <w:sz w:val="24"/>
          <w:szCs w:val="24"/>
          <w:lang w:eastAsia="ru-RU" w:bidi="ru-RU"/>
        </w:rPr>
        <w:t>-резистентными рахитами проводят кальцитриолом или альфакальцидолом в дозах, превышающих стандартные в 2-3 раза.</w:t>
      </w:r>
    </w:p>
    <w:p w:rsidR="00BF7C29" w:rsidRPr="00BF7C29" w:rsidRDefault="00BF7C29" w:rsidP="0038538C">
      <w:pPr>
        <w:pStyle w:val="1f1"/>
        <w:tabs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>Лечение гипокальциемии</w:t>
      </w:r>
      <w:r w:rsidRPr="00BF7C29">
        <w:rPr>
          <w:color w:val="000000"/>
          <w:sz w:val="24"/>
          <w:szCs w:val="24"/>
          <w:lang w:eastAsia="ru-RU" w:bidi="ru-RU"/>
        </w:rPr>
        <w:t xml:space="preserve">, </w:t>
      </w:r>
      <w:r w:rsidRPr="00BF7C29">
        <w:rPr>
          <w:b/>
          <w:bCs/>
          <w:color w:val="000000"/>
          <w:sz w:val="24"/>
          <w:szCs w:val="24"/>
          <w:lang w:eastAsia="ru-RU" w:bidi="ru-RU"/>
        </w:rPr>
        <w:t>вызванной дефицитом маг</w:t>
      </w:r>
      <w:r w:rsidRPr="00BF7C29">
        <w:rPr>
          <w:b/>
          <w:bCs/>
          <w:color w:val="000000"/>
          <w:sz w:val="24"/>
          <w:szCs w:val="24"/>
          <w:lang w:eastAsia="ru-RU" w:bidi="ru-RU"/>
        </w:rPr>
        <w:softHyphen/>
        <w:t>ния</w:t>
      </w:r>
      <w:r w:rsidRPr="00BF7C29">
        <w:rPr>
          <w:color w:val="000000"/>
          <w:sz w:val="24"/>
          <w:szCs w:val="24"/>
          <w:lang w:eastAsia="ru-RU" w:bidi="ru-RU"/>
        </w:rPr>
        <w:t>, требует применения магния сульфата в сочетании с витами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ном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и солями кальция.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1"/>
          <w:tab w:val="left" w:pos="70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Лечение симптоматической гипомагниемии необходимо на</w:t>
      </w:r>
      <w:r w:rsidRPr="00BF7C29">
        <w:rPr>
          <w:color w:val="000000"/>
          <w:sz w:val="24"/>
          <w:szCs w:val="24"/>
          <w:lang w:eastAsia="ru-RU" w:bidi="ru-RU"/>
        </w:rPr>
        <w:softHyphen/>
        <w:t>чинать с внутривенного введения магния сульфата.</w:t>
      </w:r>
    </w:p>
    <w:bookmarkEnd w:id="20"/>
    <w:p w:rsidR="00BF7C29" w:rsidRPr="00BF7C29" w:rsidRDefault="00BF7C29" w:rsidP="00BF7C29">
      <w:pPr>
        <w:widowControl/>
        <w:autoSpaceDE/>
        <w:autoSpaceDN/>
        <w:adjustRightInd/>
        <w:spacing w:before="100" w:beforeAutospacing="1" w:after="100" w:afterAutospacing="1"/>
        <w:jc w:val="both"/>
        <w:outlineLvl w:val="1"/>
        <w:rPr>
          <w:b/>
          <w:bCs/>
          <w:sz w:val="24"/>
          <w:szCs w:val="24"/>
        </w:rPr>
      </w:pPr>
      <w:r w:rsidRPr="00BF7C29">
        <w:rPr>
          <w:b/>
          <w:bCs/>
          <w:sz w:val="24"/>
          <w:szCs w:val="24"/>
        </w:rPr>
        <w:t xml:space="preserve">ПЛАН </w:t>
      </w:r>
      <w:r w:rsidRPr="00BF7C29">
        <w:rPr>
          <w:b/>
          <w:bCs/>
          <w:sz w:val="24"/>
          <w:szCs w:val="24"/>
          <w:lang w:val="uz-Cyrl-UZ"/>
        </w:rPr>
        <w:t>3</w:t>
      </w:r>
      <w:r w:rsidRPr="00BF7C29">
        <w:rPr>
          <w:b/>
          <w:bCs/>
          <w:sz w:val="24"/>
          <w:szCs w:val="24"/>
        </w:rPr>
        <w:t>. СИНДРОМ ГИПЕРПАРАТИРЕОЗА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гиперпаратиреоза — клинический синдром, возни</w:t>
      </w:r>
      <w:r w:rsidRPr="00BF7C29">
        <w:rPr>
          <w:color w:val="000000"/>
          <w:sz w:val="24"/>
          <w:szCs w:val="24"/>
          <w:lang w:eastAsia="ru-RU" w:bidi="ru-RU"/>
        </w:rPr>
        <w:softHyphen/>
        <w:t>кающий вследствие гиперпродукции ПТГ в результате первично</w:t>
      </w:r>
      <w:r w:rsidRPr="00BF7C29">
        <w:rPr>
          <w:color w:val="000000"/>
          <w:sz w:val="24"/>
          <w:szCs w:val="24"/>
          <w:lang w:eastAsia="ru-RU" w:bidi="ru-RU"/>
        </w:rPr>
        <w:softHyphen/>
        <w:t>го поражения околощитовидных желез (объемного образования, гиперплазии) либо на фоне нарушения фосфорно-кальциевого обмена и костного метаболизма различного генеза.</w:t>
      </w:r>
    </w:p>
    <w:p w:rsidR="00BF7C29" w:rsidRPr="00BF7C29" w:rsidRDefault="00BF7C29" w:rsidP="0038538C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Код МКБ-10</w:t>
      </w:r>
      <w:bookmarkEnd w:id="21"/>
    </w:p>
    <w:p w:rsidR="00BF7C29" w:rsidRPr="00BF7C29" w:rsidRDefault="00BF7C29" w:rsidP="0038538C">
      <w:pPr>
        <w:pStyle w:val="1f1"/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val="en-US" w:bidi="en-US"/>
        </w:rPr>
        <w:t>E</w:t>
      </w:r>
      <w:r w:rsidRPr="00BF7C29">
        <w:rPr>
          <w:color w:val="000000"/>
          <w:sz w:val="24"/>
          <w:szCs w:val="24"/>
          <w:lang w:bidi="en-US"/>
        </w:rPr>
        <w:t xml:space="preserve">21.0. </w:t>
      </w:r>
      <w:r w:rsidRPr="00BF7C29">
        <w:rPr>
          <w:color w:val="000000"/>
          <w:sz w:val="24"/>
          <w:szCs w:val="24"/>
          <w:lang w:eastAsia="ru-RU" w:bidi="ru-RU"/>
        </w:rPr>
        <w:t>Первичный гиперпаратиреоз.</w:t>
      </w:r>
    </w:p>
    <w:p w:rsidR="00BF7C29" w:rsidRPr="00BF7C29" w:rsidRDefault="00BF7C29" w:rsidP="0038538C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bookmarkStart w:id="29" w:name="bookmark278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Классификация</w:t>
      </w:r>
      <w:bookmarkEnd w:id="29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Первичный гиперпаратиреоз </w:t>
      </w:r>
      <w:r w:rsidRPr="00BF7C29">
        <w:rPr>
          <w:color w:val="000000"/>
          <w:sz w:val="24"/>
          <w:szCs w:val="24"/>
          <w:lang w:eastAsia="ru-RU" w:bidi="ru-RU"/>
        </w:rPr>
        <w:t>— повышение продукции ПТГ в результате развития объемного образования или гиперплазии одной или нескольких околощитовидных желез.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 этиологии: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солитарная аденома;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множественные аденомы;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карцинома;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гиперплазия околощитовидных желез и первичный гипер</w:t>
      </w:r>
      <w:r w:rsidRPr="00BF7C29">
        <w:rPr>
          <w:color w:val="000000"/>
          <w:sz w:val="24"/>
          <w:szCs w:val="24"/>
          <w:lang w:eastAsia="ru-RU" w:bidi="ru-RU"/>
        </w:rPr>
        <w:softHyphen/>
        <w:t>паратиреоз в рамках синдромов МЭН 1 и МЭН 2.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Основным звеном патогенеза служит дефект кальцийчувстви</w:t>
      </w:r>
      <w:r w:rsidRPr="00BF7C29">
        <w:rPr>
          <w:color w:val="000000"/>
          <w:sz w:val="24"/>
          <w:szCs w:val="24"/>
          <w:lang w:eastAsia="ru-RU" w:bidi="ru-RU"/>
        </w:rPr>
        <w:softHyphen/>
        <w:t>тельных рецепторов опухолевых и гиперплазированных клеток околощитовидных желез, порог чувствительности к кальцию кото</w:t>
      </w:r>
      <w:r w:rsidRPr="00BF7C29">
        <w:rPr>
          <w:color w:val="000000"/>
          <w:sz w:val="24"/>
          <w:szCs w:val="24"/>
          <w:lang w:eastAsia="ru-RU" w:bidi="ru-RU"/>
        </w:rPr>
        <w:softHyphen/>
        <w:t>рых по сравнению с нормой снижен или полностью отсутствует.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Вторичный гиперпаратиреоз </w:t>
      </w:r>
      <w:r w:rsidRPr="00BF7C29">
        <w:rPr>
          <w:color w:val="000000"/>
          <w:sz w:val="24"/>
          <w:szCs w:val="24"/>
          <w:lang w:eastAsia="ru-RU" w:bidi="ru-RU"/>
        </w:rPr>
        <w:t>— компенсаторное повыше</w:t>
      </w:r>
      <w:r w:rsidRPr="00BF7C29">
        <w:rPr>
          <w:color w:val="000000"/>
          <w:sz w:val="24"/>
          <w:szCs w:val="24"/>
          <w:lang w:eastAsia="ru-RU" w:bidi="ru-RU"/>
        </w:rPr>
        <w:softHyphen/>
        <w:t>ние продукции ПТГ в ответ на гипокальциемию различного ге</w:t>
      </w:r>
      <w:r w:rsidRPr="00BF7C29">
        <w:rPr>
          <w:color w:val="000000"/>
          <w:sz w:val="24"/>
          <w:szCs w:val="24"/>
          <w:lang w:eastAsia="ru-RU" w:bidi="ru-RU"/>
        </w:rPr>
        <w:softHyphen/>
        <w:t>неза. Возникает: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ХПН и других почечных заболеваниях, когда гипокаль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циемия развивается в результате уменьшения массы дей</w:t>
      </w:r>
      <w:r w:rsidRPr="00BF7C29">
        <w:rPr>
          <w:color w:val="000000"/>
          <w:sz w:val="24"/>
          <w:szCs w:val="24"/>
          <w:lang w:eastAsia="ru-RU" w:bidi="ru-RU"/>
        </w:rPr>
        <w:softHyphen/>
        <w:t>ствующих нефронов, что приводит к гиперфосфатемии (с последующим реципрокным снижением количества ионов кальция в крови), снижению синтеза кальцитриола почками;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заболеваниях ЖКТ (синдроме мальабсорбции, заболевани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ях печени), которые приводят к гиповитаминозу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со снижением всасывания кальция;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костных заболеваниях (остеомаляции, фиброзном остеите);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дефиците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любой этиологии.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Снижение содержания кальция приводит к уменьшению коли</w:t>
      </w:r>
      <w:r w:rsidRPr="00BF7C29">
        <w:rPr>
          <w:color w:val="000000"/>
          <w:sz w:val="24"/>
          <w:szCs w:val="24"/>
          <w:lang w:eastAsia="ru-RU" w:bidi="ru-RU"/>
        </w:rPr>
        <w:softHyphen/>
        <w:t>чества и чувствительности кальцийчувствительных рецепторов околощитовидных клеток. Дефицит кальцитриола приводит к уменьшению рецепторов к нему (что снижает супрессивное дей</w:t>
      </w:r>
      <w:r w:rsidRPr="00BF7C29">
        <w:rPr>
          <w:color w:val="000000"/>
          <w:sz w:val="24"/>
          <w:szCs w:val="24"/>
          <w:lang w:eastAsia="ru-RU" w:bidi="ru-RU"/>
        </w:rPr>
        <w:softHyphen/>
        <w:t>ствие на продукцию ПТГ) и дополнительному уменьшению вса</w:t>
      </w:r>
      <w:r w:rsidRPr="00BF7C29">
        <w:rPr>
          <w:color w:val="000000"/>
          <w:sz w:val="24"/>
          <w:szCs w:val="24"/>
          <w:lang w:eastAsia="ru-RU" w:bidi="ru-RU"/>
        </w:rPr>
        <w:softHyphen/>
        <w:t>сывания кальция. Ответное повышение продукции ПТГ приводит к активизации процессов костной резорбции, а при длительной стимуляции — к гиперплазии околощитовидных желез.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Третичный гиперпаратиреоз </w:t>
      </w:r>
      <w:r w:rsidRPr="00BF7C29">
        <w:rPr>
          <w:color w:val="000000"/>
          <w:sz w:val="24"/>
          <w:szCs w:val="24"/>
          <w:lang w:eastAsia="ru-RU" w:bidi="ru-RU"/>
        </w:rPr>
        <w:t>характеризуется развитием автономной гиперпродукции ПТГ с формированием аденомы на фоне гиперплазии околощитовидных желез при вторичном ги</w:t>
      </w:r>
      <w:r w:rsidRPr="00BF7C29">
        <w:rPr>
          <w:color w:val="000000"/>
          <w:sz w:val="24"/>
          <w:szCs w:val="24"/>
          <w:lang w:eastAsia="ru-RU" w:bidi="ru-RU"/>
        </w:rPr>
        <w:softHyphen/>
        <w:t>перпаратиреозе.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 точки зрения выраженности клинических симптомов разли</w:t>
      </w:r>
      <w:r w:rsidRPr="00BF7C29">
        <w:rPr>
          <w:color w:val="000000"/>
          <w:sz w:val="24"/>
          <w:szCs w:val="24"/>
          <w:lang w:eastAsia="ru-RU" w:bidi="ru-RU"/>
        </w:rPr>
        <w:softHyphen/>
        <w:t>чают следующие формы гиперпаратиреоза: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бессимптомную;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малосимптомную;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манифестную.</w:t>
      </w:r>
    </w:p>
    <w:p w:rsidR="00BF7C29" w:rsidRPr="00BF7C29" w:rsidRDefault="00BF7C29" w:rsidP="0038538C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Анамнез</w:t>
      </w:r>
    </w:p>
    <w:p w:rsidR="00BF7C29" w:rsidRPr="00BF7C29" w:rsidRDefault="00BF7C29" w:rsidP="0038538C">
      <w:pPr>
        <w:pStyle w:val="1f1"/>
        <w:numPr>
          <w:ilvl w:val="0"/>
          <w:numId w:val="25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Обращают внимание на заболевания, перечисленные в .</w:t>
      </w:r>
    </w:p>
    <w:p w:rsidR="00BF7C29" w:rsidRPr="00BF7C29" w:rsidRDefault="00BF7C29" w:rsidP="0038538C">
      <w:pPr>
        <w:pStyle w:val="1f1"/>
        <w:numPr>
          <w:ilvl w:val="0"/>
          <w:numId w:val="25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Выявляют наличие судорог, случаев внезапной потери со</w:t>
      </w:r>
      <w:r w:rsidRPr="00BF7C29">
        <w:rPr>
          <w:color w:val="000000"/>
          <w:sz w:val="24"/>
          <w:szCs w:val="24"/>
          <w:lang w:eastAsia="ru-RU" w:bidi="ru-RU"/>
        </w:rPr>
        <w:softHyphen/>
        <w:t>знания, жалоб на снижение памяти, боли в области больше</w:t>
      </w:r>
      <w:r w:rsidRPr="00BF7C29">
        <w:rPr>
          <w:color w:val="000000"/>
          <w:sz w:val="24"/>
          <w:szCs w:val="24"/>
          <w:lang w:eastAsia="ru-RU" w:bidi="ru-RU"/>
        </w:rPr>
        <w:softHyphen/>
        <w:t>берцовых и костей предплечья, ключиц, грудины.</w:t>
      </w:r>
    </w:p>
    <w:p w:rsidR="00BF7C29" w:rsidRPr="00BF7C29" w:rsidRDefault="00BF7C29" w:rsidP="0038538C">
      <w:pPr>
        <w:pStyle w:val="1f1"/>
        <w:numPr>
          <w:ilvl w:val="0"/>
          <w:numId w:val="25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Наличие катаракты.</w:t>
      </w:r>
    </w:p>
    <w:p w:rsidR="00BF7C29" w:rsidRPr="00BF7C29" w:rsidRDefault="00BF7C29" w:rsidP="0038538C">
      <w:pPr>
        <w:pStyle w:val="1f1"/>
        <w:numPr>
          <w:ilvl w:val="0"/>
          <w:numId w:val="25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Сведения о ХПН, патологии ЖКТ.</w:t>
      </w:r>
    </w:p>
    <w:p w:rsidR="00BF7C29" w:rsidRPr="00BF7C29" w:rsidRDefault="00BF7C29" w:rsidP="0038538C">
      <w:pPr>
        <w:pStyle w:val="1f1"/>
        <w:numPr>
          <w:ilvl w:val="0"/>
          <w:numId w:val="25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Особое внимание уделяют возможности развития постопе</w:t>
      </w:r>
      <w:r w:rsidRPr="00BF7C29">
        <w:rPr>
          <w:color w:val="000000"/>
          <w:sz w:val="24"/>
          <w:szCs w:val="24"/>
          <w:lang w:eastAsia="ru-RU" w:bidi="ru-RU"/>
        </w:rPr>
        <w:softHyphen/>
        <w:t>рационного гипопаратиреоза.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Физикальное обследование</w:t>
      </w:r>
    </w:p>
    <w:p w:rsidR="00BF7C29" w:rsidRPr="00BF7C29" w:rsidRDefault="00BF7C29" w:rsidP="0038538C">
      <w:pPr>
        <w:pStyle w:val="1f1"/>
        <w:numPr>
          <w:ilvl w:val="0"/>
          <w:numId w:val="25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Судорожные сокращения мышц различных групп:</w:t>
      </w:r>
    </w:p>
    <w:p w:rsidR="00BF7C29" w:rsidRPr="00BF7C29" w:rsidRDefault="00BF7C29" w:rsidP="0038538C">
      <w:pPr>
        <w:pStyle w:val="1f1"/>
        <w:numPr>
          <w:ilvl w:val="0"/>
          <w:numId w:val="26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ларингоспазм, бронхоспазм;</w:t>
      </w:r>
    </w:p>
    <w:p w:rsidR="00BF7C29" w:rsidRPr="00BF7C29" w:rsidRDefault="00BF7C29" w:rsidP="0038538C">
      <w:pPr>
        <w:pStyle w:val="1f1"/>
        <w:numPr>
          <w:ilvl w:val="0"/>
          <w:numId w:val="26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ЖКТ (дисфагия, рвота, диарея или запоры);</w:t>
      </w:r>
    </w:p>
    <w:p w:rsidR="00BF7C29" w:rsidRPr="00BF7C29" w:rsidRDefault="00BF7C29" w:rsidP="0038538C">
      <w:pPr>
        <w:pStyle w:val="1f1"/>
        <w:numPr>
          <w:ilvl w:val="0"/>
          <w:numId w:val="26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скелетных (парестезии, фибриллярные подергивания, тонические судороги).</w:t>
      </w:r>
    </w:p>
    <w:p w:rsidR="00BF7C29" w:rsidRPr="00BF7C29" w:rsidRDefault="00BF7C29" w:rsidP="0038538C">
      <w:pPr>
        <w:pStyle w:val="1f1"/>
        <w:numPr>
          <w:ilvl w:val="0"/>
          <w:numId w:val="27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Вегетативные нарушения (жар, озноб, головокружение, боли в области сердца, сердцебиение).</w:t>
      </w:r>
    </w:p>
    <w:p w:rsidR="00BF7C29" w:rsidRPr="00BF7C29" w:rsidRDefault="00BF7C29" w:rsidP="0038538C">
      <w:pPr>
        <w:pStyle w:val="1f1"/>
        <w:numPr>
          <w:ilvl w:val="0"/>
          <w:numId w:val="27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Трофические нарушения (катаракта, дефекты эмали зубов, ломкость ногтей, нарушение роста волос, раннее поседе</w:t>
      </w:r>
      <w:r w:rsidRPr="00BF7C29">
        <w:rPr>
          <w:color w:val="000000"/>
          <w:sz w:val="24"/>
          <w:szCs w:val="24"/>
          <w:lang w:eastAsia="ru-RU" w:bidi="ru-RU"/>
        </w:rPr>
        <w:softHyphen/>
        <w:t>ние).</w:t>
      </w:r>
    </w:p>
    <w:p w:rsidR="00BF7C29" w:rsidRPr="00BF7C29" w:rsidRDefault="00BF7C29" w:rsidP="0038538C">
      <w:pPr>
        <w:pStyle w:val="1f1"/>
        <w:numPr>
          <w:ilvl w:val="0"/>
          <w:numId w:val="27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Изменения психики (неврозы, снижение памяти, бессонни</w:t>
      </w:r>
      <w:r w:rsidRPr="00BF7C29">
        <w:rPr>
          <w:color w:val="000000"/>
          <w:sz w:val="24"/>
          <w:szCs w:val="24"/>
          <w:lang w:eastAsia="ru-RU" w:bidi="ru-RU"/>
        </w:rPr>
        <w:softHyphen/>
        <w:t>ца, депрессия).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Лабораторные исследования</w:t>
      </w:r>
    </w:p>
    <w:p w:rsidR="00BF7C29" w:rsidRPr="00BF7C29" w:rsidRDefault="00BF7C29" w:rsidP="0038538C">
      <w:pPr>
        <w:pStyle w:val="1f1"/>
        <w:numPr>
          <w:ilvl w:val="0"/>
          <w:numId w:val="27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Для подтверждения гипокальциемии необходимо определе</w:t>
      </w:r>
      <w:r w:rsidRPr="00BF7C29">
        <w:rPr>
          <w:color w:val="000000"/>
          <w:sz w:val="24"/>
          <w:szCs w:val="24"/>
          <w:lang w:eastAsia="ru-RU" w:bidi="ru-RU"/>
        </w:rPr>
        <w:softHyphen/>
        <w:t>ние содержания:</w:t>
      </w:r>
    </w:p>
    <w:p w:rsidR="00BF7C29" w:rsidRPr="00BF7C29" w:rsidRDefault="00BF7C29" w:rsidP="0038538C">
      <w:pPr>
        <w:pStyle w:val="1f1"/>
        <w:numPr>
          <w:ilvl w:val="0"/>
          <w:numId w:val="28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общего кальция в сыворотке крови (2-3 раза);</w:t>
      </w:r>
    </w:p>
    <w:p w:rsidR="00BF7C29" w:rsidRPr="00BF7C29" w:rsidRDefault="00BF7C29" w:rsidP="0038538C">
      <w:pPr>
        <w:pStyle w:val="1f1"/>
        <w:numPr>
          <w:ilvl w:val="0"/>
          <w:numId w:val="28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ионизированного кальция в плазме (особенно при ати</w:t>
      </w:r>
      <w:r w:rsidRPr="00BF7C29">
        <w:rPr>
          <w:color w:val="000000"/>
          <w:sz w:val="24"/>
          <w:szCs w:val="24"/>
          <w:lang w:eastAsia="ru-RU" w:bidi="ru-RU"/>
        </w:rPr>
        <w:softHyphen/>
        <w:t>пичных симптомах гипокальциемии, у пациентов с гипо</w:t>
      </w:r>
      <w:r w:rsidRPr="00BF7C29">
        <w:rPr>
          <w:color w:val="000000"/>
          <w:sz w:val="24"/>
          <w:szCs w:val="24"/>
          <w:lang w:eastAsia="ru-RU" w:bidi="ru-RU"/>
        </w:rPr>
        <w:softHyphen/>
        <w:t>альбуминурией).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Если недоступно прямое измерение содержания ионизиро</w:t>
      </w:r>
      <w:r w:rsidRPr="00BF7C29">
        <w:rPr>
          <w:color w:val="000000"/>
          <w:sz w:val="24"/>
          <w:szCs w:val="24"/>
          <w:lang w:eastAsia="ru-RU" w:bidi="ru-RU"/>
        </w:rPr>
        <w:softHyphen/>
        <w:t>ванного кальция, определяют уровень альбумина в крови и рас</w:t>
      </w:r>
      <w:r w:rsidRPr="00BF7C29">
        <w:rPr>
          <w:color w:val="000000"/>
          <w:sz w:val="24"/>
          <w:szCs w:val="24"/>
          <w:lang w:eastAsia="ru-RU" w:bidi="ru-RU"/>
        </w:rPr>
        <w:softHyphen/>
        <w:t>считывают концентрацию общего кальция в зависимости от его уровня. Концентрация общего кальция снижается на 0,2 ммоль/л при падении уровня альбумина на 10 г/л. При содержании общего кальция 2,0 ммоль/л скорректированная на альбумин истинная концентрация кальция составит 2,4 ммоль/л, что укладывается в нормальные значения.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отсутствии ХПН, острого панкреатита, билиарного цир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роза, синдромов клеточного лизиса наиболее вероятные причины гипокальциемии — нарушение секреции ПТГ и/или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нечувстви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тельность органов-мишеней, а также недостаток или патология метаболизма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>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Для уточнения причин гипокальциемии выполняют:</w:t>
      </w:r>
    </w:p>
    <w:p w:rsidR="00BF7C29" w:rsidRPr="00BF7C29" w:rsidRDefault="00BF7C29" w:rsidP="0038538C">
      <w:pPr>
        <w:pStyle w:val="1f1"/>
        <w:numPr>
          <w:ilvl w:val="0"/>
          <w:numId w:val="29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биохимический анализ крови: определение концентра</w:t>
      </w:r>
      <w:r w:rsidRPr="00BF7C29">
        <w:rPr>
          <w:color w:val="000000"/>
          <w:sz w:val="24"/>
          <w:szCs w:val="24"/>
          <w:lang w:eastAsia="ru-RU" w:bidi="ru-RU"/>
        </w:rPr>
        <w:softHyphen/>
        <w:t>ции креатинина, билирубина, фосфата, активности ами</w:t>
      </w:r>
      <w:r w:rsidRPr="00BF7C29">
        <w:rPr>
          <w:color w:val="000000"/>
          <w:sz w:val="24"/>
          <w:szCs w:val="24"/>
          <w:lang w:eastAsia="ru-RU" w:bidi="ru-RU"/>
        </w:rPr>
        <w:softHyphen/>
        <w:t>лазы, АСТ, АЛТ, концентрации магния в сыворотке;</w:t>
      </w:r>
    </w:p>
    <w:p w:rsidR="00BF7C29" w:rsidRPr="00BF7C29" w:rsidRDefault="00BF7C29" w:rsidP="0038538C">
      <w:pPr>
        <w:pStyle w:val="1f1"/>
        <w:numPr>
          <w:ilvl w:val="0"/>
          <w:numId w:val="29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определение концентрации ПТГ;</w:t>
      </w:r>
    </w:p>
    <w:p w:rsidR="00BF7C29" w:rsidRPr="00BF7C29" w:rsidRDefault="00BF7C29" w:rsidP="0038538C">
      <w:pPr>
        <w:pStyle w:val="1f1"/>
        <w:numPr>
          <w:ilvl w:val="0"/>
          <w:numId w:val="29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исследование содержания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[25(</w:t>
      </w:r>
      <w:r w:rsidRPr="00BF7C29">
        <w:rPr>
          <w:color w:val="000000"/>
          <w:sz w:val="24"/>
          <w:szCs w:val="24"/>
          <w:lang w:val="en-US" w:bidi="en-US"/>
        </w:rPr>
        <w:t>OH</w:t>
      </w:r>
      <w:r w:rsidRPr="00BF7C29">
        <w:rPr>
          <w:color w:val="000000"/>
          <w:sz w:val="24"/>
          <w:szCs w:val="24"/>
          <w:lang w:bidi="en-US"/>
        </w:rPr>
        <w:t>)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>3]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bidi="en-US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Определение содержания магния в сыворотке крови.</w:t>
      </w:r>
    </w:p>
    <w:p w:rsidR="00BF7C29" w:rsidRPr="00BF7C29" w:rsidRDefault="00BF7C29" w:rsidP="0038538C">
      <w:pPr>
        <w:pStyle w:val="1f1"/>
        <w:numPr>
          <w:ilvl w:val="0"/>
          <w:numId w:val="30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Концентрация магния должна быть определена у каждо</w:t>
      </w:r>
      <w:r w:rsidRPr="00BF7C29">
        <w:rPr>
          <w:color w:val="000000"/>
          <w:sz w:val="24"/>
          <w:szCs w:val="24"/>
          <w:lang w:eastAsia="ru-RU" w:bidi="ru-RU"/>
        </w:rPr>
        <w:softHyphen/>
        <w:t>го пациента с гипокальциемией, причина которой неясна. Гипомагниемия может вызывать гипокальциемию, инду</w:t>
      </w:r>
      <w:r w:rsidRPr="00BF7C29">
        <w:rPr>
          <w:color w:val="000000"/>
          <w:sz w:val="24"/>
          <w:szCs w:val="24"/>
          <w:lang w:eastAsia="ru-RU" w:bidi="ru-RU"/>
        </w:rPr>
        <w:softHyphen/>
        <w:t>цируя устойчивость к ПТГ или его дефицит. Снижение уровня магния чаще наблюдают у пациентов с мальаб</w:t>
      </w:r>
      <w:r w:rsidRPr="00BF7C29">
        <w:rPr>
          <w:color w:val="000000"/>
          <w:sz w:val="24"/>
          <w:szCs w:val="24"/>
          <w:lang w:eastAsia="ru-RU" w:bidi="ru-RU"/>
        </w:rPr>
        <w:softHyphen/>
        <w:t>сорбцией или алкоголизмом.</w:t>
      </w:r>
    </w:p>
    <w:p w:rsidR="00BF7C29" w:rsidRPr="00BF7C29" w:rsidRDefault="00BF7C29" w:rsidP="0038538C">
      <w:pPr>
        <w:pStyle w:val="1f1"/>
        <w:numPr>
          <w:ilvl w:val="0"/>
          <w:numId w:val="30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 пациентов с концентрацией магния в сыворотке более 0,4 ммоль/л и у лиц без гиперфосфатемии, вызванной ХПН или распадом тканей, должны быть обязательно измерены уровни сывороточного фосфата, ПТГ, витами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и его метаболитов.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Определение содержания фосфора в сыворотке крови.</w:t>
      </w:r>
    </w:p>
    <w:p w:rsidR="00BF7C29" w:rsidRPr="00BF7C29" w:rsidRDefault="00BF7C29" w:rsidP="0038538C">
      <w:pPr>
        <w:pStyle w:val="1f1"/>
        <w:numPr>
          <w:ilvl w:val="0"/>
          <w:numId w:val="31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Гипофосфатемия указывает либо на избыточную секрецию ПТГ, которая связана с вторичным гиперпаратиреозом на фоне гипокальциемии (как правило, вследствие дефицита потребления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или нарушения его метаболиз</w:t>
      </w:r>
      <w:r w:rsidRPr="00BF7C29">
        <w:rPr>
          <w:color w:val="000000"/>
          <w:sz w:val="24"/>
          <w:szCs w:val="24"/>
          <w:lang w:eastAsia="ru-RU" w:bidi="ru-RU"/>
        </w:rPr>
        <w:softHyphen/>
        <w:t>ма), либо на низкое потребление фосфата с пищей. У па</w:t>
      </w:r>
      <w:r w:rsidRPr="00BF7C29">
        <w:rPr>
          <w:color w:val="000000"/>
          <w:sz w:val="24"/>
          <w:szCs w:val="24"/>
          <w:lang w:eastAsia="ru-RU" w:bidi="ru-RU"/>
        </w:rPr>
        <w:softHyphen/>
        <w:t>циентов с гипофосфатемией (за счет низкого потребления фосфата) теоретически весь фильтруемый фосфат реаб</w:t>
      </w:r>
      <w:r w:rsidRPr="00BF7C29">
        <w:rPr>
          <w:color w:val="000000"/>
          <w:sz w:val="24"/>
          <w:szCs w:val="24"/>
          <w:lang w:eastAsia="ru-RU" w:bidi="ru-RU"/>
        </w:rPr>
        <w:softHyphen/>
        <w:t>сорбируется и фракционная экскреция будет менее 5%. Фракционная экскреция фосфата более 5% может указы</w:t>
      </w:r>
      <w:r w:rsidRPr="00BF7C29">
        <w:rPr>
          <w:color w:val="000000"/>
          <w:sz w:val="24"/>
          <w:szCs w:val="24"/>
          <w:lang w:eastAsia="ru-RU" w:bidi="ru-RU"/>
        </w:rPr>
        <w:softHyphen/>
        <w:t>вать на фосфатурию и вторичный гиперпаратиреоз.</w:t>
      </w:r>
    </w:p>
    <w:p w:rsidR="00BF7C29" w:rsidRPr="00BF7C29" w:rsidRDefault="00BF7C29" w:rsidP="0038538C">
      <w:pPr>
        <w:pStyle w:val="1f1"/>
        <w:numPr>
          <w:ilvl w:val="0"/>
          <w:numId w:val="31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Гиперфосфатемия и гипокальциемия при отсутствии ХПН и признаков тканевого распада указывают на гипо</w:t>
      </w:r>
      <w:r w:rsidRPr="00BF7C29">
        <w:rPr>
          <w:color w:val="000000"/>
          <w:sz w:val="24"/>
          <w:szCs w:val="24"/>
          <w:lang w:eastAsia="ru-RU" w:bidi="ru-RU"/>
        </w:rPr>
        <w:softHyphen/>
        <w:t>паратиреоз или псевдогипопаратиреоз.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Измерение концентрации ПТГ в крови.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(при условии многократного измерения кальция). Гипо</w:t>
      </w:r>
      <w:r w:rsidRPr="00BF7C29">
        <w:rPr>
          <w:color w:val="000000"/>
          <w:sz w:val="24"/>
          <w:szCs w:val="24"/>
          <w:lang w:eastAsia="ru-RU" w:bidi="ru-RU"/>
        </w:rPr>
        <w:softHyphen/>
        <w:t>кальциемия — наиболее сильный стимул для секреции ПТГ, поэтому (при сниженной или даже нормальной его концентрации) она может быть доказательством гипопа</w:t>
      </w:r>
      <w:r w:rsidRPr="00BF7C29">
        <w:rPr>
          <w:color w:val="000000"/>
          <w:sz w:val="24"/>
          <w:szCs w:val="24"/>
          <w:lang w:eastAsia="ru-RU" w:bidi="ru-RU"/>
        </w:rPr>
        <w:softHyphen/>
        <w:t>ратиреоза.</w:t>
      </w:r>
    </w:p>
    <w:p w:rsidR="00BF7C29" w:rsidRPr="00BF7C29" w:rsidRDefault="00BF7C29" w:rsidP="0038538C">
      <w:pPr>
        <w:pStyle w:val="1f1"/>
        <w:numPr>
          <w:ilvl w:val="0"/>
          <w:numId w:val="32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Существуют варианты изменения концентрации ПТГ в зависимости от причины гипокальциемии:</w:t>
      </w:r>
    </w:p>
    <w:p w:rsidR="00BF7C29" w:rsidRPr="00BF7C29" w:rsidRDefault="00BF7C29" w:rsidP="0038538C">
      <w:pPr>
        <w:pStyle w:val="1f1"/>
        <w:numPr>
          <w:ilvl w:val="0"/>
          <w:numId w:val="32"/>
        </w:numPr>
        <w:tabs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концентрация может быть высокой, нормальной или пониженной при гипомагниемии;</w:t>
      </w:r>
    </w:p>
    <w:p w:rsidR="00BF7C29" w:rsidRPr="00BF7C29" w:rsidRDefault="00BF7C29" w:rsidP="0038538C">
      <w:pPr>
        <w:pStyle w:val="1f1"/>
        <w:numPr>
          <w:ilvl w:val="0"/>
          <w:numId w:val="32"/>
        </w:numPr>
        <w:tabs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снижение концентрации у большинства пациентов с гипопаратиреозом;</w:t>
      </w:r>
    </w:p>
    <w:p w:rsidR="00BF7C29" w:rsidRPr="00BF7C29" w:rsidRDefault="00BF7C29" w:rsidP="0038538C">
      <w:pPr>
        <w:pStyle w:val="1f1"/>
        <w:numPr>
          <w:ilvl w:val="0"/>
          <w:numId w:val="32"/>
        </w:numPr>
        <w:tabs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увеличение концентрации при псевдогипопаратиреозе или патологии метаболизма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ХПН.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Нормальную концентрацию ПТГ часто определяют у пациентов с аутосомно-доминантной гипокальциемией и при редкой патологии, характеризующейся мутацией гена кальцийчувствительного рецептора (семейной ги- покальциурической гиперкальциемии).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Определение концентрации кальцидиола и кальцитриола в сыворотке крови.</w:t>
      </w:r>
    </w:p>
    <w:p w:rsidR="00BF7C29" w:rsidRPr="00BF7C29" w:rsidRDefault="00BF7C29" w:rsidP="0038538C">
      <w:pPr>
        <w:pStyle w:val="1f1"/>
        <w:numPr>
          <w:ilvl w:val="0"/>
          <w:numId w:val="33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Дефицит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вызывает уменьшение кишечной абсорбции кальция, что приводит к развитию гипокаль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циемии, а низкая концентрация кальция стимулирует секрецию ПТГ. С другой стороны, уменьшается ингиби</w:t>
      </w:r>
      <w:r w:rsidRPr="00BF7C29">
        <w:rPr>
          <w:color w:val="000000"/>
          <w:sz w:val="24"/>
          <w:szCs w:val="24"/>
          <w:lang w:eastAsia="ru-RU" w:bidi="ru-RU"/>
        </w:rPr>
        <w:softHyphen/>
        <w:t>рующее действие кальцитриола на ПТГ. Дефицит вита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 xml:space="preserve">также уменьшает кишечную абсорбцию фосфата. Таким образом, у пациентов с дефицитом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наблюдают мягкую или умеренную гипокальциемию и более выраженную гипофосфатемию.</w:t>
      </w:r>
    </w:p>
    <w:p w:rsidR="00BF7C29" w:rsidRPr="00BF7C29" w:rsidRDefault="00BF7C29" w:rsidP="0038538C">
      <w:pPr>
        <w:pStyle w:val="1f1"/>
        <w:numPr>
          <w:ilvl w:val="0"/>
          <w:numId w:val="33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 xml:space="preserve">Различные варианты концентрации кальцидиола </w:t>
      </w:r>
      <w:r w:rsidRPr="00BF7C29">
        <w:rPr>
          <w:color w:val="000000"/>
          <w:sz w:val="24"/>
          <w:szCs w:val="24"/>
          <w:lang w:bidi="en-US"/>
        </w:rPr>
        <w:t>[25(</w:t>
      </w:r>
      <w:r w:rsidRPr="00BF7C29">
        <w:rPr>
          <w:color w:val="000000"/>
          <w:sz w:val="24"/>
          <w:szCs w:val="24"/>
          <w:lang w:val="en-US" w:bidi="en-US"/>
        </w:rPr>
        <w:t>OH</w:t>
      </w:r>
      <w:r w:rsidRPr="00BF7C29">
        <w:rPr>
          <w:color w:val="000000"/>
          <w:sz w:val="24"/>
          <w:szCs w:val="24"/>
          <w:lang w:bidi="en-US"/>
        </w:rPr>
        <w:t>)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3] </w:t>
      </w:r>
      <w:r w:rsidRPr="00BF7C29">
        <w:rPr>
          <w:color w:val="000000"/>
          <w:sz w:val="24"/>
          <w:szCs w:val="24"/>
          <w:lang w:eastAsia="ru-RU" w:bidi="ru-RU"/>
        </w:rPr>
        <w:t xml:space="preserve">и кальцитриола </w:t>
      </w:r>
      <w:r w:rsidRPr="00BF7C29">
        <w:rPr>
          <w:smallCaps/>
          <w:color w:val="000000"/>
          <w:sz w:val="24"/>
          <w:szCs w:val="24"/>
          <w:lang w:bidi="en-US"/>
        </w:rPr>
        <w:t>[1,25(</w:t>
      </w:r>
      <w:r w:rsidRPr="00BF7C29">
        <w:rPr>
          <w:smallCaps/>
          <w:color w:val="000000"/>
          <w:sz w:val="24"/>
          <w:szCs w:val="24"/>
          <w:lang w:val="en-US" w:bidi="en-US"/>
        </w:rPr>
        <w:t>Oh</w:t>
      </w:r>
      <w:r w:rsidRPr="00BF7C29">
        <w:rPr>
          <w:smallCaps/>
          <w:color w:val="000000"/>
          <w:sz w:val="24"/>
          <w:szCs w:val="24"/>
          <w:lang w:bidi="en-US"/>
        </w:rPr>
        <w:t>)</w:t>
      </w:r>
      <w:r w:rsidRPr="00BF7C29">
        <w:rPr>
          <w:smallCaps/>
          <w:color w:val="000000"/>
          <w:sz w:val="24"/>
          <w:szCs w:val="24"/>
          <w:vertAlign w:val="subscript"/>
          <w:lang w:bidi="en-US"/>
        </w:rPr>
        <w:t>2</w:t>
      </w:r>
      <w:r w:rsidRPr="00BF7C29">
        <w:rPr>
          <w:smallCaps/>
          <w:color w:val="000000"/>
          <w:sz w:val="24"/>
          <w:szCs w:val="24"/>
          <w:lang w:val="en-US" w:bidi="en-US"/>
        </w:rPr>
        <w:t>D</w:t>
      </w:r>
      <w:r w:rsidRPr="00BF7C29">
        <w:rPr>
          <w:smallCaps/>
          <w:color w:val="000000"/>
          <w:sz w:val="24"/>
          <w:szCs w:val="24"/>
          <w:vertAlign w:val="subscript"/>
          <w:lang w:bidi="en-US"/>
        </w:rPr>
        <w:t>3</w:t>
      </w:r>
      <w:r w:rsidRPr="00BF7C29">
        <w:rPr>
          <w:smallCaps/>
          <w:color w:val="000000"/>
          <w:sz w:val="24"/>
          <w:szCs w:val="24"/>
          <w:lang w:bidi="en-US"/>
        </w:rPr>
        <w:t>]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в зависимости от причины гипокальциемии.</w:t>
      </w:r>
    </w:p>
    <w:p w:rsidR="00BF7C29" w:rsidRPr="00BF7C29" w:rsidRDefault="00BF7C29" w:rsidP="0038538C">
      <w:pPr>
        <w:pStyle w:val="1f1"/>
        <w:numPr>
          <w:ilvl w:val="0"/>
          <w:numId w:val="34"/>
        </w:numPr>
        <w:tabs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Низкий уровень кальцидиола у пациентов с гипокаль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циемией и гипофосфатемией указывает, что потре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бление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или его абсорбция и выработка в коже снижены; другие причины: противосудорожная терапия (фенитоин), наследственные болезни или не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фротический синдром (при котором теряется с мочой 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eastAsia="ru-RU" w:bidi="ru-RU"/>
        </w:rPr>
        <w:t>-связывающий белок).</w:t>
      </w:r>
    </w:p>
    <w:p w:rsidR="00BF7C29" w:rsidRPr="00BF7C29" w:rsidRDefault="00BF7C29" w:rsidP="0038538C">
      <w:pPr>
        <w:pStyle w:val="1f1"/>
        <w:numPr>
          <w:ilvl w:val="0"/>
          <w:numId w:val="34"/>
        </w:numPr>
        <w:tabs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Комбинация нормального или повышенного уровня кальцидиола со сниженной концентрацией кальцитри- ола указывает на ХПН или 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eastAsia="ru-RU" w:bidi="ru-RU"/>
        </w:rPr>
        <w:t>-резистентный рахит типа 1 (дефицит почечной 1а-гидроксилазы).</w:t>
      </w:r>
    </w:p>
    <w:p w:rsidR="00BF7C29" w:rsidRPr="00BF7C29" w:rsidRDefault="00BF7C29" w:rsidP="0038538C">
      <w:pPr>
        <w:pStyle w:val="1f1"/>
        <w:numPr>
          <w:ilvl w:val="0"/>
          <w:numId w:val="34"/>
        </w:numPr>
        <w:tabs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Уровень кальцитриола низкий у пациентов с гипопа</w:t>
      </w:r>
      <w:r w:rsidRPr="00BF7C29">
        <w:rPr>
          <w:color w:val="000000"/>
          <w:sz w:val="24"/>
          <w:szCs w:val="24"/>
          <w:lang w:eastAsia="ru-RU" w:bidi="ru-RU"/>
        </w:rPr>
        <w:softHyphen/>
        <w:t>ратиреозом.</w:t>
      </w:r>
    </w:p>
    <w:p w:rsidR="00BF7C29" w:rsidRPr="00BF7C29" w:rsidRDefault="00BF7C29" w:rsidP="0038538C">
      <w:pPr>
        <w:pStyle w:val="1f1"/>
        <w:numPr>
          <w:ilvl w:val="0"/>
          <w:numId w:val="34"/>
        </w:numPr>
        <w:tabs>
          <w:tab w:val="left" w:pos="928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Наследственный витамин D</w:t>
      </w:r>
      <w:r w:rsidRPr="00BF7C29">
        <w:rPr>
          <w:color w:val="000000"/>
          <w:sz w:val="24"/>
          <w:szCs w:val="24"/>
          <w:vertAlign w:val="subscript"/>
          <w:lang w:eastAsia="ru-RU" w:bidi="ru-RU"/>
        </w:rPr>
        <w:t>3</w:t>
      </w:r>
      <w:r w:rsidRPr="00BF7C29">
        <w:rPr>
          <w:color w:val="000000"/>
          <w:sz w:val="24"/>
          <w:szCs w:val="24"/>
          <w:lang w:eastAsia="ru-RU" w:bidi="ru-RU"/>
        </w:rPr>
        <w:t>-резистентный рахит типа 2 связан с дефектом в рецепторе витамина и может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быть заподозрен, если уровень кальцитриола в крови высокий.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Инструментальные исследования</w:t>
      </w:r>
    </w:p>
    <w:p w:rsidR="00BF7C29" w:rsidRPr="00BF7C29" w:rsidRDefault="00BF7C29" w:rsidP="0038538C">
      <w:pPr>
        <w:pStyle w:val="1f1"/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Для дифференциальной диагностики заболеваний, связанных с гипокальциемией, используют рентгенографию костей (при по</w:t>
      </w:r>
      <w:r w:rsidRPr="00BF7C29">
        <w:rPr>
          <w:color w:val="000000"/>
          <w:sz w:val="24"/>
          <w:szCs w:val="24"/>
          <w:lang w:eastAsia="ru-RU" w:bidi="ru-RU"/>
        </w:rPr>
        <w:softHyphen/>
        <w:t>дозрении на рахит или остеомаляцию), костную денситометрию (для установления остеопении и мониторинга лечения), КТ го</w:t>
      </w:r>
      <w:r w:rsidRPr="00BF7C29">
        <w:rPr>
          <w:color w:val="000000"/>
          <w:sz w:val="24"/>
          <w:szCs w:val="24"/>
          <w:lang w:eastAsia="ru-RU" w:bidi="ru-RU"/>
        </w:rPr>
        <w:softHyphen/>
        <w:t>ловного мозга (в целях исключения обызвествления базальных ядер).</w:t>
      </w:r>
    </w:p>
    <w:p w:rsidR="00BF7C29" w:rsidRPr="00BF7C29" w:rsidRDefault="00BF7C29" w:rsidP="0038538C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Немедикаментозное лечение</w:t>
      </w:r>
    </w:p>
    <w:p w:rsidR="00BF7C29" w:rsidRPr="00BF7C29" w:rsidRDefault="00BF7C29" w:rsidP="0038538C">
      <w:pPr>
        <w:pStyle w:val="1f1"/>
        <w:numPr>
          <w:ilvl w:val="0"/>
          <w:numId w:val="35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Достаточное потребление солей кальция с пищей (1500</w:t>
      </w:r>
      <w:r w:rsidRPr="00BF7C29">
        <w:rPr>
          <w:color w:val="000000"/>
          <w:sz w:val="24"/>
          <w:szCs w:val="24"/>
          <w:lang w:eastAsia="ru-RU" w:bidi="ru-RU"/>
        </w:rPr>
        <w:softHyphen/>
        <w:t>2000 мг элементарного кальция).</w:t>
      </w:r>
    </w:p>
    <w:p w:rsidR="00BF7C29" w:rsidRPr="00BF7C29" w:rsidRDefault="00BF7C29" w:rsidP="0038538C">
      <w:pPr>
        <w:pStyle w:val="1f1"/>
        <w:numPr>
          <w:ilvl w:val="0"/>
          <w:numId w:val="35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Минимальное использование кремов, защищающих кожу от воздействия ультрафиолетовых лучей.</w:t>
      </w:r>
    </w:p>
    <w:p w:rsidR="00BF7C29" w:rsidRPr="00BF7C29" w:rsidRDefault="00BF7C29" w:rsidP="0038538C">
      <w:pPr>
        <w:pStyle w:val="1f1"/>
        <w:numPr>
          <w:ilvl w:val="0"/>
          <w:numId w:val="35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Пребывание на солнце (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&gt;</w:t>
      </w:r>
      <w:r w:rsidRPr="00BF7C29">
        <w:rPr>
          <w:color w:val="000000"/>
          <w:sz w:val="24"/>
          <w:szCs w:val="24"/>
          <w:lang w:eastAsia="ru-RU" w:bidi="ru-RU"/>
        </w:rPr>
        <w:t>10-30 мин/сут).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Медикаментозное лечение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Пациенты с гипопаратиреозом нуждаются в длительной те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рапии солями кальция и препаратами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. </w:t>
      </w:r>
      <w:r w:rsidRPr="00BF7C29">
        <w:rPr>
          <w:color w:val="000000"/>
          <w:sz w:val="24"/>
          <w:szCs w:val="24"/>
          <w:lang w:eastAsia="ru-RU" w:bidi="ru-RU"/>
        </w:rPr>
        <w:t>Необходимо поддерживать уровень кальция в крови на нижней границе нор</w:t>
      </w:r>
      <w:r w:rsidRPr="00BF7C29">
        <w:rPr>
          <w:color w:val="000000"/>
          <w:sz w:val="24"/>
          <w:szCs w:val="24"/>
          <w:lang w:eastAsia="ru-RU" w:bidi="ru-RU"/>
        </w:rPr>
        <w:softHyphen/>
        <w:t>мы для предотвращения гиперкальциурии и нефролитиаза. Ле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чение заболеваний, связанных с дефицитом или нарушениями метаболизма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требует применения адекватных форм витамина, доз препаратов и длительного лечения).</w:t>
      </w:r>
    </w:p>
    <w:p w:rsidR="00BF7C29" w:rsidRPr="00BF7C29" w:rsidRDefault="00BF7C29" w:rsidP="0038538C">
      <w:pPr>
        <w:pStyle w:val="1f1"/>
        <w:numPr>
          <w:ilvl w:val="0"/>
          <w:numId w:val="35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Препараты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суточные дозы:</w:t>
      </w:r>
    </w:p>
    <w:p w:rsidR="00BF7C29" w:rsidRPr="00BF7C29" w:rsidRDefault="00BF7C29" w:rsidP="0038538C">
      <w:pPr>
        <w:pStyle w:val="1f1"/>
        <w:numPr>
          <w:ilvl w:val="0"/>
          <w:numId w:val="36"/>
        </w:numPr>
        <w:tabs>
          <w:tab w:val="left" w:pos="715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альфакальцидол — 0,5-3,0 мкг;</w:t>
      </w:r>
    </w:p>
    <w:p w:rsidR="00BF7C29" w:rsidRPr="00BF7C29" w:rsidRDefault="00BF7C29" w:rsidP="0038538C">
      <w:pPr>
        <w:pStyle w:val="1f1"/>
        <w:numPr>
          <w:ilvl w:val="0"/>
          <w:numId w:val="36"/>
        </w:numPr>
        <w:tabs>
          <w:tab w:val="left" w:pos="715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дигидротахистерол — 0,2-1,0 мг;</w:t>
      </w:r>
    </w:p>
    <w:p w:rsidR="00BF7C29" w:rsidRPr="00BF7C29" w:rsidRDefault="00BF7C29" w:rsidP="0038538C">
      <w:pPr>
        <w:pStyle w:val="1f1"/>
        <w:numPr>
          <w:ilvl w:val="0"/>
          <w:numId w:val="36"/>
        </w:numPr>
        <w:tabs>
          <w:tab w:val="left" w:pos="715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кальцитриол — 0,5-2,0 мкг;</w:t>
      </w:r>
    </w:p>
    <w:p w:rsidR="00BF7C29" w:rsidRPr="00BF7C29" w:rsidRDefault="00BF7C29" w:rsidP="0038538C">
      <w:pPr>
        <w:pStyle w:val="1f1"/>
        <w:numPr>
          <w:ilvl w:val="0"/>
          <w:numId w:val="36"/>
        </w:numPr>
        <w:tabs>
          <w:tab w:val="left" w:pos="715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колекальциферол (витамин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3) </w:t>
      </w:r>
      <w:r w:rsidRPr="00BF7C29">
        <w:rPr>
          <w:color w:val="000000"/>
          <w:sz w:val="24"/>
          <w:szCs w:val="24"/>
          <w:lang w:eastAsia="ru-RU" w:bidi="ru-RU"/>
        </w:rPr>
        <w:t>— 10 000-50 000 МЕ (0,25-1,25 мг);</w:t>
      </w:r>
    </w:p>
    <w:p w:rsidR="00BF7C29" w:rsidRPr="00BF7C29" w:rsidRDefault="00BF7C29" w:rsidP="0038538C">
      <w:pPr>
        <w:pStyle w:val="1f1"/>
        <w:numPr>
          <w:ilvl w:val="0"/>
          <w:numId w:val="36"/>
        </w:numPr>
        <w:tabs>
          <w:tab w:val="left" w:pos="715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эргокальциферол (витамин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2) </w:t>
      </w:r>
      <w:r w:rsidRPr="00BF7C29">
        <w:rPr>
          <w:color w:val="000000"/>
          <w:sz w:val="24"/>
          <w:szCs w:val="24"/>
          <w:lang w:eastAsia="ru-RU" w:bidi="ru-RU"/>
        </w:rPr>
        <w:t>— 10 000-50 000 МЕ (0,25-1,25 мг).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 пациентов с заболеваниями почек применяют только ак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тивные метаболиты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 xml:space="preserve">(кальцитриол) и их аналоги (альфакальцидол), поскольку у них нарушено превращение кальцидиола </w:t>
      </w:r>
      <w:r w:rsidRPr="00BF7C29">
        <w:rPr>
          <w:color w:val="000000"/>
          <w:sz w:val="24"/>
          <w:szCs w:val="24"/>
          <w:lang w:bidi="en-US"/>
        </w:rPr>
        <w:t>[25(</w:t>
      </w:r>
      <w:r w:rsidRPr="00BF7C29">
        <w:rPr>
          <w:color w:val="000000"/>
          <w:sz w:val="24"/>
          <w:szCs w:val="24"/>
          <w:lang w:val="en-US" w:bidi="en-US"/>
        </w:rPr>
        <w:t>OH</w:t>
      </w:r>
      <w:r w:rsidRPr="00BF7C29">
        <w:rPr>
          <w:color w:val="000000"/>
          <w:sz w:val="24"/>
          <w:szCs w:val="24"/>
          <w:lang w:bidi="en-US"/>
        </w:rPr>
        <w:t>)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vertAlign w:val="subscript"/>
          <w:lang w:bidi="en-US"/>
        </w:rPr>
        <w:t>3</w:t>
      </w:r>
      <w:r w:rsidRPr="00BF7C29">
        <w:rPr>
          <w:color w:val="000000"/>
          <w:sz w:val="24"/>
          <w:szCs w:val="24"/>
          <w:lang w:bidi="en-US"/>
        </w:rPr>
        <w:t xml:space="preserve">] </w:t>
      </w:r>
      <w:r w:rsidRPr="00BF7C29">
        <w:rPr>
          <w:color w:val="000000"/>
          <w:sz w:val="24"/>
          <w:szCs w:val="24"/>
          <w:lang w:eastAsia="ru-RU" w:bidi="ru-RU"/>
        </w:rPr>
        <w:t xml:space="preserve">в кальцитриол </w:t>
      </w:r>
      <w:r w:rsidRPr="00BF7C29">
        <w:rPr>
          <w:color w:val="000000"/>
          <w:sz w:val="24"/>
          <w:szCs w:val="24"/>
          <w:lang w:bidi="en-US"/>
        </w:rPr>
        <w:t>[1,25(</w:t>
      </w:r>
      <w:r w:rsidRPr="00BF7C29">
        <w:rPr>
          <w:color w:val="000000"/>
          <w:sz w:val="24"/>
          <w:szCs w:val="24"/>
          <w:lang w:val="en-US" w:bidi="en-US"/>
        </w:rPr>
        <w:t>OH</w:t>
      </w:r>
      <w:r w:rsidRPr="00BF7C29">
        <w:rPr>
          <w:color w:val="000000"/>
          <w:sz w:val="24"/>
          <w:szCs w:val="24"/>
          <w:lang w:bidi="en-US"/>
        </w:rPr>
        <w:t>)2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vertAlign w:val="subscript"/>
          <w:lang w:bidi="en-US"/>
        </w:rPr>
        <w:t>3</w:t>
      </w:r>
      <w:r w:rsidRPr="00BF7C29">
        <w:rPr>
          <w:color w:val="000000"/>
          <w:sz w:val="24"/>
          <w:szCs w:val="24"/>
          <w:lang w:bidi="en-US"/>
        </w:rPr>
        <w:t>].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 пациентов с патологией печени применяют активные ме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таболиты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так как его окисление в 25-й позиции происходит в печени.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Лечение пациентов с витамин D</w:t>
      </w:r>
      <w:r w:rsidRPr="00BF7C29">
        <w:rPr>
          <w:color w:val="000000"/>
          <w:sz w:val="24"/>
          <w:szCs w:val="24"/>
          <w:vertAlign w:val="subscript"/>
          <w:lang w:eastAsia="ru-RU" w:bidi="ru-RU"/>
        </w:rPr>
        <w:t>3</w:t>
      </w:r>
      <w:r w:rsidRPr="00BF7C29">
        <w:rPr>
          <w:color w:val="000000"/>
          <w:sz w:val="24"/>
          <w:szCs w:val="24"/>
          <w:lang w:eastAsia="ru-RU" w:bidi="ru-RU"/>
        </w:rPr>
        <w:t>-резистентными рахитами проводят кальцитриолом или альфакальцидолом в дозах, превышающих стандартные в 2-3 раза.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>Лечение гипокальциемии</w:t>
      </w:r>
      <w:r w:rsidRPr="00BF7C29">
        <w:rPr>
          <w:color w:val="000000"/>
          <w:sz w:val="24"/>
          <w:szCs w:val="24"/>
          <w:lang w:eastAsia="ru-RU" w:bidi="ru-RU"/>
        </w:rPr>
        <w:t xml:space="preserve">, </w:t>
      </w:r>
      <w:r w:rsidRPr="00BF7C29">
        <w:rPr>
          <w:b/>
          <w:bCs/>
          <w:color w:val="000000"/>
          <w:sz w:val="24"/>
          <w:szCs w:val="24"/>
          <w:lang w:eastAsia="ru-RU" w:bidi="ru-RU"/>
        </w:rPr>
        <w:t>вызванной дефицитом маг</w:t>
      </w:r>
      <w:r w:rsidRPr="00BF7C29">
        <w:rPr>
          <w:b/>
          <w:bCs/>
          <w:color w:val="000000"/>
          <w:sz w:val="24"/>
          <w:szCs w:val="24"/>
          <w:lang w:eastAsia="ru-RU" w:bidi="ru-RU"/>
        </w:rPr>
        <w:softHyphen/>
        <w:t>ния</w:t>
      </w:r>
      <w:r w:rsidRPr="00BF7C29">
        <w:rPr>
          <w:color w:val="000000"/>
          <w:sz w:val="24"/>
          <w:szCs w:val="24"/>
          <w:lang w:eastAsia="ru-RU" w:bidi="ru-RU"/>
        </w:rPr>
        <w:t>, требует применения магния сульфата в сочетании с витами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ном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и солями кальция.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Лечение симптоматической гипомагниемии необходимо на</w:t>
      </w:r>
      <w:r w:rsidRPr="00BF7C29">
        <w:rPr>
          <w:color w:val="000000"/>
          <w:sz w:val="24"/>
          <w:szCs w:val="24"/>
          <w:lang w:eastAsia="ru-RU" w:bidi="ru-RU"/>
        </w:rPr>
        <w:softHyphen/>
        <w:t>чинать с внутривенного введения магния сульфата.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Основные принципы лечения и наблюдения за больными с ги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покальциемией представлены в </w:t>
      </w:r>
    </w:p>
    <w:p w:rsidR="00BF7C29" w:rsidRPr="00BF7C29" w:rsidRDefault="00BF7C29" w:rsidP="0038538C">
      <w:pPr>
        <w:pStyle w:val="3f2"/>
        <w:spacing w:after="8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СИНДРОМ ГИПЕРПАРАТИРЕОЗА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гиперпаратиреоза — клинический синдром, возни</w:t>
      </w:r>
      <w:r w:rsidRPr="00BF7C29">
        <w:rPr>
          <w:color w:val="000000"/>
          <w:sz w:val="24"/>
          <w:szCs w:val="24"/>
          <w:lang w:eastAsia="ru-RU" w:bidi="ru-RU"/>
        </w:rPr>
        <w:softHyphen/>
        <w:t>кающий вследствие гиперпродукции ПТГ в результате первично</w:t>
      </w:r>
      <w:r w:rsidRPr="00BF7C29">
        <w:rPr>
          <w:color w:val="000000"/>
          <w:sz w:val="24"/>
          <w:szCs w:val="24"/>
          <w:lang w:eastAsia="ru-RU" w:bidi="ru-RU"/>
        </w:rPr>
        <w:softHyphen/>
        <w:t>го поражения околощитовидных желез (объемного образования, гиперплазии) либо на фоне нарушения фосфорно-кальциевого обмена и костного метаболизма различного генеза.</w:t>
      </w:r>
    </w:p>
    <w:p w:rsidR="00BF7C29" w:rsidRPr="00BF7C29" w:rsidRDefault="00BF7C29" w:rsidP="0038538C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Код МКБ-10</w:t>
      </w:r>
    </w:p>
    <w:p w:rsidR="00BF7C29" w:rsidRPr="00BF7C29" w:rsidRDefault="00BF7C29" w:rsidP="0038538C">
      <w:pPr>
        <w:pStyle w:val="1f1"/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val="en-US" w:bidi="en-US"/>
        </w:rPr>
        <w:t>E</w:t>
      </w:r>
      <w:r w:rsidRPr="00BF7C29">
        <w:rPr>
          <w:color w:val="000000"/>
          <w:sz w:val="24"/>
          <w:szCs w:val="24"/>
          <w:lang w:bidi="en-US"/>
        </w:rPr>
        <w:t xml:space="preserve">21.0. </w:t>
      </w:r>
      <w:r w:rsidRPr="00BF7C29">
        <w:rPr>
          <w:color w:val="000000"/>
          <w:sz w:val="24"/>
          <w:szCs w:val="24"/>
          <w:lang w:eastAsia="ru-RU" w:bidi="ru-RU"/>
        </w:rPr>
        <w:t>Первичный гиперпаратиреоз.</w:t>
      </w:r>
    </w:p>
    <w:p w:rsidR="00BF7C29" w:rsidRPr="00BF7C29" w:rsidRDefault="00BF7C29" w:rsidP="0038538C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Классификация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Первичный гиперпаратиреоз </w:t>
      </w:r>
      <w:r w:rsidRPr="00BF7C29">
        <w:rPr>
          <w:color w:val="000000"/>
          <w:sz w:val="24"/>
          <w:szCs w:val="24"/>
          <w:lang w:eastAsia="ru-RU" w:bidi="ru-RU"/>
        </w:rPr>
        <w:t>— повышение продукции ПТГ в результате развития объемного образования или гиперплазии одной или нескольких околощитовидных желез.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 этиологии: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солитарная аденома;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множественные аденомы;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карцинома;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гиперплазия околощитовидных желез и первичный гипер</w:t>
      </w:r>
      <w:r w:rsidRPr="00BF7C29">
        <w:rPr>
          <w:color w:val="000000"/>
          <w:sz w:val="24"/>
          <w:szCs w:val="24"/>
          <w:lang w:eastAsia="ru-RU" w:bidi="ru-RU"/>
        </w:rPr>
        <w:softHyphen/>
        <w:t>паратиреоз в рамках синдромов МЭН 1 и МЭН 2.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Основным звеном патогенеза служит дефект кальцийчувстви</w:t>
      </w:r>
      <w:r w:rsidRPr="00BF7C29">
        <w:rPr>
          <w:color w:val="000000"/>
          <w:sz w:val="24"/>
          <w:szCs w:val="24"/>
          <w:lang w:eastAsia="ru-RU" w:bidi="ru-RU"/>
        </w:rPr>
        <w:softHyphen/>
        <w:t>тельных рецепторов опухолевых и гиперплазированных клеток околощитовидных желез, порог чувствительности к кальцию кото</w:t>
      </w:r>
      <w:r w:rsidRPr="00BF7C29">
        <w:rPr>
          <w:color w:val="000000"/>
          <w:sz w:val="24"/>
          <w:szCs w:val="24"/>
          <w:lang w:eastAsia="ru-RU" w:bidi="ru-RU"/>
        </w:rPr>
        <w:softHyphen/>
        <w:t>рых по сравнению с нормой снижен или полностью отсутствует.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Вторичный гиперпаратиреоз </w:t>
      </w:r>
      <w:r w:rsidRPr="00BF7C29">
        <w:rPr>
          <w:color w:val="000000"/>
          <w:sz w:val="24"/>
          <w:szCs w:val="24"/>
          <w:lang w:eastAsia="ru-RU" w:bidi="ru-RU"/>
        </w:rPr>
        <w:t>— компенсаторное повыше</w:t>
      </w:r>
      <w:r w:rsidRPr="00BF7C29">
        <w:rPr>
          <w:color w:val="000000"/>
          <w:sz w:val="24"/>
          <w:szCs w:val="24"/>
          <w:lang w:eastAsia="ru-RU" w:bidi="ru-RU"/>
        </w:rPr>
        <w:softHyphen/>
        <w:t>ние продукции ПТГ в ответ на гипокальциемию различного ге</w:t>
      </w:r>
      <w:r w:rsidRPr="00BF7C29">
        <w:rPr>
          <w:color w:val="000000"/>
          <w:sz w:val="24"/>
          <w:szCs w:val="24"/>
          <w:lang w:eastAsia="ru-RU" w:bidi="ru-RU"/>
        </w:rPr>
        <w:softHyphen/>
        <w:t>неза. Возникает: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ХПН и других почечных заболеваниях, когда гипокаль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циемия развивается в результате уменьшения массы дей</w:t>
      </w:r>
      <w:r w:rsidRPr="00BF7C29">
        <w:rPr>
          <w:color w:val="000000"/>
          <w:sz w:val="24"/>
          <w:szCs w:val="24"/>
          <w:lang w:eastAsia="ru-RU" w:bidi="ru-RU"/>
        </w:rPr>
        <w:softHyphen/>
        <w:t>ствующих нефронов, что приводит к гиперфосфатемии (с последующим реципрокным снижением количества ионов кальция в крови), снижению синтеза кальцитриола почками;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заболеваниях ЖКТ (синдроме мальабсорбции, заболевани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ях печени), которые приводят к гиповитаминозу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со снижением всасывания кальция;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костных заболеваниях (остеомаляции, фиброзном остеите);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дефиците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любой этиологии.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Снижение содержания кальция приводит к уменьшению коли</w:t>
      </w:r>
      <w:r w:rsidRPr="00BF7C29">
        <w:rPr>
          <w:color w:val="000000"/>
          <w:sz w:val="24"/>
          <w:szCs w:val="24"/>
          <w:lang w:eastAsia="ru-RU" w:bidi="ru-RU"/>
        </w:rPr>
        <w:softHyphen/>
        <w:t>чества и чувствительности кальцийчувствительных рецепторов околощитовидных клеток. Дефицит кальцитриола приводит к уменьшению рецепторов к нему (что снижает супрессивное дей</w:t>
      </w:r>
      <w:r w:rsidRPr="00BF7C29">
        <w:rPr>
          <w:color w:val="000000"/>
          <w:sz w:val="24"/>
          <w:szCs w:val="24"/>
          <w:lang w:eastAsia="ru-RU" w:bidi="ru-RU"/>
        </w:rPr>
        <w:softHyphen/>
        <w:t>ствие на продукцию ПТГ) и дополнительному уменьшению вса</w:t>
      </w:r>
      <w:r w:rsidRPr="00BF7C29">
        <w:rPr>
          <w:color w:val="000000"/>
          <w:sz w:val="24"/>
          <w:szCs w:val="24"/>
          <w:lang w:eastAsia="ru-RU" w:bidi="ru-RU"/>
        </w:rPr>
        <w:softHyphen/>
        <w:t>сывания кальция. Ответное повышение продукции ПТГ приводит к активизации процессов костной резорбции, а при длительной стимуляции — к гиперплазии околощитовидных желез.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Третичный гиперпаратиреоз </w:t>
      </w:r>
      <w:r w:rsidRPr="00BF7C29">
        <w:rPr>
          <w:color w:val="000000"/>
          <w:sz w:val="24"/>
          <w:szCs w:val="24"/>
          <w:lang w:eastAsia="ru-RU" w:bidi="ru-RU"/>
        </w:rPr>
        <w:t>характеризуется развитием автономной гиперпродукции ПТГ с формированием аденомы на фоне гиперплазии околощитовидных желез при вторичном ги</w:t>
      </w:r>
      <w:r w:rsidRPr="00BF7C29">
        <w:rPr>
          <w:color w:val="000000"/>
          <w:sz w:val="24"/>
          <w:szCs w:val="24"/>
          <w:lang w:eastAsia="ru-RU" w:bidi="ru-RU"/>
        </w:rPr>
        <w:softHyphen/>
        <w:t>перпаратиреозе.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 точки зрения выраженности клинических симптомов разли</w:t>
      </w:r>
      <w:r w:rsidRPr="00BF7C29">
        <w:rPr>
          <w:color w:val="000000"/>
          <w:sz w:val="24"/>
          <w:szCs w:val="24"/>
          <w:lang w:eastAsia="ru-RU" w:bidi="ru-RU"/>
        </w:rPr>
        <w:softHyphen/>
        <w:t>чают следующие формы гиперпаратиреоза: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бессимптомную;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малосимптомную;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манифестную.</w:t>
      </w:r>
    </w:p>
    <w:p w:rsidR="00BF7C29" w:rsidRPr="00BF7C29" w:rsidRDefault="00BF7C29" w:rsidP="0038538C">
      <w:pPr>
        <w:pStyle w:val="3f2"/>
        <w:spacing w:after="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0" w:name="bookmark278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</w:t>
      </w:r>
      <w:bookmarkEnd w:id="30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Яркая при первичном гиперпаратиреозе в его тяжелом про</w:t>
      </w:r>
      <w:r w:rsidRPr="00BF7C29">
        <w:rPr>
          <w:color w:val="000000"/>
          <w:sz w:val="24"/>
          <w:szCs w:val="24"/>
          <w:lang w:eastAsia="ru-RU" w:bidi="ru-RU"/>
        </w:rPr>
        <w:softHyphen/>
        <w:t>явлении, когда помимо основных симптомов гиперпаратиреоза (костных и нефрологических нарушений) присоединяются при</w:t>
      </w:r>
      <w:r w:rsidRPr="00BF7C29">
        <w:rPr>
          <w:color w:val="000000"/>
          <w:sz w:val="24"/>
          <w:szCs w:val="24"/>
          <w:lang w:eastAsia="ru-RU" w:bidi="ru-RU"/>
        </w:rPr>
        <w:softHyphen/>
        <w:t>знаки гиперкальциемии различной степени.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Клинические проявления вторичного и третичного гиперпара</w:t>
      </w:r>
      <w:r w:rsidRPr="00BF7C29">
        <w:rPr>
          <w:color w:val="000000"/>
          <w:sz w:val="24"/>
          <w:szCs w:val="24"/>
          <w:lang w:eastAsia="ru-RU" w:bidi="ru-RU"/>
        </w:rPr>
        <w:softHyphen/>
        <w:t>тиреоза обусловлены основным заболеванием.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Основные формы почечных остеодистрофий, связанных с вто</w:t>
      </w:r>
      <w:r w:rsidRPr="00BF7C29">
        <w:rPr>
          <w:color w:val="000000"/>
          <w:sz w:val="24"/>
          <w:szCs w:val="24"/>
          <w:lang w:eastAsia="ru-RU" w:bidi="ru-RU"/>
        </w:rPr>
        <w:softHyphen/>
        <w:t>ричным гиперпаратиреозом, — фиброзный остеит и остеомаляция.</w:t>
      </w:r>
    </w:p>
    <w:p w:rsidR="00BF7C29" w:rsidRPr="00BF7C29" w:rsidRDefault="00BF7C29" w:rsidP="0038538C">
      <w:pPr>
        <w:pStyle w:val="1f1"/>
        <w:numPr>
          <w:ilvl w:val="0"/>
          <w:numId w:val="38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Фиброзный остеит. Заболевание длительно протекает бес</w:t>
      </w:r>
      <w:r w:rsidRPr="00BF7C29">
        <w:rPr>
          <w:color w:val="000000"/>
          <w:sz w:val="24"/>
          <w:szCs w:val="24"/>
          <w:lang w:eastAsia="ru-RU" w:bidi="ru-RU"/>
        </w:rPr>
        <w:softHyphen/>
        <w:t>симптомно. С прогрессированием могут появляться боли в костях, кожный зуд, миопатия, диффузная кальцификация, кальцифилаксия. При тяжелом гиперпаратиреозе возника</w:t>
      </w:r>
      <w:r w:rsidRPr="00BF7C29">
        <w:rPr>
          <w:color w:val="000000"/>
          <w:sz w:val="24"/>
          <w:szCs w:val="24"/>
          <w:lang w:eastAsia="ru-RU" w:bidi="ru-RU"/>
        </w:rPr>
        <w:softHyphen/>
        <w:t>ют переломы костей, костные деформации. Усугубляется анемия, обусловленная, с одной стороны, фиброзом кост</w:t>
      </w:r>
      <w:r w:rsidRPr="00BF7C29">
        <w:rPr>
          <w:color w:val="000000"/>
          <w:sz w:val="24"/>
          <w:szCs w:val="24"/>
          <w:lang w:eastAsia="ru-RU" w:bidi="ru-RU"/>
        </w:rPr>
        <w:softHyphen/>
        <w:t>ного мозга, с другой — нарушением синтеза эритропоэтина при ХПН. Для стадии вторичного гиперпаратиреоза, про</w:t>
      </w:r>
      <w:r w:rsidRPr="00BF7C29">
        <w:rPr>
          <w:color w:val="000000"/>
          <w:sz w:val="24"/>
          <w:szCs w:val="24"/>
          <w:lang w:eastAsia="ru-RU" w:bidi="ru-RU"/>
        </w:rPr>
        <w:softHyphen/>
        <w:t>текающей с проявлениями фиброзного остеита, характерны высокий уровень ПТГ (&gt;500 нг/мл), высокая активность ЩФ, гиперфосфатемия.</w:t>
      </w:r>
    </w:p>
    <w:p w:rsidR="00BF7C29" w:rsidRPr="00BF7C29" w:rsidRDefault="00BF7C29" w:rsidP="0038538C">
      <w:pPr>
        <w:pStyle w:val="1f1"/>
        <w:numPr>
          <w:ilvl w:val="0"/>
          <w:numId w:val="38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Остеомаляция. Характеризуется нарушениями минерали</w:t>
      </w:r>
      <w:r w:rsidRPr="00BF7C29">
        <w:rPr>
          <w:color w:val="000000"/>
          <w:sz w:val="24"/>
          <w:szCs w:val="24"/>
          <w:lang w:eastAsia="ru-RU" w:bidi="ru-RU"/>
        </w:rPr>
        <w:softHyphen/>
        <w:t>зации; процессы ремоделирования костной ткани резко замедлены. Максимальной выраженности вторичный гипер</w:t>
      </w:r>
      <w:r w:rsidRPr="00BF7C29">
        <w:rPr>
          <w:color w:val="000000"/>
          <w:sz w:val="24"/>
          <w:szCs w:val="24"/>
          <w:lang w:eastAsia="ru-RU" w:bidi="ru-RU"/>
        </w:rPr>
        <w:softHyphen/>
        <w:t>паратиреоз достигает у больных, длительно находящихся на гемодиализе, в то время как первые признаки остеомаляции проявляются уже на начальных стадиях ХПН. Во время ге</w:t>
      </w:r>
      <w:r w:rsidRPr="00BF7C29">
        <w:rPr>
          <w:color w:val="000000"/>
          <w:sz w:val="24"/>
          <w:szCs w:val="24"/>
          <w:lang w:eastAsia="ru-RU" w:bidi="ru-RU"/>
        </w:rPr>
        <w:softHyphen/>
        <w:t>модиализа дополнительное неблагоприятное влияние на скелет оказывает аккумуляция в организме алюминия в результате повышенного его поступления с содержащими алюминий гелями, некоторыми растворами и неочищенной от алюминия водопроводной водой, используемой для гемо</w:t>
      </w:r>
      <w:r w:rsidRPr="00BF7C29">
        <w:rPr>
          <w:color w:val="000000"/>
          <w:sz w:val="24"/>
          <w:szCs w:val="24"/>
          <w:lang w:eastAsia="ru-RU" w:bidi="ru-RU"/>
        </w:rPr>
        <w:softHyphen/>
        <w:t>диализа. Для клинической картины характерны интенсив</w:t>
      </w:r>
      <w:r w:rsidRPr="00BF7C29">
        <w:rPr>
          <w:color w:val="000000"/>
          <w:sz w:val="24"/>
          <w:szCs w:val="24"/>
          <w:lang w:eastAsia="ru-RU" w:bidi="ru-RU"/>
        </w:rPr>
        <w:softHyphen/>
        <w:t>ные оссалгии, частые патологические переломы в сочетании с поражением ЦНС. Изменения в костях могут доходить до угнетения кроветворения. Энцефалопатия варьирует от бес</w:t>
      </w:r>
      <w:r w:rsidRPr="00BF7C29">
        <w:rPr>
          <w:color w:val="000000"/>
          <w:sz w:val="24"/>
          <w:szCs w:val="24"/>
          <w:lang w:eastAsia="ru-RU" w:bidi="ru-RU"/>
        </w:rPr>
        <w:softHyphen/>
        <w:t>симптомных изменений на электроэнцефалограмме до диа</w:t>
      </w:r>
      <w:r w:rsidRPr="00BF7C29">
        <w:rPr>
          <w:color w:val="000000"/>
          <w:sz w:val="24"/>
          <w:szCs w:val="24"/>
          <w:lang w:eastAsia="ru-RU" w:bidi="ru-RU"/>
        </w:rPr>
        <w:softHyphen/>
        <w:t>лизной деменции.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Третичный гиперпаратиреоз клинически протекает как выра</w:t>
      </w:r>
      <w:r w:rsidRPr="00BF7C29">
        <w:rPr>
          <w:color w:val="000000"/>
          <w:sz w:val="24"/>
          <w:szCs w:val="24"/>
          <w:lang w:eastAsia="ru-RU" w:bidi="ru-RU"/>
        </w:rPr>
        <w:softHyphen/>
        <w:t>женная форма вторичного гиперпаратиреоза. Содержание ПТГ в крови при этом превышает нормальный уровень в 10-20 раз.</w:t>
      </w:r>
    </w:p>
    <w:p w:rsidR="00BF7C29" w:rsidRPr="00BF7C29" w:rsidRDefault="00BF7C29" w:rsidP="0038538C">
      <w:pPr>
        <w:pStyle w:val="3f2"/>
        <w:spacing w:after="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1" w:name="bookmark278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31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Строится на выявлении повышенного уровня ПТГ и (для опре</w:t>
      </w:r>
      <w:r w:rsidRPr="00BF7C29">
        <w:rPr>
          <w:color w:val="000000"/>
          <w:sz w:val="24"/>
          <w:szCs w:val="24"/>
          <w:lang w:eastAsia="ru-RU" w:bidi="ru-RU"/>
        </w:rPr>
        <w:softHyphen/>
        <w:t>деления патогенетических звеньев и дальнейшей тактики веде</w:t>
      </w:r>
      <w:r w:rsidRPr="00BF7C29">
        <w:rPr>
          <w:color w:val="000000"/>
          <w:sz w:val="24"/>
          <w:szCs w:val="24"/>
          <w:lang w:eastAsia="ru-RU" w:bidi="ru-RU"/>
        </w:rPr>
        <w:softHyphen/>
        <w:t>ния) уровня кальция и фосфора в сыворотке крови.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Исследование уровня ПТГ необходимо проводить:</w:t>
      </w:r>
    </w:p>
    <w:p w:rsidR="00BF7C29" w:rsidRPr="00BF7C29" w:rsidRDefault="00BF7C29" w:rsidP="0038538C">
      <w:pPr>
        <w:pStyle w:val="1f1"/>
        <w:numPr>
          <w:ilvl w:val="0"/>
          <w:numId w:val="38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выявлении снижения либо повышения содержания кальция и фосфора в сыворотке крови;</w:t>
      </w:r>
    </w:p>
    <w:p w:rsidR="00BF7C29" w:rsidRPr="00BF7C29" w:rsidRDefault="00BF7C29" w:rsidP="0038538C">
      <w:pPr>
        <w:pStyle w:val="1f1"/>
        <w:numPr>
          <w:ilvl w:val="0"/>
          <w:numId w:val="38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любых метаболических нарушениях костной системы;</w:t>
      </w:r>
    </w:p>
    <w:p w:rsidR="00BF7C29" w:rsidRPr="00BF7C29" w:rsidRDefault="00BF7C29" w:rsidP="0038538C">
      <w:pPr>
        <w:pStyle w:val="1f1"/>
        <w:numPr>
          <w:ilvl w:val="0"/>
          <w:numId w:val="38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частых нетравматических переломах;</w:t>
      </w:r>
    </w:p>
    <w:p w:rsidR="00BF7C29" w:rsidRPr="00BF7C29" w:rsidRDefault="00BF7C29" w:rsidP="0038538C">
      <w:pPr>
        <w:pStyle w:val="1f1"/>
        <w:numPr>
          <w:ilvl w:val="0"/>
          <w:numId w:val="38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рецидивирующей мочекаменной болезни;</w:t>
      </w:r>
    </w:p>
    <w:p w:rsidR="00BF7C29" w:rsidRPr="00BF7C29" w:rsidRDefault="00BF7C29" w:rsidP="0038538C">
      <w:pPr>
        <w:pStyle w:val="1f1"/>
        <w:numPr>
          <w:ilvl w:val="0"/>
          <w:numId w:val="38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ХПН различной степени выраженности;</w:t>
      </w:r>
    </w:p>
    <w:p w:rsidR="00BF7C29" w:rsidRPr="00BF7C29" w:rsidRDefault="00BF7C29" w:rsidP="0038538C">
      <w:pPr>
        <w:pStyle w:val="1f1"/>
        <w:numPr>
          <w:ilvl w:val="0"/>
          <w:numId w:val="38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частом рецидивировании язвенной болезни желудка и две</w:t>
      </w:r>
      <w:r w:rsidRPr="00BF7C29">
        <w:rPr>
          <w:color w:val="000000"/>
          <w:sz w:val="24"/>
          <w:szCs w:val="24"/>
          <w:lang w:eastAsia="ru-RU" w:bidi="ru-RU"/>
        </w:rPr>
        <w:softHyphen/>
        <w:t>надцатиперстной кишки;</w:t>
      </w:r>
    </w:p>
    <w:p w:rsidR="00BF7C29" w:rsidRPr="00BF7C29" w:rsidRDefault="00BF7C29" w:rsidP="0038538C">
      <w:pPr>
        <w:pStyle w:val="1f1"/>
        <w:numPr>
          <w:ilvl w:val="0"/>
          <w:numId w:val="38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диарее, аритмиях и длительных психоневрологических рас</w:t>
      </w:r>
      <w:r w:rsidRPr="00BF7C29">
        <w:rPr>
          <w:color w:val="000000"/>
          <w:sz w:val="24"/>
          <w:szCs w:val="24"/>
          <w:lang w:eastAsia="ru-RU" w:bidi="ru-RU"/>
        </w:rPr>
        <w:softHyphen/>
        <w:t>стройствах.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2" w:name="bookmark278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Анамнез</w:t>
      </w:r>
      <w:bookmarkEnd w:id="32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 данным анамнеза, при наличии жалоб на рецидивирую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щую мочекаменную болезнь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или частые нетравматические переломы костей можно сразу предположить тяжелую форму первичного гиперпаратиреоза. При выявлении признаков ХПН, и тем более данных о применении пациентом какого-либо вида диализа следует сразу предположить развитие у него вторичного гиперпаратиреоза.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3" w:name="bookmark279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Физикальное обследование</w:t>
      </w:r>
      <w:bookmarkEnd w:id="33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осмотре у пациентов с гиперпаратиреозом нередко мож</w:t>
      </w:r>
      <w:r w:rsidRPr="00BF7C29">
        <w:rPr>
          <w:color w:val="000000"/>
          <w:sz w:val="24"/>
          <w:szCs w:val="24"/>
          <w:lang w:eastAsia="ru-RU" w:bidi="ru-RU"/>
        </w:rPr>
        <w:softHyphen/>
        <w:t>но отметить мышечную слабость, формирование утиной поход</w:t>
      </w:r>
      <w:r w:rsidRPr="00BF7C29">
        <w:rPr>
          <w:color w:val="000000"/>
          <w:sz w:val="24"/>
          <w:szCs w:val="24"/>
          <w:lang w:eastAsia="ru-RU" w:bidi="ru-RU"/>
        </w:rPr>
        <w:softHyphen/>
        <w:t>ки. Следует обратить внимание на деформацию скелета, костные разрастания в области костей лицевой части черепа, крупных су</w:t>
      </w:r>
      <w:r w:rsidRPr="00BF7C29">
        <w:rPr>
          <w:color w:val="000000"/>
          <w:sz w:val="24"/>
          <w:szCs w:val="24"/>
          <w:lang w:eastAsia="ru-RU" w:bidi="ru-RU"/>
        </w:rPr>
        <w:softHyphen/>
        <w:t>ставов, трубчатых костей. У пациентов с ХПН отмечают вялость, бледность (с серым оттенком) кожных покровов. При значитель</w:t>
      </w:r>
      <w:r w:rsidRPr="00BF7C29">
        <w:rPr>
          <w:color w:val="000000"/>
          <w:sz w:val="24"/>
          <w:szCs w:val="24"/>
          <w:lang w:eastAsia="ru-RU" w:bidi="ru-RU"/>
        </w:rPr>
        <w:softHyphen/>
        <w:t>ной выраженности гипер- или гипокальциемии отмечают харак</w:t>
      </w:r>
      <w:r w:rsidRPr="00BF7C29">
        <w:rPr>
          <w:color w:val="000000"/>
          <w:sz w:val="24"/>
          <w:szCs w:val="24"/>
          <w:lang w:eastAsia="ru-RU" w:bidi="ru-RU"/>
        </w:rPr>
        <w:softHyphen/>
        <w:t>терные признаки этих состояний.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4" w:name="bookmark279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Лабораторные исследования</w:t>
      </w:r>
      <w:bookmarkEnd w:id="34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Повышенное содержание ПТГ — прямое доказательство увели</w:t>
      </w:r>
      <w:r w:rsidRPr="00BF7C29">
        <w:rPr>
          <w:color w:val="000000"/>
          <w:sz w:val="24"/>
          <w:szCs w:val="24"/>
          <w:lang w:eastAsia="ru-RU" w:bidi="ru-RU"/>
        </w:rPr>
        <w:softHyphen/>
        <w:t>чения его продукции, но следует помнить, что более 80% гормона в крови — неактивный С-терминальный фрагмент. Для поддержа</w:t>
      </w:r>
      <w:r w:rsidRPr="00BF7C29">
        <w:rPr>
          <w:color w:val="000000"/>
          <w:sz w:val="24"/>
          <w:szCs w:val="24"/>
          <w:lang w:eastAsia="ru-RU" w:bidi="ru-RU"/>
        </w:rPr>
        <w:softHyphen/>
        <w:t>ния процесса ремоделирования кости на нормальном уровне у па</w:t>
      </w:r>
      <w:r w:rsidRPr="00BF7C29">
        <w:rPr>
          <w:color w:val="000000"/>
          <w:sz w:val="24"/>
          <w:szCs w:val="24"/>
          <w:lang w:eastAsia="ru-RU" w:bidi="ru-RU"/>
        </w:rPr>
        <w:softHyphen/>
        <w:t>циентов с ХПН, находящихся на гемодиализе, содержание ПТГ в крови должно быть в 2-3 раза выше, чем у здоровых, и составлять примерно 130-260 пг/мл. Но при повышении более 500 пг/мл необходимо проводить оценку состояния костей (рентгеногра</w:t>
      </w:r>
      <w:r w:rsidRPr="00BF7C29">
        <w:rPr>
          <w:color w:val="000000"/>
          <w:sz w:val="24"/>
          <w:szCs w:val="24"/>
          <w:lang w:eastAsia="ru-RU" w:bidi="ru-RU"/>
        </w:rPr>
        <w:softHyphen/>
        <w:t>фию, остеоденситометрию) и топическую диагностику.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Для диагностики причины гиперпаратиреоза прежде всего необходимо исследование уровня кальция в сыворотке крови, причем исследование ионизированного кальция в плазме крови более информативно.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Диагностика первичного гиперпаратиреоза освещена в соот</w:t>
      </w:r>
      <w:r w:rsidRPr="00BF7C29">
        <w:rPr>
          <w:color w:val="000000"/>
          <w:sz w:val="24"/>
          <w:szCs w:val="24"/>
          <w:lang w:eastAsia="ru-RU" w:bidi="ru-RU"/>
        </w:rPr>
        <w:softHyphen/>
        <w:t>ветствующей главе.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Пациенты с вторичным гиперпаратиреозом на фоне ХПН нуждаются в постоянном тщательном контроле функций почек. Содержание фосфора в крови при вторичном гиперпаратиреозе, обусловленном ХПН, чаще повышено. Важный показатель ком</w:t>
      </w:r>
      <w:r w:rsidRPr="00BF7C29">
        <w:rPr>
          <w:color w:val="000000"/>
          <w:sz w:val="24"/>
          <w:szCs w:val="24"/>
          <w:lang w:eastAsia="ru-RU" w:bidi="ru-RU"/>
        </w:rPr>
        <w:softHyphen/>
        <w:t>пенсации фосфорно-кальциевого обмена и прогноза вторично</w:t>
      </w:r>
      <w:r w:rsidRPr="00BF7C29">
        <w:rPr>
          <w:color w:val="000000"/>
          <w:sz w:val="24"/>
          <w:szCs w:val="24"/>
          <w:lang w:eastAsia="ru-RU" w:bidi="ru-RU"/>
        </w:rPr>
        <w:softHyphen/>
        <w:t>го гиперпаратиреоза — произведение концентрации кальция на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концентрацию фосфора, которое в норме должно быть до 4,5 при измерении в ммоль/л.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Экскреция оксипролина, уровень остеокальцина, ЩФ, ее кост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ный изофермент, и С-, и </w:t>
      </w:r>
      <w:r w:rsidRPr="00BF7C29">
        <w:rPr>
          <w:smallCaps/>
          <w:color w:val="000000"/>
          <w:sz w:val="24"/>
          <w:szCs w:val="24"/>
          <w:lang w:val="en-US" w:bidi="en-US"/>
        </w:rPr>
        <w:t>N</w:t>
      </w:r>
      <w:r w:rsidRPr="00BF7C29">
        <w:rPr>
          <w:smallCaps/>
          <w:color w:val="000000"/>
          <w:sz w:val="24"/>
          <w:szCs w:val="24"/>
          <w:lang w:eastAsia="ru-RU" w:bidi="ru-RU"/>
        </w:rPr>
        <w:t>-Тх</w:t>
      </w:r>
      <w:r w:rsidRPr="00BF7C29">
        <w:rPr>
          <w:color w:val="000000"/>
          <w:sz w:val="24"/>
          <w:szCs w:val="24"/>
          <w:lang w:eastAsia="ru-RU" w:bidi="ru-RU"/>
        </w:rPr>
        <w:t xml:space="preserve"> — всегда повышены при терми</w:t>
      </w:r>
      <w:r w:rsidRPr="00BF7C29">
        <w:rPr>
          <w:color w:val="000000"/>
          <w:sz w:val="24"/>
          <w:szCs w:val="24"/>
          <w:lang w:eastAsia="ru-RU" w:bidi="ru-RU"/>
        </w:rPr>
        <w:softHyphen/>
        <w:t>нальной стадии ХПН в 1,5-20 раз, что характеризует повышение активности костного ремоделирования.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вторичном гиперпаратиреозе, этиологией которого слу</w:t>
      </w:r>
      <w:r w:rsidRPr="00BF7C29">
        <w:rPr>
          <w:color w:val="000000"/>
          <w:sz w:val="24"/>
          <w:szCs w:val="24"/>
          <w:lang w:eastAsia="ru-RU" w:bidi="ru-RU"/>
        </w:rPr>
        <w:softHyphen/>
        <w:t>жит заболевание ЖКТ, содержание кальция в сыворотке крови снижено, фосфора — нормальное или пониженное.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5" w:name="bookmark279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Инструментальные исследования</w:t>
      </w:r>
      <w:bookmarkEnd w:id="35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Визуализацию околощитовидных желез проводят с помощью УЗИ, КТ, МРТ и радионуклидных методов.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большинстве случаев при вторичном гиперпаратиреозе дан</w:t>
      </w:r>
      <w:r w:rsidRPr="00BF7C29">
        <w:rPr>
          <w:color w:val="000000"/>
          <w:sz w:val="24"/>
          <w:szCs w:val="24"/>
          <w:lang w:eastAsia="ru-RU" w:bidi="ru-RU"/>
        </w:rPr>
        <w:softHyphen/>
        <w:t>ных об увеличении околощитовидных желез не выявляют. При длительном сохранении гипокальциемии и стимуляции гиперпро</w:t>
      </w:r>
      <w:r w:rsidRPr="00BF7C29">
        <w:rPr>
          <w:color w:val="000000"/>
          <w:sz w:val="24"/>
          <w:szCs w:val="24"/>
          <w:lang w:eastAsia="ru-RU" w:bidi="ru-RU"/>
        </w:rPr>
        <w:softHyphen/>
        <w:t>дукции ПТГ можно наблюдать увеличение одной или нескольких желез. При третичном гиперпаратиреозе выявляют одну аденому на фоне нескольких гиперплазированных околощитовидных же</w:t>
      </w:r>
      <w:r w:rsidRPr="00BF7C29">
        <w:rPr>
          <w:color w:val="000000"/>
          <w:sz w:val="24"/>
          <w:szCs w:val="24"/>
          <w:lang w:eastAsia="ru-RU" w:bidi="ru-RU"/>
        </w:rPr>
        <w:softHyphen/>
        <w:t>лез.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Степень активности увеличенных околощитовидных желез хорошо видна при сцинтиграфии с таллием-технецием, селен- метионином, октреотидом или технетрилом </w:t>
      </w:r>
      <w:r w:rsidRPr="00BF7C29">
        <w:rPr>
          <w:color w:val="000000"/>
          <w:sz w:val="24"/>
          <w:szCs w:val="24"/>
          <w:lang w:bidi="en-US"/>
        </w:rPr>
        <w:t>(</w:t>
      </w:r>
      <w:r w:rsidRPr="00BF7C29">
        <w:rPr>
          <w:color w:val="000000"/>
          <w:sz w:val="24"/>
          <w:szCs w:val="24"/>
          <w:lang w:val="en-US" w:bidi="en-US"/>
        </w:rPr>
        <w:t>MIBI</w:t>
      </w:r>
      <w:r w:rsidRPr="00BF7C29">
        <w:rPr>
          <w:color w:val="000000"/>
          <w:sz w:val="24"/>
          <w:szCs w:val="24"/>
          <w:lang w:bidi="en-US"/>
        </w:rPr>
        <w:t>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Костные нарушения выявляют с помощью рентгенографии ки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стей и других трубчатых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костей, костей таза, позвоночника и ден- ситометрического исследования проксимального отдела бедра и лучевой кости. Золотым стандартом точной диагностики почеч</w:t>
      </w:r>
      <w:r w:rsidRPr="00BF7C29">
        <w:rPr>
          <w:color w:val="000000"/>
          <w:sz w:val="24"/>
          <w:szCs w:val="24"/>
          <w:lang w:eastAsia="ru-RU" w:bidi="ru-RU"/>
        </w:rPr>
        <w:softHyphen/>
        <w:t>ных остеодистрофий является костная биопсия с морфометрией, тетрациклиновым тестом и окраской на алюминий.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выявлении гиперпаратиреоза обязательны исследования состояния и функций почек (УЗИ, клинический анализ мочи, оценка фильтрационной способности) в целях выяснения их по</w:t>
      </w:r>
      <w:r w:rsidRPr="00BF7C29">
        <w:rPr>
          <w:color w:val="000000"/>
          <w:sz w:val="24"/>
          <w:szCs w:val="24"/>
          <w:lang w:eastAsia="ru-RU" w:bidi="ru-RU"/>
        </w:rPr>
        <w:softHyphen/>
        <w:t>ражения и степени ХПН (при наличии) и состояния ЖКТ (гастро</w:t>
      </w:r>
      <w:r w:rsidRPr="00BF7C29">
        <w:rPr>
          <w:color w:val="000000"/>
          <w:sz w:val="24"/>
          <w:szCs w:val="24"/>
          <w:lang w:eastAsia="ru-RU" w:bidi="ru-RU"/>
        </w:rPr>
        <w:softHyphen/>
        <w:t>скопия, оценка функции кишечника).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6" w:name="bookmark279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Дифференциальная диагностика</w:t>
      </w:r>
      <w:bookmarkEnd w:id="36"/>
    </w:p>
    <w:p w:rsidR="00BF7C29" w:rsidRPr="00BF7C29" w:rsidRDefault="00BF7C29" w:rsidP="0038538C">
      <w:pPr>
        <w:pStyle w:val="1f1"/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Необходимо проводить дифференциальную диагностику со злокачественными новообразованиями, остеолитическими ме</w:t>
      </w:r>
      <w:r w:rsidRPr="00BF7C29">
        <w:rPr>
          <w:color w:val="000000"/>
          <w:sz w:val="24"/>
          <w:szCs w:val="24"/>
          <w:lang w:eastAsia="ru-RU" w:bidi="ru-RU"/>
        </w:rPr>
        <w:softHyphen/>
        <w:t>тастазами злокачественных опухолей, псевдогиперпаратиреозом при эктопической секреции ПТГ опухолью, гематологическими злокачественными процессами (миеломной болезнью, лимфомой, лейкозом, лимфогранулематозом), болезнью Педжета, почечной недостаточностью (вторичным и третичным гиперпаратиреозом), при инсипидарном синдроме — с несахарным диабетом.</w:t>
      </w:r>
    </w:p>
    <w:p w:rsidR="00BF7C29" w:rsidRPr="00BF7C29" w:rsidRDefault="00BF7C29" w:rsidP="0038538C">
      <w:pPr>
        <w:pStyle w:val="3f2"/>
        <w:spacing w:after="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7" w:name="bookmark279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37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Цель — нормализация уровня кальция и по возможности ПТГ в крови, ликвидация симптомов гиперпаратиреоза, предотвра</w:t>
      </w:r>
      <w:r w:rsidRPr="00BF7C29">
        <w:rPr>
          <w:color w:val="000000"/>
          <w:sz w:val="24"/>
          <w:szCs w:val="24"/>
          <w:lang w:eastAsia="ru-RU" w:bidi="ru-RU"/>
        </w:rPr>
        <w:softHyphen/>
        <w:t>щение прогрессирования костно-висцеральных нарушений. При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лечении любой формы вторичного и третичного гиперпаратирео</w:t>
      </w:r>
      <w:r w:rsidRPr="00BF7C29">
        <w:rPr>
          <w:color w:val="000000"/>
          <w:sz w:val="24"/>
          <w:szCs w:val="24"/>
          <w:lang w:eastAsia="ru-RU" w:bidi="ru-RU"/>
        </w:rPr>
        <w:softHyphen/>
        <w:t>за помимо этого усилия направлены на поддержание кальций</w:t>
      </w:r>
      <w:r w:rsidRPr="00BF7C29">
        <w:rPr>
          <w:color w:val="000000"/>
          <w:sz w:val="24"/>
          <w:szCs w:val="24"/>
          <w:lang w:eastAsia="ru-RU" w:bidi="ru-RU"/>
        </w:rPr>
        <w:softHyphen/>
        <w:t>фосфорного соотношения крови на уровне не более 4,5.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Подробности лечения первичного гиперпаратиреоза и неот</w:t>
      </w:r>
      <w:r w:rsidRPr="00BF7C29">
        <w:rPr>
          <w:color w:val="000000"/>
          <w:sz w:val="24"/>
          <w:szCs w:val="24"/>
          <w:lang w:eastAsia="ru-RU" w:bidi="ru-RU"/>
        </w:rPr>
        <w:softHyphen/>
        <w:t>ложные мероприятия по диагностике и лечению в случае раз</w:t>
      </w:r>
      <w:r w:rsidRPr="00BF7C29">
        <w:rPr>
          <w:color w:val="000000"/>
          <w:sz w:val="24"/>
          <w:szCs w:val="24"/>
          <w:lang w:eastAsia="ru-RU" w:bidi="ru-RU"/>
        </w:rPr>
        <w:softHyphen/>
        <w:t>вития гиперкальциемического криза см. в разделе «Первичный гиперпаратиреоз».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Одной из важных задач лечения вторичного гиперпаратиреоза являются профилактика и терапия гиперфосфатемии. Диетотера</w:t>
      </w:r>
      <w:r w:rsidRPr="00BF7C29">
        <w:rPr>
          <w:color w:val="000000"/>
          <w:sz w:val="24"/>
          <w:szCs w:val="24"/>
          <w:lang w:eastAsia="ru-RU" w:bidi="ru-RU"/>
        </w:rPr>
        <w:softHyphen/>
        <w:t>пия с ограничением потребления фосфорсодержащих продуктов (молочных, бобовых, соевых, белковых продуктов, овощных сме</w:t>
      </w:r>
      <w:r w:rsidRPr="00BF7C29">
        <w:rPr>
          <w:color w:val="000000"/>
          <w:sz w:val="24"/>
          <w:szCs w:val="24"/>
          <w:lang w:eastAsia="ru-RU" w:bidi="ru-RU"/>
        </w:rPr>
        <w:softHyphen/>
        <w:t>сей, яиц, печени, лососевых рыб, сардин, тунца, кукурузного хлеба, ячменя, вафель, хлеба с отрубями, шоколада, орехов, кофе, пива, колы) — действенный инструмент снижения гиперфосфатемии.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Также используют возможность связывания фосфора приемом кальция карбоната в больших дозах: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внутрь во время или после еды, запивая стаканом воды, от 500 до 2500 мг 2-3 раза в сутки;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сочетании с колекальциферолом: внутрь 1250 мг кальция карбоната + 400 МЕ колекальциферола 2 раза в сутки дли</w:t>
      </w:r>
      <w:r w:rsidRPr="00BF7C29">
        <w:rPr>
          <w:color w:val="000000"/>
          <w:sz w:val="24"/>
          <w:szCs w:val="24"/>
          <w:lang w:eastAsia="ru-RU" w:bidi="ru-RU"/>
        </w:rPr>
        <w:softHyphen/>
        <w:t>тельно, постепенно увеличивая дозу каждые 2-4 нед под кон</w:t>
      </w:r>
      <w:r w:rsidRPr="00BF7C29">
        <w:rPr>
          <w:color w:val="000000"/>
          <w:sz w:val="24"/>
          <w:szCs w:val="24"/>
          <w:lang w:eastAsia="ru-RU" w:bidi="ru-RU"/>
        </w:rPr>
        <w:softHyphen/>
        <w:t>тролем фосфора в сыворотке крови до 4000-6000 мг/сут.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Также у пациентов с ХПН, находящихся на гемодиализе, для связывания фосфора в ЖКТ и нормализации липидного обмена возможно применение севеламера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&lt; </w:t>
      </w:r>
      <w:r w:rsidRPr="00BF7C29">
        <w:rPr>
          <w:color w:val="000000"/>
          <w:sz w:val="24"/>
          <w:szCs w:val="24"/>
          <w:lang w:eastAsia="ru-RU" w:bidi="ru-RU"/>
        </w:rPr>
        <w:t>Его механизм действия за</w:t>
      </w:r>
      <w:r w:rsidRPr="00BF7C29">
        <w:rPr>
          <w:color w:val="000000"/>
          <w:sz w:val="24"/>
          <w:szCs w:val="24"/>
          <w:lang w:eastAsia="ru-RU" w:bidi="ru-RU"/>
        </w:rPr>
        <w:softHyphen/>
        <w:t>ключается в связывании фосфатов в ЖКТ, за счет чего снижается содержание фосфора в крови у пациентов с ХПН, находящихся на лечении гемодиализом. Кроме того, севеламер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^ </w:t>
      </w:r>
      <w:r w:rsidRPr="00BF7C29">
        <w:rPr>
          <w:color w:val="000000"/>
          <w:sz w:val="24"/>
          <w:szCs w:val="24"/>
          <w:lang w:eastAsia="ru-RU" w:bidi="ru-RU"/>
        </w:rPr>
        <w:t>снижает уровень общего и холестерина ЛПНП. Препарат еще не зарегистрирован в России. При выраженной гиперфосфатемии и неэффективности других средств возможно кратковременное (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&lt;</w:t>
      </w:r>
      <w:r w:rsidRPr="00BF7C29">
        <w:rPr>
          <w:color w:val="000000"/>
          <w:sz w:val="24"/>
          <w:szCs w:val="24"/>
          <w:lang w:eastAsia="ru-RU" w:bidi="ru-RU"/>
        </w:rPr>
        <w:t>1 мес) применение антацидов.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целях повышения уровня кальция крови и снижения уровня ПТГ при гипокальциемии, вторичном гиперпаратиреозе, остео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маляции, ХПН у детей, проведении противосудорожной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 xml:space="preserve">терапии у больных с ХПН, проксимальной миопатии применяют активные метаболиты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либо в постоянном, либо в интермитти</w:t>
      </w:r>
      <w:r w:rsidRPr="00BF7C29">
        <w:rPr>
          <w:color w:val="000000"/>
          <w:sz w:val="24"/>
          <w:szCs w:val="24"/>
          <w:lang w:eastAsia="ru-RU" w:bidi="ru-RU"/>
        </w:rPr>
        <w:softHyphen/>
        <w:t>рующем режиме под контролем содержания кальция и фосфора в сыворотке крови 1 раз в 2 нед при подборе дозы.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При тяжелом вторичном гиперпаратиреозе (ПТГ 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&gt;</w:t>
      </w:r>
      <w:r w:rsidRPr="00BF7C29">
        <w:rPr>
          <w:color w:val="000000"/>
          <w:sz w:val="24"/>
          <w:szCs w:val="24"/>
          <w:lang w:eastAsia="ru-RU" w:bidi="ru-RU"/>
        </w:rPr>
        <w:t>600 нг/мл) более эффективно внутривенное введение. Дозы подбирают ин</w:t>
      </w:r>
      <w:r w:rsidRPr="00BF7C29">
        <w:rPr>
          <w:color w:val="000000"/>
          <w:sz w:val="24"/>
          <w:szCs w:val="24"/>
          <w:lang w:eastAsia="ru-RU" w:bidi="ru-RU"/>
        </w:rPr>
        <w:softHyphen/>
        <w:t>дивидуально. Далее контроль биохимического анализа крови проводят 1 раз в месяц, ПТГ — 1 раз в 6 мес. Применяют: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альфакальцидол внутрь 1-4,0 мкг/нед длительно (ежеднев</w:t>
      </w:r>
      <w:r w:rsidRPr="00BF7C29">
        <w:rPr>
          <w:color w:val="000000"/>
          <w:sz w:val="24"/>
          <w:szCs w:val="24"/>
          <w:lang w:eastAsia="ru-RU" w:bidi="ru-RU"/>
        </w:rPr>
        <w:softHyphen/>
        <w:t>но, через день или 1 раз в неделю), или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кальцитриол внутривенно 2-4 мкг 2 раза в неделю 2-4 мес. Далее внутрь 0,75-4,0 мкг/нед ежедневно, через день или 1 раз в неделю.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Парикальцитол ПТГ/80 (для внутривенной формы), ПТГ/120 для пероральной формы.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вторичном гиперпаратиреозе любой тяжести, сопрово</w:t>
      </w:r>
      <w:r w:rsidRPr="00BF7C29">
        <w:rPr>
          <w:color w:val="000000"/>
          <w:sz w:val="24"/>
          <w:szCs w:val="24"/>
          <w:lang w:eastAsia="ru-RU" w:bidi="ru-RU"/>
        </w:rPr>
        <w:softHyphen/>
        <w:t>ждающем ХПН, эффективным в снижении ПТГ является при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менение парикальцитола - нового селективного активатора рецепторов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. </w:t>
      </w:r>
      <w:r w:rsidRPr="00BF7C29">
        <w:rPr>
          <w:color w:val="000000"/>
          <w:sz w:val="24"/>
          <w:szCs w:val="24"/>
          <w:lang w:eastAsia="ru-RU" w:bidi="ru-RU"/>
        </w:rPr>
        <w:t>Парикальцитол является единственным препаратом в России, зарегистрированным для профилактики и лечения вторичного гиперпаратиреоза на 3, 4 и 5 стадиях хрони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ческого заболевания почек по классификации </w:t>
      </w:r>
      <w:r w:rsidRPr="00BF7C29">
        <w:rPr>
          <w:color w:val="000000"/>
          <w:sz w:val="24"/>
          <w:szCs w:val="24"/>
          <w:lang w:val="en-US" w:bidi="en-US"/>
        </w:rPr>
        <w:t>K</w:t>
      </w:r>
      <w:r w:rsidRPr="00BF7C29">
        <w:rPr>
          <w:color w:val="000000"/>
          <w:sz w:val="24"/>
          <w:szCs w:val="24"/>
          <w:lang w:bidi="en-US"/>
        </w:rPr>
        <w:t>/</w:t>
      </w:r>
      <w:r w:rsidRPr="00BF7C29">
        <w:rPr>
          <w:color w:val="000000"/>
          <w:sz w:val="24"/>
          <w:szCs w:val="24"/>
          <w:lang w:val="en-US" w:bidi="en-US"/>
        </w:rPr>
        <w:t>DOQI</w:t>
      </w:r>
      <w:r w:rsidRPr="00BF7C29">
        <w:rPr>
          <w:color w:val="000000"/>
          <w:sz w:val="24"/>
          <w:szCs w:val="24"/>
          <w:lang w:bidi="en-US"/>
        </w:rPr>
        <w:t xml:space="preserve">. </w:t>
      </w:r>
      <w:r w:rsidRPr="00BF7C29">
        <w:rPr>
          <w:color w:val="000000"/>
          <w:sz w:val="24"/>
          <w:szCs w:val="24"/>
          <w:lang w:eastAsia="ru-RU" w:bidi="ru-RU"/>
        </w:rPr>
        <w:t>В рандо</w:t>
      </w:r>
      <w:r w:rsidRPr="00BF7C29">
        <w:rPr>
          <w:color w:val="000000"/>
          <w:sz w:val="24"/>
          <w:szCs w:val="24"/>
          <w:lang w:eastAsia="ru-RU" w:bidi="ru-RU"/>
        </w:rPr>
        <w:softHyphen/>
        <w:t>мизированных двойных слепых сравнительных исследованиях показано, что парикальцитол обладает преимуществом как перед альфакальцидолом, так и перед кальцитриолом в эффективности в отношении большего снижения концентрации ПТГ и в меньшей частоте развития гиперкальциемии. Также продемонстрировано преимущество перед кальцитриолом в выживаемости, частоте и длительности госпитализации пациентов на диализе.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Применение парикальцитола способствует снижению протеи</w:t>
      </w:r>
      <w:r w:rsidRPr="00BF7C29">
        <w:rPr>
          <w:color w:val="000000"/>
          <w:sz w:val="24"/>
          <w:szCs w:val="24"/>
          <w:lang w:eastAsia="ru-RU" w:bidi="ru-RU"/>
        </w:rPr>
        <w:softHyphen/>
        <w:t>нурии, как самостоятельного фактора прогрессирования ХПН.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 данным клинических исследований частота побочных явле</w:t>
      </w:r>
      <w:r w:rsidRPr="00BF7C29">
        <w:rPr>
          <w:color w:val="000000"/>
          <w:sz w:val="24"/>
          <w:szCs w:val="24"/>
          <w:lang w:eastAsia="ru-RU" w:bidi="ru-RU"/>
        </w:rPr>
        <w:softHyphen/>
        <w:t>ний, в частности гиперкальциемии, при использовании парикаль- цитола не отличается от таковой при использовании плацебо.</w:t>
      </w:r>
    </w:p>
    <w:p w:rsidR="00BF7C29" w:rsidRPr="00BF7C29" w:rsidRDefault="00BF7C29" w:rsidP="0038538C">
      <w:pPr>
        <w:pStyle w:val="1f1"/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России зарегистрированы пероральная и внутривенная формы, позволяющие выбрать более удобный способ введения. Раствор парикальцитола обычно вводят через катетер для гемо</w:t>
      </w:r>
      <w:r w:rsidRPr="00BF7C29">
        <w:rPr>
          <w:color w:val="000000"/>
          <w:sz w:val="24"/>
          <w:szCs w:val="24"/>
          <w:lang w:eastAsia="ru-RU" w:bidi="ru-RU"/>
        </w:rPr>
        <w:softHyphen/>
        <w:t>диализа. Если у больного отсутствует гемодиализный катетер, то препарат можно вводить медленно внутривенно в течение не ме</w:t>
      </w:r>
      <w:r w:rsidRPr="00BF7C29">
        <w:rPr>
          <w:color w:val="000000"/>
          <w:sz w:val="24"/>
          <w:szCs w:val="24"/>
          <w:lang w:eastAsia="ru-RU" w:bidi="ru-RU"/>
        </w:rPr>
        <w:softHyphen/>
        <w:t>нее 30 с, чтобы свести к минимуму боль при инфузии. Начальная доза подбирается индивидуально в зависимости от стадии ХПН и сывороточной концентрации ПТГ. Существуют два метода выбо</w:t>
      </w:r>
      <w:r w:rsidRPr="00BF7C29">
        <w:rPr>
          <w:color w:val="000000"/>
          <w:sz w:val="24"/>
          <w:szCs w:val="24"/>
          <w:lang w:eastAsia="ru-RU" w:bidi="ru-RU"/>
        </w:rPr>
        <w:softHyphen/>
        <w:t>ра стартовой дозы парикальцитола. В клинических исследовани</w:t>
      </w:r>
      <w:r w:rsidRPr="00BF7C29">
        <w:rPr>
          <w:color w:val="000000"/>
          <w:sz w:val="24"/>
          <w:szCs w:val="24"/>
          <w:lang w:eastAsia="ru-RU" w:bidi="ru-RU"/>
        </w:rPr>
        <w:softHyphen/>
        <w:t>ях максимальная безопасная доза достигала 40 мкг. При выборе начальной дозы по массе тела рекомендуемая стартовая доза па- рикальцитола составляет 0,04-0,1 мкг/кг (2,8-7 мкг). Ее вводят в виде болюса не чаще, чем через день во время диализа. При вы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боре стартовой дозы с учетом исходного уровня ПТГ у больных ХПН (хронической нефропатией </w:t>
      </w:r>
      <w:r w:rsidRPr="00BF7C29">
        <w:rPr>
          <w:color w:val="000000"/>
          <w:sz w:val="24"/>
          <w:szCs w:val="24"/>
          <w:lang w:val="en-US" w:bidi="en-US"/>
        </w:rPr>
        <w:t>V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стадии) для анализа уровня биологического активного (интактного) паратиреоидного гормо</w:t>
      </w:r>
      <w:r w:rsidRPr="00BF7C29">
        <w:rPr>
          <w:color w:val="000000"/>
          <w:sz w:val="24"/>
          <w:szCs w:val="24"/>
          <w:lang w:eastAsia="ru-RU" w:bidi="ru-RU"/>
        </w:rPr>
        <w:softHyphen/>
        <w:t>на (ПТГ) используют метод второго поколения. Стартовую дозу рассчитывают по формуле, приведенной ниже, и вводят внутри</w:t>
      </w:r>
      <w:r w:rsidRPr="00BF7C29">
        <w:rPr>
          <w:color w:val="000000"/>
          <w:sz w:val="24"/>
          <w:szCs w:val="24"/>
          <w:lang w:eastAsia="ru-RU" w:bidi="ru-RU"/>
        </w:rPr>
        <w:softHyphen/>
        <w:t>венно в виде болюса не чаще, чем через день во время диализа:</w:t>
      </w:r>
    </w:p>
    <w:p w:rsidR="00BF7C29" w:rsidRPr="00BF7C29" w:rsidRDefault="00BF7C29" w:rsidP="00BF7C29">
      <w:pPr>
        <w:pStyle w:val="1f1"/>
        <w:ind w:left="2180" w:firstLine="0"/>
        <w:rPr>
          <w:sz w:val="24"/>
          <w:szCs w:val="24"/>
        </w:rPr>
      </w:pPr>
      <w:r w:rsidRPr="00BF7C29">
        <w:rPr>
          <w:color w:val="000000"/>
          <w:sz w:val="24"/>
          <w:szCs w:val="24"/>
          <w:u w:val="single"/>
          <w:lang w:eastAsia="ru-RU" w:bidi="ru-RU"/>
        </w:rPr>
        <w:t>исходный уровень ПТГ (пг/мл</w:t>
      </w:r>
      <w:r w:rsidRPr="00BF7C29">
        <w:rPr>
          <w:color w:val="000000"/>
          <w:sz w:val="24"/>
          <w:szCs w:val="24"/>
          <w:lang w:eastAsia="ru-RU" w:bidi="ru-RU"/>
        </w:rPr>
        <w:t>)</w:t>
      </w:r>
    </w:p>
    <w:p w:rsidR="00BF7C29" w:rsidRPr="00BF7C29" w:rsidRDefault="00BF7C29" w:rsidP="00BF7C29">
      <w:pPr>
        <w:pStyle w:val="1f1"/>
        <w:tabs>
          <w:tab w:val="left" w:leader="hyphen" w:pos="3010"/>
          <w:tab w:val="left" w:leader="hyphen" w:pos="4150"/>
          <w:tab w:val="left" w:leader="hyphen" w:pos="4263"/>
        </w:tabs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Стартовая доза (мкг) =</w:t>
      </w:r>
      <w:r w:rsidRPr="00BF7C29">
        <w:rPr>
          <w:color w:val="000000"/>
          <w:sz w:val="24"/>
          <w:szCs w:val="24"/>
          <w:lang w:eastAsia="ru-RU" w:bidi="ru-RU"/>
        </w:rPr>
        <w:tab/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ab/>
      </w:r>
      <w:r w:rsidRPr="00BF7C29">
        <w:rPr>
          <w:color w:val="000000"/>
          <w:sz w:val="24"/>
          <w:szCs w:val="24"/>
          <w:lang w:eastAsia="ru-RU" w:bidi="ru-RU"/>
        </w:rPr>
        <w:tab/>
        <w:t>—-—-■</w:t>
      </w:r>
    </w:p>
    <w:p w:rsidR="00BF7C29" w:rsidRPr="00BF7C29" w:rsidRDefault="00BF7C29" w:rsidP="00BF7C29">
      <w:pPr>
        <w:pStyle w:val="1f1"/>
        <w:spacing w:after="60"/>
        <w:ind w:firstLine="0"/>
        <w:jc w:val="center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80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дальнейшем может потребоваться коррекция дозы под кон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тролем уровня ПТГ, кальция и фосфора в крови. При повышении скорректированного уровня кальция (&gt;11,2 мг/дл) или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стойком повышении концентрации фосфора (&gt;6,5 мг/дл) необходимо снизить дозу препарата, пока эти показатели не нормализуются.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наличии гиперкальциемии или стойкого увеличения про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изведения </w:t>
      </w:r>
      <w:r w:rsidRPr="00BF7C29">
        <w:rPr>
          <w:color w:val="000000"/>
          <w:sz w:val="24"/>
          <w:szCs w:val="24"/>
          <w:lang w:val="en-US" w:bidi="en-US"/>
        </w:rPr>
        <w:t>Ca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val="en-US" w:bidi="en-US"/>
        </w:rPr>
        <w:t>x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val="en-US" w:bidi="en-US"/>
        </w:rPr>
        <w:t>P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более 75 следует снизить дозу препарата или сделать перерыв в лечении, пока не нормализуются указанные параметры. Затем можно возобновить терапию парикальцитолом в меньшей дозе.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Если добиться адекватного ответа ПТГ не удается, то дозу мож</w:t>
      </w:r>
      <w:r w:rsidRPr="00BF7C29">
        <w:rPr>
          <w:color w:val="000000"/>
          <w:sz w:val="24"/>
          <w:szCs w:val="24"/>
          <w:lang w:eastAsia="ru-RU" w:bidi="ru-RU"/>
        </w:rPr>
        <w:softHyphen/>
        <w:t>но увеличивать на 2-4 мкг каждые 2-4 недели. При уменьшении уровня ПТГ &lt;150 пг/мл дозу препарата следует снизить.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тяжелой гипокальциемии и нарушенном всасывании: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альфакальцидол внутрь 1-2 мкг 2 раза в сутки длительно, или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кальцитриол внутрь 1,0-1,5 мкг 2 раза в сутки длительно, или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spacing w:after="40"/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колекальциферол внутримышечно 200 000 МЕ (5 мг) 1 раз в 2 нед длительно.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Парикальцитол ПТГ/80 (для внутривенной формы), ПТГ/120 для пероральной формы.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Кальцимиметики — новые препараты для нормализации уров</w:t>
      </w:r>
      <w:r w:rsidRPr="00BF7C29">
        <w:rPr>
          <w:color w:val="000000"/>
          <w:sz w:val="24"/>
          <w:szCs w:val="24"/>
          <w:lang w:eastAsia="ru-RU" w:bidi="ru-RU"/>
        </w:rPr>
        <w:softHyphen/>
        <w:t>ня ПТГ и кальция как при вторичном (на фоне ХПН), так и при первичном гиперпаратиреозе. Посредством воздействия на 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цийчувствительные рецепторы околощитовидных желез они значительно снижают уровень ПТГ и незначительно — уровень фосфора и кальция. При действии на кальциевые рецепторы кост</w:t>
      </w:r>
      <w:r w:rsidRPr="00BF7C29">
        <w:rPr>
          <w:color w:val="000000"/>
          <w:sz w:val="24"/>
          <w:szCs w:val="24"/>
          <w:lang w:eastAsia="ru-RU" w:bidi="ru-RU"/>
        </w:rPr>
        <w:softHyphen/>
        <w:t>ных клеток вызывают обратное развитие фиброзного остеита. Применяют цинакальцет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' </w:t>
      </w:r>
      <w:r w:rsidRPr="00BF7C29">
        <w:rPr>
          <w:color w:val="000000"/>
          <w:sz w:val="24"/>
          <w:szCs w:val="24"/>
          <w:lang w:eastAsia="ru-RU" w:bidi="ru-RU"/>
        </w:rPr>
        <w:t>в дозе 30-180 мг ежедневно длительно.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8" w:name="bookmark280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Хирургическое лечение</w:t>
      </w:r>
      <w:bookmarkEnd w:id="38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Показано при развитии третичного гиперпаратиреоза на фоне перитонеального диализа или гемодиализа при прогрессирова</w:t>
      </w:r>
      <w:r w:rsidRPr="00BF7C29">
        <w:rPr>
          <w:color w:val="000000"/>
          <w:sz w:val="24"/>
          <w:szCs w:val="24"/>
          <w:lang w:eastAsia="ru-RU" w:bidi="ru-RU"/>
        </w:rPr>
        <w:softHyphen/>
        <w:t>нии признаков вторичного гиперпаратиреоза (стойкое, несмотря на все консервативные мероприятия, увеличение произведения кальция на фосфор до 6,0-6,9 ммоль/л, проявление кальцифи</w:t>
      </w:r>
      <w:r w:rsidRPr="00BF7C29">
        <w:rPr>
          <w:color w:val="000000"/>
          <w:sz w:val="24"/>
          <w:szCs w:val="24"/>
          <w:lang w:eastAsia="ru-RU" w:bidi="ru-RU"/>
        </w:rPr>
        <w:softHyphen/>
        <w:t>кации мягких тканей, выраженные костные нарушения, постоян</w:t>
      </w:r>
      <w:r w:rsidRPr="00BF7C29">
        <w:rPr>
          <w:color w:val="000000"/>
          <w:sz w:val="24"/>
          <w:szCs w:val="24"/>
          <w:lang w:eastAsia="ru-RU" w:bidi="ru-RU"/>
        </w:rPr>
        <w:softHyphen/>
        <w:t>ный кожный зуд, кальцифилаксия).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Паратиреоидэктомия показана при первичном гиперпаратире</w:t>
      </w:r>
      <w:r w:rsidRPr="00BF7C29">
        <w:rPr>
          <w:color w:val="000000"/>
          <w:sz w:val="24"/>
          <w:szCs w:val="24"/>
          <w:lang w:eastAsia="ru-RU" w:bidi="ru-RU"/>
        </w:rPr>
        <w:softHyphen/>
        <w:t>озе, который проявляется клинически, когда выявлены признаки поражения органов-мишеней с помощью инструментальных ме</w:t>
      </w:r>
      <w:r w:rsidRPr="00BF7C29">
        <w:rPr>
          <w:color w:val="000000"/>
          <w:sz w:val="24"/>
          <w:szCs w:val="24"/>
          <w:lang w:eastAsia="ru-RU" w:bidi="ru-RU"/>
        </w:rPr>
        <w:softHyphen/>
        <w:t>тодов исследования (см. «Первичный гиперпаратиреоз»).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вторичном гиперпаратиреозе выявление гиперплазии око</w:t>
      </w:r>
      <w:r w:rsidRPr="00BF7C29">
        <w:rPr>
          <w:color w:val="000000"/>
          <w:sz w:val="24"/>
          <w:szCs w:val="24"/>
          <w:lang w:eastAsia="ru-RU" w:bidi="ru-RU"/>
        </w:rPr>
        <w:softHyphen/>
        <w:t>лощитовидных желез при умеренно повышенных значениях ПТГ, которые могут регулироваться терапией активными метаболита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ми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не являются показанием к паратиреоидэктомии.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Хирургическую и нехирургическую паратиреоидэктомию вы</w:t>
      </w:r>
      <w:r w:rsidRPr="00BF7C29">
        <w:rPr>
          <w:color w:val="000000"/>
          <w:sz w:val="24"/>
          <w:szCs w:val="24"/>
          <w:lang w:eastAsia="ru-RU" w:bidi="ru-RU"/>
        </w:rPr>
        <w:softHyphen/>
        <w:t>полняют при отсутствии эффекта от консервативной терапии вто</w:t>
      </w:r>
      <w:r w:rsidRPr="00BF7C29">
        <w:rPr>
          <w:color w:val="000000"/>
          <w:sz w:val="24"/>
          <w:szCs w:val="24"/>
          <w:lang w:eastAsia="ru-RU" w:bidi="ru-RU"/>
        </w:rPr>
        <w:softHyphen/>
        <w:t>ричного гиперпаратиреоза.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Нехирургическая паратиреоидэктомия — чрескожное введе</w:t>
      </w:r>
      <w:r w:rsidRPr="00BF7C29">
        <w:rPr>
          <w:color w:val="000000"/>
          <w:sz w:val="24"/>
          <w:szCs w:val="24"/>
          <w:lang w:eastAsia="ru-RU" w:bidi="ru-RU"/>
        </w:rPr>
        <w:softHyphen/>
        <w:t>ние этанола или кальцитриола под контролем УЗИ. Как первич</w:t>
      </w:r>
      <w:r w:rsidRPr="00BF7C29">
        <w:rPr>
          <w:color w:val="000000"/>
          <w:sz w:val="24"/>
          <w:szCs w:val="24"/>
          <w:lang w:eastAsia="ru-RU" w:bidi="ru-RU"/>
        </w:rPr>
        <w:softHyphen/>
        <w:t>ный вариант хирургического лечения склеротерапия признана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bookmarkStart w:id="39" w:name="bookmark2817"/>
      <w:r w:rsidRPr="00BF7C29">
        <w:rPr>
          <w:color w:val="000000"/>
          <w:sz w:val="24"/>
          <w:szCs w:val="24"/>
          <w:lang w:eastAsia="ru-RU" w:bidi="ru-RU"/>
        </w:rPr>
        <w:t>малоэффективной, однако при рецидивирущем вторичном гипер</w:t>
      </w:r>
      <w:r w:rsidRPr="00BF7C29">
        <w:rPr>
          <w:color w:val="000000"/>
          <w:sz w:val="24"/>
          <w:szCs w:val="24"/>
          <w:lang w:eastAsia="ru-RU" w:bidi="ru-RU"/>
        </w:rPr>
        <w:softHyphen/>
        <w:t>паратиреозе, когда повторные операции сопряжены с высокой ве</w:t>
      </w:r>
      <w:r w:rsidRPr="00BF7C29">
        <w:rPr>
          <w:color w:val="000000"/>
          <w:sz w:val="24"/>
          <w:szCs w:val="24"/>
          <w:lang w:eastAsia="ru-RU" w:bidi="ru-RU"/>
        </w:rPr>
        <w:softHyphen/>
        <w:t>роятностью интраоперационных осложнений, склерозирующие процедуры могут рассматриваться как альтернатива хирургиче</w:t>
      </w:r>
      <w:r w:rsidRPr="00BF7C29">
        <w:rPr>
          <w:color w:val="000000"/>
          <w:sz w:val="24"/>
          <w:szCs w:val="24"/>
          <w:lang w:eastAsia="ru-RU" w:bidi="ru-RU"/>
        </w:rPr>
        <w:softHyphen/>
        <w:t>скому вмешательству.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Показания к оперативному лечению вторичного гиперпарати</w:t>
      </w:r>
      <w:r w:rsidRPr="00BF7C29">
        <w:rPr>
          <w:color w:val="000000"/>
          <w:sz w:val="24"/>
          <w:szCs w:val="24"/>
          <w:lang w:eastAsia="ru-RU" w:bidi="ru-RU"/>
        </w:rPr>
        <w:softHyphen/>
        <w:t>реоза с рентгенологическими костными проявлениями и гипер</w:t>
      </w:r>
      <w:r w:rsidRPr="00BF7C29">
        <w:rPr>
          <w:color w:val="000000"/>
          <w:sz w:val="24"/>
          <w:szCs w:val="24"/>
          <w:lang w:eastAsia="ru-RU" w:bidi="ru-RU"/>
        </w:rPr>
        <w:softHyphen/>
        <w:t>плазией околощитовидных желез: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постоянно повышенный уровень кальция в сыворотке крови (то есть при формировании третичного гиперпаратиреоза);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рост величины произведения кальция на фосфор в сыворот</w:t>
      </w:r>
      <w:r w:rsidRPr="00BF7C29">
        <w:rPr>
          <w:color w:val="000000"/>
          <w:sz w:val="24"/>
          <w:szCs w:val="24"/>
          <w:lang w:eastAsia="ru-RU" w:bidi="ru-RU"/>
        </w:rPr>
        <w:softHyphen/>
        <w:t>ке крови до 6,0-6,9 ммоль/л или выше в сочетании с про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грессирующей кальцификацией мягких тканей,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несмотря на жесткое ограничение потребления фосфатов;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прогрессирующее поражение скелета, вызванное вторич</w:t>
      </w:r>
      <w:r w:rsidRPr="00BF7C29">
        <w:rPr>
          <w:color w:val="000000"/>
          <w:sz w:val="24"/>
          <w:szCs w:val="24"/>
          <w:lang w:eastAsia="ru-RU" w:bidi="ru-RU"/>
        </w:rPr>
        <w:softHyphen/>
        <w:t>ным гиперпаратиреозом;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постоянном, мучительном, не поддающемся обычным методам лечения зуде, кальцифилаксии.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Среди возможных объемов оперативного вмешательства при вторичном гиперпаратиреозе рассматривают: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удаление трех желез и субтотальную резекцию четвертой, наименьшей по размеру и наиболее доступной железы, оставляя примерно 50 мг ткани (масса нормальной желе</w:t>
      </w:r>
      <w:r w:rsidRPr="00BF7C29">
        <w:rPr>
          <w:color w:val="000000"/>
          <w:sz w:val="24"/>
          <w:szCs w:val="24"/>
          <w:lang w:eastAsia="ru-RU" w:bidi="ru-RU"/>
        </w:rPr>
        <w:softHyphen/>
        <w:t>зы);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тотальную паратиреоидэктомию с аутотрансплантацией одной из наименее измененных желез в мышцу предплечья;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spacing w:after="40"/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тотальную паратиреоидэктомию.</w:t>
      </w:r>
    </w:p>
    <w:p w:rsidR="00BF7C29" w:rsidRPr="00BF7C29" w:rsidRDefault="00BF7C29" w:rsidP="0038538C">
      <w:pPr>
        <w:pStyle w:val="1f1"/>
        <w:spacing w:after="1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Результатом оперативного лечения признают регресс основных симптомов, но в дальнейшем требуется постоянный контроль со</w:t>
      </w:r>
      <w:r w:rsidRPr="00BF7C29">
        <w:rPr>
          <w:color w:val="000000"/>
          <w:sz w:val="24"/>
          <w:szCs w:val="24"/>
          <w:lang w:eastAsia="ru-RU" w:bidi="ru-RU"/>
        </w:rPr>
        <w:softHyphen/>
        <w:t>стояния на фоне консервативной терапии.</w:t>
      </w:r>
    </w:p>
    <w:p w:rsidR="00BF7C29" w:rsidRPr="00BF7C29" w:rsidRDefault="00BF7C29" w:rsidP="00BF7C29">
      <w:pPr>
        <w:widowControl/>
        <w:autoSpaceDE/>
        <w:autoSpaceDN/>
        <w:adjustRightInd/>
        <w:spacing w:before="100" w:beforeAutospacing="1" w:after="100" w:afterAutospacing="1"/>
        <w:jc w:val="both"/>
        <w:outlineLvl w:val="1"/>
        <w:rPr>
          <w:b/>
          <w:bCs/>
          <w:sz w:val="24"/>
          <w:szCs w:val="24"/>
        </w:rPr>
      </w:pPr>
      <w:r w:rsidRPr="00BF7C29">
        <w:rPr>
          <w:b/>
          <w:bCs/>
          <w:sz w:val="24"/>
          <w:szCs w:val="24"/>
        </w:rPr>
        <w:t xml:space="preserve">ПЛАН </w:t>
      </w:r>
      <w:r w:rsidRPr="00BF7C29">
        <w:rPr>
          <w:b/>
          <w:bCs/>
          <w:sz w:val="24"/>
          <w:szCs w:val="24"/>
          <w:lang w:val="uz-Cyrl-UZ"/>
        </w:rPr>
        <w:t>4</w:t>
      </w:r>
      <w:r w:rsidRPr="00BF7C29">
        <w:rPr>
          <w:b/>
          <w:bCs/>
          <w:sz w:val="24"/>
          <w:szCs w:val="24"/>
        </w:rPr>
        <w:t>. СИНДРОМ ГИПОПАРАТИРЕОЗА</w:t>
      </w:r>
    </w:p>
    <w:p w:rsidR="00BF7C29" w:rsidRPr="00BF7C29" w:rsidRDefault="00BF7C29" w:rsidP="0038538C">
      <w:pPr>
        <w:pStyle w:val="1f1"/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Гипопаратиреоз — клинический синдром, характеризующийся сниженной функцией околощитовидных желез (уменьшением продукции ПТГ) или резистентностью клеток и тканей организма к действию ПТГ. Это обусловливает нарушение обмена кальция и фосфора.</w:t>
      </w:r>
    </w:p>
    <w:p w:rsidR="00BF7C29" w:rsidRPr="00BF7C29" w:rsidRDefault="00BF7C29" w:rsidP="0038538C">
      <w:pPr>
        <w:pStyle w:val="3f2"/>
        <w:spacing w:after="40"/>
        <w:ind w:firstLine="567"/>
        <w:rPr>
          <w:rFonts w:ascii="Times New Roman" w:hAnsi="Times New Roman" w:cs="Times New Roman"/>
          <w:sz w:val="24"/>
          <w:szCs w:val="24"/>
        </w:rPr>
      </w:pPr>
      <w:bookmarkStart w:id="40" w:name="bookmark280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Классификация</w:t>
      </w:r>
      <w:bookmarkEnd w:id="40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По течению </w:t>
      </w:r>
      <w:r w:rsidRPr="00BF7C29">
        <w:rPr>
          <w:color w:val="000000"/>
          <w:sz w:val="24"/>
          <w:szCs w:val="24"/>
          <w:lang w:eastAsia="ru-RU" w:bidi="ru-RU"/>
        </w:rPr>
        <w:t>различают латентную и манифестную формы ги</w:t>
      </w:r>
      <w:r w:rsidRPr="00BF7C29">
        <w:rPr>
          <w:color w:val="000000"/>
          <w:sz w:val="24"/>
          <w:szCs w:val="24"/>
          <w:lang w:eastAsia="ru-RU" w:bidi="ru-RU"/>
        </w:rPr>
        <w:softHyphen/>
        <w:t>попаратиреоза.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Латентный гипопаратиреоз выявляют лишь при действии про</w:t>
      </w:r>
      <w:r w:rsidRPr="00BF7C29">
        <w:rPr>
          <w:color w:val="000000"/>
          <w:sz w:val="24"/>
          <w:szCs w:val="24"/>
          <w:lang w:eastAsia="ru-RU" w:bidi="ru-RU"/>
        </w:rPr>
        <w:softHyphen/>
        <w:t>воцирующих факторов или при специальном исследовании, по</w:t>
      </w:r>
      <w:r w:rsidRPr="00BF7C29">
        <w:rPr>
          <w:color w:val="000000"/>
          <w:sz w:val="24"/>
          <w:szCs w:val="24"/>
          <w:lang w:eastAsia="ru-RU" w:bidi="ru-RU"/>
        </w:rPr>
        <w:softHyphen/>
        <w:t>скольку течение его бессимптомное.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>Патогенетическая классификация гипопаратиреоза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Аномальное развитие околощитовидных желез.</w:t>
      </w:r>
    </w:p>
    <w:p w:rsidR="00BF7C29" w:rsidRPr="00BF7C29" w:rsidRDefault="00BF7C29" w:rsidP="0038538C">
      <w:pPr>
        <w:pStyle w:val="1f1"/>
        <w:numPr>
          <w:ilvl w:val="0"/>
          <w:numId w:val="39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Изолированный гипопаратиреоз:</w:t>
      </w:r>
    </w:p>
    <w:p w:rsidR="00BF7C29" w:rsidRPr="00BF7C29" w:rsidRDefault="00BF7C29" w:rsidP="0038538C">
      <w:pPr>
        <w:pStyle w:val="1f1"/>
        <w:numPr>
          <w:ilvl w:val="0"/>
          <w:numId w:val="40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Х-связанный (аутосомно-рецессивный, </w:t>
      </w:r>
      <w:r w:rsidRPr="00BF7C29">
        <w:rPr>
          <w:color w:val="000000"/>
          <w:sz w:val="24"/>
          <w:szCs w:val="24"/>
          <w:lang w:val="en-US" w:bidi="en-US"/>
        </w:rPr>
        <w:t>GCMB</w:t>
      </w:r>
      <w:r w:rsidRPr="00BF7C29">
        <w:rPr>
          <w:color w:val="000000"/>
          <w:sz w:val="24"/>
          <w:szCs w:val="24"/>
          <w:lang w:eastAsia="ru-RU" w:bidi="ru-RU"/>
        </w:rPr>
        <w:t>-мутация);</w:t>
      </w:r>
    </w:p>
    <w:p w:rsidR="00BF7C29" w:rsidRPr="00BF7C29" w:rsidRDefault="00BF7C29" w:rsidP="0038538C">
      <w:pPr>
        <w:pStyle w:val="1f1"/>
        <w:numPr>
          <w:ilvl w:val="0"/>
          <w:numId w:val="40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синдром ди Джорджи </w:t>
      </w:r>
      <w:r w:rsidRPr="00BF7C29">
        <w:rPr>
          <w:color w:val="000000"/>
          <w:sz w:val="24"/>
          <w:szCs w:val="24"/>
          <w:lang w:val="en-US" w:bidi="en-US"/>
        </w:rPr>
        <w:t>(1-22q11.2);</w:t>
      </w:r>
    </w:p>
    <w:p w:rsidR="00BF7C29" w:rsidRPr="00BF7C29" w:rsidRDefault="00BF7C29" w:rsidP="0038538C">
      <w:pPr>
        <w:pStyle w:val="1f1"/>
        <w:numPr>
          <w:ilvl w:val="0"/>
          <w:numId w:val="40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Баракат (нDR)-синдром </w:t>
      </w:r>
      <w:r w:rsidRPr="00BF7C29">
        <w:rPr>
          <w:color w:val="000000"/>
          <w:sz w:val="24"/>
          <w:szCs w:val="24"/>
          <w:lang w:val="en-US" w:bidi="en-US"/>
        </w:rPr>
        <w:t>(2-10p13-14);</w:t>
      </w:r>
    </w:p>
    <w:p w:rsidR="00BF7C29" w:rsidRPr="00BF7C29" w:rsidRDefault="00BF7C29" w:rsidP="0038538C">
      <w:pPr>
        <w:pStyle w:val="1f1"/>
        <w:numPr>
          <w:ilvl w:val="0"/>
          <w:numId w:val="40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гаплонедостаточность гена 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GATA3</w:t>
      </w:r>
      <w:r w:rsidRPr="00BF7C29">
        <w:rPr>
          <w:color w:val="000000"/>
          <w:sz w:val="24"/>
          <w:szCs w:val="24"/>
          <w:lang w:eastAsia="ru-RU" w:bidi="ru-RU"/>
        </w:rPr>
        <w:t>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bidi="en-US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Гипопаратиреоз с задержкой роста, ментального развития и припадками:</w:t>
      </w:r>
    </w:p>
    <w:p w:rsidR="00BF7C29" w:rsidRPr="00BF7C29" w:rsidRDefault="00BF7C29" w:rsidP="0038538C">
      <w:pPr>
        <w:pStyle w:val="1f1"/>
        <w:numPr>
          <w:ilvl w:val="0"/>
          <w:numId w:val="41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Саньяд-Сакати;</w:t>
      </w:r>
    </w:p>
    <w:p w:rsidR="00BF7C29" w:rsidRPr="00BF7C29" w:rsidRDefault="00BF7C29" w:rsidP="0038538C">
      <w:pPr>
        <w:pStyle w:val="1f1"/>
        <w:numPr>
          <w:ilvl w:val="0"/>
          <w:numId w:val="41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Кенни-Кафи тип I (ТВСЕ-мутация).</w:t>
      </w:r>
    </w:p>
    <w:p w:rsidR="00BF7C29" w:rsidRPr="00BF7C29" w:rsidRDefault="00BF7C29" w:rsidP="0038538C">
      <w:pPr>
        <w:pStyle w:val="1f1"/>
        <w:ind w:firstLine="567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Митохондриальные нейромиопатии:</w:t>
      </w:r>
    </w:p>
    <w:p w:rsidR="00BF7C29" w:rsidRPr="00BF7C29" w:rsidRDefault="00BF7C29" w:rsidP="0038538C">
      <w:pPr>
        <w:pStyle w:val="1f1"/>
        <w:numPr>
          <w:ilvl w:val="0"/>
          <w:numId w:val="42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Кирнса-Сейра;</w:t>
      </w:r>
    </w:p>
    <w:p w:rsidR="00BF7C29" w:rsidRPr="00BF7C29" w:rsidRDefault="00BF7C29" w:rsidP="0038538C">
      <w:pPr>
        <w:pStyle w:val="1f1"/>
        <w:numPr>
          <w:ilvl w:val="0"/>
          <w:numId w:val="42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Пирсона;</w:t>
      </w:r>
    </w:p>
    <w:p w:rsidR="00BF7C29" w:rsidRPr="00BF7C29" w:rsidRDefault="00BF7C29" w:rsidP="0038538C">
      <w:pPr>
        <w:pStyle w:val="1f1"/>
        <w:numPr>
          <w:ilvl w:val="0"/>
          <w:numId w:val="42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мутация </w:t>
      </w:r>
      <w:r w:rsidRPr="00BF7C29">
        <w:rPr>
          <w:color w:val="000000"/>
          <w:sz w:val="24"/>
          <w:szCs w:val="24"/>
          <w:lang w:val="en-US" w:bidi="en-US"/>
        </w:rPr>
        <w:t>tRNA-Leu;</w:t>
      </w:r>
    </w:p>
    <w:p w:rsidR="00BF7C29" w:rsidRPr="00BF7C29" w:rsidRDefault="00BF7C29" w:rsidP="0038538C">
      <w:pPr>
        <w:pStyle w:val="1f1"/>
        <w:numPr>
          <w:ilvl w:val="0"/>
          <w:numId w:val="42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дефицит длинной цепи гидроксиацил-СоА-дегидро- геназы.</w:t>
      </w:r>
    </w:p>
    <w:p w:rsidR="00BF7C29" w:rsidRPr="00BF7C29" w:rsidRDefault="00BF7C29" w:rsidP="0038538C">
      <w:pPr>
        <w:pStyle w:val="1f1"/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Деструкция околощитовидных желез.</w:t>
      </w:r>
    </w:p>
    <w:p w:rsidR="00BF7C29" w:rsidRPr="00BF7C29" w:rsidRDefault="00BF7C29" w:rsidP="0038538C">
      <w:pPr>
        <w:pStyle w:val="1f1"/>
        <w:numPr>
          <w:ilvl w:val="0"/>
          <w:numId w:val="43"/>
        </w:numPr>
        <w:tabs>
          <w:tab w:val="left" w:pos="507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Хирургическая.</w:t>
      </w:r>
    </w:p>
    <w:p w:rsidR="00BF7C29" w:rsidRPr="00BF7C29" w:rsidRDefault="00BF7C29" w:rsidP="0038538C">
      <w:pPr>
        <w:pStyle w:val="1f1"/>
        <w:numPr>
          <w:ilvl w:val="0"/>
          <w:numId w:val="43"/>
        </w:numPr>
        <w:tabs>
          <w:tab w:val="left" w:pos="507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Аутоиммунные заболевания:</w:t>
      </w:r>
    </w:p>
    <w:p w:rsidR="00BF7C29" w:rsidRPr="00BF7C29" w:rsidRDefault="00BF7C29" w:rsidP="0038538C">
      <w:pPr>
        <w:pStyle w:val="1f1"/>
        <w:numPr>
          <w:ilvl w:val="0"/>
          <w:numId w:val="4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аутоиммунный полигландулярный синдром (АПДС I, </w:t>
      </w:r>
      <w:r w:rsidRPr="00BF7C29">
        <w:rPr>
          <w:color w:val="000000"/>
          <w:sz w:val="24"/>
          <w:szCs w:val="24"/>
          <w:lang w:val="en-US" w:bidi="en-US"/>
        </w:rPr>
        <w:t>APECED</w:t>
      </w:r>
      <w:r w:rsidRPr="00BF7C29">
        <w:rPr>
          <w:color w:val="000000"/>
          <w:sz w:val="24"/>
          <w:szCs w:val="24"/>
          <w:lang w:bidi="en-US"/>
        </w:rPr>
        <w:t>);</w:t>
      </w:r>
    </w:p>
    <w:p w:rsidR="00BF7C29" w:rsidRPr="00BF7C29" w:rsidRDefault="00BF7C29" w:rsidP="0038538C">
      <w:pPr>
        <w:pStyle w:val="1f1"/>
        <w:numPr>
          <w:ilvl w:val="0"/>
          <w:numId w:val="44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мутация </w:t>
      </w:r>
      <w:r w:rsidRPr="00BF7C29">
        <w:rPr>
          <w:color w:val="000000"/>
          <w:sz w:val="24"/>
          <w:szCs w:val="24"/>
          <w:lang w:val="en-US" w:bidi="en-US"/>
        </w:rPr>
        <w:t>AIRE;</w:t>
      </w:r>
    </w:p>
    <w:p w:rsidR="00BF7C29" w:rsidRPr="00BF7C29" w:rsidRDefault="00BF7C29" w:rsidP="0038538C">
      <w:pPr>
        <w:pStyle w:val="1f1"/>
        <w:numPr>
          <w:ilvl w:val="0"/>
          <w:numId w:val="44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радиация;</w:t>
      </w:r>
    </w:p>
    <w:p w:rsidR="00BF7C29" w:rsidRPr="00BF7C29" w:rsidRDefault="00BF7C29" w:rsidP="0038538C">
      <w:pPr>
        <w:pStyle w:val="1f1"/>
        <w:numPr>
          <w:ilvl w:val="0"/>
          <w:numId w:val="4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инфильтрация металлами (железом при гемахроматозе, медью);</w:t>
      </w:r>
    </w:p>
    <w:p w:rsidR="00BF7C29" w:rsidRPr="00BF7C29" w:rsidRDefault="00BF7C29" w:rsidP="0038538C">
      <w:pPr>
        <w:pStyle w:val="1f1"/>
        <w:numPr>
          <w:ilvl w:val="0"/>
          <w:numId w:val="44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гранулематозная инфильтрация;</w:t>
      </w:r>
    </w:p>
    <w:p w:rsidR="00BF7C29" w:rsidRPr="00BF7C29" w:rsidRDefault="00BF7C29" w:rsidP="0038538C">
      <w:pPr>
        <w:pStyle w:val="1f1"/>
        <w:numPr>
          <w:ilvl w:val="0"/>
          <w:numId w:val="44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неопластическая инвазия.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Снижение функции околощитовидных желез, обусловленное нарушением секреции или продукции ПТГ.</w:t>
      </w:r>
    </w:p>
    <w:p w:rsidR="00BF7C29" w:rsidRPr="00BF7C29" w:rsidRDefault="00BF7C29" w:rsidP="0038538C">
      <w:pPr>
        <w:pStyle w:val="1f1"/>
        <w:ind w:firstLine="567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Первичное:</w:t>
      </w:r>
    </w:p>
    <w:p w:rsidR="00BF7C29" w:rsidRPr="00BF7C29" w:rsidRDefault="00BF7C29" w:rsidP="0038538C">
      <w:pPr>
        <w:pStyle w:val="1f1"/>
        <w:ind w:firstLine="567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аутосомно-доминантное:</w:t>
      </w:r>
    </w:p>
    <w:p w:rsidR="00BF7C29" w:rsidRPr="00BF7C29" w:rsidRDefault="00BF7C29" w:rsidP="0038538C">
      <w:pPr>
        <w:pStyle w:val="1f1"/>
        <w:numPr>
          <w:ilvl w:val="0"/>
          <w:numId w:val="45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мутация гена кальцийчувствительного рецептора </w:t>
      </w:r>
      <w:r w:rsidRPr="00BF7C29">
        <w:rPr>
          <w:color w:val="000000"/>
          <w:sz w:val="24"/>
          <w:szCs w:val="24"/>
          <w:lang w:bidi="en-US"/>
        </w:rPr>
        <w:t>^</w:t>
      </w:r>
      <w:r w:rsidRPr="00BF7C29">
        <w:rPr>
          <w:color w:val="000000"/>
          <w:sz w:val="24"/>
          <w:szCs w:val="24"/>
          <w:lang w:val="en-US" w:bidi="en-US"/>
        </w:rPr>
        <w:t>SR</w:t>
      </w:r>
      <w:r w:rsidRPr="00BF7C29">
        <w:rPr>
          <w:color w:val="000000"/>
          <w:sz w:val="24"/>
          <w:szCs w:val="24"/>
          <w:lang w:bidi="en-US"/>
        </w:rPr>
        <w:t>);</w:t>
      </w:r>
    </w:p>
    <w:p w:rsidR="00BF7C29" w:rsidRPr="00BF7C29" w:rsidRDefault="00BF7C29" w:rsidP="0038538C">
      <w:pPr>
        <w:pStyle w:val="1f1"/>
        <w:numPr>
          <w:ilvl w:val="0"/>
          <w:numId w:val="45"/>
        </w:numPr>
        <w:tabs>
          <w:tab w:val="left" w:pos="967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мутация гена ПТГ;</w:t>
      </w:r>
    </w:p>
    <w:p w:rsidR="00BF7C29" w:rsidRPr="00BF7C29" w:rsidRDefault="00BF7C29" w:rsidP="0038538C">
      <w:pPr>
        <w:pStyle w:val="1f1"/>
        <w:numPr>
          <w:ilvl w:val="0"/>
          <w:numId w:val="45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аутосомно-рецессивное:</w:t>
      </w:r>
    </w:p>
    <w:p w:rsidR="00BF7C29" w:rsidRPr="00BF7C29" w:rsidRDefault="00BF7C29" w:rsidP="0038538C">
      <w:pPr>
        <w:pStyle w:val="1f1"/>
        <w:ind w:firstLine="567"/>
        <w:rPr>
          <w:sz w:val="24"/>
          <w:szCs w:val="24"/>
        </w:rPr>
      </w:pPr>
      <w:r w:rsidRPr="00BF7C29">
        <w:rPr>
          <w:rFonts w:eastAsia="Courier New"/>
          <w:color w:val="000000"/>
          <w:sz w:val="24"/>
          <w:szCs w:val="24"/>
          <w:lang w:eastAsia="ru-RU" w:bidi="ru-RU"/>
        </w:rPr>
        <w:t xml:space="preserve">- </w:t>
      </w:r>
      <w:r w:rsidRPr="00BF7C29">
        <w:rPr>
          <w:color w:val="000000"/>
          <w:sz w:val="24"/>
          <w:szCs w:val="24"/>
          <w:lang w:eastAsia="ru-RU" w:bidi="ru-RU"/>
        </w:rPr>
        <w:t>мутация гена ПТГ.</w:t>
      </w:r>
    </w:p>
    <w:p w:rsidR="00BF7C29" w:rsidRPr="00BF7C29" w:rsidRDefault="00BF7C29" w:rsidP="0038538C">
      <w:pPr>
        <w:pStyle w:val="1f1"/>
        <w:ind w:firstLine="567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Вторичное:</w:t>
      </w:r>
    </w:p>
    <w:p w:rsidR="00BF7C29" w:rsidRPr="00BF7C29" w:rsidRDefault="00BF7C29" w:rsidP="0038538C">
      <w:pPr>
        <w:pStyle w:val="1f1"/>
        <w:numPr>
          <w:ilvl w:val="0"/>
          <w:numId w:val="46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активирующие антитела к </w:t>
      </w:r>
      <w:r w:rsidRPr="00BF7C29">
        <w:rPr>
          <w:color w:val="000000"/>
          <w:sz w:val="24"/>
          <w:szCs w:val="24"/>
          <w:lang w:val="en-US" w:bidi="en-US"/>
        </w:rPr>
        <w:t>СаSR;</w:t>
      </w:r>
    </w:p>
    <w:p w:rsidR="00BF7C29" w:rsidRPr="00BF7C29" w:rsidRDefault="00BF7C29" w:rsidP="0038538C">
      <w:pPr>
        <w:pStyle w:val="1f1"/>
        <w:numPr>
          <w:ilvl w:val="0"/>
          <w:numId w:val="46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гиперпаратиреоз у матери;</w:t>
      </w:r>
    </w:p>
    <w:p w:rsidR="00BF7C29" w:rsidRPr="00BF7C29" w:rsidRDefault="00BF7C29" w:rsidP="0038538C">
      <w:pPr>
        <w:pStyle w:val="1f1"/>
        <w:numPr>
          <w:ilvl w:val="0"/>
          <w:numId w:val="46"/>
        </w:numPr>
        <w:tabs>
          <w:tab w:val="left" w:pos="786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гипомагниемия.</w:t>
      </w:r>
    </w:p>
    <w:p w:rsidR="00BF7C29" w:rsidRPr="00BF7C29" w:rsidRDefault="00BF7C29" w:rsidP="0038538C">
      <w:pPr>
        <w:pStyle w:val="1f1"/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Синдромы резистентности к ПТГ.</w:t>
      </w:r>
    </w:p>
    <w:p w:rsidR="00BF7C29" w:rsidRPr="00BF7C29" w:rsidRDefault="00BF7C29" w:rsidP="0038538C">
      <w:pPr>
        <w:pStyle w:val="1f1"/>
        <w:numPr>
          <w:ilvl w:val="0"/>
          <w:numId w:val="47"/>
        </w:numPr>
        <w:tabs>
          <w:tab w:val="left" w:pos="507"/>
        </w:tabs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Гипомагниемия.</w:t>
      </w:r>
    </w:p>
    <w:p w:rsidR="00BF7C29" w:rsidRPr="00BF7C29" w:rsidRDefault="00BF7C29" w:rsidP="0038538C">
      <w:pPr>
        <w:pStyle w:val="1f1"/>
        <w:numPr>
          <w:ilvl w:val="0"/>
          <w:numId w:val="47"/>
        </w:numPr>
        <w:tabs>
          <w:tab w:val="left" w:pos="507"/>
        </w:tabs>
        <w:spacing w:after="80"/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Псевдогипопаратиреоз.</w:t>
      </w:r>
    </w:p>
    <w:p w:rsidR="00BF7C29" w:rsidRPr="00BF7C29" w:rsidRDefault="00BF7C29" w:rsidP="0038538C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bookmarkStart w:id="41" w:name="bookmark280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Этиология</w:t>
      </w:r>
      <w:bookmarkEnd w:id="41"/>
    </w:p>
    <w:p w:rsidR="00BF7C29" w:rsidRPr="00BF7C29" w:rsidRDefault="00BF7C29" w:rsidP="0038538C">
      <w:pPr>
        <w:pStyle w:val="4b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42" w:name="bookmark280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Аномальное развитие околощитовидных желез</w:t>
      </w:r>
      <w:bookmarkEnd w:id="42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Врожденную агенезию или гипоплазию околощитовидных же</w:t>
      </w:r>
      <w:r w:rsidRPr="00BF7C29">
        <w:rPr>
          <w:color w:val="000000"/>
          <w:sz w:val="24"/>
          <w:szCs w:val="24"/>
          <w:lang w:eastAsia="ru-RU" w:bidi="ru-RU"/>
        </w:rPr>
        <w:softHyphen/>
        <w:t>лез, как правило, обнаруживают в период новорожденности.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Чаще наблюдают изолированный или спорадический гипо</w:t>
      </w:r>
      <w:r w:rsidRPr="00BF7C29">
        <w:rPr>
          <w:color w:val="000000"/>
          <w:sz w:val="24"/>
          <w:szCs w:val="24"/>
          <w:lang w:eastAsia="ru-RU" w:bidi="ru-RU"/>
        </w:rPr>
        <w:softHyphen/>
        <w:t>паратиреоз, который ранее относили к идиопатическому. В на</w:t>
      </w:r>
      <w:r w:rsidRPr="00BF7C29">
        <w:rPr>
          <w:color w:val="000000"/>
          <w:sz w:val="24"/>
          <w:szCs w:val="24"/>
          <w:lang w:eastAsia="ru-RU" w:bidi="ru-RU"/>
        </w:rPr>
        <w:softHyphen/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стоящее время во многих ситуациях находят доказательства акти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вирующих мутаций гена 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CaSR</w:t>
      </w:r>
      <w:r w:rsidRPr="00BF7C29">
        <w:rPr>
          <w:rFonts w:eastAsia="Arial"/>
          <w:i/>
          <w:iCs/>
          <w:color w:val="000000"/>
          <w:sz w:val="24"/>
          <w:szCs w:val="24"/>
          <w:lang w:eastAsia="ru-RU" w:bidi="ru-RU"/>
        </w:rPr>
        <w:t>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При семейном изолированном гипопаратиреозе наблюдают аутосомно-рецессивный тип наследования (мутации </w:t>
      </w:r>
      <w:r w:rsidRPr="00BF7C29">
        <w:rPr>
          <w:color w:val="000000"/>
          <w:sz w:val="24"/>
          <w:szCs w:val="24"/>
          <w:lang w:val="en-US" w:bidi="en-US"/>
        </w:rPr>
        <w:t>GCMB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ко</w:t>
      </w:r>
      <w:r w:rsidRPr="00BF7C29">
        <w:rPr>
          <w:color w:val="000000"/>
          <w:sz w:val="24"/>
          <w:szCs w:val="24"/>
          <w:lang w:eastAsia="ru-RU" w:bidi="ru-RU"/>
        </w:rPr>
        <w:softHyphen/>
        <w:t>торые кодируют ядерную транскрипцию фактора, необходимого для развития околощитовидных желез) или Х-сцепленные вари</w:t>
      </w:r>
      <w:r w:rsidRPr="00BF7C29">
        <w:rPr>
          <w:color w:val="000000"/>
          <w:sz w:val="24"/>
          <w:szCs w:val="24"/>
          <w:lang w:eastAsia="ru-RU" w:bidi="ru-RU"/>
        </w:rPr>
        <w:softHyphen/>
        <w:t>анты.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Неправильное развитие околощитовидных желез часто обна</w:t>
      </w:r>
      <w:r w:rsidRPr="00BF7C29">
        <w:rPr>
          <w:color w:val="000000"/>
          <w:sz w:val="24"/>
          <w:szCs w:val="24"/>
          <w:lang w:eastAsia="ru-RU" w:bidi="ru-RU"/>
        </w:rPr>
        <w:softHyphen/>
        <w:t>руживают при синдромах множественной патологии недоразви</w:t>
      </w:r>
      <w:r w:rsidRPr="00BF7C29">
        <w:rPr>
          <w:color w:val="000000"/>
          <w:sz w:val="24"/>
          <w:szCs w:val="24"/>
          <w:lang w:eastAsia="ru-RU" w:bidi="ru-RU"/>
        </w:rPr>
        <w:softHyphen/>
        <w:t>тия, когда вовлечены другие структуры, происходящие из 3-го и 4-го бронхиального (жаберного) мешочка. При этом наблюдают аплазию тимуса с иммунодефицитом, врожденные сердечные аномалии.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синдроме ди Джорджи кроме гипопаратиреоза наблюда</w:t>
      </w:r>
      <w:r w:rsidRPr="00BF7C29">
        <w:rPr>
          <w:color w:val="000000"/>
          <w:sz w:val="24"/>
          <w:szCs w:val="24"/>
          <w:lang w:eastAsia="ru-RU" w:bidi="ru-RU"/>
        </w:rPr>
        <w:softHyphen/>
        <w:t>ют характерные особенности лица: заячью губу, волчью пасть, рото-глоточные нарушения, врожденные пороки сердца. В боль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шинстве случаев находят микроделецию хромосомы </w:t>
      </w:r>
      <w:r w:rsidRPr="00BF7C29">
        <w:rPr>
          <w:color w:val="000000"/>
          <w:sz w:val="24"/>
          <w:szCs w:val="24"/>
          <w:lang w:bidi="en-US"/>
        </w:rPr>
        <w:t xml:space="preserve">22 </w:t>
      </w:r>
      <w:r w:rsidRPr="00BF7C29">
        <w:rPr>
          <w:color w:val="000000"/>
          <w:sz w:val="24"/>
          <w:szCs w:val="24"/>
          <w:lang w:eastAsia="ru-RU" w:bidi="ru-RU"/>
        </w:rPr>
        <w:t xml:space="preserve">в области </w:t>
      </w:r>
      <w:r w:rsidRPr="00BF7C29">
        <w:rPr>
          <w:color w:val="000000"/>
          <w:sz w:val="24"/>
          <w:szCs w:val="24"/>
          <w:lang w:bidi="en-US"/>
        </w:rPr>
        <w:t>22</w:t>
      </w:r>
      <w:r w:rsidRPr="00BF7C29">
        <w:rPr>
          <w:color w:val="000000"/>
          <w:sz w:val="24"/>
          <w:szCs w:val="24"/>
          <w:lang w:val="en-US" w:bidi="en-US"/>
        </w:rPr>
        <w:t>q</w:t>
      </w:r>
      <w:r w:rsidRPr="00BF7C29">
        <w:rPr>
          <w:color w:val="000000"/>
          <w:sz w:val="24"/>
          <w:szCs w:val="24"/>
          <w:lang w:bidi="en-US"/>
        </w:rPr>
        <w:t>11.21-</w:t>
      </w:r>
      <w:r w:rsidRPr="00BF7C29">
        <w:rPr>
          <w:color w:val="000000"/>
          <w:sz w:val="24"/>
          <w:szCs w:val="24"/>
          <w:lang w:val="en-US" w:bidi="en-US"/>
        </w:rPr>
        <w:t>q</w:t>
      </w:r>
      <w:r w:rsidRPr="00BF7C29">
        <w:rPr>
          <w:color w:val="000000"/>
          <w:sz w:val="24"/>
          <w:szCs w:val="24"/>
          <w:lang w:bidi="en-US"/>
        </w:rPr>
        <w:t>11.23.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Гипопаратиреоз как составная часть Баракат </w:t>
      </w:r>
      <w:r w:rsidRPr="00BF7C29">
        <w:rPr>
          <w:color w:val="000000"/>
          <w:sz w:val="24"/>
          <w:szCs w:val="24"/>
          <w:lang w:bidi="en-US"/>
        </w:rPr>
        <w:t>(</w:t>
      </w:r>
      <w:r w:rsidRPr="00BF7C29">
        <w:rPr>
          <w:color w:val="000000"/>
          <w:sz w:val="24"/>
          <w:szCs w:val="24"/>
          <w:lang w:val="en-US" w:bidi="en-US"/>
        </w:rPr>
        <w:t>HDR</w:t>
      </w:r>
      <w:r w:rsidRPr="00BF7C29">
        <w:rPr>
          <w:color w:val="000000"/>
          <w:sz w:val="24"/>
          <w:szCs w:val="24"/>
          <w:lang w:bidi="en-US"/>
        </w:rPr>
        <w:t>)-</w:t>
      </w:r>
      <w:r w:rsidRPr="00BF7C29">
        <w:rPr>
          <w:color w:val="000000"/>
          <w:sz w:val="24"/>
          <w:szCs w:val="24"/>
          <w:lang w:val="en-US" w:bidi="en-US"/>
        </w:rPr>
        <w:t>cuHgpoMa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 xml:space="preserve">(неврогенная глухота и почечная дисплазия) </w:t>
      </w:r>
      <w:r w:rsidRPr="00BF7C29">
        <w:rPr>
          <w:color w:val="000000"/>
          <w:sz w:val="24"/>
          <w:szCs w:val="24"/>
          <w:lang w:bidi="en-US"/>
        </w:rPr>
        <w:t xml:space="preserve">— </w:t>
      </w:r>
      <w:r w:rsidRPr="00BF7C29">
        <w:rPr>
          <w:color w:val="000000"/>
          <w:sz w:val="24"/>
          <w:szCs w:val="24"/>
          <w:lang w:eastAsia="ru-RU" w:bidi="ru-RU"/>
        </w:rPr>
        <w:t>две неперекрываю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щие делеции областей хромосомы 10р </w:t>
      </w:r>
      <w:r w:rsidRPr="00BF7C29">
        <w:rPr>
          <w:color w:val="000000"/>
          <w:sz w:val="24"/>
          <w:szCs w:val="24"/>
          <w:lang w:bidi="en-US"/>
        </w:rPr>
        <w:t>(10р14-10</w:t>
      </w:r>
      <w:r w:rsidRPr="00BF7C29">
        <w:rPr>
          <w:color w:val="000000"/>
          <w:sz w:val="24"/>
          <w:szCs w:val="24"/>
          <w:lang w:val="en-US" w:bidi="en-US"/>
        </w:rPr>
        <w:t>pter</w:t>
      </w:r>
      <w:r w:rsidRPr="00BF7C29">
        <w:rPr>
          <w:color w:val="000000"/>
          <w:sz w:val="24"/>
          <w:szCs w:val="24"/>
          <w:lang w:bidi="en-US"/>
        </w:rPr>
        <w:t xml:space="preserve">). </w:t>
      </w:r>
      <w:r w:rsidRPr="00BF7C29">
        <w:rPr>
          <w:color w:val="000000"/>
          <w:sz w:val="24"/>
          <w:szCs w:val="24"/>
          <w:lang w:eastAsia="ru-RU" w:bidi="ru-RU"/>
        </w:rPr>
        <w:t>Картирова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ние при </w:t>
      </w:r>
      <w:r w:rsidRPr="00BF7C29">
        <w:rPr>
          <w:color w:val="000000"/>
          <w:sz w:val="24"/>
          <w:szCs w:val="24"/>
          <w:lang w:val="en-US" w:bidi="en-US"/>
        </w:rPr>
        <w:t>HDR</w:t>
      </w:r>
      <w:r w:rsidRPr="00BF7C29">
        <w:rPr>
          <w:color w:val="000000"/>
          <w:sz w:val="24"/>
          <w:szCs w:val="24"/>
          <w:lang w:eastAsia="ru-RU" w:bidi="ru-RU"/>
        </w:rPr>
        <w:t xml:space="preserve">-синдроме позволило выявить область, содержащую ген 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GATA</w:t>
      </w:r>
      <w:r w:rsidRPr="00BF7C29">
        <w:rPr>
          <w:i/>
          <w:iCs/>
          <w:color w:val="000000"/>
          <w:sz w:val="24"/>
          <w:szCs w:val="24"/>
          <w:lang w:bidi="en-US"/>
        </w:rPr>
        <w:t>3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кодирующий транскрипцию фактора, вовлеченного в эмбриональное развитие позвоночных. Микроделеции, приводя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щие к гаплонедостаточности 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GATA</w:t>
      </w:r>
      <w:r w:rsidRPr="00BF7C29">
        <w:rPr>
          <w:i/>
          <w:iCs/>
          <w:color w:val="000000"/>
          <w:sz w:val="24"/>
          <w:szCs w:val="24"/>
          <w:lang w:bidi="en-US"/>
        </w:rPr>
        <w:t>3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 xml:space="preserve">и точковые мутации в самом гене идентифицированы у детей с </w:t>
      </w:r>
      <w:r w:rsidRPr="00BF7C29">
        <w:rPr>
          <w:color w:val="000000"/>
          <w:sz w:val="24"/>
          <w:szCs w:val="24"/>
          <w:lang w:val="en-US" w:bidi="en-US"/>
        </w:rPr>
        <w:t>HDR</w:t>
      </w:r>
      <w:r w:rsidRPr="00BF7C29">
        <w:rPr>
          <w:color w:val="000000"/>
          <w:sz w:val="24"/>
          <w:szCs w:val="24"/>
          <w:lang w:eastAsia="ru-RU" w:bidi="ru-RU"/>
        </w:rPr>
        <w:t>-синдромом.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Таким образом, всем пациентам, с детства заболевшим гипопа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ратиреозом, причина которого неясна, должны быть проведены кариотипирование и обследование на предмет субклинической сердечной патологии, ренальной дисплазии, нарушений слуха и аномалий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органов пищеварения.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Саньяд-Сакати — аутосомно-рецессивное заболе</w:t>
      </w:r>
      <w:r w:rsidRPr="00BF7C29">
        <w:rPr>
          <w:color w:val="000000"/>
          <w:sz w:val="24"/>
          <w:szCs w:val="24"/>
          <w:lang w:eastAsia="ru-RU" w:bidi="ru-RU"/>
        </w:rPr>
        <w:softHyphen/>
        <w:t>вание с врожденным гипопаратиреозом, задержкой роста, ум</w:t>
      </w:r>
      <w:r w:rsidRPr="00BF7C29">
        <w:rPr>
          <w:color w:val="000000"/>
          <w:sz w:val="24"/>
          <w:szCs w:val="24"/>
          <w:lang w:eastAsia="ru-RU" w:bidi="ru-RU"/>
        </w:rPr>
        <w:softHyphen/>
        <w:t>ственного развития и судорожными приступами. Отличительные фенотипические признаки: глубоко посаженные глаза, вдавлен</w:t>
      </w:r>
      <w:r w:rsidRPr="00BF7C29">
        <w:rPr>
          <w:color w:val="000000"/>
          <w:sz w:val="24"/>
          <w:szCs w:val="24"/>
          <w:lang w:eastAsia="ru-RU" w:bidi="ru-RU"/>
        </w:rPr>
        <w:softHyphen/>
        <w:t>ная переносица с клювообразным носом, тонкая верхняя губа, микрогнатия, большие гибкие уши.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Кенни-Кафи — гипопаратиреоз, сочетающийся с ги</w:t>
      </w:r>
      <w:r w:rsidRPr="00BF7C29">
        <w:rPr>
          <w:color w:val="000000"/>
          <w:sz w:val="24"/>
          <w:szCs w:val="24"/>
          <w:lang w:eastAsia="ru-RU" w:bidi="ru-RU"/>
        </w:rPr>
        <w:softHyphen/>
        <w:t>перостозом костей свода черепа, стенозом костномозговых кана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лов трубчатых костей. При рецессивной форме синдрома дефект локализуется на хромосоме </w:t>
      </w:r>
      <w:r w:rsidRPr="00BF7C29">
        <w:rPr>
          <w:color w:val="000000"/>
          <w:sz w:val="24"/>
          <w:szCs w:val="24"/>
          <w:lang w:bidi="en-US"/>
        </w:rPr>
        <w:t>1</w:t>
      </w:r>
      <w:r w:rsidRPr="00BF7C29">
        <w:rPr>
          <w:color w:val="000000"/>
          <w:sz w:val="24"/>
          <w:szCs w:val="24"/>
          <w:lang w:val="en-US" w:bidi="en-US"/>
        </w:rPr>
        <w:t>q</w:t>
      </w:r>
      <w:r w:rsidRPr="00BF7C29">
        <w:rPr>
          <w:color w:val="000000"/>
          <w:sz w:val="24"/>
          <w:szCs w:val="24"/>
          <w:lang w:bidi="en-US"/>
        </w:rPr>
        <w:t>43-44.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Гипопаратиреоз может быть компонентом синдромов с ней</w:t>
      </w:r>
      <w:r w:rsidRPr="00BF7C29">
        <w:rPr>
          <w:color w:val="000000"/>
          <w:sz w:val="24"/>
          <w:szCs w:val="24"/>
          <w:lang w:eastAsia="ru-RU" w:bidi="ru-RU"/>
        </w:rPr>
        <w:softHyphen/>
        <w:t>ромиопатиями. Среди них выделяют синдром Кирнса-Сейра (гипопаратиреоз в сочетании с пигментным ретинитом, офталь</w:t>
      </w:r>
      <w:r w:rsidRPr="00BF7C29">
        <w:rPr>
          <w:color w:val="000000"/>
          <w:sz w:val="24"/>
          <w:szCs w:val="24"/>
          <w:lang w:eastAsia="ru-RU" w:bidi="ru-RU"/>
        </w:rPr>
        <w:softHyphen/>
        <w:t>моплегией, атаксией, атриовентрикулярной блокадой, мио</w:t>
      </w:r>
      <w:r w:rsidRPr="00BF7C29">
        <w:rPr>
          <w:color w:val="000000"/>
          <w:sz w:val="24"/>
          <w:szCs w:val="24"/>
          <w:lang w:eastAsia="ru-RU" w:bidi="ru-RU"/>
        </w:rPr>
        <w:softHyphen/>
        <w:t>патией), синдром Пирсона (гипопаратиреоз, лактат-ацидоз, нейтропения, сидеробластическая анемия, экзокринные нару</w:t>
      </w:r>
      <w:r w:rsidRPr="00BF7C29">
        <w:rPr>
          <w:color w:val="000000"/>
          <w:sz w:val="24"/>
          <w:szCs w:val="24"/>
          <w:lang w:eastAsia="ru-RU" w:bidi="ru-RU"/>
        </w:rPr>
        <w:softHyphen/>
        <w:t>шения ПЖ) и гипопаратиреоз с митохондриальной энцефало</w:t>
      </w:r>
      <w:r w:rsidRPr="00BF7C29">
        <w:rPr>
          <w:color w:val="000000"/>
          <w:sz w:val="24"/>
          <w:szCs w:val="24"/>
          <w:lang w:eastAsia="ru-RU" w:bidi="ru-RU"/>
        </w:rPr>
        <w:softHyphen/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миопатией. Молекулярные дефекты различны — от больших делеций митохондриальных геномов (синдром Пирсона) до про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стых парных мутаций в одном </w:t>
      </w:r>
      <w:r w:rsidRPr="00BF7C29">
        <w:rPr>
          <w:i/>
          <w:iCs/>
          <w:color w:val="000000"/>
          <w:sz w:val="24"/>
          <w:szCs w:val="24"/>
          <w:lang w:eastAsia="ru-RU" w:bidi="ru-RU"/>
        </w:rPr>
        <w:t>РНК</w:t>
      </w:r>
      <w:r w:rsidRPr="00BF7C29">
        <w:rPr>
          <w:color w:val="000000"/>
          <w:sz w:val="24"/>
          <w:szCs w:val="24"/>
          <w:lang w:eastAsia="ru-RU" w:bidi="ru-RU"/>
        </w:rPr>
        <w:t>-гене (митохондриальная эн</w:t>
      </w:r>
      <w:r w:rsidRPr="00BF7C29">
        <w:rPr>
          <w:color w:val="000000"/>
          <w:sz w:val="24"/>
          <w:szCs w:val="24"/>
          <w:lang w:eastAsia="ru-RU" w:bidi="ru-RU"/>
        </w:rPr>
        <w:softHyphen/>
        <w:t>цефалопатия). Поскольку при этих состояниях часто наблюдают ренальные потери магния, необходимо помнить об обратимых формах гипокальциемического гипопаратиреоза, обусловленн- ного гипомагниемий.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3" w:name="bookmark281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Деструкция околощитовидных желез</w:t>
      </w:r>
      <w:bookmarkEnd w:id="43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Наиболее частая причина гипопаратиреоза у взрослых — по</w:t>
      </w:r>
      <w:r w:rsidRPr="00BF7C29">
        <w:rPr>
          <w:color w:val="000000"/>
          <w:sz w:val="24"/>
          <w:szCs w:val="24"/>
          <w:lang w:eastAsia="ru-RU" w:bidi="ru-RU"/>
        </w:rPr>
        <w:softHyphen/>
        <w:t>слеоперационное удаление или повреждение околощитовидных желез. Это происходит после тотальной тиреоидэктомии по по</w:t>
      </w:r>
      <w:r w:rsidRPr="00BF7C29">
        <w:rPr>
          <w:color w:val="000000"/>
          <w:sz w:val="24"/>
          <w:szCs w:val="24"/>
          <w:lang w:eastAsia="ru-RU" w:bidi="ru-RU"/>
        </w:rPr>
        <w:softHyphen/>
        <w:t>воду РЩЖ, после повторных или обширных операций по поводу других заболеваний щитовидной железы, органов шеи и верхнего средостения, а также после хирургических вмешательств при ле</w:t>
      </w:r>
      <w:r w:rsidRPr="00BF7C29">
        <w:rPr>
          <w:color w:val="000000"/>
          <w:sz w:val="24"/>
          <w:szCs w:val="24"/>
          <w:lang w:eastAsia="ru-RU" w:bidi="ru-RU"/>
        </w:rPr>
        <w:softHyphen/>
        <w:t>чении первичного и вторичного гиперпаратиреоза.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Значительно реже гипопаратиреоз обнаруживают у пациентов, подвергшихся обширному облучению области шеи и груди.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Есть данные о развитии гипопаратиреоза при инфильтрации ткани околощитовидных желез ионами металлов при гемохро</w:t>
      </w:r>
      <w:r w:rsidRPr="00BF7C29">
        <w:rPr>
          <w:color w:val="000000"/>
          <w:sz w:val="24"/>
          <w:szCs w:val="24"/>
          <w:lang w:eastAsia="ru-RU" w:bidi="ru-RU"/>
        </w:rPr>
        <w:softHyphen/>
        <w:t>матозе (железа), талассемии (железа), болезни Вильсона (меди), неопластической или гранулематозной инфильтрации.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Гипопаратиреоз может быть следствием аутоимунного пора</w:t>
      </w:r>
      <w:r w:rsidRPr="00BF7C29">
        <w:rPr>
          <w:color w:val="000000"/>
          <w:sz w:val="24"/>
          <w:szCs w:val="24"/>
          <w:lang w:eastAsia="ru-RU" w:bidi="ru-RU"/>
        </w:rPr>
        <w:softHyphen/>
        <w:t>жения околощитовидных желез, как изолированного, так и в со</w:t>
      </w:r>
      <w:r w:rsidRPr="00BF7C29">
        <w:rPr>
          <w:color w:val="000000"/>
          <w:sz w:val="24"/>
          <w:szCs w:val="24"/>
          <w:lang w:eastAsia="ru-RU" w:bidi="ru-RU"/>
        </w:rPr>
        <w:softHyphen/>
        <w:t>четании с поражением других эндокринных органов с развитием гормональной недостаточности. Это заболевание называют ауто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иммунным полигландулярным кандидоэндокринным синдромом </w:t>
      </w:r>
      <w:r w:rsidRPr="00BF7C29">
        <w:rPr>
          <w:color w:val="000000"/>
          <w:sz w:val="24"/>
          <w:szCs w:val="24"/>
          <w:lang w:bidi="en-US"/>
        </w:rPr>
        <w:t>(</w:t>
      </w:r>
      <w:r w:rsidRPr="00BF7C29">
        <w:rPr>
          <w:color w:val="000000"/>
          <w:sz w:val="24"/>
          <w:szCs w:val="24"/>
          <w:lang w:val="en-US" w:bidi="en-US"/>
        </w:rPr>
        <w:t>APECED</w:t>
      </w:r>
      <w:r w:rsidRPr="00BF7C29">
        <w:rPr>
          <w:color w:val="000000"/>
          <w:sz w:val="24"/>
          <w:szCs w:val="24"/>
          <w:lang w:bidi="en-US"/>
        </w:rPr>
        <w:t xml:space="preserve">) </w:t>
      </w:r>
      <w:r w:rsidRPr="00BF7C29">
        <w:rPr>
          <w:color w:val="000000"/>
          <w:sz w:val="24"/>
          <w:szCs w:val="24"/>
          <w:lang w:eastAsia="ru-RU" w:bidi="ru-RU"/>
        </w:rPr>
        <w:t xml:space="preserve">или аутоиммунным полигландулярным синдромом 1-го типа </w:t>
      </w:r>
      <w:r w:rsidRPr="00BF7C29">
        <w:rPr>
          <w:color w:val="000000"/>
          <w:sz w:val="24"/>
          <w:szCs w:val="24"/>
          <w:lang w:bidi="en-US"/>
        </w:rPr>
        <w:t>(</w:t>
      </w:r>
      <w:r w:rsidRPr="00BF7C29">
        <w:rPr>
          <w:color w:val="000000"/>
          <w:sz w:val="24"/>
          <w:szCs w:val="24"/>
          <w:lang w:val="en-US" w:bidi="en-US"/>
        </w:rPr>
        <w:t>APS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 xml:space="preserve">1). Этот синдром связан с более чем 40 мутациями 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AIRE</w:t>
      </w:r>
      <w:r w:rsidRPr="00BF7C29">
        <w:rPr>
          <w:color w:val="000000"/>
          <w:sz w:val="24"/>
          <w:szCs w:val="24"/>
          <w:lang w:eastAsia="ru-RU" w:bidi="ru-RU"/>
        </w:rPr>
        <w:t>-гена. Клинически гипопаратиреоз сочетается с кандидозом кожи и слизистых, болезнью Аддисона (основная триада), ин</w:t>
      </w:r>
      <w:r w:rsidRPr="00BF7C29">
        <w:rPr>
          <w:color w:val="000000"/>
          <w:sz w:val="24"/>
          <w:szCs w:val="24"/>
          <w:lang w:eastAsia="ru-RU" w:bidi="ru-RU"/>
        </w:rPr>
        <w:softHyphen/>
        <w:t>сулинзависимым диабетом, первичным гипогонадизмом, АИТ с гипотиреозом, реже с эктодермальной дисплазией, кератоконъ</w:t>
      </w:r>
      <w:r w:rsidRPr="00BF7C29">
        <w:rPr>
          <w:color w:val="000000"/>
          <w:sz w:val="24"/>
          <w:szCs w:val="24"/>
          <w:lang w:eastAsia="ru-RU" w:bidi="ru-RU"/>
        </w:rPr>
        <w:softHyphen/>
        <w:t>юнктивитом, пернициозной анемией, хроническим активным гепатитом, стеатореей (мальабсорбцией, напоминающей глюте</w:t>
      </w:r>
      <w:r w:rsidRPr="00BF7C29">
        <w:rPr>
          <w:color w:val="000000"/>
          <w:sz w:val="24"/>
          <w:szCs w:val="24"/>
          <w:lang w:eastAsia="ru-RU" w:bidi="ru-RU"/>
        </w:rPr>
        <w:softHyphen/>
        <w:t>новую болезнь), алопецией, витилиго. Чаще гипопаратиреоз раз</w:t>
      </w:r>
      <w:r w:rsidRPr="00BF7C29">
        <w:rPr>
          <w:color w:val="000000"/>
          <w:sz w:val="24"/>
          <w:szCs w:val="24"/>
          <w:lang w:eastAsia="ru-RU" w:bidi="ru-RU"/>
        </w:rPr>
        <w:softHyphen/>
        <w:t>вивается между 6 мес и 20 годами жизни (в среднем в 7-8 лет). При кандидозе поражаются ногти, кожа, слизистые оболочки рта, влагалища. При декомпенсированном гипопаратиреозе возмож</w:t>
      </w:r>
      <w:r w:rsidRPr="00BF7C29">
        <w:rPr>
          <w:color w:val="000000"/>
          <w:sz w:val="24"/>
          <w:szCs w:val="24"/>
          <w:lang w:eastAsia="ru-RU" w:bidi="ru-RU"/>
        </w:rPr>
        <w:softHyphen/>
        <w:t>ны скрытое течение болезни Аддисона и появление клинических симптомов только при снижении потребности организма в 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ции и витамине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. </w:t>
      </w:r>
      <w:r w:rsidRPr="00BF7C29">
        <w:rPr>
          <w:color w:val="000000"/>
          <w:sz w:val="24"/>
          <w:szCs w:val="24"/>
          <w:lang w:eastAsia="ru-RU" w:bidi="ru-RU"/>
        </w:rPr>
        <w:t>С другой стороны, уменьшение всасывания кальция и повышение его экскреции с мочой на фоне лечения глюкокортикоидами усиливает гипокальциемию и может приве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сти к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осложнениям гипопаратиреоза до его выявления.</w:t>
      </w:r>
    </w:p>
    <w:p w:rsidR="00BF7C29" w:rsidRPr="00BF7C29" w:rsidRDefault="00BF7C29" w:rsidP="0038538C">
      <w:pPr>
        <w:pStyle w:val="4b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44" w:name="bookmark281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Снижение функции околощитовидных желез, обусловленное нарушением регуляции</w:t>
      </w:r>
      <w:bookmarkEnd w:id="44"/>
    </w:p>
    <w:p w:rsidR="00BF7C29" w:rsidRPr="00BF7C29" w:rsidRDefault="00BF7C29" w:rsidP="0038538C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Первичное.</w:t>
      </w:r>
    </w:p>
    <w:p w:rsidR="00BF7C29" w:rsidRPr="00BF7C29" w:rsidRDefault="00BF7C29" w:rsidP="0038538C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Вторичное.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Первичное повреждение секреции ПТГ </w:t>
      </w:r>
      <w:r w:rsidRPr="00BF7C29">
        <w:rPr>
          <w:color w:val="000000"/>
          <w:sz w:val="24"/>
          <w:szCs w:val="24"/>
          <w:lang w:eastAsia="ru-RU" w:bidi="ru-RU"/>
        </w:rPr>
        <w:t>обусловлено ак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тивирующей мутацией гена 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CASR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расположенного на хромосо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ме </w:t>
      </w:r>
      <w:r w:rsidRPr="00BF7C29">
        <w:rPr>
          <w:color w:val="000000"/>
          <w:sz w:val="24"/>
          <w:szCs w:val="24"/>
          <w:lang w:bidi="en-US"/>
        </w:rPr>
        <w:t>3</w:t>
      </w:r>
      <w:r w:rsidRPr="00BF7C29">
        <w:rPr>
          <w:color w:val="000000"/>
          <w:sz w:val="24"/>
          <w:szCs w:val="24"/>
          <w:lang w:val="en-US" w:bidi="en-US"/>
        </w:rPr>
        <w:t>q</w:t>
      </w:r>
      <w:r w:rsidRPr="00BF7C29">
        <w:rPr>
          <w:color w:val="000000"/>
          <w:sz w:val="24"/>
          <w:szCs w:val="24"/>
          <w:lang w:bidi="en-US"/>
        </w:rPr>
        <w:t>13.3-</w:t>
      </w:r>
      <w:r w:rsidRPr="00BF7C29">
        <w:rPr>
          <w:color w:val="000000"/>
          <w:sz w:val="24"/>
          <w:szCs w:val="24"/>
          <w:lang w:val="en-US" w:bidi="en-US"/>
        </w:rPr>
        <w:t>q</w:t>
      </w:r>
      <w:r w:rsidRPr="00BF7C29">
        <w:rPr>
          <w:color w:val="000000"/>
          <w:sz w:val="24"/>
          <w:szCs w:val="24"/>
          <w:lang w:bidi="en-US"/>
        </w:rPr>
        <w:t xml:space="preserve">21. </w:t>
      </w:r>
      <w:r w:rsidRPr="00BF7C29">
        <w:rPr>
          <w:color w:val="000000"/>
          <w:sz w:val="24"/>
          <w:szCs w:val="24"/>
          <w:lang w:eastAsia="ru-RU" w:bidi="ru-RU"/>
        </w:rPr>
        <w:t>Эти мутации увеличивают чувствительность клеток и тканей организма к содержанию Са во внеклеточной жидкости, обусловливая функциональный гипопаратиреоз с гипокальцие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мией и гиперкальциурией. Последствие активации 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CASR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в около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щитовидных железах — хроническое подавление ПТГ, при этом активированный </w:t>
      </w:r>
      <w:r w:rsidRPr="00BF7C29">
        <w:rPr>
          <w:i/>
          <w:iCs/>
          <w:color w:val="000000"/>
          <w:sz w:val="24"/>
          <w:szCs w:val="24"/>
          <w:lang w:val="en-US" w:bidi="en-US"/>
        </w:rPr>
        <w:t>CASR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в почках стимулирует гиперкальциурию и усугубляет гипокальциемию. В большинстве случаев гипокаль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циемия и гиперкальциурия переносятся хорошо. При отсутствии клинической симптоматики лечение витамином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может быть слишком активным. Однако для части пациентов с неспецифиче</w:t>
      </w:r>
      <w:r w:rsidRPr="00BF7C29">
        <w:rPr>
          <w:color w:val="000000"/>
          <w:sz w:val="24"/>
          <w:szCs w:val="24"/>
          <w:lang w:eastAsia="ru-RU" w:bidi="ru-RU"/>
        </w:rPr>
        <w:softHyphen/>
        <w:t>скими симптомами гипокальциемии оно необходимо, поскольку в дальнейшем возможно внезапное появление судорог и тетании.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изолированном гипопаратиреозе иногда находят единич</w:t>
      </w:r>
      <w:r w:rsidRPr="00BF7C29">
        <w:rPr>
          <w:color w:val="000000"/>
          <w:sz w:val="24"/>
          <w:szCs w:val="24"/>
          <w:lang w:eastAsia="ru-RU" w:bidi="ru-RU"/>
        </w:rPr>
        <w:softHyphen/>
        <w:t>ную замену во 2-м экзоне гена ПТГ. Эта мутация в его сигнальной последовательности препятствует превращению препро-ПТГ в про-ПТГ, уменьшая продукцию активного ПТГ.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других случаях в семьях с аутосомно-рецессивным изолиро</w:t>
      </w:r>
      <w:r w:rsidRPr="00BF7C29">
        <w:rPr>
          <w:color w:val="000000"/>
          <w:sz w:val="24"/>
          <w:szCs w:val="24"/>
          <w:lang w:eastAsia="ru-RU" w:bidi="ru-RU"/>
        </w:rPr>
        <w:softHyphen/>
        <w:t>ванным гипопаратиреозом удален весь 2-й экзон гена ПТГ.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Вторичное повреждение секреции ПТГ </w:t>
      </w:r>
      <w:r w:rsidRPr="00BF7C29">
        <w:rPr>
          <w:color w:val="000000"/>
          <w:sz w:val="24"/>
          <w:szCs w:val="24"/>
          <w:lang w:eastAsia="ru-RU" w:bidi="ru-RU"/>
        </w:rPr>
        <w:t>— результат дей</w:t>
      </w:r>
      <w:r w:rsidRPr="00BF7C29">
        <w:rPr>
          <w:color w:val="000000"/>
          <w:sz w:val="24"/>
          <w:szCs w:val="24"/>
          <w:lang w:eastAsia="ru-RU" w:bidi="ru-RU"/>
        </w:rPr>
        <w:softHyphen/>
        <w:t>ствия активирующих антител к ПТГ. Такой гипопаратиреоз может сочетаться с другими аутоиммунными заболеваниями, такими как болезни Грейвса, Аддисона; выраженной деструкции околощито</w:t>
      </w:r>
      <w:r w:rsidRPr="00BF7C29">
        <w:rPr>
          <w:color w:val="000000"/>
          <w:sz w:val="24"/>
          <w:szCs w:val="24"/>
          <w:lang w:eastAsia="ru-RU" w:bidi="ru-RU"/>
        </w:rPr>
        <w:softHyphen/>
        <w:t>видных желез не наблюдается. При этом подавление высвобож</w:t>
      </w:r>
      <w:r w:rsidRPr="00BF7C29">
        <w:rPr>
          <w:color w:val="000000"/>
          <w:sz w:val="24"/>
          <w:szCs w:val="24"/>
          <w:lang w:eastAsia="ru-RU" w:bidi="ru-RU"/>
        </w:rPr>
        <w:softHyphen/>
        <w:t>дения ПТГ может способствовать гиперкальциурии.</w:t>
      </w:r>
    </w:p>
    <w:p w:rsidR="00BF7C29" w:rsidRPr="00BF7C29" w:rsidRDefault="00BF7C29" w:rsidP="0038538C">
      <w:pPr>
        <w:pStyle w:val="1f1"/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Вторичные причины подавления функции околощитовидных желез — гиперпаратиреоз у матери и гипомагниемия. У новорож</w:t>
      </w:r>
      <w:r w:rsidRPr="00BF7C29">
        <w:rPr>
          <w:color w:val="000000"/>
          <w:sz w:val="24"/>
          <w:szCs w:val="24"/>
          <w:lang w:eastAsia="ru-RU" w:bidi="ru-RU"/>
        </w:rPr>
        <w:softHyphen/>
        <w:t>денных, матери которых страдают гиперпаратиреозом, часто вы</w:t>
      </w:r>
      <w:r w:rsidRPr="00BF7C29">
        <w:rPr>
          <w:color w:val="000000"/>
          <w:sz w:val="24"/>
          <w:szCs w:val="24"/>
          <w:lang w:eastAsia="ru-RU" w:bidi="ru-RU"/>
        </w:rPr>
        <w:softHyphen/>
        <w:t>являют гипокальциемию в течение первых 3 нед жизни, но иногда она может персистировать до года после рождения. Сначала тре</w:t>
      </w:r>
      <w:r w:rsidRPr="00BF7C29">
        <w:rPr>
          <w:color w:val="000000"/>
          <w:sz w:val="24"/>
          <w:szCs w:val="24"/>
          <w:lang w:eastAsia="ru-RU" w:bidi="ru-RU"/>
        </w:rPr>
        <w:softHyphen/>
        <w:t>буется ургентная терапия, но впоследствии наступает самоизле</w:t>
      </w:r>
      <w:r w:rsidRPr="00BF7C29">
        <w:rPr>
          <w:color w:val="000000"/>
          <w:sz w:val="24"/>
          <w:szCs w:val="24"/>
          <w:lang w:eastAsia="ru-RU" w:bidi="ru-RU"/>
        </w:rPr>
        <w:softHyphen/>
        <w:t>чение. Снижение концентрации магния в крови, обусловленное нарушением кишечной абсорбции или почечной реабсорбции, подавляет секрецию ПТГ и может стать причиной гипопарати</w:t>
      </w:r>
      <w:r w:rsidRPr="00BF7C29">
        <w:rPr>
          <w:color w:val="000000"/>
          <w:sz w:val="24"/>
          <w:szCs w:val="24"/>
          <w:lang w:eastAsia="ru-RU" w:bidi="ru-RU"/>
        </w:rPr>
        <w:softHyphen/>
        <w:t>реоза. Адекватная терапия солями магния корректирует гипопа</w:t>
      </w:r>
      <w:r w:rsidRPr="00BF7C29">
        <w:rPr>
          <w:color w:val="000000"/>
          <w:sz w:val="24"/>
          <w:szCs w:val="24"/>
          <w:lang w:eastAsia="ru-RU" w:bidi="ru-RU"/>
        </w:rPr>
        <w:softHyphen/>
        <w:t>ратиреоз.</w:t>
      </w:r>
    </w:p>
    <w:p w:rsidR="00BF7C29" w:rsidRPr="00BF7C29" w:rsidRDefault="00BF7C29" w:rsidP="0038538C">
      <w:pPr>
        <w:pStyle w:val="3f2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5" w:name="bookmark281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</w:t>
      </w:r>
      <w:bookmarkEnd w:id="45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Основные клинические проявления гипопаратиреоза обуслов</w:t>
      </w:r>
      <w:r w:rsidRPr="00BF7C29">
        <w:rPr>
          <w:color w:val="000000"/>
          <w:sz w:val="24"/>
          <w:szCs w:val="24"/>
          <w:lang w:eastAsia="ru-RU" w:bidi="ru-RU"/>
        </w:rPr>
        <w:softHyphen/>
        <w:t>лены гипокальциемией и гиперфосфатемией. При этом повы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шаются нервно-мышечная возбудимость и общая вегетативная реактивность 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Все описанные формы гипопаратиреоза имеют сходный патоге</w:t>
      </w:r>
      <w:r w:rsidRPr="00BF7C29">
        <w:rPr>
          <w:color w:val="000000"/>
          <w:sz w:val="24"/>
          <w:szCs w:val="24"/>
          <w:lang w:eastAsia="ru-RU" w:bidi="ru-RU"/>
        </w:rPr>
        <w:softHyphen/>
        <w:t>нез и клиническую картину, различаясь только этиологическими аспектами, которые вытекают из названия формы гипопарати</w:t>
      </w:r>
      <w:r w:rsidRPr="00BF7C29">
        <w:rPr>
          <w:color w:val="000000"/>
          <w:sz w:val="24"/>
          <w:szCs w:val="24"/>
          <w:lang w:eastAsia="ru-RU" w:bidi="ru-RU"/>
        </w:rPr>
        <w:softHyphen/>
        <w:t>реоза.</w:t>
      </w:r>
    </w:p>
    <w:p w:rsidR="00BF7C29" w:rsidRPr="00BF7C29" w:rsidRDefault="00BF7C29" w:rsidP="0038538C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Патогенез</w:t>
      </w:r>
      <w:bookmarkEnd w:id="39"/>
    </w:p>
    <w:p w:rsidR="00BF7C29" w:rsidRPr="00BF7C29" w:rsidRDefault="00BF7C29" w:rsidP="0038538C">
      <w:pPr>
        <w:pStyle w:val="1f1"/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Недостаток ПТГ приводит к повышению уровня фосфора в кро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ви за счет снижения фосфатурического действия ПТГ на почки, а также к гипокальциемии, обусловленной снижением всасывания кальция в кишечнике, уменьшением мобилизации его из костей и недостаточной реабсорбцией кальция в почечных канальцах. В генезе гипокальциемии имеет значение уменьшение синтеза в почках активного метаболита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 xml:space="preserve">кальцитриола,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продук</w:t>
      </w:r>
      <w:r w:rsidRPr="00BF7C29">
        <w:rPr>
          <w:color w:val="000000"/>
          <w:sz w:val="24"/>
          <w:szCs w:val="24"/>
          <w:lang w:eastAsia="ru-RU" w:bidi="ru-RU"/>
        </w:rPr>
        <w:softHyphen/>
        <w:t>ция которого зависит от ПТГ. Создание отрицательного кальцие</w:t>
      </w:r>
      <w:r w:rsidRPr="00BF7C29">
        <w:rPr>
          <w:color w:val="000000"/>
          <w:sz w:val="24"/>
          <w:szCs w:val="24"/>
          <w:lang w:eastAsia="ru-RU" w:bidi="ru-RU"/>
        </w:rPr>
        <w:softHyphen/>
        <w:t>вого баланса и избытка фосфора в организме ведет к повышению нервно-мышечной возбудимости и общей вегетативной реактив</w:t>
      </w:r>
      <w:r w:rsidRPr="00BF7C29">
        <w:rPr>
          <w:color w:val="000000"/>
          <w:sz w:val="24"/>
          <w:szCs w:val="24"/>
          <w:lang w:eastAsia="ru-RU" w:bidi="ru-RU"/>
        </w:rPr>
        <w:softHyphen/>
        <w:t>ности, что обусловливает повышенную судорожную активность.</w:t>
      </w:r>
    </w:p>
    <w:p w:rsidR="00BF7C29" w:rsidRPr="00BF7C29" w:rsidRDefault="00BF7C29" w:rsidP="0038538C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6" w:name="bookmark281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46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Диагноз явной формы гипопаратиреоза основывается на дан</w:t>
      </w:r>
      <w:r w:rsidRPr="00BF7C29">
        <w:rPr>
          <w:color w:val="000000"/>
          <w:sz w:val="24"/>
          <w:szCs w:val="24"/>
          <w:lang w:eastAsia="ru-RU" w:bidi="ru-RU"/>
        </w:rPr>
        <w:softHyphen/>
        <w:t>ных анамнеза (предшествующие операции на ЩЖ или около</w:t>
      </w:r>
      <w:r w:rsidRPr="00BF7C29">
        <w:rPr>
          <w:color w:val="000000"/>
          <w:sz w:val="24"/>
          <w:szCs w:val="24"/>
          <w:lang w:eastAsia="ru-RU" w:bidi="ru-RU"/>
        </w:rPr>
        <w:softHyphen/>
        <w:t>щитовидных железах, облучение головы и шеи, инфекционные воздействия, семейный анамнез, сопутствующие эндокринные расстройства и аутоиммунные заболевания), наличии судорож</w:t>
      </w:r>
      <w:r w:rsidRPr="00BF7C29">
        <w:rPr>
          <w:color w:val="000000"/>
          <w:sz w:val="24"/>
          <w:szCs w:val="24"/>
          <w:lang w:eastAsia="ru-RU" w:bidi="ru-RU"/>
        </w:rPr>
        <w:softHyphen/>
        <w:t>ных приступов, купирующихся препаратами кальция, описанной выше клинической картине, а также на лабораторных показате</w:t>
      </w:r>
      <w:r w:rsidRPr="00BF7C29">
        <w:rPr>
          <w:color w:val="000000"/>
          <w:sz w:val="24"/>
          <w:szCs w:val="24"/>
          <w:lang w:eastAsia="ru-RU" w:bidi="ru-RU"/>
        </w:rPr>
        <w:softHyphen/>
        <w:t>лях:</w:t>
      </w:r>
    </w:p>
    <w:p w:rsidR="00BF7C29" w:rsidRPr="00BF7C29" w:rsidRDefault="00BF7C29" w:rsidP="0038538C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гипокальциемии;</w:t>
      </w:r>
    </w:p>
    <w:p w:rsidR="00BF7C29" w:rsidRPr="00BF7C29" w:rsidRDefault="00BF7C29" w:rsidP="0038538C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гиперфосфатемии;</w:t>
      </w:r>
    </w:p>
    <w:p w:rsidR="00BF7C29" w:rsidRPr="00BF7C29" w:rsidRDefault="00BF7C29" w:rsidP="0038538C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гипокальциурии;</w:t>
      </w:r>
    </w:p>
    <w:p w:rsidR="00BF7C29" w:rsidRPr="00BF7C29" w:rsidRDefault="00BF7C29" w:rsidP="0038538C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снижении уровня ПТГ в сыворотке крови или нижне</w:t>
      </w:r>
      <w:r w:rsidRPr="00BF7C29">
        <w:rPr>
          <w:color w:val="000000"/>
          <w:sz w:val="24"/>
          <w:szCs w:val="24"/>
          <w:lang w:eastAsia="ru-RU" w:bidi="ru-RU"/>
        </w:rPr>
        <w:softHyphen/>
        <w:t>нормальных его значениях:</w:t>
      </w:r>
    </w:p>
    <w:p w:rsidR="00BF7C29" w:rsidRPr="00BF7C29" w:rsidRDefault="00BF7C29" w:rsidP="0038538C">
      <w:pPr>
        <w:pStyle w:val="1f1"/>
        <w:numPr>
          <w:ilvl w:val="0"/>
          <w:numId w:val="48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пониженном уровне остеокальцина, </w:t>
      </w:r>
      <w:r w:rsidRPr="00BF7C29">
        <w:rPr>
          <w:color w:val="000000"/>
          <w:sz w:val="24"/>
          <w:szCs w:val="24"/>
          <w:lang w:bidi="en-US"/>
        </w:rPr>
        <w:t>1,25(</w:t>
      </w:r>
      <w:r w:rsidRPr="00BF7C29">
        <w:rPr>
          <w:color w:val="000000"/>
          <w:sz w:val="24"/>
          <w:szCs w:val="24"/>
          <w:lang w:val="en-US" w:bidi="en-US"/>
        </w:rPr>
        <w:t>OH</w:t>
      </w:r>
      <w:r w:rsidRPr="00BF7C29">
        <w:rPr>
          <w:color w:val="000000"/>
          <w:sz w:val="24"/>
          <w:szCs w:val="24"/>
          <w:lang w:bidi="en-US"/>
        </w:rPr>
        <w:t>)2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3 </w:t>
      </w:r>
      <w:r w:rsidRPr="00BF7C29">
        <w:rPr>
          <w:color w:val="000000"/>
          <w:sz w:val="24"/>
          <w:szCs w:val="24"/>
          <w:lang w:eastAsia="ru-RU" w:bidi="ru-RU"/>
        </w:rPr>
        <w:t>при нор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мальном содержании в крови </w:t>
      </w:r>
      <w:r w:rsidRPr="00BF7C29">
        <w:rPr>
          <w:color w:val="000000"/>
          <w:sz w:val="24"/>
          <w:szCs w:val="24"/>
          <w:lang w:bidi="en-US"/>
        </w:rPr>
        <w:t>25(</w:t>
      </w:r>
      <w:r w:rsidRPr="00BF7C29">
        <w:rPr>
          <w:color w:val="000000"/>
          <w:sz w:val="24"/>
          <w:szCs w:val="24"/>
          <w:lang w:val="en-US" w:bidi="en-US"/>
        </w:rPr>
        <w:t>OH</w:t>
      </w:r>
      <w:r w:rsidRPr="00BF7C29">
        <w:rPr>
          <w:color w:val="000000"/>
          <w:sz w:val="24"/>
          <w:szCs w:val="24"/>
          <w:lang w:bidi="en-US"/>
        </w:rPr>
        <w:t>)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>3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Исследование первых трех показателей обязательно для по</w:t>
      </w:r>
      <w:r w:rsidRPr="00BF7C29">
        <w:rPr>
          <w:color w:val="000000"/>
          <w:sz w:val="24"/>
          <w:szCs w:val="24"/>
          <w:lang w:eastAsia="ru-RU" w:bidi="ru-RU"/>
        </w:rPr>
        <w:softHyphen/>
        <w:t>становки диагноза.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рентгенологическом обследовании больных гипопара</w:t>
      </w:r>
      <w:r w:rsidRPr="00BF7C29">
        <w:rPr>
          <w:color w:val="000000"/>
          <w:sz w:val="24"/>
          <w:szCs w:val="24"/>
          <w:lang w:eastAsia="ru-RU" w:bidi="ru-RU"/>
        </w:rPr>
        <w:softHyphen/>
        <w:t>тиреозом часто обнаруживают повышенную плотность костей и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кальцификацию базальных ганглиев головного мозга. На ЭКГ от-мечают удлинение Q-T-интервала.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Выявление скрытых форм тетании и диагностику заболевания вне приступа проводят клинически на основании характерных симптомов, связанных с повышением возбудимости двигатель¬ных нервов.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Симптом Хвостека — сокращение мышц лица при постукива¬нии в месте выхода лицевого нерва: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I степени — сокращение всех мышц лица на стороне поко-лачивания;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II степени — сокращение мышц в области крыльев носа и угла рта;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III степени — сокращение мышц только в области угла рта.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Симптом Вейса — сокращение круглой мышцы век при поко-лачивании у наружного края глазницы.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Симптом Труссо — появление судорог в кисти («рука акуше¬ра») через 1-2 мин после сдавления плеча жгутом или манжетой для измерения АД.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Дифференциальная диагностика</w:t>
      </w:r>
    </w:p>
    <w:p w:rsidR="00BF7C29" w:rsidRPr="00BF7C29" w:rsidRDefault="00BF7C29" w:rsidP="0038538C">
      <w:pPr>
        <w:pStyle w:val="1f1"/>
        <w:numPr>
          <w:ilvl w:val="0"/>
          <w:numId w:val="37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sz w:val="24"/>
          <w:szCs w:val="24"/>
        </w:rPr>
        <w:t>Проводят с заболеваниями, сопровождающимися гипокаль¬циемией, и теми, при которых есть судорожный синдром, но от¬сутствует гипокальциемия</w:t>
      </w:r>
    </w:p>
    <w:p w:rsidR="00BF7C29" w:rsidRDefault="00BF7C29" w:rsidP="0038538C">
      <w:pPr>
        <w:pStyle w:val="1f1"/>
        <w:spacing w:after="80"/>
        <w:ind w:firstLine="567"/>
        <w:jc w:val="both"/>
        <w:rPr>
          <w:color w:val="000000"/>
          <w:sz w:val="24"/>
          <w:szCs w:val="24"/>
          <w:lang w:eastAsia="ru-RU" w:bidi="ru-RU"/>
        </w:rPr>
      </w:pPr>
    </w:p>
    <w:p w:rsidR="00BF7C29" w:rsidRPr="00BF7C29" w:rsidRDefault="00BF7C29" w:rsidP="00BF7C29">
      <w:pPr>
        <w:widowControl/>
        <w:autoSpaceDE/>
        <w:autoSpaceDN/>
        <w:adjustRightInd/>
        <w:spacing w:before="100" w:beforeAutospacing="1" w:after="100" w:afterAutospacing="1"/>
        <w:jc w:val="both"/>
        <w:outlineLvl w:val="1"/>
        <w:rPr>
          <w:b/>
          <w:bCs/>
          <w:sz w:val="24"/>
          <w:szCs w:val="24"/>
          <w:lang w:val="uz-Cyrl-UZ"/>
        </w:rPr>
      </w:pPr>
      <w:bookmarkStart w:id="47" w:name="_Toc213118551"/>
      <w:bookmarkStart w:id="48" w:name="_Toc213164098"/>
      <w:r w:rsidRPr="00BF7C29">
        <w:rPr>
          <w:b/>
          <w:bCs/>
          <w:sz w:val="24"/>
          <w:szCs w:val="24"/>
        </w:rPr>
        <w:t xml:space="preserve">ПЛАН </w:t>
      </w:r>
      <w:r w:rsidRPr="00BF7C29">
        <w:rPr>
          <w:b/>
          <w:bCs/>
          <w:sz w:val="24"/>
          <w:szCs w:val="24"/>
          <w:lang w:val="uz-Cyrl-UZ"/>
        </w:rPr>
        <w:t>5</w:t>
      </w:r>
      <w:r w:rsidRPr="00BF7C29">
        <w:rPr>
          <w:b/>
          <w:bCs/>
          <w:sz w:val="24"/>
          <w:szCs w:val="24"/>
        </w:rPr>
        <w:t>.</w:t>
      </w:r>
      <w:r w:rsidRPr="00BF7C29">
        <w:rPr>
          <w:b/>
          <w:sz w:val="24"/>
          <w:szCs w:val="24"/>
        </w:rPr>
        <w:t xml:space="preserve"> </w:t>
      </w:r>
      <w:r w:rsidRPr="00BF7C29">
        <w:rPr>
          <w:b/>
          <w:bCs/>
          <w:sz w:val="24"/>
          <w:szCs w:val="24"/>
        </w:rPr>
        <w:t>ОСТЕОПОРО</w:t>
      </w:r>
      <w:r w:rsidRPr="00BF7C29">
        <w:rPr>
          <w:b/>
          <w:bCs/>
          <w:sz w:val="24"/>
          <w:szCs w:val="24"/>
          <w:lang w:val="uz-Cyrl-UZ"/>
        </w:rPr>
        <w:t>З</w:t>
      </w:r>
      <w:bookmarkEnd w:id="47"/>
      <w:bookmarkEnd w:id="48"/>
    </w:p>
    <w:p w:rsidR="00BF7C29" w:rsidRPr="00BF7C29" w:rsidRDefault="00BF7C29" w:rsidP="0038538C">
      <w:pPr>
        <w:pStyle w:val="1f1"/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Остеопороз — метаболическое заболевание скелета, характе</w:t>
      </w:r>
      <w:r w:rsidRPr="00BF7C29">
        <w:rPr>
          <w:color w:val="000000"/>
          <w:sz w:val="24"/>
          <w:szCs w:val="24"/>
          <w:lang w:eastAsia="ru-RU" w:bidi="ru-RU"/>
        </w:rPr>
        <w:softHyphen/>
        <w:t>ризующееся снижением прочности кости и повышением риска переломов. Прочность кости — интегральное производное двух главных составляющих: МПКТ (костной массы) и качества кости (архитектоники, метаболизма, накопления повреждений, мине</w:t>
      </w:r>
      <w:r w:rsidRPr="00BF7C29">
        <w:rPr>
          <w:color w:val="000000"/>
          <w:sz w:val="24"/>
          <w:szCs w:val="24"/>
          <w:lang w:eastAsia="ru-RU" w:bidi="ru-RU"/>
        </w:rPr>
        <w:softHyphen/>
        <w:t>рализации).</w:t>
      </w:r>
    </w:p>
    <w:p w:rsidR="00BF7C29" w:rsidRPr="00BF7C29" w:rsidRDefault="00BF7C29" w:rsidP="0038538C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bookmarkStart w:id="49" w:name="bookmark282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Классификация</w:t>
      </w:r>
      <w:bookmarkEnd w:id="49"/>
    </w:p>
    <w:p w:rsidR="00BF7C29" w:rsidRPr="00BF7C29" w:rsidRDefault="00BF7C29" w:rsidP="0038538C">
      <w:pPr>
        <w:pStyle w:val="1f1"/>
        <w:numPr>
          <w:ilvl w:val="0"/>
          <w:numId w:val="48"/>
        </w:numPr>
        <w:tabs>
          <w:tab w:val="left" w:pos="50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Первичный остеопороз.</w:t>
      </w:r>
    </w:p>
    <w:p w:rsidR="00BF7C29" w:rsidRPr="00BF7C29" w:rsidRDefault="00BF7C29" w:rsidP="0038538C">
      <w:pPr>
        <w:pStyle w:val="1f1"/>
        <w:numPr>
          <w:ilvl w:val="0"/>
          <w:numId w:val="49"/>
        </w:numPr>
        <w:tabs>
          <w:tab w:val="left" w:pos="7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Постменопаузальный остеопороз (1-го типа).</w:t>
      </w:r>
    </w:p>
    <w:p w:rsidR="00BF7C29" w:rsidRPr="00BF7C29" w:rsidRDefault="00BF7C29" w:rsidP="0038538C">
      <w:pPr>
        <w:pStyle w:val="1f1"/>
        <w:numPr>
          <w:ilvl w:val="0"/>
          <w:numId w:val="49"/>
        </w:numPr>
        <w:tabs>
          <w:tab w:val="left" w:pos="7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Сенильный остеопороз (2-го типа).</w:t>
      </w:r>
    </w:p>
    <w:p w:rsidR="00BF7C29" w:rsidRPr="00BF7C29" w:rsidRDefault="00BF7C29" w:rsidP="0038538C">
      <w:pPr>
        <w:pStyle w:val="1f1"/>
        <w:numPr>
          <w:ilvl w:val="0"/>
          <w:numId w:val="49"/>
        </w:numPr>
        <w:tabs>
          <w:tab w:val="left" w:pos="7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Ювенильный остеопороз.</w:t>
      </w:r>
    </w:p>
    <w:p w:rsidR="00BF7C29" w:rsidRPr="00BF7C29" w:rsidRDefault="00BF7C29" w:rsidP="0038538C">
      <w:pPr>
        <w:pStyle w:val="1f1"/>
        <w:numPr>
          <w:ilvl w:val="0"/>
          <w:numId w:val="49"/>
        </w:numPr>
        <w:tabs>
          <w:tab w:val="left" w:pos="7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Идиопатический остеопороз.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Вторичный остеопороз.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Заболевания эндокринной системы:</w:t>
      </w:r>
    </w:p>
    <w:p w:rsidR="00BF7C29" w:rsidRPr="00BF7C29" w:rsidRDefault="00BF7C29" w:rsidP="0038538C">
      <w:pPr>
        <w:pStyle w:val="1f1"/>
        <w:numPr>
          <w:ilvl w:val="0"/>
          <w:numId w:val="50"/>
        </w:numPr>
        <w:tabs>
          <w:tab w:val="left" w:pos="967"/>
        </w:tabs>
        <w:ind w:left="92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эндогенный гиперкортицизм (болезнь и синдром Иценко-Кушинга);</w:t>
      </w:r>
    </w:p>
    <w:p w:rsidR="00BF7C29" w:rsidRPr="00BF7C29" w:rsidRDefault="00BF7C29" w:rsidP="0038538C">
      <w:pPr>
        <w:pStyle w:val="1f1"/>
        <w:numPr>
          <w:ilvl w:val="0"/>
          <w:numId w:val="50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гиперпаратиреоз;</w:t>
      </w:r>
    </w:p>
    <w:p w:rsidR="00BF7C29" w:rsidRPr="00BF7C29" w:rsidRDefault="00BF7C29" w:rsidP="0038538C">
      <w:pPr>
        <w:pStyle w:val="1f1"/>
        <w:numPr>
          <w:ilvl w:val="0"/>
          <w:numId w:val="50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тиреотоксикоз;</w:t>
      </w:r>
    </w:p>
    <w:p w:rsidR="00BF7C29" w:rsidRPr="00BF7C29" w:rsidRDefault="00BF7C29" w:rsidP="0038538C">
      <w:pPr>
        <w:pStyle w:val="1f1"/>
        <w:numPr>
          <w:ilvl w:val="0"/>
          <w:numId w:val="50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гипогонадизм;</w:t>
      </w:r>
    </w:p>
    <w:p w:rsidR="00BF7C29" w:rsidRPr="00BF7C29" w:rsidRDefault="00BF7C29" w:rsidP="0038538C">
      <w:pPr>
        <w:pStyle w:val="1f1"/>
        <w:numPr>
          <w:ilvl w:val="0"/>
          <w:numId w:val="50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инсулинзависимый СД (1-го типа);</w:t>
      </w:r>
    </w:p>
    <w:p w:rsidR="00BF7C29" w:rsidRPr="00BF7C29" w:rsidRDefault="00BF7C29" w:rsidP="0038538C">
      <w:pPr>
        <w:pStyle w:val="1f1"/>
        <w:numPr>
          <w:ilvl w:val="0"/>
          <w:numId w:val="50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гипопитуитаризм;</w:t>
      </w:r>
    </w:p>
    <w:p w:rsidR="00BF7C29" w:rsidRPr="00BF7C29" w:rsidRDefault="00BF7C29" w:rsidP="0038538C">
      <w:pPr>
        <w:pStyle w:val="1f1"/>
        <w:numPr>
          <w:ilvl w:val="0"/>
          <w:numId w:val="50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полигландулярная эндокринная недостаточность.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Ревматические заболевания:</w:t>
      </w:r>
    </w:p>
    <w:p w:rsidR="00BF7C29" w:rsidRPr="00BF7C29" w:rsidRDefault="00BF7C29" w:rsidP="0038538C">
      <w:pPr>
        <w:pStyle w:val="1f1"/>
        <w:numPr>
          <w:ilvl w:val="0"/>
          <w:numId w:val="51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ревматоидный артрит;</w:t>
      </w:r>
    </w:p>
    <w:p w:rsidR="00BF7C29" w:rsidRPr="00BF7C29" w:rsidRDefault="00BF7C29" w:rsidP="0038538C">
      <w:pPr>
        <w:pStyle w:val="1f1"/>
        <w:numPr>
          <w:ilvl w:val="0"/>
          <w:numId w:val="51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системная красная волчанка;</w:t>
      </w:r>
    </w:p>
    <w:p w:rsidR="00BF7C29" w:rsidRPr="00BF7C29" w:rsidRDefault="00BF7C29" w:rsidP="0038538C">
      <w:pPr>
        <w:pStyle w:val="1f1"/>
        <w:numPr>
          <w:ilvl w:val="0"/>
          <w:numId w:val="51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анкилозирующий спондилоартрит.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Заболевания органов пищеварения:</w:t>
      </w:r>
    </w:p>
    <w:p w:rsidR="00BF7C29" w:rsidRPr="00BF7C29" w:rsidRDefault="00BF7C29" w:rsidP="0038538C">
      <w:pPr>
        <w:pStyle w:val="1f1"/>
        <w:numPr>
          <w:ilvl w:val="0"/>
          <w:numId w:val="52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резецированный желудок;</w:t>
      </w:r>
    </w:p>
    <w:p w:rsidR="00BF7C29" w:rsidRPr="00BF7C29" w:rsidRDefault="00BF7C29" w:rsidP="0038538C">
      <w:pPr>
        <w:pStyle w:val="1f1"/>
        <w:numPr>
          <w:ilvl w:val="0"/>
          <w:numId w:val="52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мальабсорбции;</w:t>
      </w:r>
    </w:p>
    <w:p w:rsidR="00BF7C29" w:rsidRPr="00BF7C29" w:rsidRDefault="00BF7C29" w:rsidP="0038538C">
      <w:pPr>
        <w:pStyle w:val="1f1"/>
        <w:numPr>
          <w:ilvl w:val="0"/>
          <w:numId w:val="52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хронические заболевания печени.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Заболевания почек:</w:t>
      </w:r>
    </w:p>
    <w:p w:rsidR="00BF7C29" w:rsidRPr="00BF7C29" w:rsidRDefault="00BF7C29" w:rsidP="0038538C">
      <w:pPr>
        <w:pStyle w:val="1f1"/>
        <w:numPr>
          <w:ilvl w:val="0"/>
          <w:numId w:val="53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ХПН;</w:t>
      </w:r>
    </w:p>
    <w:p w:rsidR="00BF7C29" w:rsidRPr="00BF7C29" w:rsidRDefault="00BF7C29" w:rsidP="0038538C">
      <w:pPr>
        <w:pStyle w:val="1f1"/>
        <w:numPr>
          <w:ilvl w:val="0"/>
          <w:numId w:val="53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почечный канальцевый ацидоз;</w:t>
      </w:r>
    </w:p>
    <w:p w:rsidR="00BF7C29" w:rsidRPr="00BF7C29" w:rsidRDefault="00BF7C29" w:rsidP="0038538C">
      <w:pPr>
        <w:pStyle w:val="1f1"/>
        <w:numPr>
          <w:ilvl w:val="0"/>
          <w:numId w:val="53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Фанкони.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Заболевания крови:</w:t>
      </w:r>
    </w:p>
    <w:p w:rsidR="00BF7C29" w:rsidRPr="00BF7C29" w:rsidRDefault="00BF7C29" w:rsidP="0038538C">
      <w:pPr>
        <w:pStyle w:val="1f1"/>
        <w:numPr>
          <w:ilvl w:val="0"/>
          <w:numId w:val="54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миеломная болезнь;</w:t>
      </w:r>
    </w:p>
    <w:p w:rsidR="00BF7C29" w:rsidRPr="00BF7C29" w:rsidRDefault="00BF7C29" w:rsidP="0038538C">
      <w:pPr>
        <w:pStyle w:val="1f1"/>
        <w:numPr>
          <w:ilvl w:val="0"/>
          <w:numId w:val="54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талассемия;</w:t>
      </w:r>
    </w:p>
    <w:p w:rsidR="00BF7C29" w:rsidRPr="00BF7C29" w:rsidRDefault="00BF7C29" w:rsidP="0038538C">
      <w:pPr>
        <w:pStyle w:val="1f1"/>
        <w:numPr>
          <w:ilvl w:val="0"/>
          <w:numId w:val="54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системный мастоцитоз;</w:t>
      </w:r>
    </w:p>
    <w:p w:rsidR="00BF7C29" w:rsidRPr="00BF7C29" w:rsidRDefault="00BF7C29" w:rsidP="0038538C">
      <w:pPr>
        <w:pStyle w:val="1f1"/>
        <w:numPr>
          <w:ilvl w:val="0"/>
          <w:numId w:val="54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лейкозы и лимфомы.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Другие заболевания и состояния:</w:t>
      </w:r>
    </w:p>
    <w:p w:rsidR="00BF7C29" w:rsidRPr="00BF7C29" w:rsidRDefault="00BF7C29" w:rsidP="0038538C">
      <w:pPr>
        <w:pStyle w:val="1f1"/>
        <w:numPr>
          <w:ilvl w:val="0"/>
          <w:numId w:val="55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иммобилизация;</w:t>
      </w:r>
    </w:p>
    <w:p w:rsidR="00BF7C29" w:rsidRPr="00BF7C29" w:rsidRDefault="00BF7C29" w:rsidP="0038538C">
      <w:pPr>
        <w:pStyle w:val="1f1"/>
        <w:numPr>
          <w:ilvl w:val="0"/>
          <w:numId w:val="55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овариоэктомия;</w:t>
      </w:r>
    </w:p>
    <w:p w:rsidR="00BF7C29" w:rsidRPr="00BF7C29" w:rsidRDefault="00BF7C29" w:rsidP="0038538C">
      <w:pPr>
        <w:pStyle w:val="1f1"/>
        <w:numPr>
          <w:ilvl w:val="0"/>
          <w:numId w:val="55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хронические обструктивные заболевания легких;</w:t>
      </w:r>
    </w:p>
    <w:p w:rsidR="00BF7C29" w:rsidRPr="00BF7C29" w:rsidRDefault="00BF7C29" w:rsidP="0038538C">
      <w:pPr>
        <w:pStyle w:val="1f1"/>
        <w:numPr>
          <w:ilvl w:val="0"/>
          <w:numId w:val="55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алкоголизм;</w:t>
      </w:r>
    </w:p>
    <w:p w:rsidR="00BF7C29" w:rsidRPr="00BF7C29" w:rsidRDefault="00BF7C29" w:rsidP="0038538C">
      <w:pPr>
        <w:pStyle w:val="1f1"/>
        <w:numPr>
          <w:ilvl w:val="0"/>
          <w:numId w:val="55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нервная анорексия;</w:t>
      </w:r>
    </w:p>
    <w:p w:rsidR="00BF7C29" w:rsidRPr="00BF7C29" w:rsidRDefault="00BF7C29" w:rsidP="0038538C">
      <w:pPr>
        <w:pStyle w:val="1f1"/>
        <w:numPr>
          <w:ilvl w:val="0"/>
          <w:numId w:val="55"/>
        </w:numPr>
        <w:tabs>
          <w:tab w:val="left" w:pos="945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нарушения питания;</w:t>
      </w:r>
    </w:p>
    <w:p w:rsidR="00BF7C29" w:rsidRPr="00BF7C29" w:rsidRDefault="00BF7C29" w:rsidP="0038538C">
      <w:pPr>
        <w:pStyle w:val="1f1"/>
        <w:numPr>
          <w:ilvl w:val="0"/>
          <w:numId w:val="55"/>
        </w:numPr>
        <w:tabs>
          <w:tab w:val="left" w:pos="945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трансплантация органов.</w:t>
      </w:r>
    </w:p>
    <w:p w:rsidR="00BF7C29" w:rsidRPr="00BF7C29" w:rsidRDefault="00BF7C29" w:rsidP="0038538C">
      <w:pPr>
        <w:pStyle w:val="1f1"/>
        <w:numPr>
          <w:ilvl w:val="0"/>
          <w:numId w:val="55"/>
        </w:numPr>
        <w:tabs>
          <w:tab w:val="left" w:pos="75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Генетические нарушения:</w:t>
      </w:r>
    </w:p>
    <w:p w:rsidR="00BF7C29" w:rsidRPr="00BF7C29" w:rsidRDefault="00BF7C29" w:rsidP="0038538C">
      <w:pPr>
        <w:pStyle w:val="1f1"/>
        <w:numPr>
          <w:ilvl w:val="0"/>
          <w:numId w:val="56"/>
        </w:numPr>
        <w:tabs>
          <w:tab w:val="left" w:pos="945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несовершенный остеогенез;</w:t>
      </w:r>
    </w:p>
    <w:p w:rsidR="00BF7C29" w:rsidRPr="00BF7C29" w:rsidRDefault="00BF7C29" w:rsidP="0038538C">
      <w:pPr>
        <w:pStyle w:val="1f1"/>
        <w:numPr>
          <w:ilvl w:val="0"/>
          <w:numId w:val="56"/>
        </w:numPr>
        <w:tabs>
          <w:tab w:val="left" w:pos="945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Марфана;</w:t>
      </w:r>
    </w:p>
    <w:p w:rsidR="00BF7C29" w:rsidRPr="00BF7C29" w:rsidRDefault="00BF7C29" w:rsidP="0038538C">
      <w:pPr>
        <w:pStyle w:val="1f1"/>
        <w:numPr>
          <w:ilvl w:val="0"/>
          <w:numId w:val="56"/>
        </w:numPr>
        <w:tabs>
          <w:tab w:val="left" w:pos="945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гомоцистинурия и лизинурия.</w:t>
      </w:r>
    </w:p>
    <w:p w:rsidR="00BF7C29" w:rsidRPr="00BF7C29" w:rsidRDefault="00BF7C29" w:rsidP="0038538C">
      <w:pPr>
        <w:pStyle w:val="1f1"/>
        <w:numPr>
          <w:ilvl w:val="0"/>
          <w:numId w:val="56"/>
        </w:numPr>
        <w:tabs>
          <w:tab w:val="left" w:pos="759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Прием медикаментов:</w:t>
      </w:r>
    </w:p>
    <w:p w:rsidR="00BF7C29" w:rsidRPr="00BF7C29" w:rsidRDefault="00BF7C29" w:rsidP="0038538C">
      <w:pPr>
        <w:pStyle w:val="1f1"/>
        <w:numPr>
          <w:ilvl w:val="0"/>
          <w:numId w:val="57"/>
        </w:numPr>
        <w:tabs>
          <w:tab w:val="left" w:pos="945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глюкокортикоидов;</w:t>
      </w:r>
    </w:p>
    <w:p w:rsidR="00BF7C29" w:rsidRPr="00BF7C29" w:rsidRDefault="00BF7C29" w:rsidP="0038538C">
      <w:pPr>
        <w:pStyle w:val="1f1"/>
        <w:numPr>
          <w:ilvl w:val="0"/>
          <w:numId w:val="57"/>
        </w:numPr>
        <w:tabs>
          <w:tab w:val="left" w:pos="945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антиконвульсантов;</w:t>
      </w:r>
    </w:p>
    <w:p w:rsidR="00BF7C29" w:rsidRPr="00BF7C29" w:rsidRDefault="00BF7C29" w:rsidP="0038538C">
      <w:pPr>
        <w:pStyle w:val="1f1"/>
        <w:numPr>
          <w:ilvl w:val="0"/>
          <w:numId w:val="57"/>
        </w:numPr>
        <w:tabs>
          <w:tab w:val="left" w:pos="945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иммунодепрессантов;</w:t>
      </w:r>
    </w:p>
    <w:p w:rsidR="00BF7C29" w:rsidRPr="00BF7C29" w:rsidRDefault="00BF7C29" w:rsidP="0038538C">
      <w:pPr>
        <w:pStyle w:val="1f1"/>
        <w:numPr>
          <w:ilvl w:val="0"/>
          <w:numId w:val="57"/>
        </w:numPr>
        <w:tabs>
          <w:tab w:val="left" w:pos="945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агонистов гонадотропин-рилизинг-гормона;</w:t>
      </w:r>
    </w:p>
    <w:p w:rsidR="00BF7C29" w:rsidRPr="00BF7C29" w:rsidRDefault="00BF7C29" w:rsidP="0038538C">
      <w:pPr>
        <w:pStyle w:val="1f1"/>
        <w:numPr>
          <w:ilvl w:val="0"/>
          <w:numId w:val="57"/>
        </w:numPr>
        <w:tabs>
          <w:tab w:val="left" w:pos="945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алюминийсодержащих антацидов;</w:t>
      </w:r>
    </w:p>
    <w:p w:rsidR="00BF7C29" w:rsidRPr="00BF7C29" w:rsidRDefault="00BF7C29" w:rsidP="0038538C">
      <w:pPr>
        <w:pStyle w:val="1f1"/>
        <w:numPr>
          <w:ilvl w:val="0"/>
          <w:numId w:val="57"/>
        </w:numPr>
        <w:tabs>
          <w:tab w:val="left" w:pos="945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гепарина;</w:t>
      </w:r>
    </w:p>
    <w:p w:rsidR="00BF7C29" w:rsidRPr="00BF7C29" w:rsidRDefault="00BF7C29" w:rsidP="0038538C">
      <w:pPr>
        <w:pStyle w:val="1f1"/>
        <w:numPr>
          <w:ilvl w:val="0"/>
          <w:numId w:val="57"/>
        </w:numPr>
        <w:tabs>
          <w:tab w:val="left" w:pos="945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тиреоидных гормонов.</w:t>
      </w:r>
    </w:p>
    <w:p w:rsidR="00BF7C29" w:rsidRPr="00BF7C29" w:rsidRDefault="00BF7C29" w:rsidP="0038538C">
      <w:pPr>
        <w:pStyle w:val="1f1"/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Различают остеопороз с патологическими переломами костей и без них.</w:t>
      </w:r>
    </w:p>
    <w:p w:rsidR="00BF7C29" w:rsidRPr="00BF7C29" w:rsidRDefault="00BF7C29" w:rsidP="0038538C">
      <w:pPr>
        <w:pStyle w:val="3f2"/>
        <w:spacing w:after="40"/>
        <w:ind w:firstLine="567"/>
        <w:rPr>
          <w:rFonts w:ascii="Times New Roman" w:hAnsi="Times New Roman" w:cs="Times New Roman"/>
          <w:sz w:val="24"/>
          <w:szCs w:val="24"/>
        </w:rPr>
      </w:pPr>
      <w:bookmarkStart w:id="50" w:name="bookmark282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Коды МКБ-10</w:t>
      </w:r>
      <w:bookmarkEnd w:id="50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М80. Остеопороз с патологическим переломом.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М81. Остеопороз без патологического перелома.</w:t>
      </w:r>
    </w:p>
    <w:p w:rsidR="00BF7C29" w:rsidRPr="00BF7C29" w:rsidRDefault="00BF7C29" w:rsidP="0038538C">
      <w:pPr>
        <w:pStyle w:val="1f1"/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val="en-US" w:bidi="en-US"/>
        </w:rPr>
        <w:t>M</w:t>
      </w:r>
      <w:r w:rsidRPr="00BF7C29">
        <w:rPr>
          <w:color w:val="000000"/>
          <w:sz w:val="24"/>
          <w:szCs w:val="24"/>
          <w:lang w:bidi="en-US"/>
        </w:rPr>
        <w:t xml:space="preserve">82. </w:t>
      </w:r>
      <w:r w:rsidRPr="00BF7C29">
        <w:rPr>
          <w:color w:val="000000"/>
          <w:sz w:val="24"/>
          <w:szCs w:val="24"/>
          <w:lang w:eastAsia="ru-RU" w:bidi="ru-RU"/>
        </w:rPr>
        <w:t>Остеопороз при болезнях, классифицированных в других рубриках.</w:t>
      </w:r>
    </w:p>
    <w:p w:rsidR="00BF7C29" w:rsidRPr="00BF7C29" w:rsidRDefault="00BF7C29" w:rsidP="0038538C">
      <w:pPr>
        <w:pStyle w:val="3f2"/>
        <w:spacing w:after="40"/>
        <w:ind w:firstLine="567"/>
        <w:rPr>
          <w:rFonts w:ascii="Times New Roman" w:hAnsi="Times New Roman" w:cs="Times New Roman"/>
          <w:sz w:val="24"/>
          <w:szCs w:val="24"/>
        </w:rPr>
      </w:pPr>
      <w:bookmarkStart w:id="51" w:name="bookmark282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Этиология</w:t>
      </w:r>
      <w:bookmarkEnd w:id="51"/>
    </w:p>
    <w:p w:rsidR="00BF7C29" w:rsidRPr="00BF7C29" w:rsidRDefault="00BF7C29" w:rsidP="0038538C">
      <w:pPr>
        <w:pStyle w:val="1f1"/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Остеопороз — многофакторное заболевание. Значительную роль в возникновении остеопороза отводят повышенному уров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ню гомоцистеина плазмы, носительству рецессивного </w:t>
      </w:r>
      <w:r w:rsidRPr="00BF7C29">
        <w:rPr>
          <w:color w:val="000000"/>
          <w:sz w:val="24"/>
          <w:szCs w:val="24"/>
          <w:lang w:val="en-US" w:bidi="en-US"/>
        </w:rPr>
        <w:t>Spl</w:t>
      </w:r>
      <w:r w:rsidRPr="00BF7C29">
        <w:rPr>
          <w:color w:val="000000"/>
          <w:sz w:val="24"/>
          <w:szCs w:val="24"/>
          <w:lang w:eastAsia="ru-RU" w:bidi="ru-RU"/>
        </w:rPr>
        <w:t xml:space="preserve">-аллеля гена коллагена 1-го типа, носительству аллелей </w:t>
      </w:r>
      <w:r w:rsidRPr="00BF7C29">
        <w:rPr>
          <w:color w:val="000000"/>
          <w:sz w:val="24"/>
          <w:szCs w:val="24"/>
          <w:lang w:val="en-US" w:bidi="en-US"/>
        </w:rPr>
        <w:t>A</w:t>
      </w:r>
      <w:r w:rsidRPr="00BF7C29">
        <w:rPr>
          <w:color w:val="000000"/>
          <w:sz w:val="24"/>
          <w:szCs w:val="24"/>
          <w:lang w:bidi="en-US"/>
        </w:rPr>
        <w:t>163-</w:t>
      </w:r>
      <w:r w:rsidRPr="00BF7C29">
        <w:rPr>
          <w:color w:val="000000"/>
          <w:sz w:val="24"/>
          <w:szCs w:val="24"/>
          <w:lang w:val="en-US" w:bidi="en-US"/>
        </w:rPr>
        <w:t>G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 xml:space="preserve">и </w:t>
      </w:r>
      <w:r w:rsidRPr="00BF7C29">
        <w:rPr>
          <w:color w:val="000000"/>
          <w:sz w:val="24"/>
          <w:szCs w:val="24"/>
          <w:lang w:val="en-US" w:bidi="en-US"/>
        </w:rPr>
        <w:t>T</w:t>
      </w:r>
      <w:r w:rsidRPr="00BF7C29">
        <w:rPr>
          <w:color w:val="000000"/>
          <w:sz w:val="24"/>
          <w:szCs w:val="24"/>
          <w:lang w:bidi="en-US"/>
        </w:rPr>
        <w:t>245-</w:t>
      </w:r>
      <w:r w:rsidRPr="00BF7C29">
        <w:rPr>
          <w:color w:val="000000"/>
          <w:sz w:val="24"/>
          <w:szCs w:val="24"/>
          <w:lang w:val="en-US" w:bidi="en-US"/>
        </w:rPr>
        <w:t>G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гена остеопротегерина, хроническим воспалительным заболева</w:t>
      </w:r>
      <w:r w:rsidRPr="00BF7C29">
        <w:rPr>
          <w:color w:val="000000"/>
          <w:sz w:val="24"/>
          <w:szCs w:val="24"/>
          <w:lang w:eastAsia="ru-RU" w:bidi="ru-RU"/>
        </w:rPr>
        <w:softHyphen/>
        <w:t>ниям кишечника.</w:t>
      </w:r>
    </w:p>
    <w:p w:rsidR="00BF7C29" w:rsidRPr="00BF7C29" w:rsidRDefault="00BF7C29" w:rsidP="0038538C">
      <w:pPr>
        <w:pStyle w:val="3f2"/>
        <w:spacing w:after="40"/>
        <w:ind w:firstLine="567"/>
        <w:rPr>
          <w:rFonts w:ascii="Times New Roman" w:hAnsi="Times New Roman" w:cs="Times New Roman"/>
          <w:sz w:val="24"/>
          <w:szCs w:val="24"/>
        </w:rPr>
      </w:pPr>
      <w:bookmarkStart w:id="52" w:name="bookmark283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Патогенез</w:t>
      </w:r>
      <w:bookmarkEnd w:id="52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Переломы костей при остеопорозе обусловлены, с одной сто</w:t>
      </w:r>
      <w:r w:rsidRPr="00BF7C29">
        <w:rPr>
          <w:color w:val="000000"/>
          <w:sz w:val="24"/>
          <w:szCs w:val="24"/>
          <w:lang w:eastAsia="ru-RU" w:bidi="ru-RU"/>
        </w:rPr>
        <w:softHyphen/>
        <w:t>роны, снижением массы кости, с другой — повреждением микро</w:t>
      </w:r>
      <w:r w:rsidRPr="00BF7C29">
        <w:rPr>
          <w:color w:val="000000"/>
          <w:sz w:val="24"/>
          <w:szCs w:val="24"/>
          <w:lang w:eastAsia="ru-RU" w:bidi="ru-RU"/>
        </w:rPr>
        <w:softHyphen/>
        <w:t>архитектоники. Низкая минеральная плотность костной ткани (МПКТ), отражающая массу кости, в пожилом возрасте может быть следствием как неадекватного набора пика костной массы в юности, так и ускоренных потерь МПКТ в более поздние воз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растные периоды. Детерминанты набора пика костной массы: генетические факторы (гены — кандидаты коллагена 1-го типа, полиморфизма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 xml:space="preserve">белка 5, связанного с рецептором ЛПНП — </w:t>
      </w:r>
      <w:r w:rsidRPr="00BF7C29">
        <w:rPr>
          <w:color w:val="000000"/>
          <w:sz w:val="24"/>
          <w:szCs w:val="24"/>
          <w:lang w:val="en-US" w:bidi="en-US"/>
        </w:rPr>
        <w:t>LRP</w:t>
      </w:r>
      <w:r w:rsidRPr="00BF7C29">
        <w:rPr>
          <w:color w:val="000000"/>
          <w:sz w:val="24"/>
          <w:szCs w:val="24"/>
          <w:lang w:bidi="en-US"/>
        </w:rPr>
        <w:t xml:space="preserve">5). </w:t>
      </w:r>
      <w:r w:rsidRPr="00BF7C29">
        <w:rPr>
          <w:color w:val="000000"/>
          <w:sz w:val="24"/>
          <w:szCs w:val="24"/>
          <w:lang w:eastAsia="ru-RU" w:bidi="ru-RU"/>
        </w:rPr>
        <w:t>Негенетические факторы включают малое по</w:t>
      </w:r>
      <w:r w:rsidRPr="00BF7C29">
        <w:rPr>
          <w:color w:val="000000"/>
          <w:sz w:val="24"/>
          <w:szCs w:val="24"/>
          <w:lang w:eastAsia="ru-RU" w:bidi="ru-RU"/>
        </w:rPr>
        <w:softHyphen/>
        <w:t>требление кальция в детстве и подростковом возрасте, низкую внутриутробную массу тела и в первый год жизни, задержку пу</w:t>
      </w:r>
      <w:r w:rsidRPr="00BF7C29">
        <w:rPr>
          <w:color w:val="000000"/>
          <w:sz w:val="24"/>
          <w:szCs w:val="24"/>
          <w:lang w:eastAsia="ru-RU" w:bidi="ru-RU"/>
        </w:rPr>
        <w:softHyphen/>
        <w:t>бертата.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остеопорозе выделяют две главные характеристики кост</w:t>
      </w:r>
      <w:r w:rsidRPr="00BF7C29">
        <w:rPr>
          <w:color w:val="000000"/>
          <w:sz w:val="24"/>
          <w:szCs w:val="24"/>
          <w:lang w:eastAsia="ru-RU" w:bidi="ru-RU"/>
        </w:rPr>
        <w:softHyphen/>
        <w:t>ного обмена, каждая из которых приводит к снижению массы кости. Это остеопороз с высоким костным обменом, при котором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bookmarkStart w:id="53" w:name="bookmark2835"/>
      <w:r w:rsidRPr="00BF7C29">
        <w:rPr>
          <w:color w:val="000000"/>
          <w:sz w:val="24"/>
          <w:szCs w:val="24"/>
          <w:lang w:eastAsia="ru-RU" w:bidi="ru-RU"/>
        </w:rPr>
        <w:t>высокая резорбция кости не компенсируется нормальным или повышенным костеобразованием.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патогенезе постменопаузального остеопороза пусковым мо</w:t>
      </w:r>
      <w:r w:rsidRPr="00BF7C29">
        <w:rPr>
          <w:color w:val="000000"/>
          <w:sz w:val="24"/>
          <w:szCs w:val="24"/>
          <w:lang w:eastAsia="ru-RU" w:bidi="ru-RU"/>
        </w:rPr>
        <w:softHyphen/>
        <w:t>ментом считают эстрогенную недостаточность. Дефицит эстроге</w:t>
      </w:r>
      <w:r w:rsidRPr="00BF7C29">
        <w:rPr>
          <w:color w:val="000000"/>
          <w:sz w:val="24"/>
          <w:szCs w:val="24"/>
          <w:lang w:eastAsia="ru-RU" w:bidi="ru-RU"/>
        </w:rPr>
        <w:softHyphen/>
        <w:t>нов ведет к активации и увеличению частоты ремоделирующих циклов и дисбалансу между резорбцией и костеобразованием. Эстрогены действуют на кость через остеобласты, увеличивая синтез ИФР-1, остеопротегерина, трансформирующего факто</w:t>
      </w:r>
      <w:r w:rsidRPr="00BF7C29">
        <w:rPr>
          <w:color w:val="000000"/>
          <w:sz w:val="24"/>
          <w:szCs w:val="24"/>
          <w:lang w:eastAsia="ru-RU" w:bidi="ru-RU"/>
        </w:rPr>
        <w:softHyphen/>
        <w:t>ра роста-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в </w:t>
      </w:r>
      <w:r w:rsidRPr="00BF7C29">
        <w:rPr>
          <w:color w:val="000000"/>
          <w:sz w:val="24"/>
          <w:szCs w:val="24"/>
          <w:lang w:eastAsia="ru-RU" w:bidi="ru-RU"/>
        </w:rPr>
        <w:t xml:space="preserve">и уменьшая продукцию </w:t>
      </w:r>
      <w:r w:rsidRPr="00BF7C29">
        <w:rPr>
          <w:color w:val="000000"/>
          <w:sz w:val="24"/>
          <w:szCs w:val="24"/>
          <w:lang w:val="en-US" w:bidi="en-US"/>
        </w:rPr>
        <w:t>RANKL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(лиганда активатора рецептора ядерного фактора-</w:t>
      </w:r>
      <w:r w:rsidRPr="00BF7C29">
        <w:rPr>
          <w:rFonts w:eastAsia="Arial"/>
          <w:b/>
          <w:bCs/>
          <w:color w:val="000000"/>
          <w:sz w:val="24"/>
          <w:szCs w:val="24"/>
          <w:lang w:eastAsia="ru-RU" w:bidi="ru-RU"/>
        </w:rPr>
        <w:t>к</w:t>
      </w:r>
      <w:r w:rsidRPr="00BF7C29">
        <w:rPr>
          <w:color w:val="000000"/>
          <w:sz w:val="24"/>
          <w:szCs w:val="24"/>
          <w:lang w:eastAsia="ru-RU" w:bidi="ru-RU"/>
        </w:rPr>
        <w:t>-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в</w:t>
      </w:r>
      <w:r w:rsidRPr="00BF7C29">
        <w:rPr>
          <w:color w:val="000000"/>
          <w:sz w:val="24"/>
          <w:szCs w:val="24"/>
          <w:lang w:eastAsia="ru-RU" w:bidi="ru-RU"/>
        </w:rPr>
        <w:t>), цитокинов (интерлейкина-1). Таким образом, в ответ на дефицит эстрогенов усиливается про</w:t>
      </w:r>
      <w:r w:rsidRPr="00BF7C29">
        <w:rPr>
          <w:color w:val="000000"/>
          <w:sz w:val="24"/>
          <w:szCs w:val="24"/>
          <w:lang w:eastAsia="ru-RU" w:bidi="ru-RU"/>
        </w:rPr>
        <w:softHyphen/>
        <w:t>дукция костно-резорбирующих факторов и снижается выработка стимуляторов костеобразования.</w:t>
      </w:r>
    </w:p>
    <w:p w:rsidR="00BF7C29" w:rsidRPr="00BF7C29" w:rsidRDefault="00BF7C29" w:rsidP="0038538C">
      <w:pPr>
        <w:pStyle w:val="1f1"/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патогенезе сенильного остеопороза наряду с дефицитом по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ловых гормонов придают значение отрицательному кальциевому балансу, обусловленному дефицитом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сниженной аб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сорбции кальция в кишечнике, что в итоге приводит к развитию вторичного гиперпаратиреоза и повышенной резорбции костной ткани. Избыточная или недостаточная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секреция большинства гормонов в любом возрасте ведет к остеопорозу. Примерами вы</w:t>
      </w:r>
      <w:r w:rsidRPr="00BF7C29">
        <w:rPr>
          <w:color w:val="000000"/>
          <w:sz w:val="24"/>
          <w:szCs w:val="24"/>
          <w:lang w:eastAsia="ru-RU" w:bidi="ru-RU"/>
        </w:rPr>
        <w:softHyphen/>
        <w:t>сокооборотного остеопороза с резким преобладанием резорбции костной ткани могут служить костная форма первичного гиперпа</w:t>
      </w:r>
      <w:r w:rsidRPr="00BF7C29">
        <w:rPr>
          <w:color w:val="000000"/>
          <w:sz w:val="24"/>
          <w:szCs w:val="24"/>
          <w:lang w:eastAsia="ru-RU" w:bidi="ru-RU"/>
        </w:rPr>
        <w:softHyphen/>
        <w:t>ратиреоза, нарушения метаболизма костной ткани при тяжелом рецидивирующем течении гипертиреоза. Избыток глюкокорти</w:t>
      </w:r>
      <w:r w:rsidRPr="00BF7C29">
        <w:rPr>
          <w:color w:val="000000"/>
          <w:sz w:val="24"/>
          <w:szCs w:val="24"/>
          <w:lang w:eastAsia="ru-RU" w:bidi="ru-RU"/>
        </w:rPr>
        <w:softHyphen/>
        <w:t>коидов при синдроме Кушинга подавляет костеобразование, при этом снижается всасывание кальция в кишечнике и повышается экскреция его почками, что создает отрицательный кальциевый баланс, приводит к вторичному гиперпаратиреозу и повышен</w:t>
      </w:r>
      <w:r w:rsidRPr="00BF7C29">
        <w:rPr>
          <w:color w:val="000000"/>
          <w:sz w:val="24"/>
          <w:szCs w:val="24"/>
          <w:lang w:eastAsia="ru-RU" w:bidi="ru-RU"/>
        </w:rPr>
        <w:softHyphen/>
        <w:t>ной костной резорбции. Механизмы развития остеопороза при гипогонадизме у женщин в репродуктивном периоде схожи с та</w:t>
      </w:r>
      <w:r w:rsidRPr="00BF7C29">
        <w:rPr>
          <w:color w:val="000000"/>
          <w:sz w:val="24"/>
          <w:szCs w:val="24"/>
          <w:lang w:eastAsia="ru-RU" w:bidi="ru-RU"/>
        </w:rPr>
        <w:softHyphen/>
        <w:t>ковыми при постменопаузальном остеопорозе. Снижение андро</w:t>
      </w:r>
      <w:r w:rsidRPr="00BF7C29">
        <w:rPr>
          <w:color w:val="000000"/>
          <w:sz w:val="24"/>
          <w:szCs w:val="24"/>
          <w:lang w:eastAsia="ru-RU" w:bidi="ru-RU"/>
        </w:rPr>
        <w:softHyphen/>
        <w:t>генной функции у мужчин ведет к сниженному костеобразованию и развитию остеопороза с низким костным обменом. В патогене</w:t>
      </w:r>
      <w:r w:rsidRPr="00BF7C29">
        <w:rPr>
          <w:color w:val="000000"/>
          <w:sz w:val="24"/>
          <w:szCs w:val="24"/>
          <w:lang w:eastAsia="ru-RU" w:bidi="ru-RU"/>
        </w:rPr>
        <w:softHyphen/>
        <w:t>зе остеопороза у мужчин определенную роль играет и дефицит эстрогенов.</w:t>
      </w:r>
    </w:p>
    <w:p w:rsidR="00BF7C29" w:rsidRPr="00BF7C29" w:rsidRDefault="00BF7C29" w:rsidP="0038538C">
      <w:pPr>
        <w:pStyle w:val="3f2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4" w:name="bookmark283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Профилактика</w:t>
      </w:r>
      <w:bookmarkEnd w:id="54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Мероприятия первичной профилактики включают коррекцию массы тела, отказ от курения, ограничение употребления алко</w:t>
      </w:r>
      <w:r w:rsidRPr="00BF7C29">
        <w:rPr>
          <w:color w:val="000000"/>
          <w:sz w:val="24"/>
          <w:szCs w:val="24"/>
          <w:lang w:eastAsia="ru-RU" w:bidi="ru-RU"/>
        </w:rPr>
        <w:softHyphen/>
        <w:t>голя, активный образ жизни и выполнение физических упраж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нений, достаточное употребление кальция с пищей или в виде фармакологических препаратов в сочетании с витамином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при</w:t>
      </w:r>
      <w:r w:rsidRPr="00BF7C29">
        <w:rPr>
          <w:color w:val="000000"/>
          <w:sz w:val="24"/>
          <w:szCs w:val="24"/>
          <w:lang w:eastAsia="ru-RU" w:bidi="ru-RU"/>
        </w:rPr>
        <w:softHyphen/>
        <w:t>менение ЗГТ.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Для вторичного остеопороза важнейшая мера профилактики — излечение или максимальная компенсация основного заболевания либо отмена (коррекция доз до оптимально минимальных) ятро</w:t>
      </w:r>
      <w:r w:rsidRPr="00BF7C29">
        <w:rPr>
          <w:color w:val="000000"/>
          <w:sz w:val="24"/>
          <w:szCs w:val="24"/>
          <w:lang w:eastAsia="ru-RU" w:bidi="ru-RU"/>
        </w:rPr>
        <w:softHyphen/>
        <w:t>генных в отношении остеопороза медикаментов.</w:t>
      </w:r>
    </w:p>
    <w:p w:rsidR="00BF7C29" w:rsidRPr="00BF7C29" w:rsidRDefault="00BF7C29" w:rsidP="0038538C">
      <w:pPr>
        <w:pStyle w:val="3f2"/>
        <w:ind w:firstLine="567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</w:t>
      </w:r>
      <w:bookmarkEnd w:id="53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большинстве случаев остеопороз протекает бессимптомно и его первым клиническим проявлением может быть перелом. Пе</w:t>
      </w:r>
      <w:r w:rsidRPr="00BF7C29">
        <w:rPr>
          <w:color w:val="000000"/>
          <w:sz w:val="24"/>
          <w:szCs w:val="24"/>
          <w:lang w:eastAsia="ru-RU" w:bidi="ru-RU"/>
        </w:rPr>
        <w:softHyphen/>
        <w:t>релом при минимальной травме определяют как произошедший спонтанно или при падении с высоты не выше собственного роста человека, включая переломы, развившиеся при таких действиях, как кашель, чиханье или резкое движение (например, при откры</w:t>
      </w:r>
      <w:r w:rsidRPr="00BF7C29">
        <w:rPr>
          <w:color w:val="000000"/>
          <w:sz w:val="24"/>
          <w:szCs w:val="24"/>
          <w:lang w:eastAsia="ru-RU" w:bidi="ru-RU"/>
        </w:rPr>
        <w:softHyphen/>
        <w:t>вании форточки), а также ситуации, когда у пациента на рентгено</w:t>
      </w:r>
      <w:r w:rsidRPr="00BF7C29">
        <w:rPr>
          <w:color w:val="000000"/>
          <w:sz w:val="24"/>
          <w:szCs w:val="24"/>
          <w:lang w:eastAsia="ru-RU" w:bidi="ru-RU"/>
        </w:rPr>
        <w:softHyphen/>
        <w:t>грамме диагностирован компрессионный перелом тела позвонка независимо от того, есть симптомы компрессии или нет.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Переломы костей при остеопорозе могут быть любой локализа</w:t>
      </w:r>
      <w:r w:rsidRPr="00BF7C29">
        <w:rPr>
          <w:color w:val="000000"/>
          <w:sz w:val="24"/>
          <w:szCs w:val="24"/>
          <w:lang w:eastAsia="ru-RU" w:bidi="ru-RU"/>
        </w:rPr>
        <w:softHyphen/>
        <w:t>ции, однако наиболее типичны для постменопаузального остеопо</w:t>
      </w:r>
      <w:r w:rsidRPr="00BF7C29">
        <w:rPr>
          <w:color w:val="000000"/>
          <w:sz w:val="24"/>
          <w:szCs w:val="24"/>
          <w:lang w:eastAsia="ru-RU" w:bidi="ru-RU"/>
        </w:rPr>
        <w:softHyphen/>
        <w:t>роза переломы тел грудных и поясничных позвонков, дистального отдела лучевой кости, для сенильного — проксимального отдела бедренной кости, для глюкокортикоидного — множественные компрессионные переломы тел позвонков, для гиперпаратирео</w:t>
      </w:r>
      <w:r w:rsidRPr="00BF7C29">
        <w:rPr>
          <w:color w:val="000000"/>
          <w:sz w:val="24"/>
          <w:szCs w:val="24"/>
          <w:lang w:eastAsia="ru-RU" w:bidi="ru-RU"/>
        </w:rPr>
        <w:softHyphen/>
        <w:t>за — переломы трубчатых костей. На развитие перелома влияют также геометрия кости, траектория падения и механизм травмы. Данные факторы могут сказываться на развитии перелома незави</w:t>
      </w:r>
      <w:r w:rsidRPr="00BF7C29">
        <w:rPr>
          <w:color w:val="000000"/>
          <w:sz w:val="24"/>
          <w:szCs w:val="24"/>
          <w:lang w:eastAsia="ru-RU" w:bidi="ru-RU"/>
        </w:rPr>
        <w:softHyphen/>
        <w:t>симо от костной плотности или в сочетании с низкой плотностью костной ткани.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Переломы костей могут приводить к боли, деформациям и функциональной недостаточности. Переломы тел позвонков при остеопорозе могут выражаться снижением роста, увеличением грудного кифоза, острой или хронической болью в спине, умень</w:t>
      </w:r>
      <w:r w:rsidRPr="00BF7C29">
        <w:rPr>
          <w:color w:val="000000"/>
          <w:sz w:val="24"/>
          <w:szCs w:val="24"/>
          <w:lang w:eastAsia="ru-RU" w:bidi="ru-RU"/>
        </w:rPr>
        <w:softHyphen/>
        <w:t>шением объема брюшной полости, снижением трудоспособности и способности к самообслуживанию. Остеопороз также следует по</w:t>
      </w:r>
      <w:r w:rsidRPr="00BF7C29">
        <w:rPr>
          <w:color w:val="000000"/>
          <w:sz w:val="24"/>
          <w:szCs w:val="24"/>
          <w:lang w:eastAsia="ru-RU" w:bidi="ru-RU"/>
        </w:rPr>
        <w:softHyphen/>
        <w:t>дозревать, если рост снизился более чем на 2,5 см за год или на 4 см за жизнь.</w:t>
      </w:r>
    </w:p>
    <w:p w:rsidR="00BF7C29" w:rsidRPr="00BF7C29" w:rsidRDefault="00BF7C29" w:rsidP="0038538C">
      <w:pPr>
        <w:pStyle w:val="1f1"/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 подтверждена связь между показателями МПКТ и болью в спине. Показано, что боль в поясничном отделе позвоночни</w:t>
      </w:r>
      <w:r w:rsidRPr="00BF7C29">
        <w:rPr>
          <w:color w:val="000000"/>
          <w:sz w:val="24"/>
          <w:szCs w:val="24"/>
          <w:lang w:eastAsia="ru-RU" w:bidi="ru-RU"/>
        </w:rPr>
        <w:softHyphen/>
        <w:t>ка — неспецифичный симптом. Более специфичные симптомы остеопоротических переломов тел позвонков — снижение роста, увеличение грудного кифоза и функциональные ограничения. Для переломов такого типа нехарактерна неврологическая сим</w:t>
      </w:r>
      <w:r w:rsidRPr="00BF7C29">
        <w:rPr>
          <w:color w:val="000000"/>
          <w:sz w:val="24"/>
          <w:szCs w:val="24"/>
          <w:lang w:eastAsia="ru-RU" w:bidi="ru-RU"/>
        </w:rPr>
        <w:softHyphen/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птоматика.</w:t>
      </w:r>
    </w:p>
    <w:p w:rsidR="00BF7C29" w:rsidRPr="00BF7C29" w:rsidRDefault="00BF7C29" w:rsidP="0038538C">
      <w:pPr>
        <w:pStyle w:val="3f2"/>
        <w:ind w:firstLine="567"/>
        <w:rPr>
          <w:rFonts w:ascii="Times New Roman" w:hAnsi="Times New Roman" w:cs="Times New Roman"/>
          <w:sz w:val="24"/>
          <w:szCs w:val="24"/>
        </w:rPr>
      </w:pPr>
      <w:bookmarkStart w:id="55" w:name="bookmark283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Анамнез</w:t>
      </w:r>
      <w:bookmarkEnd w:id="55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Проведение остеоденситометрии широкому кругу населения невозможно из-за ограниченности доступа и экономической не</w:t>
      </w:r>
      <w:r w:rsidRPr="00BF7C29">
        <w:rPr>
          <w:color w:val="000000"/>
          <w:sz w:val="24"/>
          <w:szCs w:val="24"/>
          <w:lang w:eastAsia="ru-RU" w:bidi="ru-RU"/>
        </w:rPr>
        <w:softHyphen/>
        <w:t>целесообразности. В силу этих причин знание и учет факторов риска при диагностике и организации профилактики остеопороза приобретают особое значение.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Факторы риска остеопороза.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Немодифицируемые факторы:</w:t>
      </w:r>
    </w:p>
    <w:p w:rsidR="00BF7C29" w:rsidRPr="00BF7C29" w:rsidRDefault="00BF7C29" w:rsidP="0038538C">
      <w:pPr>
        <w:pStyle w:val="1f1"/>
        <w:numPr>
          <w:ilvl w:val="0"/>
          <w:numId w:val="58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низкая МПКТ;</w:t>
      </w:r>
    </w:p>
    <w:p w:rsidR="00BF7C29" w:rsidRPr="00BF7C29" w:rsidRDefault="00BF7C29" w:rsidP="0038538C">
      <w:pPr>
        <w:pStyle w:val="1f1"/>
        <w:numPr>
          <w:ilvl w:val="0"/>
          <w:numId w:val="58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женский пол;</w:t>
      </w:r>
    </w:p>
    <w:p w:rsidR="00BF7C29" w:rsidRPr="00BF7C29" w:rsidRDefault="00BF7C29" w:rsidP="0038538C">
      <w:pPr>
        <w:pStyle w:val="1f1"/>
        <w:numPr>
          <w:ilvl w:val="0"/>
          <w:numId w:val="58"/>
        </w:numPr>
        <w:tabs>
          <w:tab w:val="left" w:pos="74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возраст старше 65 лет;</w:t>
      </w:r>
    </w:p>
    <w:p w:rsidR="00BF7C29" w:rsidRPr="00BF7C29" w:rsidRDefault="00BF7C29" w:rsidP="0038538C">
      <w:pPr>
        <w:pStyle w:val="1f1"/>
        <w:numPr>
          <w:ilvl w:val="0"/>
          <w:numId w:val="58"/>
        </w:numPr>
        <w:tabs>
          <w:tab w:val="left" w:pos="74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европеоидная раса;</w:t>
      </w:r>
    </w:p>
    <w:p w:rsidR="00BF7C29" w:rsidRPr="00BF7C29" w:rsidRDefault="00BF7C29" w:rsidP="0038538C">
      <w:pPr>
        <w:pStyle w:val="1f1"/>
        <w:numPr>
          <w:ilvl w:val="0"/>
          <w:numId w:val="58"/>
        </w:numPr>
        <w:tabs>
          <w:tab w:val="left" w:pos="742"/>
        </w:tabs>
        <w:ind w:left="70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семейный анамнез остеопороза и/или переломов при низком уровне травмы у родственников (матери, отца, сестер) в возрасте после 50 лет;</w:t>
      </w:r>
    </w:p>
    <w:p w:rsidR="00BF7C29" w:rsidRPr="00BF7C29" w:rsidRDefault="00BF7C29" w:rsidP="0038538C">
      <w:pPr>
        <w:pStyle w:val="1f1"/>
        <w:numPr>
          <w:ilvl w:val="0"/>
          <w:numId w:val="58"/>
        </w:numPr>
        <w:tabs>
          <w:tab w:val="left" w:pos="74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предшествующие переломы;</w:t>
      </w:r>
    </w:p>
    <w:p w:rsidR="00BF7C29" w:rsidRPr="00BF7C29" w:rsidRDefault="00BF7C29" w:rsidP="0038538C">
      <w:pPr>
        <w:pStyle w:val="1f1"/>
        <w:numPr>
          <w:ilvl w:val="0"/>
          <w:numId w:val="58"/>
        </w:numPr>
        <w:tabs>
          <w:tab w:val="left" w:pos="74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гипогонадизм у мужчин и женщин;</w:t>
      </w:r>
    </w:p>
    <w:p w:rsidR="00BF7C29" w:rsidRPr="00BF7C29" w:rsidRDefault="00BF7C29" w:rsidP="0038538C">
      <w:pPr>
        <w:pStyle w:val="1f1"/>
        <w:numPr>
          <w:ilvl w:val="0"/>
          <w:numId w:val="58"/>
        </w:numPr>
        <w:tabs>
          <w:tab w:val="left" w:pos="742"/>
        </w:tabs>
        <w:ind w:left="70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ранняя (в том числе хирургическая) менопауза у жен</w:t>
      </w:r>
      <w:r w:rsidRPr="00BF7C29">
        <w:rPr>
          <w:color w:val="000000"/>
          <w:sz w:val="24"/>
          <w:szCs w:val="24"/>
          <w:lang w:eastAsia="ru-RU" w:bidi="ru-RU"/>
        </w:rPr>
        <w:softHyphen/>
        <w:t>щин;</w:t>
      </w:r>
    </w:p>
    <w:p w:rsidR="00BF7C29" w:rsidRPr="00BF7C29" w:rsidRDefault="00BF7C29" w:rsidP="0038538C">
      <w:pPr>
        <w:pStyle w:val="1f1"/>
        <w:numPr>
          <w:ilvl w:val="0"/>
          <w:numId w:val="58"/>
        </w:numPr>
        <w:tabs>
          <w:tab w:val="left" w:pos="742"/>
        </w:tabs>
        <w:ind w:left="70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заболевания, приводящие к остеопорозу (см. классифи</w:t>
      </w:r>
      <w:r w:rsidRPr="00BF7C29">
        <w:rPr>
          <w:color w:val="000000"/>
          <w:sz w:val="24"/>
          <w:szCs w:val="24"/>
          <w:lang w:eastAsia="ru-RU" w:bidi="ru-RU"/>
        </w:rPr>
        <w:softHyphen/>
        <w:t>кацию);</w:t>
      </w:r>
    </w:p>
    <w:p w:rsidR="00BF7C29" w:rsidRPr="00BF7C29" w:rsidRDefault="00BF7C29" w:rsidP="0038538C">
      <w:pPr>
        <w:pStyle w:val="1f1"/>
        <w:numPr>
          <w:ilvl w:val="0"/>
          <w:numId w:val="58"/>
        </w:numPr>
        <w:tabs>
          <w:tab w:val="left" w:pos="74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прием глюкокортикоидов;</w:t>
      </w:r>
    </w:p>
    <w:p w:rsidR="00BF7C29" w:rsidRPr="00BF7C29" w:rsidRDefault="00BF7C29" w:rsidP="0038538C">
      <w:pPr>
        <w:pStyle w:val="1f1"/>
        <w:numPr>
          <w:ilvl w:val="0"/>
          <w:numId w:val="58"/>
        </w:numPr>
        <w:tabs>
          <w:tab w:val="left" w:pos="74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длительная иммобилизация.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Модифицируемые факторы:</w:t>
      </w:r>
    </w:p>
    <w:p w:rsidR="00BF7C29" w:rsidRPr="00BF7C29" w:rsidRDefault="00BF7C29" w:rsidP="0038538C">
      <w:pPr>
        <w:pStyle w:val="1f1"/>
        <w:numPr>
          <w:ilvl w:val="0"/>
          <w:numId w:val="59"/>
        </w:numPr>
        <w:tabs>
          <w:tab w:val="left" w:pos="74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низкая физическая активность;</w:t>
      </w:r>
    </w:p>
    <w:p w:rsidR="00BF7C29" w:rsidRPr="00BF7C29" w:rsidRDefault="00BF7C29" w:rsidP="0038538C">
      <w:pPr>
        <w:pStyle w:val="1f1"/>
        <w:numPr>
          <w:ilvl w:val="0"/>
          <w:numId w:val="59"/>
        </w:numPr>
        <w:tabs>
          <w:tab w:val="left" w:pos="74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курение;</w:t>
      </w:r>
    </w:p>
    <w:p w:rsidR="00BF7C29" w:rsidRPr="00BF7C29" w:rsidRDefault="00BF7C29" w:rsidP="0038538C">
      <w:pPr>
        <w:pStyle w:val="1f1"/>
        <w:numPr>
          <w:ilvl w:val="0"/>
          <w:numId w:val="59"/>
        </w:numPr>
        <w:tabs>
          <w:tab w:val="left" w:pos="74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низкое потребление кальция;</w:t>
      </w:r>
    </w:p>
    <w:p w:rsidR="00BF7C29" w:rsidRPr="00BF7C29" w:rsidRDefault="00BF7C29" w:rsidP="0038538C">
      <w:pPr>
        <w:pStyle w:val="1f1"/>
        <w:numPr>
          <w:ilvl w:val="0"/>
          <w:numId w:val="59"/>
        </w:numPr>
        <w:tabs>
          <w:tab w:val="left" w:pos="74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дефицит витамина </w:t>
      </w:r>
      <w:r w:rsidRPr="00BF7C29">
        <w:rPr>
          <w:color w:val="000000"/>
          <w:sz w:val="24"/>
          <w:szCs w:val="24"/>
          <w:lang w:val="en-US" w:bidi="en-US"/>
        </w:rPr>
        <w:t>D;</w:t>
      </w:r>
    </w:p>
    <w:p w:rsidR="00BF7C29" w:rsidRPr="00BF7C29" w:rsidRDefault="00BF7C29" w:rsidP="0038538C">
      <w:pPr>
        <w:pStyle w:val="1f1"/>
        <w:numPr>
          <w:ilvl w:val="0"/>
          <w:numId w:val="59"/>
        </w:numPr>
        <w:tabs>
          <w:tab w:val="left" w:pos="74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склонность к падениям;</w:t>
      </w:r>
    </w:p>
    <w:p w:rsidR="00BF7C29" w:rsidRPr="00BF7C29" w:rsidRDefault="00BF7C29" w:rsidP="0038538C">
      <w:pPr>
        <w:pStyle w:val="1f1"/>
        <w:numPr>
          <w:ilvl w:val="0"/>
          <w:numId w:val="59"/>
        </w:numPr>
        <w:tabs>
          <w:tab w:val="left" w:pos="74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злоупотребление алкоголем;</w:t>
      </w:r>
    </w:p>
    <w:p w:rsidR="00BF7C29" w:rsidRPr="00BF7C29" w:rsidRDefault="00BF7C29" w:rsidP="0038538C">
      <w:pPr>
        <w:pStyle w:val="1f1"/>
        <w:numPr>
          <w:ilvl w:val="0"/>
          <w:numId w:val="59"/>
        </w:numPr>
        <w:tabs>
          <w:tab w:val="left" w:pos="742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низкий ИМТ (&lt;20 кг/м</w:t>
      </w:r>
      <w:r w:rsidRPr="00BF7C29">
        <w:rPr>
          <w:color w:val="000000"/>
          <w:sz w:val="24"/>
          <w:szCs w:val="24"/>
          <w:vertAlign w:val="superscript"/>
          <w:lang w:eastAsia="ru-RU" w:bidi="ru-RU"/>
        </w:rPr>
        <w:t>2</w:t>
      </w:r>
      <w:r w:rsidRPr="00BF7C29">
        <w:rPr>
          <w:color w:val="000000"/>
          <w:sz w:val="24"/>
          <w:szCs w:val="24"/>
          <w:lang w:eastAsia="ru-RU" w:bidi="ru-RU"/>
        </w:rPr>
        <w:t>) и/или масса тела менее 57 кг.</w:t>
      </w:r>
    </w:p>
    <w:p w:rsidR="00BF7C29" w:rsidRPr="00BF7C29" w:rsidRDefault="00BF7C29" w:rsidP="0038538C">
      <w:pPr>
        <w:pStyle w:val="3f2"/>
        <w:spacing w:after="40"/>
        <w:ind w:firstLine="567"/>
        <w:rPr>
          <w:rFonts w:ascii="Times New Roman" w:hAnsi="Times New Roman" w:cs="Times New Roman"/>
          <w:sz w:val="24"/>
          <w:szCs w:val="24"/>
        </w:rPr>
      </w:pPr>
      <w:bookmarkStart w:id="56" w:name="bookmark283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56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Предполагает решение следующих задач:</w:t>
      </w:r>
    </w:p>
    <w:p w:rsidR="00BF7C29" w:rsidRPr="00BF7C29" w:rsidRDefault="00BF7C29" w:rsidP="0038538C">
      <w:pPr>
        <w:pStyle w:val="1f1"/>
        <w:numPr>
          <w:ilvl w:val="0"/>
          <w:numId w:val="60"/>
        </w:numPr>
        <w:tabs>
          <w:tab w:val="left" w:pos="484"/>
        </w:tabs>
        <w:ind w:left="46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установление остеопении (симптома сниженной плотности костей) и выявление осложнений остеопороза — переломов костей;</w:t>
      </w:r>
    </w:p>
    <w:p w:rsidR="00BF7C29" w:rsidRPr="00BF7C29" w:rsidRDefault="00BF7C29" w:rsidP="0038538C">
      <w:pPr>
        <w:pStyle w:val="1f1"/>
        <w:numPr>
          <w:ilvl w:val="0"/>
          <w:numId w:val="60"/>
        </w:numPr>
        <w:tabs>
          <w:tab w:val="left" w:pos="484"/>
        </w:tabs>
        <w:ind w:left="46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оценку уровня метаболизма в костной ткани путем иссле</w:t>
      </w:r>
      <w:r w:rsidRPr="00BF7C29">
        <w:rPr>
          <w:color w:val="000000"/>
          <w:sz w:val="24"/>
          <w:szCs w:val="24"/>
          <w:lang w:eastAsia="ru-RU" w:bidi="ru-RU"/>
        </w:rPr>
        <w:softHyphen/>
        <w:t>дования биохимических и/или морфологических маркеров костной резорбции и костеобразования, а также показате</w:t>
      </w:r>
      <w:r w:rsidRPr="00BF7C29">
        <w:rPr>
          <w:color w:val="000000"/>
          <w:sz w:val="24"/>
          <w:szCs w:val="24"/>
          <w:lang w:eastAsia="ru-RU" w:bidi="ru-RU"/>
        </w:rPr>
        <w:softHyphen/>
        <w:t>лей фосфорно-кальциевого обмена;</w:t>
      </w:r>
    </w:p>
    <w:p w:rsidR="00BF7C29" w:rsidRPr="00BF7C29" w:rsidRDefault="00BF7C29" w:rsidP="0038538C">
      <w:pPr>
        <w:pStyle w:val="1f1"/>
        <w:numPr>
          <w:ilvl w:val="0"/>
          <w:numId w:val="60"/>
        </w:numPr>
        <w:tabs>
          <w:tab w:val="left" w:pos="484"/>
        </w:tabs>
        <w:spacing w:after="40"/>
        <w:ind w:left="46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выяснение причин остеопении и дифференциальная диа</w:t>
      </w:r>
      <w:r w:rsidRPr="00BF7C29">
        <w:rPr>
          <w:color w:val="000000"/>
          <w:sz w:val="24"/>
          <w:szCs w:val="24"/>
          <w:lang w:eastAsia="ru-RU" w:bidi="ru-RU"/>
        </w:rPr>
        <w:softHyphen/>
        <w:t>гностика с другими формами метаболических остеопатий.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7" w:name="bookmark284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Инструментальная диагностика</w:t>
      </w:r>
      <w:bookmarkEnd w:id="57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>Рентгенография костей скелета</w:t>
      </w:r>
      <w:r w:rsidRPr="00BF7C29">
        <w:rPr>
          <w:color w:val="000000"/>
          <w:sz w:val="24"/>
          <w:szCs w:val="24"/>
          <w:lang w:eastAsia="ru-RU" w:bidi="ru-RU"/>
        </w:rPr>
        <w:t>. Наиболее широко распро</w:t>
      </w:r>
      <w:r w:rsidRPr="00BF7C29">
        <w:rPr>
          <w:color w:val="000000"/>
          <w:sz w:val="24"/>
          <w:szCs w:val="24"/>
          <w:lang w:eastAsia="ru-RU" w:bidi="ru-RU"/>
        </w:rPr>
        <w:softHyphen/>
        <w:t>страненный и общепринятый метод установления остеопении — визуальная оценка рентгенограмм скелета. При своей простоте этот метод определяет лишь выраженные стадии остеопороза и не годится для оценки динамики изменений в костной ткани. Од</w:t>
      </w:r>
      <w:r w:rsidRPr="00BF7C29">
        <w:rPr>
          <w:color w:val="000000"/>
          <w:sz w:val="24"/>
          <w:szCs w:val="24"/>
          <w:lang w:eastAsia="ru-RU" w:bidi="ru-RU"/>
        </w:rPr>
        <w:softHyphen/>
        <w:t>нако он незаменим для диагностики осложнений остеопороза — переломов.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Для остеопороза позвоночника характерны следующие дефор</w:t>
      </w:r>
      <w:r w:rsidRPr="00BF7C29">
        <w:rPr>
          <w:color w:val="000000"/>
          <w:sz w:val="24"/>
          <w:szCs w:val="24"/>
          <w:lang w:eastAsia="ru-RU" w:bidi="ru-RU"/>
        </w:rPr>
        <w:softHyphen/>
        <w:t>мации тел позвонков:</w:t>
      </w:r>
    </w:p>
    <w:p w:rsidR="00BF7C29" w:rsidRPr="00BF7C29" w:rsidRDefault="00BF7C29" w:rsidP="0038538C">
      <w:pPr>
        <w:pStyle w:val="1f1"/>
        <w:numPr>
          <w:ilvl w:val="0"/>
          <w:numId w:val="60"/>
        </w:numPr>
        <w:tabs>
          <w:tab w:val="left" w:pos="45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передняя клиновидная — наибольшее уменьшение передней высоты, в меньшей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степени средней высоты и неизмененная задняя высота тела позвонка;</w:t>
      </w:r>
    </w:p>
    <w:p w:rsidR="00BF7C29" w:rsidRPr="00BF7C29" w:rsidRDefault="00BF7C29" w:rsidP="0038538C">
      <w:pPr>
        <w:pStyle w:val="1f1"/>
        <w:numPr>
          <w:ilvl w:val="0"/>
          <w:numId w:val="60"/>
        </w:numPr>
        <w:tabs>
          <w:tab w:val="left" w:pos="45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задняя клиновидная — наибольшее снижение задней вы</w:t>
      </w:r>
      <w:r w:rsidRPr="00BF7C29">
        <w:rPr>
          <w:color w:val="000000"/>
          <w:sz w:val="24"/>
          <w:szCs w:val="24"/>
          <w:lang w:eastAsia="ru-RU" w:bidi="ru-RU"/>
        </w:rPr>
        <w:softHyphen/>
        <w:t>соты, в меньшей степени средней и небольшое снижение передней высоты тела позвонка или его отсутствие;</w:t>
      </w:r>
    </w:p>
    <w:p w:rsidR="00BF7C29" w:rsidRPr="00BF7C29" w:rsidRDefault="00BF7C29" w:rsidP="0038538C">
      <w:pPr>
        <w:pStyle w:val="1f1"/>
        <w:numPr>
          <w:ilvl w:val="0"/>
          <w:numId w:val="60"/>
        </w:numPr>
        <w:tabs>
          <w:tab w:val="left" w:pos="45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односторонняя вогнутая деформация тела позвонка (про</w:t>
      </w:r>
      <w:r w:rsidRPr="00BF7C29">
        <w:rPr>
          <w:color w:val="000000"/>
          <w:sz w:val="24"/>
          <w:szCs w:val="24"/>
          <w:lang w:eastAsia="ru-RU" w:bidi="ru-RU"/>
        </w:rPr>
        <w:softHyphen/>
        <w:t>лапс верхней или нижней опорной площадки внутрь тела позвонка) — уменьшение средней высоты и небольшое сни</w:t>
      </w:r>
      <w:r w:rsidRPr="00BF7C29">
        <w:rPr>
          <w:color w:val="000000"/>
          <w:sz w:val="24"/>
          <w:szCs w:val="24"/>
          <w:lang w:eastAsia="ru-RU" w:bidi="ru-RU"/>
        </w:rPr>
        <w:softHyphen/>
        <w:t>жение или его отсутствие передней и задней высоты иссле</w:t>
      </w:r>
      <w:r w:rsidRPr="00BF7C29">
        <w:rPr>
          <w:color w:val="000000"/>
          <w:sz w:val="24"/>
          <w:szCs w:val="24"/>
          <w:lang w:eastAsia="ru-RU" w:bidi="ru-RU"/>
        </w:rPr>
        <w:softHyphen/>
        <w:t>дуемого тела позвонка;</w:t>
      </w:r>
    </w:p>
    <w:p w:rsidR="00BF7C29" w:rsidRPr="00BF7C29" w:rsidRDefault="00BF7C29" w:rsidP="0038538C">
      <w:pPr>
        <w:pStyle w:val="1f1"/>
        <w:numPr>
          <w:ilvl w:val="0"/>
          <w:numId w:val="60"/>
        </w:numPr>
        <w:tabs>
          <w:tab w:val="left" w:pos="45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двояковогнутая или деформация тела позвонка по типу «рыбьего» — значительное уменьшение средней высоты и небольшое снижение или его отсутствие передней и задней высоты исследуемого тела позвонка;</w:t>
      </w:r>
    </w:p>
    <w:p w:rsidR="00BF7C29" w:rsidRPr="00BF7C29" w:rsidRDefault="00BF7C29" w:rsidP="0038538C">
      <w:pPr>
        <w:pStyle w:val="1f1"/>
        <w:numPr>
          <w:ilvl w:val="0"/>
          <w:numId w:val="60"/>
        </w:numPr>
        <w:tabs>
          <w:tab w:val="left" w:pos="45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компрессионная — равномерное или неравномерное сниже</w:t>
      </w:r>
      <w:r w:rsidRPr="00BF7C29">
        <w:rPr>
          <w:color w:val="000000"/>
          <w:sz w:val="24"/>
          <w:szCs w:val="24"/>
          <w:lang w:eastAsia="ru-RU" w:bidi="ru-RU"/>
        </w:rPr>
        <w:softHyphen/>
        <w:t>ние всех высот тела позвонка.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Деформация переднего края тела позвонка — изолированное снижение передней высоты при нормальных значениях средней и задней для остеопороза позвоночника нехарактерна, а более свойственна остеохондрозу.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Остеоденситометрия </w:t>
      </w:r>
      <w:r w:rsidRPr="00BF7C29">
        <w:rPr>
          <w:color w:val="000000"/>
          <w:sz w:val="24"/>
          <w:szCs w:val="24"/>
          <w:lang w:eastAsia="ru-RU" w:bidi="ru-RU"/>
        </w:rPr>
        <w:t>(см. главу 3). Для ранней диагностики остеопороза используют различные методы костной денсито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метрии, позволяющие выявить уже 2-5% потери массы кости, оценить динамику МПКТ в процессе развития заболевания или эффективность лечения. Наиболее универсально применение двухэнергетической рентгеновской абсорбциометрии </w:t>
      </w:r>
      <w:r w:rsidRPr="00BF7C29">
        <w:rPr>
          <w:color w:val="000000"/>
          <w:sz w:val="24"/>
          <w:szCs w:val="24"/>
          <w:lang w:bidi="en-US"/>
        </w:rPr>
        <w:t>(</w:t>
      </w:r>
      <w:r w:rsidRPr="00BF7C29">
        <w:rPr>
          <w:color w:val="000000"/>
          <w:sz w:val="24"/>
          <w:szCs w:val="24"/>
          <w:lang w:val="en-US" w:bidi="en-US"/>
        </w:rPr>
        <w:t>DEXA</w:t>
      </w:r>
      <w:r w:rsidRPr="00BF7C29">
        <w:rPr>
          <w:color w:val="000000"/>
          <w:sz w:val="24"/>
          <w:szCs w:val="24"/>
          <w:lang w:bidi="en-US"/>
        </w:rPr>
        <w:t xml:space="preserve">), </w:t>
      </w:r>
      <w:r w:rsidRPr="00BF7C29">
        <w:rPr>
          <w:color w:val="000000"/>
          <w:sz w:val="24"/>
          <w:szCs w:val="24"/>
          <w:lang w:eastAsia="ru-RU" w:bidi="ru-RU"/>
        </w:rPr>
        <w:t>позволяющей измерять содержание костного минерала в любом участке скелета, а также определять содержание солей кальция, жира и мышечной массы во всем организме.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Определение остеопороза разработано ВОЗ для женщин евро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пеоидной расы и основано на определении МПКТ в любой точке по Т-критерию 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анализе результатов костной денситометрии в сопостав</w:t>
      </w:r>
      <w:r w:rsidRPr="00BF7C29">
        <w:rPr>
          <w:color w:val="000000"/>
          <w:sz w:val="24"/>
          <w:szCs w:val="24"/>
          <w:lang w:eastAsia="ru-RU" w:bidi="ru-RU"/>
        </w:rPr>
        <w:softHyphen/>
        <w:t>лении с клинической картиной и рентгенологическими данными следует учитывать, что остеоартроз, деформирующий спондилез со сколиозом, кальцификация мягких тканей и переломов в ме</w:t>
      </w:r>
      <w:r w:rsidRPr="00BF7C29">
        <w:rPr>
          <w:color w:val="000000"/>
          <w:sz w:val="24"/>
          <w:szCs w:val="24"/>
          <w:lang w:eastAsia="ru-RU" w:bidi="ru-RU"/>
        </w:rPr>
        <w:softHyphen/>
        <w:t>сте исследования могут искажать показатели плотности кости в сторону их увеличения. Также целесообразно подчеркнуть, что остеоденситометрия сама по себе не дает возможности поставить нозологический диагноз и не заменяет классического рентгеноло</w:t>
      </w:r>
      <w:r w:rsidRPr="00BF7C29">
        <w:rPr>
          <w:color w:val="000000"/>
          <w:sz w:val="24"/>
          <w:szCs w:val="24"/>
          <w:lang w:eastAsia="ru-RU" w:bidi="ru-RU"/>
        </w:rPr>
        <w:softHyphen/>
        <w:t>гического исследования.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Широко распространенные в России УЗИ периферических ко</w:t>
      </w:r>
      <w:r w:rsidRPr="00BF7C29">
        <w:rPr>
          <w:color w:val="000000"/>
          <w:sz w:val="24"/>
          <w:szCs w:val="24"/>
          <w:lang w:eastAsia="ru-RU" w:bidi="ru-RU"/>
        </w:rPr>
        <w:softHyphen/>
        <w:t>стей (пяточной, большеберцовой, фаланг пальцев рук), измеряю</w:t>
      </w:r>
      <w:r w:rsidRPr="00BF7C29">
        <w:rPr>
          <w:color w:val="000000"/>
          <w:sz w:val="24"/>
          <w:szCs w:val="24"/>
          <w:lang w:eastAsia="ru-RU" w:bidi="ru-RU"/>
        </w:rPr>
        <w:softHyphen/>
        <w:t>щие скорость прохождения ультразвука по кортикальной кости и/или скорость затухания ультразвука (в пяточной кости) — не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строго диагностические методы. С помощью УЗИ можно прогно</w:t>
      </w:r>
      <w:r w:rsidRPr="00BF7C29">
        <w:rPr>
          <w:color w:val="000000"/>
          <w:sz w:val="24"/>
          <w:szCs w:val="24"/>
          <w:lang w:eastAsia="ru-RU" w:bidi="ru-RU"/>
        </w:rPr>
        <w:softHyphen/>
        <w:t>зировать риск переломов костей. УЗИ при значениях Т-критерия ниже на 2,5 стандартных отклонения условно можно считать скринингом для дальнейшего применения рентгеновской остео</w:t>
      </w:r>
      <w:r w:rsidRPr="00BF7C29">
        <w:rPr>
          <w:color w:val="000000"/>
          <w:sz w:val="24"/>
          <w:szCs w:val="24"/>
          <w:lang w:eastAsia="ru-RU" w:bidi="ru-RU"/>
        </w:rPr>
        <w:softHyphen/>
        <w:t>денситометрии.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8" w:name="bookmark284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Лабораторные исследования</w:t>
      </w:r>
      <w:bookmarkEnd w:id="58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Методы оценки состояния метаболизма костной ткани:</w:t>
      </w:r>
    </w:p>
    <w:p w:rsidR="00BF7C29" w:rsidRPr="00BF7C29" w:rsidRDefault="00BF7C29" w:rsidP="0038538C">
      <w:pPr>
        <w:pStyle w:val="1f1"/>
        <w:numPr>
          <w:ilvl w:val="0"/>
          <w:numId w:val="60"/>
        </w:numPr>
        <w:tabs>
          <w:tab w:val="left" w:pos="45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показатели кальций-фосфорного обмена;</w:t>
      </w:r>
    </w:p>
    <w:p w:rsidR="00BF7C29" w:rsidRPr="00BF7C29" w:rsidRDefault="00BF7C29" w:rsidP="0038538C">
      <w:pPr>
        <w:pStyle w:val="1f1"/>
        <w:numPr>
          <w:ilvl w:val="0"/>
          <w:numId w:val="60"/>
        </w:numPr>
        <w:tabs>
          <w:tab w:val="left" w:pos="45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биохимические маркеры костного метаболизма;</w:t>
      </w:r>
    </w:p>
    <w:p w:rsidR="00BF7C29" w:rsidRPr="00BF7C29" w:rsidRDefault="00BF7C29" w:rsidP="0038538C">
      <w:pPr>
        <w:pStyle w:val="1f1"/>
        <w:numPr>
          <w:ilvl w:val="0"/>
          <w:numId w:val="60"/>
        </w:numPr>
        <w:tabs>
          <w:tab w:val="left" w:pos="45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морфологические параметры обмена в костной ткани.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первой группе можно выделить обязательные методы ис</w:t>
      </w:r>
      <w:r w:rsidRPr="00BF7C29">
        <w:rPr>
          <w:color w:val="000000"/>
          <w:sz w:val="24"/>
          <w:szCs w:val="24"/>
          <w:lang w:eastAsia="ru-RU" w:bidi="ru-RU"/>
        </w:rPr>
        <w:softHyphen/>
        <w:t>следования, к которым относят: определение в крови общего или ионизированного кальция, фосфора, активности общей ЩФ, а также изучение суточной экскреции кальция и фосфора или их исследование в моче натощак по отношению к экскреции креа</w:t>
      </w:r>
      <w:r w:rsidRPr="00BF7C29">
        <w:rPr>
          <w:color w:val="000000"/>
          <w:sz w:val="24"/>
          <w:szCs w:val="24"/>
          <w:lang w:eastAsia="ru-RU" w:bidi="ru-RU"/>
        </w:rPr>
        <w:softHyphen/>
        <w:t>тинина. При выявлении отклонений в указанных показателях по показаниям проводят измерение уровня ПТГ (дифференци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альную диагностику остеопороза и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первичного и вторичного ги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перпаратиреоза) и метаболитов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(дифференциальную диагностику с остеомаляцией).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Биохимические маркеры костного метаболизма исследуют для оценки скорости протекания процессов костного ремоделирова</w:t>
      </w:r>
      <w:r w:rsidRPr="00BF7C29">
        <w:rPr>
          <w:color w:val="000000"/>
          <w:sz w:val="24"/>
          <w:szCs w:val="24"/>
          <w:lang w:eastAsia="ru-RU" w:bidi="ru-RU"/>
        </w:rPr>
        <w:softHyphen/>
        <w:t>ния и диагностики остеопороза с высоким или низким темпом костного обмена или разобщенности (дисбаланса) его составляю</w:t>
      </w:r>
      <w:r w:rsidRPr="00BF7C29">
        <w:rPr>
          <w:color w:val="000000"/>
          <w:sz w:val="24"/>
          <w:szCs w:val="24"/>
          <w:lang w:eastAsia="ru-RU" w:bidi="ru-RU"/>
        </w:rPr>
        <w:softHyphen/>
        <w:t>щих — костной резорбции и костеобразования. Их определение необязательно. Золотым стандартом среди маркеров костеобра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зования в настоящее время признают исследование костной ЩФ или остеокальцина. К маркерам резорбции костной ткани относят определение пиридинолина, дезоксипиридинолина и </w:t>
      </w:r>
      <w:r w:rsidRPr="00BF7C29">
        <w:rPr>
          <w:color w:val="000000"/>
          <w:sz w:val="24"/>
          <w:szCs w:val="24"/>
          <w:lang w:val="en-US" w:bidi="en-US"/>
        </w:rPr>
        <w:t>N</w:t>
      </w:r>
      <w:r w:rsidRPr="00BF7C29">
        <w:rPr>
          <w:color w:val="000000"/>
          <w:sz w:val="24"/>
          <w:szCs w:val="24"/>
          <w:lang w:eastAsia="ru-RU" w:bidi="ru-RU"/>
        </w:rPr>
        <w:t xml:space="preserve">-концевых телопептидов в моче натощак, исследование С- и </w:t>
      </w:r>
      <w:r w:rsidRPr="00BF7C29">
        <w:rPr>
          <w:color w:val="000000"/>
          <w:sz w:val="24"/>
          <w:szCs w:val="24"/>
          <w:lang w:val="en-US" w:bidi="en-US"/>
        </w:rPr>
        <w:t>N</w:t>
      </w:r>
      <w:r w:rsidRPr="00BF7C29">
        <w:rPr>
          <w:color w:val="000000"/>
          <w:sz w:val="24"/>
          <w:szCs w:val="24"/>
          <w:lang w:eastAsia="ru-RU" w:bidi="ru-RU"/>
        </w:rPr>
        <w:t>-концевых те- лопептидов в крови.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остеопенических процессах неясного происхождения в дифференциальной диагностике важна биопсия костной ткани из гребня крыла подвздошной кости. Она позволяет различить осте</w:t>
      </w:r>
      <w:r w:rsidRPr="00BF7C29">
        <w:rPr>
          <w:color w:val="000000"/>
          <w:sz w:val="24"/>
          <w:szCs w:val="24"/>
          <w:lang w:eastAsia="ru-RU" w:bidi="ru-RU"/>
        </w:rPr>
        <w:softHyphen/>
        <w:t>опороз и остеомаляцию, а также другие виды патологии костной ткани. С помощью гистоморфометрического исследования био- птата уточняют тип обмена в костной ткани.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9" w:name="bookmark284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Дифференциальная диагностика</w:t>
      </w:r>
      <w:bookmarkEnd w:id="59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Дифференциальный диагноз первичного остеопороза при от</w:t>
      </w:r>
      <w:r w:rsidRPr="00BF7C29">
        <w:rPr>
          <w:color w:val="000000"/>
          <w:sz w:val="24"/>
          <w:szCs w:val="24"/>
          <w:lang w:eastAsia="ru-RU" w:bidi="ru-RU"/>
        </w:rPr>
        <w:softHyphen/>
        <w:t>сутствии признаков заболеваний, характеризующихся развити</w:t>
      </w:r>
      <w:r w:rsidRPr="00BF7C29">
        <w:rPr>
          <w:color w:val="000000"/>
          <w:sz w:val="24"/>
          <w:szCs w:val="24"/>
          <w:lang w:eastAsia="ru-RU" w:bidi="ru-RU"/>
        </w:rPr>
        <w:softHyphen/>
        <w:t>ем вторичного остеопороза, проводят с остеомаляцией, костной формой первичного гиперпаратиреоза, остеопоротической фор</w:t>
      </w:r>
      <w:r w:rsidRPr="00BF7C29">
        <w:rPr>
          <w:color w:val="000000"/>
          <w:sz w:val="24"/>
          <w:szCs w:val="24"/>
          <w:lang w:eastAsia="ru-RU" w:bidi="ru-RU"/>
        </w:rPr>
        <w:softHyphen/>
        <w:t>мой болезни Педжета, миеломной болезнью и костными метаста</w:t>
      </w:r>
      <w:r w:rsidRPr="00BF7C29">
        <w:rPr>
          <w:color w:val="000000"/>
          <w:sz w:val="24"/>
          <w:szCs w:val="24"/>
          <w:lang w:eastAsia="ru-RU" w:bidi="ru-RU"/>
        </w:rPr>
        <w:softHyphen/>
        <w:t>зами. В приведены дифференциально-диагностические критерии метаболических остеопатий по биохимическим показа</w:t>
      </w:r>
      <w:r w:rsidRPr="00BF7C29">
        <w:rPr>
          <w:color w:val="000000"/>
          <w:sz w:val="24"/>
          <w:szCs w:val="24"/>
          <w:lang w:eastAsia="ru-RU" w:bidi="ru-RU"/>
        </w:rPr>
        <w:softHyphen/>
        <w:t>телям.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Все случаи диагностированных переломов вследствие остео</w:t>
      </w:r>
      <w:r w:rsidRPr="00BF7C29">
        <w:rPr>
          <w:sz w:val="24"/>
          <w:szCs w:val="24"/>
          <w:lang w:bidi="ru-RU"/>
        </w:rPr>
        <w:softHyphen/>
        <w:t>пороза требуют определенной дифференциальной диагности</w:t>
      </w:r>
      <w:r w:rsidRPr="00BF7C29">
        <w:rPr>
          <w:sz w:val="24"/>
          <w:szCs w:val="24"/>
          <w:lang w:bidi="ru-RU"/>
        </w:rPr>
        <w:softHyphen/>
        <w:t>ки, поскольку не только первичный и вторичный остеопороз, но и другие заболевания сопровождаются сходными деформа</w:t>
      </w:r>
      <w:r w:rsidRPr="00BF7C29">
        <w:rPr>
          <w:sz w:val="24"/>
          <w:szCs w:val="24"/>
          <w:lang w:bidi="ru-RU"/>
        </w:rPr>
        <w:softHyphen/>
        <w:t>ционными изменениями тел позвонков. Наибольшее значение среди них имеют остеомаляция, последствия старой травмы по</w:t>
      </w:r>
      <w:r w:rsidRPr="00BF7C29">
        <w:rPr>
          <w:sz w:val="24"/>
          <w:szCs w:val="24"/>
          <w:lang w:bidi="ru-RU"/>
        </w:rPr>
        <w:softHyphen/>
        <w:t>звоночника, деформирующий спондилез, остеохондроз, болезнь Шойерманна-Мау, спондилиты, вторичные опухоли скелета и некоторые другие заболевания позвоночника, приводящие к его кифотическому искривлению и снижению роста у пациентов.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b/>
          <w:bCs/>
          <w:sz w:val="24"/>
          <w:szCs w:val="24"/>
          <w:lang w:bidi="ru-RU"/>
        </w:rPr>
      </w:pPr>
      <w:bookmarkStart w:id="60" w:name="bookmark2847"/>
      <w:r w:rsidRPr="00BF7C29">
        <w:rPr>
          <w:b/>
          <w:bCs/>
          <w:sz w:val="24"/>
          <w:szCs w:val="24"/>
          <w:lang w:bidi="ru-RU"/>
        </w:rPr>
        <w:t>Диагноз</w:t>
      </w:r>
      <w:bookmarkEnd w:id="60"/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• Форма:</w:t>
      </w:r>
    </w:p>
    <w:p w:rsidR="00BF7C29" w:rsidRPr="00BF7C29" w:rsidRDefault="00BF7C29" w:rsidP="0038538C">
      <w:pPr>
        <w:pStyle w:val="1f1"/>
        <w:numPr>
          <w:ilvl w:val="0"/>
          <w:numId w:val="61"/>
        </w:numPr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остеопороз первичный (постменопаузальный, сениль</w:t>
      </w:r>
      <w:r w:rsidRPr="00BF7C29">
        <w:rPr>
          <w:sz w:val="24"/>
          <w:szCs w:val="24"/>
          <w:lang w:bidi="ru-RU"/>
        </w:rPr>
        <w:softHyphen/>
        <w:t>ный, идиопатический);</w:t>
      </w:r>
    </w:p>
    <w:p w:rsidR="00BF7C29" w:rsidRPr="00BF7C29" w:rsidRDefault="00BF7C29" w:rsidP="0038538C">
      <w:pPr>
        <w:pStyle w:val="1f1"/>
        <w:numPr>
          <w:ilvl w:val="0"/>
          <w:numId w:val="61"/>
        </w:numPr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остеопороз вторичный (указывается возможная причи</w:t>
      </w:r>
      <w:r w:rsidRPr="00BF7C29">
        <w:rPr>
          <w:sz w:val="24"/>
          <w:szCs w:val="24"/>
          <w:lang w:bidi="ru-RU"/>
        </w:rPr>
        <w:softHyphen/>
        <w:t>на).</w:t>
      </w:r>
    </w:p>
    <w:p w:rsidR="00BF7C29" w:rsidRPr="00BF7C29" w:rsidRDefault="00BF7C29" w:rsidP="0038538C">
      <w:pPr>
        <w:pStyle w:val="1f1"/>
        <w:numPr>
          <w:ilvl w:val="0"/>
          <w:numId w:val="62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Наличие или отсутствие переломов костей, их локализация. При указании в анамнезе на переломы костей при мини</w:t>
      </w:r>
      <w:r w:rsidRPr="00BF7C29">
        <w:rPr>
          <w:sz w:val="24"/>
          <w:szCs w:val="24"/>
          <w:lang w:bidi="ru-RU"/>
        </w:rPr>
        <w:softHyphen/>
        <w:t>мальной травме ставится тяжелая форма заболевания.</w:t>
      </w:r>
    </w:p>
    <w:p w:rsidR="00BF7C29" w:rsidRPr="00BF7C29" w:rsidRDefault="00BF7C29" w:rsidP="0038538C">
      <w:pPr>
        <w:pStyle w:val="1f1"/>
        <w:numPr>
          <w:ilvl w:val="0"/>
          <w:numId w:val="62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 xml:space="preserve">Указывается снижение МПКТ по </w:t>
      </w:r>
      <w:r w:rsidRPr="00BF7C29">
        <w:rPr>
          <w:sz w:val="24"/>
          <w:szCs w:val="24"/>
          <w:lang w:bidi="en-US"/>
        </w:rPr>
        <w:t>T</w:t>
      </w:r>
      <w:r w:rsidRPr="00BF7C29">
        <w:rPr>
          <w:sz w:val="24"/>
          <w:szCs w:val="24"/>
          <w:lang w:bidi="ru-RU"/>
        </w:rPr>
        <w:t>-критерию, данным рент</w:t>
      </w:r>
      <w:r w:rsidRPr="00BF7C29">
        <w:rPr>
          <w:sz w:val="24"/>
          <w:szCs w:val="24"/>
          <w:lang w:bidi="ru-RU"/>
        </w:rPr>
        <w:softHyphen/>
        <w:t>геновской абсорбциометрии в области скелета с наихудши</w:t>
      </w:r>
      <w:r w:rsidRPr="00BF7C29">
        <w:rPr>
          <w:sz w:val="24"/>
          <w:szCs w:val="24"/>
          <w:lang w:bidi="ru-RU"/>
        </w:rPr>
        <w:softHyphen/>
        <w:t>ми значениями.</w:t>
      </w:r>
    </w:p>
    <w:p w:rsidR="00BF7C29" w:rsidRPr="00BF7C29" w:rsidRDefault="00BF7C29" w:rsidP="0038538C">
      <w:pPr>
        <w:pStyle w:val="1f1"/>
        <w:numPr>
          <w:ilvl w:val="0"/>
          <w:numId w:val="62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Характер течения заболевания.</w:t>
      </w:r>
    </w:p>
    <w:p w:rsidR="00BF7C29" w:rsidRPr="00BF7C29" w:rsidRDefault="00BF7C29" w:rsidP="0038538C">
      <w:pPr>
        <w:pStyle w:val="1f1"/>
        <w:numPr>
          <w:ilvl w:val="0"/>
          <w:numId w:val="63"/>
        </w:numPr>
        <w:tabs>
          <w:tab w:val="left" w:pos="467"/>
        </w:tabs>
        <w:ind w:firstLine="567"/>
        <w:jc w:val="both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Положительная динамика.</w:t>
      </w:r>
    </w:p>
    <w:p w:rsidR="00BF7C29" w:rsidRPr="00BF7C29" w:rsidRDefault="00BF7C29" w:rsidP="0038538C">
      <w:pPr>
        <w:pStyle w:val="1f1"/>
        <w:numPr>
          <w:ilvl w:val="0"/>
          <w:numId w:val="63"/>
        </w:numPr>
        <w:tabs>
          <w:tab w:val="left" w:pos="467"/>
        </w:tabs>
        <w:ind w:firstLine="567"/>
        <w:jc w:val="both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Стабилизация.</w:t>
      </w:r>
    </w:p>
    <w:p w:rsidR="00BF7C29" w:rsidRPr="00BF7C29" w:rsidRDefault="00BF7C29" w:rsidP="0038538C">
      <w:pPr>
        <w:pStyle w:val="1f1"/>
        <w:numPr>
          <w:ilvl w:val="0"/>
          <w:numId w:val="63"/>
        </w:numPr>
        <w:tabs>
          <w:tab w:val="left" w:pos="467"/>
        </w:tabs>
        <w:ind w:firstLine="567"/>
        <w:jc w:val="both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Прогрессирование.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Положительную динамику устанавливают при обнаружении прироста МПКТ более чем на 3% за год при отсутствии новых переломов.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Стабильным можно считать состояние, когда нет новых пере</w:t>
      </w:r>
      <w:r w:rsidRPr="00BF7C29">
        <w:rPr>
          <w:sz w:val="24"/>
          <w:szCs w:val="24"/>
          <w:lang w:bidi="ru-RU"/>
        </w:rPr>
        <w:softHyphen/>
        <w:t>ломов костей, но нет и прироста МПКТ или ее снижения (±2%).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lastRenderedPageBreak/>
        <w:t>Прогрессирование остеопороза (отрицательную динамику) определяют при возникновении новых переломов за период ле</w:t>
      </w:r>
      <w:r w:rsidRPr="00BF7C29">
        <w:rPr>
          <w:sz w:val="24"/>
          <w:szCs w:val="24"/>
          <w:lang w:bidi="ru-RU"/>
        </w:rPr>
        <w:softHyphen/>
        <w:t>чения и/или при снижении МПКТ более чем на 3% за год.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Оценка динамики течения остеопороза имеет значение как для принятия решения о дальнейшей терапии, так и для заключений при направлении на экспертизу трудоспособности.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jc w:val="both"/>
        <w:rPr>
          <w:b/>
          <w:bCs/>
          <w:sz w:val="24"/>
          <w:szCs w:val="24"/>
          <w:lang w:bidi="ru-RU"/>
        </w:rPr>
      </w:pPr>
      <w:bookmarkStart w:id="61" w:name="bookmark2849"/>
      <w:r w:rsidRPr="00BF7C29">
        <w:rPr>
          <w:b/>
          <w:bCs/>
          <w:sz w:val="24"/>
          <w:szCs w:val="24"/>
          <w:lang w:bidi="ru-RU"/>
        </w:rPr>
        <w:t>Лечение</w:t>
      </w:r>
      <w:bookmarkEnd w:id="61"/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b/>
          <w:bCs/>
          <w:sz w:val="24"/>
          <w:szCs w:val="24"/>
          <w:lang w:bidi="ru-RU"/>
        </w:rPr>
      </w:pPr>
      <w:bookmarkStart w:id="62" w:name="bookmark2851"/>
      <w:r w:rsidRPr="00BF7C29">
        <w:rPr>
          <w:b/>
          <w:bCs/>
          <w:sz w:val="24"/>
          <w:szCs w:val="24"/>
          <w:lang w:bidi="ru-RU"/>
        </w:rPr>
        <w:t>Цели</w:t>
      </w:r>
      <w:bookmarkEnd w:id="62"/>
    </w:p>
    <w:p w:rsidR="00BF7C29" w:rsidRPr="00BF7C29" w:rsidRDefault="00BF7C29" w:rsidP="0038538C">
      <w:pPr>
        <w:pStyle w:val="1f1"/>
        <w:numPr>
          <w:ilvl w:val="0"/>
          <w:numId w:val="64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Предотвращение новых переломов костей;</w:t>
      </w:r>
    </w:p>
    <w:p w:rsidR="00BF7C29" w:rsidRPr="00BF7C29" w:rsidRDefault="00BF7C29" w:rsidP="0038538C">
      <w:pPr>
        <w:pStyle w:val="1f1"/>
        <w:numPr>
          <w:ilvl w:val="0"/>
          <w:numId w:val="64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замедление или прекращение потери массы кости (в идеа</w:t>
      </w:r>
      <w:r w:rsidRPr="00BF7C29">
        <w:rPr>
          <w:sz w:val="24"/>
          <w:szCs w:val="24"/>
          <w:lang w:bidi="ru-RU"/>
        </w:rPr>
        <w:softHyphen/>
        <w:t>ле — ее прирост);</w:t>
      </w:r>
    </w:p>
    <w:p w:rsidR="00BF7C29" w:rsidRPr="00BF7C29" w:rsidRDefault="00BF7C29" w:rsidP="0038538C">
      <w:pPr>
        <w:pStyle w:val="1f1"/>
        <w:numPr>
          <w:ilvl w:val="0"/>
          <w:numId w:val="64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нормализация процессов костного ремоделирования;</w:t>
      </w:r>
    </w:p>
    <w:p w:rsidR="00BF7C29" w:rsidRPr="00BF7C29" w:rsidRDefault="00BF7C29" w:rsidP="0038538C">
      <w:pPr>
        <w:pStyle w:val="1f1"/>
        <w:numPr>
          <w:ilvl w:val="0"/>
          <w:numId w:val="64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уменьшение болевого синдрома, расширение двигательной активности;</w:t>
      </w:r>
    </w:p>
    <w:p w:rsidR="00BF7C29" w:rsidRPr="00BF7C29" w:rsidRDefault="00BF7C29" w:rsidP="0038538C">
      <w:pPr>
        <w:pStyle w:val="1f1"/>
        <w:numPr>
          <w:ilvl w:val="0"/>
          <w:numId w:val="64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улучшение качества жизни пациента.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Свежие (1-2-недельной давности) компрессионные переломы тел позвонков с выраженным болевым синдромом и перифериче</w:t>
      </w:r>
      <w:r w:rsidRPr="00BF7C29">
        <w:rPr>
          <w:sz w:val="24"/>
          <w:szCs w:val="24"/>
          <w:lang w:bidi="ru-RU"/>
        </w:rPr>
        <w:softHyphen/>
        <w:t>ские переломы, требующие хирургического лечения.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b/>
          <w:bCs/>
          <w:sz w:val="24"/>
          <w:szCs w:val="24"/>
          <w:lang w:bidi="ru-RU"/>
        </w:rPr>
      </w:pPr>
      <w:bookmarkStart w:id="63" w:name="bookmark2855"/>
      <w:r w:rsidRPr="00BF7C29">
        <w:rPr>
          <w:b/>
          <w:bCs/>
          <w:sz w:val="24"/>
          <w:szCs w:val="24"/>
          <w:lang w:bidi="ru-RU"/>
        </w:rPr>
        <w:t>Немедикаментозное лечение</w:t>
      </w:r>
      <w:bookmarkEnd w:id="63"/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Регулярно выполняемые упражнения (включающие силовые, упражнения на растяжение и тренировку равновесия), а также ходьба увеличивают мышечную силу, улучшают координацию движений, уменьшают боль в спине и потребность в анальгети</w:t>
      </w:r>
      <w:r w:rsidRPr="00BF7C29">
        <w:rPr>
          <w:sz w:val="24"/>
          <w:szCs w:val="24"/>
          <w:lang w:bidi="ru-RU"/>
        </w:rPr>
        <w:softHyphen/>
        <w:t>ках, способствуют улучшению качества жизни у лиц с остеопоро- тическими переломами тел позвонков.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Поддержку спины (корсеты) после переломов лучше исполь</w:t>
      </w:r>
      <w:r w:rsidRPr="00BF7C29">
        <w:rPr>
          <w:sz w:val="24"/>
          <w:szCs w:val="24"/>
          <w:lang w:bidi="ru-RU"/>
        </w:rPr>
        <w:softHyphen/>
        <w:t>зовать как временное дополнение к общему комплексу меро</w:t>
      </w:r>
      <w:r w:rsidRPr="00BF7C29">
        <w:rPr>
          <w:sz w:val="24"/>
          <w:szCs w:val="24"/>
          <w:lang w:bidi="ru-RU"/>
        </w:rPr>
        <w:softHyphen/>
        <w:t>приятий. Корсеты могут уменьшить боль благодаря ограничению подвижности пораженного отдела позвоночника и тем самым способствовать более раннему восстановлению физической ак</w:t>
      </w:r>
      <w:r w:rsidRPr="00BF7C29">
        <w:rPr>
          <w:sz w:val="24"/>
          <w:szCs w:val="24"/>
          <w:lang w:bidi="ru-RU"/>
        </w:rPr>
        <w:softHyphen/>
        <w:t>тивности. Наиболее часто используют полужесткие корсеты или полукорсеты, носить которые рекомендуют в постоянном или прерывистом режиме с обязательным освобождением от них в пе</w:t>
      </w:r>
      <w:r w:rsidRPr="00BF7C29">
        <w:rPr>
          <w:sz w:val="24"/>
          <w:szCs w:val="24"/>
          <w:lang w:bidi="ru-RU"/>
        </w:rPr>
        <w:softHyphen/>
        <w:t>риод ночного отдыха.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После перелома тел позвонков ходьба часто болезненна, осо</w:t>
      </w:r>
      <w:r w:rsidRPr="00BF7C29">
        <w:rPr>
          <w:sz w:val="24"/>
          <w:szCs w:val="24"/>
          <w:lang w:bidi="ru-RU"/>
        </w:rPr>
        <w:softHyphen/>
        <w:t>бенно у тех, кто не может стоять прямо из-за слабости мышц туло</w:t>
      </w:r>
      <w:r w:rsidRPr="00BF7C29">
        <w:rPr>
          <w:sz w:val="24"/>
          <w:szCs w:val="24"/>
          <w:lang w:bidi="ru-RU"/>
        </w:rPr>
        <w:softHyphen/>
        <w:t>вища. Этим пациентам можно рекомендовать опорные устройства на колесах с ручным тормозом, что позволит передвигаться с меньшей болью и предотвратить новые переломы благодаря вы</w:t>
      </w:r>
      <w:r w:rsidRPr="00BF7C29">
        <w:rPr>
          <w:sz w:val="24"/>
          <w:szCs w:val="24"/>
          <w:lang w:bidi="ru-RU"/>
        </w:rPr>
        <w:softHyphen/>
        <w:t>прямлению спины и уменьшению нагрузки на позвоночник.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b/>
          <w:bCs/>
          <w:sz w:val="24"/>
          <w:szCs w:val="24"/>
          <w:lang w:bidi="ru-RU"/>
        </w:rPr>
      </w:pPr>
      <w:bookmarkStart w:id="64" w:name="bookmark2857"/>
      <w:r w:rsidRPr="00BF7C29">
        <w:rPr>
          <w:b/>
          <w:bCs/>
          <w:sz w:val="24"/>
          <w:szCs w:val="24"/>
          <w:lang w:bidi="ru-RU"/>
        </w:rPr>
        <w:t>Медикаментозное лечение</w:t>
      </w:r>
      <w:bookmarkEnd w:id="64"/>
    </w:p>
    <w:p w:rsidR="00BF7C29" w:rsidRPr="00BF7C29" w:rsidRDefault="00BF7C29" w:rsidP="0038538C">
      <w:pPr>
        <w:pStyle w:val="1f1"/>
        <w:numPr>
          <w:ilvl w:val="0"/>
          <w:numId w:val="65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Патогенетический принцип направлен на нормализацию составляющих костного ремоделирования — подавление повышенной костной резорбции или стимуляцию костео</w:t>
      </w:r>
      <w:r w:rsidRPr="00BF7C29">
        <w:rPr>
          <w:sz w:val="24"/>
          <w:szCs w:val="24"/>
          <w:lang w:bidi="ru-RU"/>
        </w:rPr>
        <w:softHyphen/>
        <w:t>бразования.</w:t>
      </w:r>
    </w:p>
    <w:p w:rsidR="00BF7C29" w:rsidRPr="00BF7C29" w:rsidRDefault="00BF7C29" w:rsidP="0038538C">
      <w:pPr>
        <w:pStyle w:val="1f1"/>
        <w:numPr>
          <w:ilvl w:val="0"/>
          <w:numId w:val="65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Этиологический принцип — лечение основного заболева</w:t>
      </w:r>
      <w:r w:rsidRPr="00BF7C29">
        <w:rPr>
          <w:sz w:val="24"/>
          <w:szCs w:val="24"/>
          <w:lang w:bidi="ru-RU"/>
        </w:rPr>
        <w:softHyphen/>
        <w:t>ния при вторичном остеопорозе или отмена препаратов, от</w:t>
      </w:r>
      <w:r w:rsidRPr="00BF7C29">
        <w:rPr>
          <w:sz w:val="24"/>
          <w:szCs w:val="24"/>
          <w:lang w:bidi="ru-RU"/>
        </w:rPr>
        <w:softHyphen/>
        <w:t>рицательно влияющих на метаболизм костной ткани.</w:t>
      </w:r>
    </w:p>
    <w:p w:rsidR="00BF7C29" w:rsidRPr="00BF7C29" w:rsidRDefault="00BF7C29" w:rsidP="0038538C">
      <w:pPr>
        <w:pStyle w:val="1f1"/>
        <w:numPr>
          <w:ilvl w:val="0"/>
          <w:numId w:val="65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Симптоматическая терапия.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b/>
          <w:bCs/>
          <w:sz w:val="24"/>
          <w:szCs w:val="24"/>
          <w:lang w:bidi="ru-RU"/>
        </w:rPr>
      </w:pPr>
      <w:bookmarkStart w:id="65" w:name="bookmark2859"/>
      <w:r w:rsidRPr="00BF7C29">
        <w:rPr>
          <w:b/>
          <w:bCs/>
          <w:sz w:val="24"/>
          <w:szCs w:val="24"/>
          <w:lang w:bidi="ru-RU"/>
        </w:rPr>
        <w:t>Симптоматическое лечение</w:t>
      </w:r>
      <w:bookmarkEnd w:id="65"/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Для уменьшения болей наряду с патогенетическими средства</w:t>
      </w:r>
      <w:r w:rsidRPr="00BF7C29">
        <w:rPr>
          <w:sz w:val="24"/>
          <w:szCs w:val="24"/>
          <w:lang w:bidi="ru-RU"/>
        </w:rPr>
        <w:softHyphen/>
        <w:t>ми (кальцитонином) используют анальгетики, НПВС, а также мышечные миорелаксанты (тизанидин, толперизон), так как в ге</w:t>
      </w:r>
      <w:r w:rsidRPr="00BF7C29">
        <w:rPr>
          <w:sz w:val="24"/>
          <w:szCs w:val="24"/>
          <w:lang w:bidi="ru-RU"/>
        </w:rPr>
        <w:softHyphen/>
        <w:t>незе боли при остеопорозе имеет значение и спазм параспиналь- ных мышц.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Ортезы (корсеты), лечебная физкультура — см. «Немедикамен</w:t>
      </w:r>
      <w:r w:rsidRPr="00BF7C29">
        <w:rPr>
          <w:sz w:val="24"/>
          <w:szCs w:val="24"/>
          <w:lang w:bidi="ru-RU"/>
        </w:rPr>
        <w:softHyphen/>
        <w:t>тозное лечение».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b/>
          <w:bCs/>
          <w:sz w:val="24"/>
          <w:szCs w:val="24"/>
          <w:lang w:bidi="ru-RU"/>
        </w:rPr>
      </w:pPr>
      <w:bookmarkStart w:id="66" w:name="bookmark2861"/>
      <w:r w:rsidRPr="00BF7C29">
        <w:rPr>
          <w:b/>
          <w:bCs/>
          <w:sz w:val="24"/>
          <w:szCs w:val="24"/>
          <w:lang w:bidi="ru-RU"/>
        </w:rPr>
        <w:t>Патогенетическое лечение</w:t>
      </w:r>
      <w:bookmarkEnd w:id="66"/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Препараты для лечения остеопороза.</w:t>
      </w:r>
    </w:p>
    <w:p w:rsidR="00BF7C29" w:rsidRPr="00BF7C29" w:rsidRDefault="00BF7C29" w:rsidP="0038538C">
      <w:pPr>
        <w:pStyle w:val="1f1"/>
        <w:numPr>
          <w:ilvl w:val="0"/>
          <w:numId w:val="65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lastRenderedPageBreak/>
        <w:t>Средства, преимущественно снижающие резорбцию кост</w:t>
      </w:r>
      <w:r w:rsidRPr="00BF7C29">
        <w:rPr>
          <w:sz w:val="24"/>
          <w:szCs w:val="24"/>
          <w:lang w:bidi="ru-RU"/>
        </w:rPr>
        <w:softHyphen/>
        <w:t>ной ткани:</w:t>
      </w:r>
    </w:p>
    <w:p w:rsidR="00BF7C29" w:rsidRPr="00BF7C29" w:rsidRDefault="00BF7C29" w:rsidP="0038538C">
      <w:pPr>
        <w:pStyle w:val="1f1"/>
        <w:numPr>
          <w:ilvl w:val="0"/>
          <w:numId w:val="66"/>
        </w:numPr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селективные модуляторы эстрогенных рецепторов;</w:t>
      </w:r>
    </w:p>
    <w:p w:rsidR="00BF7C29" w:rsidRPr="00BF7C29" w:rsidRDefault="00BF7C29" w:rsidP="0038538C">
      <w:pPr>
        <w:pStyle w:val="1f1"/>
        <w:numPr>
          <w:ilvl w:val="0"/>
          <w:numId w:val="66"/>
        </w:numPr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кальцитонины;</w:t>
      </w:r>
    </w:p>
    <w:p w:rsidR="00BF7C29" w:rsidRPr="00BF7C29" w:rsidRDefault="00BF7C29" w:rsidP="0038538C">
      <w:pPr>
        <w:pStyle w:val="1f1"/>
        <w:numPr>
          <w:ilvl w:val="0"/>
          <w:numId w:val="66"/>
        </w:numPr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бисфосфонаты.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• Медикаменты, преимущественно усиливающие костеобра</w:t>
      </w:r>
      <w:r w:rsidRPr="00BF7C29">
        <w:rPr>
          <w:sz w:val="24"/>
          <w:szCs w:val="24"/>
          <w:lang w:bidi="ru-RU"/>
        </w:rPr>
        <w:softHyphen/>
        <w:t>зование:</w:t>
      </w:r>
    </w:p>
    <w:p w:rsidR="00BF7C29" w:rsidRPr="00BF7C29" w:rsidRDefault="00BF7C29" w:rsidP="0038538C">
      <w:pPr>
        <w:pStyle w:val="1f1"/>
        <w:numPr>
          <w:ilvl w:val="0"/>
          <w:numId w:val="67"/>
        </w:numPr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фториды;</w:t>
      </w:r>
    </w:p>
    <w:p w:rsidR="00BF7C29" w:rsidRPr="00BF7C29" w:rsidRDefault="00BF7C29" w:rsidP="0038538C">
      <w:pPr>
        <w:pStyle w:val="1f1"/>
        <w:numPr>
          <w:ilvl w:val="0"/>
          <w:numId w:val="67"/>
        </w:numPr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анаболические стероиды;</w:t>
      </w:r>
    </w:p>
    <w:p w:rsidR="00BF7C29" w:rsidRPr="00BF7C29" w:rsidRDefault="00BF7C29" w:rsidP="0038538C">
      <w:pPr>
        <w:pStyle w:val="1f1"/>
        <w:numPr>
          <w:ilvl w:val="0"/>
          <w:numId w:val="67"/>
        </w:numPr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андрогены;</w:t>
      </w:r>
    </w:p>
    <w:p w:rsidR="00BF7C29" w:rsidRPr="00BF7C29" w:rsidRDefault="00BF7C29" w:rsidP="0038538C">
      <w:pPr>
        <w:pStyle w:val="1f1"/>
        <w:numPr>
          <w:ilvl w:val="0"/>
          <w:numId w:val="67"/>
        </w:numPr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ПТГ и его фрагменты;</w:t>
      </w:r>
    </w:p>
    <w:p w:rsidR="00BF7C29" w:rsidRPr="00BF7C29" w:rsidRDefault="00BF7C29" w:rsidP="0038538C">
      <w:pPr>
        <w:pStyle w:val="1f1"/>
        <w:numPr>
          <w:ilvl w:val="0"/>
          <w:numId w:val="67"/>
        </w:numPr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СТГ.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• Средства, оказывающие многоплановое действие на кост</w:t>
      </w:r>
      <w:r w:rsidRPr="00BF7C29">
        <w:rPr>
          <w:sz w:val="24"/>
          <w:szCs w:val="24"/>
          <w:lang w:bidi="ru-RU"/>
        </w:rPr>
        <w:softHyphen/>
        <w:t>ную ткань:</w:t>
      </w:r>
    </w:p>
    <w:p w:rsidR="00BF7C29" w:rsidRPr="00BF7C29" w:rsidRDefault="00BF7C29" w:rsidP="0038538C">
      <w:pPr>
        <w:pStyle w:val="1f1"/>
        <w:numPr>
          <w:ilvl w:val="0"/>
          <w:numId w:val="68"/>
        </w:numPr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стронция ранелат;</w:t>
      </w:r>
    </w:p>
    <w:p w:rsidR="00BF7C29" w:rsidRPr="00BF7C29" w:rsidRDefault="00BF7C29" w:rsidP="0038538C">
      <w:pPr>
        <w:pStyle w:val="1f1"/>
        <w:numPr>
          <w:ilvl w:val="0"/>
          <w:numId w:val="68"/>
        </w:numPr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 xml:space="preserve">активные метаболиты витамина </w:t>
      </w:r>
      <w:r w:rsidRPr="00BF7C29">
        <w:rPr>
          <w:sz w:val="24"/>
          <w:szCs w:val="24"/>
          <w:lang w:bidi="en-US"/>
        </w:rPr>
        <w:t>D</w:t>
      </w:r>
      <w:r w:rsidRPr="00BF7C29">
        <w:rPr>
          <w:sz w:val="24"/>
          <w:szCs w:val="24"/>
        </w:rPr>
        <w:t xml:space="preserve"> </w:t>
      </w:r>
      <w:r w:rsidRPr="00BF7C29">
        <w:rPr>
          <w:sz w:val="24"/>
          <w:szCs w:val="24"/>
          <w:lang w:bidi="ru-RU"/>
        </w:rPr>
        <w:t>и их аналоги.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• Препараты для профилактики остеопороза:</w:t>
      </w:r>
    </w:p>
    <w:p w:rsidR="00BF7C29" w:rsidRPr="00BF7C29" w:rsidRDefault="00BF7C29" w:rsidP="0038538C">
      <w:pPr>
        <w:pStyle w:val="1f1"/>
        <w:numPr>
          <w:ilvl w:val="0"/>
          <w:numId w:val="69"/>
        </w:numPr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 xml:space="preserve">витамин </w:t>
      </w:r>
      <w:r w:rsidRPr="00BF7C29">
        <w:rPr>
          <w:sz w:val="24"/>
          <w:szCs w:val="24"/>
          <w:lang w:bidi="en-US"/>
        </w:rPr>
        <w:t>D</w:t>
      </w:r>
      <w:r w:rsidRPr="00BF7C29">
        <w:rPr>
          <w:sz w:val="24"/>
          <w:szCs w:val="24"/>
        </w:rPr>
        <w:t xml:space="preserve"> </w:t>
      </w:r>
      <w:r w:rsidRPr="00BF7C29">
        <w:rPr>
          <w:sz w:val="24"/>
          <w:szCs w:val="24"/>
          <w:lang w:bidi="ru-RU"/>
        </w:rPr>
        <w:t>и его активные метаболиты;</w:t>
      </w:r>
    </w:p>
    <w:p w:rsidR="00BF7C29" w:rsidRPr="00BF7C29" w:rsidRDefault="00BF7C29" w:rsidP="0038538C">
      <w:pPr>
        <w:pStyle w:val="1f1"/>
        <w:numPr>
          <w:ilvl w:val="0"/>
          <w:numId w:val="69"/>
        </w:numPr>
        <w:tabs>
          <w:tab w:val="left" w:pos="467"/>
        </w:tabs>
        <w:ind w:firstLine="567"/>
        <w:jc w:val="both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 xml:space="preserve">оссеин-гидроксиапатитный комплекс; </w:t>
      </w:r>
      <w:r w:rsidRPr="00BF7C29">
        <w:rPr>
          <w:rFonts w:ascii="MS Gothic" w:eastAsia="MS Gothic" w:hAnsi="MS Gothic" w:cs="MS Gothic" w:hint="eastAsia"/>
          <w:sz w:val="24"/>
          <w:szCs w:val="24"/>
          <w:lang w:bidi="ru-RU"/>
        </w:rPr>
        <w:t>❖</w:t>
      </w:r>
      <w:r w:rsidRPr="00BF7C29">
        <w:rPr>
          <w:sz w:val="24"/>
          <w:szCs w:val="24"/>
          <w:lang w:bidi="ru-RU"/>
        </w:rPr>
        <w:t xml:space="preserve"> соли кальция.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Критерий эффективности ЛС — снижение частоты новых переломов костей. Наряду с классификацией препаратов по пре</w:t>
      </w:r>
      <w:r w:rsidRPr="00BF7C29">
        <w:rPr>
          <w:sz w:val="24"/>
          <w:szCs w:val="24"/>
          <w:lang w:bidi="ru-RU"/>
        </w:rPr>
        <w:softHyphen/>
        <w:t>имущественному механизму действия существует деление по до</w:t>
      </w:r>
      <w:r w:rsidRPr="00BF7C29">
        <w:rPr>
          <w:sz w:val="24"/>
          <w:szCs w:val="24"/>
          <w:lang w:bidi="ru-RU"/>
        </w:rPr>
        <w:softHyphen/>
        <w:t xml:space="preserve">казанной для них возможности достоверно предотвращать новые переломы костей. К средствам со значимым антипереломным действием относятся эстрогены, кальцитонин, бисфосфонаты, паратгормон, стронция ранелат, активные метаболиты витамина </w:t>
      </w:r>
      <w:r w:rsidRPr="00BF7C29">
        <w:rPr>
          <w:sz w:val="24"/>
          <w:szCs w:val="24"/>
          <w:lang w:bidi="en-US"/>
        </w:rPr>
        <w:t>D</w:t>
      </w:r>
      <w:r w:rsidRPr="00BF7C29">
        <w:rPr>
          <w:sz w:val="24"/>
          <w:szCs w:val="24"/>
        </w:rPr>
        <w:t xml:space="preserve"> </w:t>
      </w:r>
      <w:r w:rsidRPr="00BF7C29">
        <w:rPr>
          <w:sz w:val="24"/>
          <w:szCs w:val="24"/>
          <w:lang w:bidi="ru-RU"/>
        </w:rPr>
        <w:t>и их аналоги.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Выбор терапии определяется формой остеопороза — степенью потери массы кости, наличием предшествующих переломов ко</w:t>
      </w:r>
      <w:r w:rsidRPr="00BF7C29">
        <w:rPr>
          <w:sz w:val="24"/>
          <w:szCs w:val="24"/>
          <w:lang w:bidi="ru-RU"/>
        </w:rPr>
        <w:softHyphen/>
        <w:t>стей, скоростью прогрессирования остеопороза.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Длительность лечения первичного остеопороза — не менее трех, при тяжелом течении — пяти лет.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jc w:val="both"/>
        <w:rPr>
          <w:b/>
          <w:bCs/>
          <w:sz w:val="24"/>
          <w:szCs w:val="24"/>
          <w:lang w:bidi="ru-RU"/>
        </w:rPr>
      </w:pPr>
      <w:bookmarkStart w:id="67" w:name="bookmark2863"/>
      <w:r w:rsidRPr="00BF7C29">
        <w:rPr>
          <w:b/>
          <w:bCs/>
          <w:sz w:val="24"/>
          <w:szCs w:val="24"/>
          <w:lang w:bidi="ru-RU"/>
        </w:rPr>
        <w:t xml:space="preserve">Соли кальция и нативный витамин </w:t>
      </w:r>
      <w:r w:rsidRPr="00BF7C29">
        <w:rPr>
          <w:b/>
          <w:bCs/>
          <w:sz w:val="24"/>
          <w:szCs w:val="24"/>
          <w:lang w:bidi="en-US"/>
        </w:rPr>
        <w:t>D</w:t>
      </w:r>
      <w:bookmarkEnd w:id="67"/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 xml:space="preserve">Адекватное потребление кальция и витамина </w:t>
      </w:r>
      <w:r w:rsidRPr="00BF7C29">
        <w:rPr>
          <w:sz w:val="24"/>
          <w:szCs w:val="24"/>
          <w:lang w:bidi="en-US"/>
        </w:rPr>
        <w:t>D</w:t>
      </w:r>
      <w:r w:rsidRPr="00BF7C29">
        <w:rPr>
          <w:sz w:val="24"/>
          <w:szCs w:val="24"/>
        </w:rPr>
        <w:t xml:space="preserve"> </w:t>
      </w:r>
      <w:r w:rsidRPr="00BF7C29">
        <w:rPr>
          <w:sz w:val="24"/>
          <w:szCs w:val="24"/>
          <w:lang w:bidi="ru-RU"/>
        </w:rPr>
        <w:t>— важная со</w:t>
      </w:r>
      <w:r w:rsidRPr="00BF7C29">
        <w:rPr>
          <w:sz w:val="24"/>
          <w:szCs w:val="24"/>
          <w:lang w:bidi="ru-RU"/>
        </w:rPr>
        <w:softHyphen/>
        <w:t>ставная часть лечения и профилактики остеопороза. Для мини</w:t>
      </w:r>
      <w:r w:rsidRPr="00BF7C29">
        <w:rPr>
          <w:sz w:val="24"/>
          <w:szCs w:val="24"/>
          <w:lang w:bidi="ru-RU"/>
        </w:rPr>
        <w:softHyphen/>
        <w:t>мизации побочных эффектов, улучшения всасывания препараты кальция следует принимать во время или после еды. Самые рас</w:t>
      </w:r>
      <w:r w:rsidRPr="00BF7C29">
        <w:rPr>
          <w:sz w:val="24"/>
          <w:szCs w:val="24"/>
          <w:lang w:bidi="ru-RU"/>
        </w:rPr>
        <w:softHyphen/>
        <w:t>пространенные побочные эффекты — метеоризм и запор. Эти проблемы чаще встречаются при приеме карбоната и реже при применении цитрата. Гиперкальциемия определяется при приеме более 4 г в сутки. При нормальной почечной функции потребле</w:t>
      </w:r>
      <w:r w:rsidRPr="00BF7C29">
        <w:rPr>
          <w:sz w:val="24"/>
          <w:szCs w:val="24"/>
          <w:lang w:bidi="ru-RU"/>
        </w:rPr>
        <w:softHyphen/>
        <w:t>ние кальция в дозе до 2500 мг не способствует гиперкальциемии и камнеобразованию. Противопоказание для применения препа</w:t>
      </w:r>
      <w:r w:rsidRPr="00BF7C29">
        <w:rPr>
          <w:sz w:val="24"/>
          <w:szCs w:val="24"/>
          <w:lang w:bidi="ru-RU"/>
        </w:rPr>
        <w:softHyphen/>
        <w:t>ратов кальция — гиперкальциурия (выделение кальция с мочой &gt;400 мг/сут), не контролируемая тиазидами. Большинству жен</w:t>
      </w:r>
      <w:r w:rsidRPr="00BF7C29">
        <w:rPr>
          <w:sz w:val="24"/>
          <w:szCs w:val="24"/>
          <w:lang w:bidi="ru-RU"/>
        </w:rPr>
        <w:softHyphen/>
        <w:t xml:space="preserve">щин добавки кальция и витамина </w:t>
      </w:r>
      <w:r w:rsidRPr="00BF7C29">
        <w:rPr>
          <w:sz w:val="24"/>
          <w:szCs w:val="24"/>
          <w:lang w:bidi="en-US"/>
        </w:rPr>
        <w:t>D</w:t>
      </w:r>
      <w:r w:rsidRPr="00BF7C29">
        <w:rPr>
          <w:sz w:val="24"/>
          <w:szCs w:val="24"/>
        </w:rPr>
        <w:t xml:space="preserve"> </w:t>
      </w:r>
      <w:r w:rsidRPr="00BF7C29">
        <w:rPr>
          <w:sz w:val="24"/>
          <w:szCs w:val="24"/>
          <w:lang w:bidi="ru-RU"/>
        </w:rPr>
        <w:t xml:space="preserve">можно 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 xml:space="preserve">В настоящее время доказано, что женщинам в постменопаузе и мужчинам старше 50 лет необходимо потреблять 1500 мг кальция и 800 МЕ витамина </w:t>
      </w:r>
      <w:r w:rsidRPr="00BF7C29">
        <w:rPr>
          <w:sz w:val="24"/>
          <w:szCs w:val="24"/>
          <w:lang w:bidi="en-US"/>
        </w:rPr>
        <w:t>D</w:t>
      </w:r>
      <w:r w:rsidRPr="00BF7C29">
        <w:rPr>
          <w:sz w:val="24"/>
          <w:szCs w:val="24"/>
        </w:rPr>
        <w:t xml:space="preserve">. </w:t>
      </w:r>
      <w:r w:rsidRPr="00BF7C29">
        <w:rPr>
          <w:sz w:val="24"/>
          <w:szCs w:val="24"/>
          <w:lang w:bidi="ru-RU"/>
        </w:rPr>
        <w:t>Подростки и молодые люди (11-20 лет) в период набора пика костной массы также нуждаются в потребле</w:t>
      </w:r>
      <w:r w:rsidRPr="00BF7C29">
        <w:rPr>
          <w:sz w:val="24"/>
          <w:szCs w:val="24"/>
          <w:lang w:bidi="ru-RU"/>
        </w:rPr>
        <w:softHyphen/>
        <w:t xml:space="preserve">нии 1200 мг кальция и 400 МЕ витамина </w:t>
      </w:r>
      <w:r w:rsidRPr="00BF7C29">
        <w:rPr>
          <w:sz w:val="24"/>
          <w:szCs w:val="24"/>
          <w:lang w:bidi="en-US"/>
        </w:rPr>
        <w:t>D</w:t>
      </w:r>
      <w:r w:rsidRPr="00BF7C29">
        <w:rPr>
          <w:sz w:val="24"/>
          <w:szCs w:val="24"/>
        </w:rPr>
        <w:t xml:space="preserve">. </w:t>
      </w:r>
      <w:r w:rsidRPr="00BF7C29">
        <w:rPr>
          <w:sz w:val="24"/>
          <w:szCs w:val="24"/>
          <w:lang w:bidi="ru-RU"/>
        </w:rPr>
        <w:t>Для достижения этой цели большинству лиц указанных целевых групп необходимо до</w:t>
      </w:r>
      <w:r w:rsidRPr="00BF7C29">
        <w:rPr>
          <w:sz w:val="24"/>
          <w:szCs w:val="24"/>
          <w:lang w:bidi="ru-RU"/>
        </w:rPr>
        <w:softHyphen/>
        <w:t>полнительно к их обычному рациону получать 500-1000 мг каль</w:t>
      </w:r>
      <w:r w:rsidRPr="00BF7C29">
        <w:rPr>
          <w:sz w:val="24"/>
          <w:szCs w:val="24"/>
          <w:lang w:bidi="ru-RU"/>
        </w:rPr>
        <w:softHyphen/>
        <w:t xml:space="preserve">ция и 400 МЕ витамина </w:t>
      </w:r>
      <w:r w:rsidRPr="00BF7C29">
        <w:rPr>
          <w:sz w:val="24"/>
          <w:szCs w:val="24"/>
          <w:lang w:bidi="en-US"/>
        </w:rPr>
        <w:t>D</w:t>
      </w:r>
      <w:r w:rsidRPr="00BF7C29">
        <w:rPr>
          <w:sz w:val="24"/>
          <w:szCs w:val="24"/>
        </w:rPr>
        <w:t>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Молоко и молочные продукты — один из самых недорогих ис</w:t>
      </w:r>
      <w:r w:rsidRPr="00BF7C29">
        <w:rPr>
          <w:sz w:val="24"/>
          <w:szCs w:val="24"/>
          <w:lang w:bidi="ru-RU"/>
        </w:rPr>
        <w:softHyphen/>
        <w:t>точников кальция. Препараты кальция следует принимать при недостаточном его содержании в пище. Использование кальция в таблетках (1000 мг и более) имеет те же эффекты, что и использо</w:t>
      </w:r>
      <w:r w:rsidRPr="00BF7C29">
        <w:rPr>
          <w:sz w:val="24"/>
          <w:szCs w:val="24"/>
          <w:lang w:bidi="ru-RU"/>
        </w:rPr>
        <w:softHyphen/>
        <w:t>вание пищевых источников кальция.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lastRenderedPageBreak/>
        <w:t xml:space="preserve">Витамин </w:t>
      </w:r>
      <w:r w:rsidRPr="00BF7C29">
        <w:rPr>
          <w:sz w:val="24"/>
          <w:szCs w:val="24"/>
          <w:lang w:bidi="en-US"/>
        </w:rPr>
        <w:t>D</w:t>
      </w:r>
      <w:r w:rsidRPr="00BF7C29">
        <w:rPr>
          <w:sz w:val="24"/>
          <w:szCs w:val="24"/>
        </w:rPr>
        <w:t xml:space="preserve"> </w:t>
      </w:r>
      <w:r w:rsidRPr="00BF7C29">
        <w:rPr>
          <w:sz w:val="24"/>
          <w:szCs w:val="24"/>
          <w:lang w:bidi="ru-RU"/>
        </w:rPr>
        <w:t>необходим для достаточной абсорбции кальция и нормального костного метаболизма. Его недостаток может при</w:t>
      </w:r>
      <w:r w:rsidRPr="00BF7C29">
        <w:rPr>
          <w:sz w:val="24"/>
          <w:szCs w:val="24"/>
          <w:lang w:bidi="ru-RU"/>
        </w:rPr>
        <w:softHyphen/>
        <w:t>вести к вторичному гиперпаратиреозу, который, в свою очередь, приводит к усилению костного обмена.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 xml:space="preserve">При отсутствии гиперкальциемии кальция карбонат в суточной дозе 1000 мг и витамин </w:t>
      </w:r>
      <w:r w:rsidRPr="00BF7C29">
        <w:rPr>
          <w:sz w:val="24"/>
          <w:szCs w:val="24"/>
          <w:lang w:bidi="en-US"/>
        </w:rPr>
        <w:t>D</w:t>
      </w:r>
      <w:r w:rsidRPr="00BF7C29">
        <w:rPr>
          <w:sz w:val="24"/>
          <w:szCs w:val="24"/>
        </w:rPr>
        <w:t xml:space="preserve"> </w:t>
      </w:r>
      <w:r w:rsidRPr="00BF7C29">
        <w:rPr>
          <w:sz w:val="24"/>
          <w:szCs w:val="24"/>
          <w:lang w:bidi="ru-RU"/>
        </w:rPr>
        <w:t>в дозе 800 МЕ необходимо использо</w:t>
      </w:r>
      <w:r w:rsidRPr="00BF7C29">
        <w:rPr>
          <w:sz w:val="24"/>
          <w:szCs w:val="24"/>
          <w:lang w:bidi="ru-RU"/>
        </w:rPr>
        <w:softHyphen/>
        <w:t>вать при лечении остеопороза антирезорбтивными препарата</w:t>
      </w:r>
      <w:r w:rsidRPr="00BF7C29">
        <w:rPr>
          <w:sz w:val="24"/>
          <w:szCs w:val="24"/>
          <w:lang w:bidi="ru-RU"/>
        </w:rPr>
        <w:softHyphen/>
        <w:t>ми — бисфосфонатами, ралоксифеном, кальцитонином.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Из солей кальция наиболее предпочтителен прием карбоната, трифосфата^ или цитрата кальция^. Прием глюконата кальция в качестве донатора кальция не рекомендуют, так как в 1 г соли со</w:t>
      </w:r>
      <w:r w:rsidRPr="00BF7C29">
        <w:rPr>
          <w:sz w:val="24"/>
          <w:szCs w:val="24"/>
          <w:lang w:bidi="ru-RU"/>
        </w:rPr>
        <w:softHyphen/>
        <w:t>держится всего 89 мг элементарного кальция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b/>
          <w:bCs/>
          <w:sz w:val="24"/>
          <w:szCs w:val="24"/>
          <w:lang w:bidi="ru-RU"/>
        </w:rPr>
      </w:pPr>
      <w:bookmarkStart w:id="68" w:name="bookmark2865"/>
      <w:r w:rsidRPr="00BF7C29">
        <w:rPr>
          <w:b/>
          <w:bCs/>
          <w:sz w:val="24"/>
          <w:szCs w:val="24"/>
          <w:lang w:bidi="ru-RU"/>
        </w:rPr>
        <w:t xml:space="preserve">Препараты витамина </w:t>
      </w:r>
      <w:r w:rsidRPr="00BF7C29">
        <w:rPr>
          <w:b/>
          <w:bCs/>
          <w:sz w:val="24"/>
          <w:szCs w:val="24"/>
          <w:lang w:bidi="en-US"/>
        </w:rPr>
        <w:t>D</w:t>
      </w:r>
      <w:bookmarkEnd w:id="68"/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 xml:space="preserve">Активные метаболиты витамина </w:t>
      </w:r>
      <w:r w:rsidRPr="00BF7C29">
        <w:rPr>
          <w:sz w:val="24"/>
          <w:szCs w:val="24"/>
          <w:lang w:bidi="en-US"/>
        </w:rPr>
        <w:t>D</w:t>
      </w:r>
      <w:r w:rsidRPr="00BF7C29">
        <w:rPr>
          <w:sz w:val="24"/>
          <w:szCs w:val="24"/>
        </w:rPr>
        <w:t xml:space="preserve"> </w:t>
      </w:r>
      <w:r w:rsidRPr="00BF7C29">
        <w:rPr>
          <w:sz w:val="24"/>
          <w:szCs w:val="24"/>
          <w:lang w:bidi="ru-RU"/>
        </w:rPr>
        <w:t>и их аналоги — кальцитри- ол и альфакальцидол.</w:t>
      </w:r>
    </w:p>
    <w:p w:rsidR="00BF7C29" w:rsidRPr="00BF7C29" w:rsidRDefault="00BF7C29" w:rsidP="0038538C">
      <w:pPr>
        <w:pStyle w:val="1f1"/>
        <w:tabs>
          <w:tab w:val="left" w:pos="467"/>
        </w:tabs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Альфакальцидол показан при первичном остеопорозе у лиц старше 65 лет в следующих случаях:</w:t>
      </w:r>
    </w:p>
    <w:p w:rsidR="00BF7C29" w:rsidRPr="00BF7C29" w:rsidRDefault="00BF7C29" w:rsidP="0038538C">
      <w:pPr>
        <w:pStyle w:val="1f1"/>
        <w:numPr>
          <w:ilvl w:val="0"/>
          <w:numId w:val="70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при снижении скорости клубочковой фильтрации менее 60 мл/мин;</w:t>
      </w:r>
    </w:p>
    <w:p w:rsidR="00BF7C29" w:rsidRPr="00BF7C29" w:rsidRDefault="00BF7C29" w:rsidP="0038538C">
      <w:pPr>
        <w:pStyle w:val="1f1"/>
        <w:numPr>
          <w:ilvl w:val="0"/>
          <w:numId w:val="70"/>
        </w:numPr>
        <w:ind w:firstLine="567"/>
        <w:rPr>
          <w:sz w:val="24"/>
          <w:szCs w:val="24"/>
          <w:lang w:bidi="ru-RU"/>
        </w:rPr>
      </w:pPr>
      <w:r w:rsidRPr="00BF7C29">
        <w:rPr>
          <w:sz w:val="24"/>
          <w:szCs w:val="24"/>
          <w:lang w:bidi="ru-RU"/>
        </w:rPr>
        <w:t>склонности к падениям;</w:t>
      </w:r>
    </w:p>
    <w:p w:rsidR="00BF7C29" w:rsidRPr="00BF7C29" w:rsidRDefault="00BF7C29" w:rsidP="0038538C">
      <w:pPr>
        <w:pStyle w:val="1f1"/>
        <w:numPr>
          <w:ilvl w:val="0"/>
          <w:numId w:val="70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отсутствии увеличения экскреции кальция с мочой или уменьшения ПТГ через 6-8 нед от начала терапии натив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ным витамином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в дозе 600-1000 МЕ в день;</w:t>
      </w:r>
    </w:p>
    <w:p w:rsidR="00BF7C29" w:rsidRPr="00BF7C29" w:rsidRDefault="00BF7C29" w:rsidP="0038538C">
      <w:pPr>
        <w:pStyle w:val="1f1"/>
        <w:numPr>
          <w:ilvl w:val="0"/>
          <w:numId w:val="70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развитии интоксикации при применении эффективных доз холекальциферола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Абсолютное показание к применению активных метаболитов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— ренальные остеодистрофии при повышении уров</w:t>
      </w:r>
      <w:r w:rsidRPr="00BF7C29">
        <w:rPr>
          <w:color w:val="000000"/>
          <w:sz w:val="24"/>
          <w:szCs w:val="24"/>
          <w:lang w:eastAsia="ru-RU" w:bidi="ru-RU"/>
        </w:rPr>
        <w:softHyphen/>
        <w:t>ня ПТГ в 2-3 раза выше нормы.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Российских клинических рекомендациях по остеопорозу сде</w:t>
      </w:r>
      <w:r w:rsidRPr="00BF7C29">
        <w:rPr>
          <w:color w:val="000000"/>
          <w:sz w:val="24"/>
          <w:szCs w:val="24"/>
          <w:lang w:eastAsia="ru-RU" w:bidi="ru-RU"/>
        </w:rPr>
        <w:softHyphen/>
        <w:t>ланы следующие заключения по активным метаболитам витами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>:</w:t>
      </w:r>
    </w:p>
    <w:p w:rsidR="00BF7C29" w:rsidRPr="00BF7C29" w:rsidRDefault="00BF7C29" w:rsidP="0038538C">
      <w:pPr>
        <w:pStyle w:val="1f1"/>
        <w:numPr>
          <w:ilvl w:val="0"/>
          <w:numId w:val="70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способны замедлять скорость костных потерь при первич</w:t>
      </w:r>
      <w:r w:rsidRPr="00BF7C29">
        <w:rPr>
          <w:color w:val="000000"/>
          <w:sz w:val="24"/>
          <w:szCs w:val="24"/>
          <w:lang w:eastAsia="ru-RU" w:bidi="ru-RU"/>
        </w:rPr>
        <w:softHyphen/>
        <w:t>ном и глюкокортикоидном остеопорозе;</w:t>
      </w:r>
    </w:p>
    <w:p w:rsidR="00BF7C29" w:rsidRPr="00BF7C29" w:rsidRDefault="00BF7C29" w:rsidP="0038538C">
      <w:pPr>
        <w:pStyle w:val="1f1"/>
        <w:numPr>
          <w:ilvl w:val="0"/>
          <w:numId w:val="70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уменьшают частоту переломов тел позвонков и внепозво- ночных переломов, кроме перелома шейки бедренной ко</w:t>
      </w:r>
      <w:r w:rsidRPr="00BF7C29">
        <w:rPr>
          <w:color w:val="000000"/>
          <w:sz w:val="24"/>
          <w:szCs w:val="24"/>
          <w:lang w:eastAsia="ru-RU" w:bidi="ru-RU"/>
        </w:rPr>
        <w:softHyphen/>
        <w:t>сти, у лиц с первичным остеопорозом;</w:t>
      </w:r>
    </w:p>
    <w:p w:rsidR="00BF7C29" w:rsidRPr="00BF7C29" w:rsidRDefault="00BF7C29" w:rsidP="0038538C">
      <w:pPr>
        <w:pStyle w:val="1f1"/>
        <w:numPr>
          <w:ilvl w:val="0"/>
          <w:numId w:val="70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снижают частоту переломов тел позвонков и внепозвоноч- ных переломов, кроме перелома шейки бедренной кости, у лиц с глюкокортикоидным остеопорозом;</w:t>
      </w:r>
    </w:p>
    <w:p w:rsidR="00BF7C29" w:rsidRPr="00BF7C29" w:rsidRDefault="00BF7C29" w:rsidP="0038538C">
      <w:pPr>
        <w:pStyle w:val="1f1"/>
        <w:numPr>
          <w:ilvl w:val="0"/>
          <w:numId w:val="70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альфакальцидол более эффективен по сравнению с натив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ным витамином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в снижении риска переломов при глюко</w:t>
      </w:r>
      <w:r w:rsidRPr="00BF7C29">
        <w:rPr>
          <w:color w:val="000000"/>
          <w:sz w:val="24"/>
          <w:szCs w:val="24"/>
          <w:lang w:eastAsia="ru-RU" w:bidi="ru-RU"/>
        </w:rPr>
        <w:softHyphen/>
        <w:t>кортикоидном остеопорозе.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лечении необходим контроль уровня кальция в крови че</w:t>
      </w:r>
      <w:r w:rsidRPr="00BF7C29">
        <w:rPr>
          <w:color w:val="000000"/>
          <w:sz w:val="24"/>
          <w:szCs w:val="24"/>
          <w:lang w:eastAsia="ru-RU" w:bidi="ru-RU"/>
        </w:rPr>
        <w:softHyphen/>
        <w:t>рез 2, 6, 8 нед лечения, затем один раз в 3 мес.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Длительно применяют альфакальцидол (альфа Д</w:t>
      </w:r>
      <w:r w:rsidRPr="00BF7C29">
        <w:rPr>
          <w:color w:val="000000"/>
          <w:sz w:val="24"/>
          <w:szCs w:val="24"/>
          <w:vertAlign w:val="subscript"/>
          <w:lang w:eastAsia="ru-RU" w:bidi="ru-RU"/>
        </w:rPr>
        <w:t>3</w:t>
      </w:r>
      <w:r w:rsidRPr="00BF7C29">
        <w:rPr>
          <w:color w:val="000000"/>
          <w:sz w:val="24"/>
          <w:szCs w:val="24"/>
          <w:lang w:eastAsia="ru-RU" w:bidi="ru-RU"/>
        </w:rPr>
        <w:t>-Тева</w:t>
      </w:r>
      <w:r w:rsidRPr="00BF7C29">
        <w:rPr>
          <w:rFonts w:eastAsia="Arial"/>
          <w:color w:val="000000"/>
          <w:sz w:val="24"/>
          <w:szCs w:val="24"/>
          <w:vertAlign w:val="superscript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, эталь- фа</w:t>
      </w:r>
      <w:r w:rsidRPr="00BF7C29">
        <w:rPr>
          <w:rFonts w:eastAsia="Arial"/>
          <w:color w:val="000000"/>
          <w:sz w:val="24"/>
          <w:szCs w:val="24"/>
          <w:vertAlign w:val="superscript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, оксидевит</w:t>
      </w:r>
      <w:r w:rsidRPr="00BF7C29">
        <w:rPr>
          <w:rFonts w:eastAsia="Arial"/>
          <w:color w:val="000000"/>
          <w:sz w:val="24"/>
          <w:szCs w:val="24"/>
          <w:vertAlign w:val="superscript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) внутрь по 0,5-1 мкг 1 раз в сутки или кальцитри- ол (рокальтрол</w:t>
      </w:r>
      <w:r w:rsidRPr="00BF7C29">
        <w:rPr>
          <w:rFonts w:eastAsia="Arial"/>
          <w:color w:val="000000"/>
          <w:sz w:val="24"/>
          <w:szCs w:val="24"/>
          <w:vertAlign w:val="superscript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, остеотриол</w:t>
      </w:r>
      <w:r w:rsidRPr="00BF7C29">
        <w:rPr>
          <w:rFonts w:eastAsia="Arial"/>
          <w:color w:val="000000"/>
          <w:sz w:val="24"/>
          <w:szCs w:val="24"/>
          <w:vertAlign w:val="superscript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) внутрь по 0,25 мкг 2 раза в сутки.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9" w:name="bookmark286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Эстрогены и эстроген-гестагенные препараты</w:t>
      </w:r>
      <w:bookmarkEnd w:id="69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Для эстрогенов доказана возможность предотвращать как пе</w:t>
      </w:r>
      <w:r w:rsidRPr="00BF7C29">
        <w:rPr>
          <w:color w:val="000000"/>
          <w:sz w:val="24"/>
          <w:szCs w:val="24"/>
          <w:lang w:eastAsia="ru-RU" w:bidi="ru-RU"/>
        </w:rPr>
        <w:softHyphen/>
        <w:t>реломы тел позвонков, так и внепозвоночные переломы.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Показания к применению ЗГТ для профилактики и лечения остеопороза стали более ограниченными в связи с выявленным не</w:t>
      </w:r>
      <w:r w:rsidRPr="00BF7C29">
        <w:rPr>
          <w:color w:val="000000"/>
          <w:sz w:val="24"/>
          <w:szCs w:val="24"/>
          <w:lang w:eastAsia="ru-RU" w:bidi="ru-RU"/>
        </w:rPr>
        <w:softHyphen/>
        <w:t>гативным эффектом эстроген-гестагенных препаратов на частоту развития тромбозов, случаев сердечно-сосудистых заболеваний, РМЖ при том, что снижалась частота рака толстой кишки.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 этой точки зрения применение эстроген-гестагенных препа</w:t>
      </w:r>
      <w:r w:rsidRPr="00BF7C29">
        <w:rPr>
          <w:color w:val="000000"/>
          <w:sz w:val="24"/>
          <w:szCs w:val="24"/>
          <w:lang w:eastAsia="ru-RU" w:bidi="ru-RU"/>
        </w:rPr>
        <w:softHyphen/>
        <w:t>ратов для профилактики и лечения остеопороза можно считать обоснованным в следующих случаях:</w:t>
      </w:r>
    </w:p>
    <w:p w:rsidR="00BF7C29" w:rsidRPr="00BF7C29" w:rsidRDefault="00BF7C29" w:rsidP="0038538C">
      <w:pPr>
        <w:pStyle w:val="1f1"/>
        <w:numPr>
          <w:ilvl w:val="0"/>
          <w:numId w:val="70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 женщин до 60 лет с вегетососудистыми и урогенитальны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ми проявлениями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климактерического синдрома;</w:t>
      </w:r>
    </w:p>
    <w:p w:rsidR="00BF7C29" w:rsidRPr="00BF7C29" w:rsidRDefault="00BF7C29" w:rsidP="0038538C">
      <w:pPr>
        <w:pStyle w:val="1f1"/>
        <w:numPr>
          <w:ilvl w:val="0"/>
          <w:numId w:val="70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случае остеопороза вследствие первичного или вторично</w:t>
      </w:r>
      <w:r w:rsidRPr="00BF7C29">
        <w:rPr>
          <w:color w:val="000000"/>
          <w:sz w:val="24"/>
          <w:szCs w:val="24"/>
          <w:lang w:eastAsia="ru-RU" w:bidi="ru-RU"/>
        </w:rPr>
        <w:softHyphen/>
        <w:t>го гипогонадизма у женщин;</w:t>
      </w:r>
    </w:p>
    <w:p w:rsidR="00BF7C29" w:rsidRPr="00BF7C29" w:rsidRDefault="00BF7C29" w:rsidP="0038538C">
      <w:pPr>
        <w:pStyle w:val="1f1"/>
        <w:numPr>
          <w:ilvl w:val="0"/>
          <w:numId w:val="70"/>
        </w:numPr>
        <w:tabs>
          <w:tab w:val="left" w:pos="466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стероидном остеопорозе у женщин в постменопаузе с вышеуказанными проявлениями климактерического син</w:t>
      </w:r>
      <w:r w:rsidRPr="00BF7C29">
        <w:rPr>
          <w:color w:val="000000"/>
          <w:sz w:val="24"/>
          <w:szCs w:val="24"/>
          <w:lang w:eastAsia="ru-RU" w:bidi="ru-RU"/>
        </w:rPr>
        <w:softHyphen/>
        <w:t>дрома;</w:t>
      </w:r>
    </w:p>
    <w:p w:rsidR="00BF7C29" w:rsidRPr="00BF7C29" w:rsidRDefault="00BF7C29" w:rsidP="0038538C">
      <w:pPr>
        <w:pStyle w:val="1f1"/>
        <w:numPr>
          <w:ilvl w:val="0"/>
          <w:numId w:val="70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после овариоэктомии.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Монофазные эстрогенные препараты применяют у женщин с удаленной маткой в качестве монотерапии и в сочетании с про</w:t>
      </w:r>
      <w:r w:rsidRPr="00BF7C29">
        <w:rPr>
          <w:color w:val="000000"/>
          <w:sz w:val="24"/>
          <w:szCs w:val="24"/>
          <w:lang w:eastAsia="ru-RU" w:bidi="ru-RU"/>
        </w:rPr>
        <w:softHyphen/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гестинами у женщин с интактной маткой. Исключение составляет тиболон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' </w:t>
      </w:r>
      <w:r w:rsidRPr="00BF7C29">
        <w:rPr>
          <w:color w:val="000000"/>
          <w:sz w:val="24"/>
          <w:szCs w:val="24"/>
          <w:lang w:eastAsia="ru-RU" w:bidi="ru-RU"/>
        </w:rPr>
        <w:t>— синтетический стероид с эстрогенным, прогестаген- ным и слабым андрогенным эффектом, назначаемый в качестве монотерапии.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Эстроген-гестагенные двухфазные препараты характеризуют</w:t>
      </w:r>
      <w:r w:rsidRPr="00BF7C29">
        <w:rPr>
          <w:color w:val="000000"/>
          <w:sz w:val="24"/>
          <w:szCs w:val="24"/>
          <w:lang w:eastAsia="ru-RU" w:bidi="ru-RU"/>
        </w:rPr>
        <w:softHyphen/>
        <w:t>ся включением в последние 10-12 таблеток гестагена, который предотвращает развитие гиперплазии эндометрия и эпителия молочных желез. На фоне применения этих средств, как правило, ежемесячно возникает менструальноподобная реакция.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Эстроген-гестагенные монофазные препараты содержат эстро</w:t>
      </w:r>
      <w:r w:rsidRPr="00BF7C29">
        <w:rPr>
          <w:color w:val="000000"/>
          <w:sz w:val="24"/>
          <w:szCs w:val="24"/>
          <w:lang w:eastAsia="ru-RU" w:bidi="ru-RU"/>
        </w:rPr>
        <w:softHyphen/>
        <w:t>ген и прогестаген, они предпочтительны у женщин старшей возрастной группы или у пациенток с негативной реакцией на возможность возобновления менструаций.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последние годы многие женщины предпочитают пользо</w:t>
      </w:r>
      <w:r w:rsidRPr="00BF7C29">
        <w:rPr>
          <w:color w:val="000000"/>
          <w:sz w:val="24"/>
          <w:szCs w:val="24"/>
          <w:lang w:eastAsia="ru-RU" w:bidi="ru-RU"/>
        </w:rPr>
        <w:softHyphen/>
        <w:t>ваться эстрогенами для наружного применения: гелями или пла</w:t>
      </w:r>
      <w:r w:rsidRPr="00BF7C29">
        <w:rPr>
          <w:color w:val="000000"/>
          <w:sz w:val="24"/>
          <w:szCs w:val="24"/>
          <w:lang w:eastAsia="ru-RU" w:bidi="ru-RU"/>
        </w:rPr>
        <w:softHyphen/>
        <w:t>стырями, обладающими такими же эффектами эстрогенов, как и средства для применения внутрь. Эти препараты также предпо</w:t>
      </w:r>
      <w:r w:rsidRPr="00BF7C29">
        <w:rPr>
          <w:color w:val="000000"/>
          <w:sz w:val="24"/>
          <w:szCs w:val="24"/>
          <w:lang w:eastAsia="ru-RU" w:bidi="ru-RU"/>
        </w:rPr>
        <w:softHyphen/>
        <w:t>чтительнее у женщин с гепатобилиарной патологией, так как они всасываются через кожу, минуя воротную вену. У женщин с ин</w:t>
      </w:r>
      <w:r w:rsidRPr="00BF7C29">
        <w:rPr>
          <w:color w:val="000000"/>
          <w:sz w:val="24"/>
          <w:szCs w:val="24"/>
          <w:lang w:eastAsia="ru-RU" w:bidi="ru-RU"/>
        </w:rPr>
        <w:softHyphen/>
        <w:t>тактной маткой необходимо добавление к терапии прогестинов.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Оптимальная длительность лечения остеопороза с использова</w:t>
      </w:r>
      <w:r w:rsidRPr="00BF7C29">
        <w:rPr>
          <w:color w:val="000000"/>
          <w:sz w:val="24"/>
          <w:szCs w:val="24"/>
          <w:lang w:eastAsia="ru-RU" w:bidi="ru-RU"/>
        </w:rPr>
        <w:softHyphen/>
        <w:t>нием ЗГТ — до трех лет при отсутствии противопоказаний и тща</w:t>
      </w:r>
      <w:r w:rsidRPr="00BF7C29">
        <w:rPr>
          <w:color w:val="000000"/>
          <w:sz w:val="24"/>
          <w:szCs w:val="24"/>
          <w:lang w:eastAsia="ru-RU" w:bidi="ru-RU"/>
        </w:rPr>
        <w:softHyphen/>
        <w:t>тельном динамическом контроле.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Мониторинг терапии эстрогенами: 1 раз в 6 мес — осмотр ги</w:t>
      </w:r>
      <w:r w:rsidRPr="00BF7C29">
        <w:rPr>
          <w:color w:val="000000"/>
          <w:sz w:val="24"/>
          <w:szCs w:val="24"/>
          <w:lang w:eastAsia="ru-RU" w:bidi="ru-RU"/>
        </w:rPr>
        <w:softHyphen/>
        <w:t>некологом, биохимический анализ крови (липиды, ферменты печени, коагулограмма); раз в год — УЗИ органов малого таза с определением толщины эндометрия, маммография.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0" w:name="bookmark286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Селективные модуляторы эстрогенных рецепторов</w:t>
      </w:r>
      <w:bookmarkEnd w:id="70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Для профилактики и лечения остеопороза применяют селек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тивные модуляторы эстрогенных рецепторов </w:t>
      </w:r>
      <w:r w:rsidRPr="00BF7C29">
        <w:rPr>
          <w:color w:val="000000"/>
          <w:sz w:val="24"/>
          <w:szCs w:val="24"/>
          <w:lang w:val="en-US" w:bidi="en-US"/>
        </w:rPr>
        <w:t>II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поколения (ра</w:t>
      </w:r>
      <w:r w:rsidRPr="00BF7C29">
        <w:rPr>
          <w:color w:val="000000"/>
          <w:sz w:val="24"/>
          <w:szCs w:val="24"/>
          <w:lang w:eastAsia="ru-RU" w:bidi="ru-RU"/>
        </w:rPr>
        <w:softHyphen/>
        <w:t>локсифен), обладающие положительным влиянием на костную ткань и липидный обмен как агонисты эстрогенов и являющиеся антиэстрогенами по отношению к эндометрию и молочным желе</w:t>
      </w:r>
      <w:r w:rsidRPr="00BF7C29">
        <w:rPr>
          <w:color w:val="000000"/>
          <w:sz w:val="24"/>
          <w:szCs w:val="24"/>
          <w:lang w:eastAsia="ru-RU" w:bidi="ru-RU"/>
        </w:rPr>
        <w:softHyphen/>
        <w:t>зам. Селективные модуляторы эстрогенных рецепторов не оказы</w:t>
      </w:r>
      <w:r w:rsidRPr="00BF7C29">
        <w:rPr>
          <w:color w:val="000000"/>
          <w:sz w:val="24"/>
          <w:szCs w:val="24"/>
          <w:lang w:eastAsia="ru-RU" w:bidi="ru-RU"/>
        </w:rPr>
        <w:softHyphen/>
        <w:t>вают пролиферативного действия на матку и молочные железы, снижают частоту переломов тел позвонков, но данных о профи</w:t>
      </w:r>
      <w:r w:rsidRPr="00BF7C29">
        <w:rPr>
          <w:color w:val="000000"/>
          <w:sz w:val="24"/>
          <w:szCs w:val="24"/>
          <w:lang w:eastAsia="ru-RU" w:bidi="ru-RU"/>
        </w:rPr>
        <w:softHyphen/>
        <w:t>лактике внепозвоночных переломов нет.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Принимают ралоксифен внутрь ежедневно в течение 3-4 лет. Противопоказания к применению: тромбозы и тромбэмболии в анамнезе, выраженные приливы.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1" w:name="bookmark287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Кальцитонины</w:t>
      </w:r>
      <w:bookmarkEnd w:id="71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Кальцитонин — пептидный гормон, вырабатываемый преи</w:t>
      </w:r>
      <w:r w:rsidRPr="00BF7C29">
        <w:rPr>
          <w:color w:val="000000"/>
          <w:sz w:val="24"/>
          <w:szCs w:val="24"/>
          <w:lang w:eastAsia="ru-RU" w:bidi="ru-RU"/>
        </w:rPr>
        <w:softHyphen/>
        <w:t>мущественно парафолликулярными клетками ЩЖ. Основной эффект кальцитонина — торможение резорбции кости за счет первичного угнетения активности остеокластов и уменьшения их количества, что обусловливает гипокальциемическое действие. Кальцитонин также обладает и выраженным анальгетическим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эффектом при болях в костях. В настоящее время наибольшее распространение получил синтетический кальцитонин лосося (миакальцик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Как правило, кальцитонин применяют в виде подкожных или внутримышечных инъекций, значительно чаще — в форме на</w:t>
      </w:r>
      <w:r w:rsidRPr="00BF7C29">
        <w:rPr>
          <w:color w:val="000000"/>
          <w:sz w:val="24"/>
          <w:szCs w:val="24"/>
          <w:lang w:eastAsia="ru-RU" w:bidi="ru-RU"/>
        </w:rPr>
        <w:softHyphen/>
        <w:t>зального спрея.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Показания к лечению препаратами кальцитонина: постменопа</w:t>
      </w:r>
      <w:r w:rsidRPr="00BF7C29">
        <w:rPr>
          <w:color w:val="000000"/>
          <w:sz w:val="24"/>
          <w:szCs w:val="24"/>
          <w:lang w:eastAsia="ru-RU" w:bidi="ru-RU"/>
        </w:rPr>
        <w:softHyphen/>
        <w:t>узальный, стероидный, сенильный, идиопатический остеопороз, особенно в случаях выраженного болевого синдрома; костные боли при остеолитических процессах (метастазы в кости), син</w:t>
      </w:r>
      <w:r w:rsidRPr="00BF7C29">
        <w:rPr>
          <w:color w:val="000000"/>
          <w:sz w:val="24"/>
          <w:szCs w:val="24"/>
          <w:lang w:eastAsia="ru-RU" w:bidi="ru-RU"/>
        </w:rPr>
        <w:softHyphen/>
        <w:t>дром Зудека (альгодистрофия), болезнь Педжета, купирование острых гиперкальциемических кризов.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Применяют как схемы непрерывного лечения (особенно на</w:t>
      </w:r>
      <w:r w:rsidRPr="00BF7C29">
        <w:rPr>
          <w:color w:val="000000"/>
          <w:sz w:val="24"/>
          <w:szCs w:val="24"/>
          <w:lang w:eastAsia="ru-RU" w:bidi="ru-RU"/>
        </w:rPr>
        <w:softHyphen/>
        <w:t>зальным спреем), так и режимы прерывистой терапии. Для ре</w:t>
      </w:r>
      <w:r w:rsidRPr="00BF7C29">
        <w:rPr>
          <w:color w:val="000000"/>
          <w:sz w:val="24"/>
          <w:szCs w:val="24"/>
          <w:lang w:eastAsia="ru-RU" w:bidi="ru-RU"/>
        </w:rPr>
        <w:softHyphen/>
        <w:t>жима непрерывного применения: кальцитонин используют внутримышечно 100 ЕД через день в течение 2-3 мес, затем пере</w:t>
      </w:r>
      <w:r w:rsidRPr="00BF7C29">
        <w:rPr>
          <w:color w:val="000000"/>
          <w:sz w:val="24"/>
          <w:szCs w:val="24"/>
          <w:lang w:eastAsia="ru-RU" w:bidi="ru-RU"/>
        </w:rPr>
        <w:softHyphen/>
        <w:t>рыв в течение такого же периода времени, или интраназально в дозе 200 ЕД 1 раз в сутки в течение 6-8 нед, затем перерыв в те</w:t>
      </w:r>
      <w:r w:rsidRPr="00BF7C29">
        <w:rPr>
          <w:color w:val="000000"/>
          <w:sz w:val="24"/>
          <w:szCs w:val="24"/>
          <w:lang w:eastAsia="ru-RU" w:bidi="ru-RU"/>
        </w:rPr>
        <w:softHyphen/>
        <w:t>чение 2 мес.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Длительность непрерывных и прерывистых курсов лечения — 2-3 года. Для начального лечения в целях максимального купи</w:t>
      </w:r>
      <w:r w:rsidRPr="00BF7C29">
        <w:rPr>
          <w:color w:val="000000"/>
          <w:sz w:val="24"/>
          <w:szCs w:val="24"/>
          <w:lang w:eastAsia="ru-RU" w:bidi="ru-RU"/>
        </w:rPr>
        <w:softHyphen/>
        <w:t>рования болевого синдрома — 3 мес спрей в непрерывном режиме или 2 курса по 30 инъекций с 2-месячным перерывом, после чего возможен перевод на другие препараты для лечения остеопороза. Снижение частоты возникновения новых переломов тел позвонков доказано в случае ежедневного применения спрея кальцитонина в дозе 200 ЕД в течение 3-5 лет при установленном постменопау</w:t>
      </w:r>
      <w:r w:rsidRPr="00BF7C29">
        <w:rPr>
          <w:color w:val="000000"/>
          <w:sz w:val="24"/>
          <w:szCs w:val="24"/>
          <w:lang w:eastAsia="ru-RU" w:bidi="ru-RU"/>
        </w:rPr>
        <w:softHyphen/>
        <w:t>зальном и сенильном остеопорозе.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Согласно Российским клиническим рекомендациям по веде</w:t>
      </w:r>
      <w:r w:rsidRPr="00BF7C29">
        <w:rPr>
          <w:color w:val="000000"/>
          <w:sz w:val="24"/>
          <w:szCs w:val="24"/>
          <w:lang w:eastAsia="ru-RU" w:bidi="ru-RU"/>
        </w:rPr>
        <w:softHyphen/>
        <w:t>нию остеопороза:</w:t>
      </w:r>
    </w:p>
    <w:p w:rsidR="00BF7C29" w:rsidRPr="00BF7C29" w:rsidRDefault="00BF7C29" w:rsidP="0038538C">
      <w:pPr>
        <w:pStyle w:val="1f1"/>
        <w:numPr>
          <w:ilvl w:val="0"/>
          <w:numId w:val="71"/>
        </w:numPr>
        <w:tabs>
          <w:tab w:val="left" w:pos="461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назальный спрей кальцитонина — препарат второй линии при лечении постменопаузального остеопороза;</w:t>
      </w:r>
    </w:p>
    <w:p w:rsidR="00BF7C29" w:rsidRPr="00BF7C29" w:rsidRDefault="00BF7C29" w:rsidP="0038538C">
      <w:pPr>
        <w:pStyle w:val="1f1"/>
        <w:numPr>
          <w:ilvl w:val="0"/>
          <w:numId w:val="71"/>
        </w:numPr>
        <w:tabs>
          <w:tab w:val="left" w:pos="461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спрей можно применять для предотвращения потери кост</w:t>
      </w:r>
      <w:r w:rsidRPr="00BF7C29">
        <w:rPr>
          <w:color w:val="000000"/>
          <w:sz w:val="24"/>
          <w:szCs w:val="24"/>
          <w:lang w:eastAsia="ru-RU" w:bidi="ru-RU"/>
        </w:rPr>
        <w:softHyphen/>
        <w:t>ной массы у больных, получающих глюкокортикоидную те</w:t>
      </w:r>
      <w:r w:rsidRPr="00BF7C29">
        <w:rPr>
          <w:color w:val="000000"/>
          <w:sz w:val="24"/>
          <w:szCs w:val="24"/>
          <w:lang w:eastAsia="ru-RU" w:bidi="ru-RU"/>
        </w:rPr>
        <w:softHyphen/>
        <w:t>рапию, и для лечения остеопороза у мужчин;</w:t>
      </w:r>
    </w:p>
    <w:p w:rsidR="00BF7C29" w:rsidRPr="00BF7C29" w:rsidRDefault="00BF7C29" w:rsidP="0038538C">
      <w:pPr>
        <w:pStyle w:val="1f1"/>
        <w:numPr>
          <w:ilvl w:val="0"/>
          <w:numId w:val="71"/>
        </w:numPr>
        <w:tabs>
          <w:tab w:val="left" w:pos="461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назальная или парентеральная формы кальцитонина — пре</w:t>
      </w:r>
      <w:r w:rsidRPr="00BF7C29">
        <w:rPr>
          <w:color w:val="000000"/>
          <w:sz w:val="24"/>
          <w:szCs w:val="24"/>
          <w:lang w:eastAsia="ru-RU" w:bidi="ru-RU"/>
        </w:rPr>
        <w:softHyphen/>
        <w:t>параты выбора у больных, имеющих острый болевой син</w:t>
      </w:r>
      <w:r w:rsidRPr="00BF7C29">
        <w:rPr>
          <w:color w:val="000000"/>
          <w:sz w:val="24"/>
          <w:szCs w:val="24"/>
          <w:lang w:eastAsia="ru-RU" w:bidi="ru-RU"/>
        </w:rPr>
        <w:softHyphen/>
        <w:t>дром на фоне компрессионных переломов тел позвонков при остеопорозе;</w:t>
      </w:r>
    </w:p>
    <w:p w:rsidR="00BF7C29" w:rsidRPr="00BF7C29" w:rsidRDefault="00BF7C29" w:rsidP="0038538C">
      <w:pPr>
        <w:pStyle w:val="1f1"/>
        <w:numPr>
          <w:ilvl w:val="0"/>
          <w:numId w:val="71"/>
        </w:numPr>
        <w:tabs>
          <w:tab w:val="left" w:pos="461"/>
        </w:tabs>
        <w:ind w:left="480"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назначение кальцитонина целесообразно сочетать с препа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ратами кальция (500-1000 мг/сут) и витамином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(400</w:t>
      </w:r>
      <w:r w:rsidRPr="00BF7C29">
        <w:rPr>
          <w:color w:val="000000"/>
          <w:sz w:val="24"/>
          <w:szCs w:val="24"/>
          <w:lang w:eastAsia="ru-RU" w:bidi="ru-RU"/>
        </w:rPr>
        <w:softHyphen/>
        <w:t>800 МЕ/сут) или альфакальцидолом.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2" w:name="bookmark287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Бис</w:t>
      </w:r>
      <w:bookmarkStart w:id="73" w:name="_GoBack"/>
      <w:bookmarkEnd w:id="7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фосфонаты</w:t>
      </w:r>
      <w:bookmarkEnd w:id="72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Бисфосфонаты — синтетические производные фосфоновых кислот. Применяемые при лечении остеопороза бисфосфонаты имеют следующие особенности: прочно связываются с костным минералом, подавляют резорбцию костной ткани, обладают низ</w:t>
      </w:r>
      <w:r w:rsidRPr="00BF7C29">
        <w:rPr>
          <w:color w:val="000000"/>
          <w:sz w:val="24"/>
          <w:szCs w:val="24"/>
          <w:lang w:eastAsia="ru-RU" w:bidi="ru-RU"/>
        </w:rPr>
        <w:softHyphen/>
        <w:t>кой всасываемостью в желудочно-кишечном тракте, выводятся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через почки, длительно (до года) задерживаются в костной ткани, некоторые из них подавляют эктопическую и нормальную 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цификацию.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Показания к лечению бисфосфонатами: постменопаузальный, сенильный, идиопатический, стероидный остеопороз, болезнь Педжета, костные метастазы, эктопическая кальцификация.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Для лечения остеопороза зарегистрированы следующие бис</w:t>
      </w:r>
      <w:r w:rsidRPr="00BF7C29">
        <w:rPr>
          <w:color w:val="000000"/>
          <w:sz w:val="24"/>
          <w:szCs w:val="24"/>
          <w:lang w:eastAsia="ru-RU" w:bidi="ru-RU"/>
        </w:rPr>
        <w:softHyphen/>
        <w:t>фосфонаты: этидроновая кислота или калий-натриевая ее соль (этидронат), алендроновая кислота (алендронат), ризедроновая кислота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^ </w:t>
      </w:r>
      <w:r w:rsidRPr="00BF7C29">
        <w:rPr>
          <w:color w:val="000000"/>
          <w:sz w:val="24"/>
          <w:szCs w:val="24"/>
          <w:lang w:eastAsia="ru-RU" w:bidi="ru-RU"/>
        </w:rPr>
        <w:t>(ризедронат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^</w:t>
      </w:r>
      <w:r w:rsidRPr="00BF7C29">
        <w:rPr>
          <w:color w:val="000000"/>
          <w:sz w:val="24"/>
          <w:szCs w:val="24"/>
          <w:lang w:eastAsia="ru-RU" w:bidi="ru-RU"/>
        </w:rPr>
        <w:t>, актонель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), ибандроновая кислота (ибан- дронат, бонвива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), золедроновая кислота (акласта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Наибольшая эффективность доказана для алендроната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^</w:t>
      </w:r>
      <w:r w:rsidRPr="00BF7C29">
        <w:rPr>
          <w:color w:val="000000"/>
          <w:sz w:val="24"/>
          <w:szCs w:val="24"/>
          <w:lang w:eastAsia="ru-RU" w:bidi="ru-RU"/>
        </w:rPr>
        <w:t>, ризе</w:t>
      </w:r>
      <w:r w:rsidRPr="00BF7C29">
        <w:rPr>
          <w:color w:val="000000"/>
          <w:sz w:val="24"/>
          <w:szCs w:val="24"/>
          <w:lang w:eastAsia="ru-RU" w:bidi="ru-RU"/>
        </w:rPr>
        <w:softHyphen/>
        <w:t>дроната, ибандроната, золедроната.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Алендронат (фосамакс</w:t>
      </w:r>
      <w:r w:rsidRPr="00BF7C29">
        <w:rPr>
          <w:rFonts w:eastAsia="Arial"/>
          <w:color w:val="000000"/>
          <w:sz w:val="24"/>
          <w:szCs w:val="24"/>
          <w:vertAlign w:val="superscript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 xml:space="preserve">, фософванс, теванат, остелон, фороза) принимают внутрь натощак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(за 30 мин до еды) по 10 мг один раз в сутки или 70 мг один раз в неделю. Ризедронат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^ </w:t>
      </w:r>
      <w:r w:rsidRPr="00BF7C29">
        <w:rPr>
          <w:color w:val="000000"/>
          <w:sz w:val="24"/>
          <w:szCs w:val="24"/>
          <w:lang w:eastAsia="ru-RU" w:bidi="ru-RU"/>
        </w:rPr>
        <w:t>(актонель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) при</w:t>
      </w:r>
      <w:r w:rsidRPr="00BF7C29">
        <w:rPr>
          <w:color w:val="000000"/>
          <w:sz w:val="24"/>
          <w:szCs w:val="24"/>
          <w:lang w:eastAsia="ru-RU" w:bidi="ru-RU"/>
        </w:rPr>
        <w:softHyphen/>
        <w:t>нимают в дозе 5 мг ежедневно или 35 мг один раз в неделю. Спо</w:t>
      </w:r>
      <w:r w:rsidRPr="00BF7C29">
        <w:rPr>
          <w:color w:val="000000"/>
          <w:sz w:val="24"/>
          <w:szCs w:val="24"/>
          <w:lang w:eastAsia="ru-RU" w:bidi="ru-RU"/>
        </w:rPr>
        <w:softHyphen/>
        <w:t>соб приема ибандроната (бонвива</w:t>
      </w:r>
      <w:r w:rsidRPr="00BF7C29">
        <w:rPr>
          <w:rFonts w:eastAsia="Arial"/>
          <w:color w:val="000000"/>
          <w:sz w:val="24"/>
          <w:szCs w:val="24"/>
          <w:vertAlign w:val="superscript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) — 150 мг 1 раз в месяц внутрь натощак (за 60 мин до еды) или внутривенно струйно 3 мг 1 раз в 3 мес. Золедроновую кислоту (акласту</w:t>
      </w:r>
      <w:r w:rsidRPr="00BF7C29">
        <w:rPr>
          <w:rFonts w:eastAsia="Arial"/>
          <w:color w:val="000000"/>
          <w:sz w:val="24"/>
          <w:szCs w:val="24"/>
          <w:vertAlign w:val="superscript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) применяют внутривенно капельно (инфузия в течение 15 мин) 1 раз в год.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Длительность приема бисфосфонатов — 3-5 лет.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Бисфосфонаты в настоящее время позиционируются как пре</w:t>
      </w:r>
      <w:r w:rsidRPr="00BF7C29">
        <w:rPr>
          <w:color w:val="000000"/>
          <w:sz w:val="24"/>
          <w:szCs w:val="24"/>
          <w:lang w:eastAsia="ru-RU" w:bidi="ru-RU"/>
        </w:rPr>
        <w:softHyphen/>
        <w:t>параты первой линии для лечения постменопаузального остео</w:t>
      </w:r>
      <w:r w:rsidRPr="00BF7C29">
        <w:rPr>
          <w:color w:val="000000"/>
          <w:sz w:val="24"/>
          <w:szCs w:val="24"/>
          <w:lang w:eastAsia="ru-RU" w:bidi="ru-RU"/>
        </w:rPr>
        <w:softHyphen/>
        <w:t>пороза (алендронат, ризедронат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^</w:t>
      </w:r>
      <w:r w:rsidRPr="00BF7C29">
        <w:rPr>
          <w:color w:val="000000"/>
          <w:sz w:val="24"/>
          <w:szCs w:val="24"/>
          <w:lang w:eastAsia="ru-RU" w:bidi="ru-RU"/>
        </w:rPr>
        <w:t>, ибандронат, золедроновая кислота), глюкокортикоидного остеопороза и остеопороза у муж</w:t>
      </w:r>
      <w:r w:rsidRPr="00BF7C29">
        <w:rPr>
          <w:color w:val="000000"/>
          <w:sz w:val="24"/>
          <w:szCs w:val="24"/>
          <w:lang w:eastAsia="ru-RU" w:bidi="ru-RU"/>
        </w:rPr>
        <w:softHyphen/>
        <w:t>чин (алендронат, ризедронат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^</w:t>
      </w:r>
      <w:r w:rsidRPr="00BF7C29">
        <w:rPr>
          <w:color w:val="000000"/>
          <w:sz w:val="24"/>
          <w:szCs w:val="24"/>
          <w:lang w:eastAsia="ru-RU" w:bidi="ru-RU"/>
        </w:rPr>
        <w:t>, золедронат). Женщинам в ранней менопаузе с низкой МПКТ для профилактики остеопороза бис</w:t>
      </w:r>
      <w:r w:rsidRPr="00BF7C29">
        <w:rPr>
          <w:color w:val="000000"/>
          <w:sz w:val="24"/>
          <w:szCs w:val="24"/>
          <w:lang w:eastAsia="ru-RU" w:bidi="ru-RU"/>
        </w:rPr>
        <w:softHyphen/>
        <w:t>фосфонаты (алендронат) можно назначать в уменьшенной (по</w:t>
      </w:r>
      <w:r w:rsidRPr="00BF7C29">
        <w:rPr>
          <w:color w:val="000000"/>
          <w:sz w:val="24"/>
          <w:szCs w:val="24"/>
          <w:lang w:eastAsia="ru-RU" w:bidi="ru-RU"/>
        </w:rPr>
        <w:softHyphen/>
        <w:t>ловинной) дозе.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Одновременно с бисфосфонатами необходимо принимать кальций по 500-1000 мг/сут (с пищей или дополнительно) и ви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по 400-800 МЕ/сут.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Противопоказания к приему бисфосфонатов внутрь — актив</w:t>
      </w:r>
      <w:r w:rsidRPr="00BF7C29">
        <w:rPr>
          <w:color w:val="000000"/>
          <w:sz w:val="24"/>
          <w:szCs w:val="24"/>
          <w:lang w:eastAsia="ru-RU" w:bidi="ru-RU"/>
        </w:rPr>
        <w:softHyphen/>
        <w:t>ные язвенные поражения пищевода, желудка и двенадцатиперст</w:t>
      </w:r>
      <w:r w:rsidRPr="00BF7C29">
        <w:rPr>
          <w:color w:val="000000"/>
          <w:sz w:val="24"/>
          <w:szCs w:val="24"/>
          <w:lang w:eastAsia="ru-RU" w:bidi="ru-RU"/>
        </w:rPr>
        <w:softHyphen/>
        <w:t>ной кишки, для любых форм — почечная недостаточность со снижением клиренса креатинина менее 30 мл/мин. Внутривен</w:t>
      </w:r>
      <w:r w:rsidRPr="00BF7C29">
        <w:rPr>
          <w:color w:val="000000"/>
          <w:sz w:val="24"/>
          <w:szCs w:val="24"/>
          <w:lang w:eastAsia="ru-RU" w:bidi="ru-RU"/>
        </w:rPr>
        <w:softHyphen/>
        <w:t>ные бисфосфонаты с осторожностью применяют при нарушениях биоритма, склонности к афтозным поражениям полости рта.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4" w:name="bookmark287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Паратиреоидный гормон</w:t>
      </w:r>
      <w:bookmarkEnd w:id="74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Механизм действия ПТГ — стимуляция костеобразования за счет усиления превращения преостеобластов в остеобласты и улучшения их функции, удлинение периода их жизни при интер</w:t>
      </w:r>
      <w:r w:rsidRPr="00BF7C29">
        <w:rPr>
          <w:color w:val="000000"/>
          <w:sz w:val="24"/>
          <w:szCs w:val="24"/>
          <w:lang w:eastAsia="ru-RU" w:bidi="ru-RU"/>
        </w:rPr>
        <w:softHyphen/>
        <w:t>миттирующем применении малых доз ПТГ.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Для лечения постменопаузального и сенильного остеопороза у женщин и мужчин терипаратид назначают в виде однократных ежедневных инъекций (шприц-ручкой) по 20 мкг (автоматиче</w:t>
      </w:r>
      <w:r w:rsidRPr="00BF7C29">
        <w:rPr>
          <w:color w:val="000000"/>
          <w:sz w:val="24"/>
          <w:szCs w:val="24"/>
          <w:lang w:eastAsia="ru-RU" w:bidi="ru-RU"/>
        </w:rPr>
        <w:softHyphen/>
        <w:t>ский дозатор). Длительность лечения — до 2 лет.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Противопоказания к применению: гиперкальциемия, активная почечнокаменная болезнь.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5" w:name="bookmark287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Стронция ранелат</w:t>
      </w:r>
      <w:bookmarkEnd w:id="75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Стронция ранелат (бивалос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) — единственный препарат с до</w:t>
      </w:r>
      <w:r w:rsidRPr="00BF7C29">
        <w:rPr>
          <w:color w:val="000000"/>
          <w:sz w:val="24"/>
          <w:szCs w:val="24"/>
          <w:lang w:eastAsia="ru-RU" w:bidi="ru-RU"/>
        </w:rPr>
        <w:softHyphen/>
        <w:t>казанным разнонаправленным действием на костное ремодели</w:t>
      </w:r>
      <w:r w:rsidRPr="00BF7C29">
        <w:rPr>
          <w:color w:val="000000"/>
          <w:sz w:val="24"/>
          <w:szCs w:val="24"/>
          <w:lang w:eastAsia="ru-RU" w:bidi="ru-RU"/>
        </w:rPr>
        <w:softHyphen/>
        <w:t>рование: стимуляция костеобразования и подавление резорбции костной ткани.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Стронция ранелат в настоящее время позиционируется как препарат первой линии для лечения постменопаузального остео</w:t>
      </w:r>
      <w:r w:rsidRPr="00BF7C29">
        <w:rPr>
          <w:color w:val="000000"/>
          <w:sz w:val="24"/>
          <w:szCs w:val="24"/>
          <w:lang w:eastAsia="ru-RU" w:bidi="ru-RU"/>
        </w:rPr>
        <w:softHyphen/>
        <w:t>пороза в ряде европейских стран и России.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Абсолютных противопоказаний нет. С осторожностью приме</w:t>
      </w:r>
      <w:r w:rsidRPr="00BF7C29">
        <w:rPr>
          <w:color w:val="000000"/>
          <w:sz w:val="24"/>
          <w:szCs w:val="24"/>
          <w:lang w:eastAsia="ru-RU" w:bidi="ru-RU"/>
        </w:rPr>
        <w:softHyphen/>
        <w:t>няют при склонности к тромбозам и тромбоэмболиям, диарее.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суммированы вышеизложенные положения по фармакологической профилактике и лечению остеопороза.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bookmarkStart w:id="76" w:name="bookmark2881"/>
      <w:bookmarkStart w:id="77" w:name="bookmark2887"/>
      <w:bookmarkStart w:id="78" w:name="bookmark2891"/>
      <w:r w:rsidRPr="00BF7C29">
        <w:rPr>
          <w:color w:val="000000"/>
          <w:sz w:val="24"/>
          <w:szCs w:val="24"/>
          <w:lang w:eastAsia="ru-RU" w:bidi="ru-RU"/>
        </w:rPr>
        <w:t>В настоящее время большое значение придают факторам риска в принятии решения о начале терапии остеопороза. Например, считается, что женщинам старше 65 лет с одним и более факторов риска остеопороза можно назначать терапию без денситометрии. Лицам моложе 65 лет, но имеющим в анамнезе низкотравматич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ный перелом, лечение остеопороза показано при Т-критерии ниже -1 </w:t>
      </w:r>
      <w:r w:rsidRPr="00BF7C29">
        <w:rPr>
          <w:color w:val="000000"/>
          <w:sz w:val="24"/>
          <w:szCs w:val="24"/>
          <w:lang w:val="en-US" w:bidi="en-US"/>
        </w:rPr>
        <w:t>SD</w:t>
      </w:r>
      <w:r w:rsidRPr="00BF7C29">
        <w:rPr>
          <w:color w:val="000000"/>
          <w:sz w:val="24"/>
          <w:szCs w:val="24"/>
          <w:lang w:bidi="en-US"/>
        </w:rPr>
        <w:t xml:space="preserve">. </w:t>
      </w:r>
      <w:r w:rsidRPr="00BF7C29">
        <w:rPr>
          <w:color w:val="000000"/>
          <w:sz w:val="24"/>
          <w:szCs w:val="24"/>
          <w:lang w:eastAsia="ru-RU" w:bidi="ru-RU"/>
        </w:rPr>
        <w:t>Пациентам, принимающим глюкокортикоиды, ре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комендуют назначение антиостеопоротических препаратов при Т-критерии ниже -1,5 </w:t>
      </w:r>
      <w:r w:rsidRPr="00BF7C29">
        <w:rPr>
          <w:color w:val="000000"/>
          <w:sz w:val="24"/>
          <w:szCs w:val="24"/>
          <w:lang w:val="en-US" w:bidi="en-US"/>
        </w:rPr>
        <w:t>SD</w:t>
      </w:r>
      <w:r w:rsidRPr="00BF7C29">
        <w:rPr>
          <w:color w:val="000000"/>
          <w:sz w:val="24"/>
          <w:szCs w:val="24"/>
          <w:lang w:bidi="en-US"/>
        </w:rPr>
        <w:t>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9" w:name="bookmark287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Хирургическое лечение остеопороза</w:t>
      </w:r>
      <w:bookmarkEnd w:id="79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ряде случаев при компрессионных переломах тел позвон</w:t>
      </w:r>
      <w:r w:rsidRPr="00BF7C29">
        <w:rPr>
          <w:color w:val="000000"/>
          <w:sz w:val="24"/>
          <w:szCs w:val="24"/>
          <w:lang w:eastAsia="ru-RU" w:bidi="ru-RU"/>
        </w:rPr>
        <w:softHyphen/>
        <w:t>ков выполняют вертебропластику для снятия боли или кифо</w:t>
      </w:r>
      <w:r w:rsidRPr="00BF7C29">
        <w:rPr>
          <w:color w:val="000000"/>
          <w:sz w:val="24"/>
          <w:szCs w:val="24"/>
          <w:lang w:eastAsia="ru-RU" w:bidi="ru-RU"/>
        </w:rPr>
        <w:softHyphen/>
        <w:t>пластику.</w:t>
      </w:r>
    </w:p>
    <w:p w:rsidR="00BF7C29" w:rsidRPr="00BF7C29" w:rsidRDefault="00BF7C29" w:rsidP="00BF7C29">
      <w:pPr>
        <w:pStyle w:val="3f2"/>
        <w:spacing w:after="80"/>
        <w:jc w:val="center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СИНДРОМ ОСТЕОМАЛЯЦИИ</w:t>
      </w:r>
      <w:bookmarkEnd w:id="76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Остеомаляция </w:t>
      </w:r>
      <w:r w:rsidRPr="00BF7C29">
        <w:rPr>
          <w:color w:val="000000"/>
          <w:sz w:val="24"/>
          <w:szCs w:val="24"/>
          <w:lang w:eastAsia="ru-RU" w:bidi="ru-RU"/>
        </w:rPr>
        <w:t>— одна из причин остеопении, характеризу</w:t>
      </w:r>
      <w:r w:rsidRPr="00BF7C29">
        <w:rPr>
          <w:color w:val="000000"/>
          <w:sz w:val="24"/>
          <w:szCs w:val="24"/>
          <w:lang w:eastAsia="ru-RU" w:bidi="ru-RU"/>
        </w:rPr>
        <w:softHyphen/>
        <w:t>ется нарушением минерализации вновь образованного костного матрикса у взрослых.</w:t>
      </w:r>
    </w:p>
    <w:p w:rsidR="00BF7C29" w:rsidRPr="00BF7C29" w:rsidRDefault="00BF7C29" w:rsidP="0038538C">
      <w:pPr>
        <w:pStyle w:val="1f1"/>
        <w:spacing w:after="80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Рахит </w:t>
      </w:r>
      <w:r w:rsidRPr="00BF7C29">
        <w:rPr>
          <w:color w:val="000000"/>
          <w:sz w:val="24"/>
          <w:szCs w:val="24"/>
          <w:lang w:eastAsia="ru-RU" w:bidi="ru-RU"/>
        </w:rPr>
        <w:t>— аналогичное состояние у детей, которое приводит к дефектам минерализации хряща преимущественно в области эпи</w:t>
      </w:r>
      <w:r w:rsidRPr="00BF7C29">
        <w:rPr>
          <w:color w:val="000000"/>
          <w:sz w:val="24"/>
          <w:szCs w:val="24"/>
          <w:lang w:eastAsia="ru-RU" w:bidi="ru-RU"/>
        </w:rPr>
        <w:softHyphen/>
        <w:t>физарных ростовых пластинок, что вызывает задержку роста и деформацию костей.</w:t>
      </w:r>
    </w:p>
    <w:p w:rsidR="00BF7C29" w:rsidRPr="00BF7C29" w:rsidRDefault="00BF7C29" w:rsidP="0038538C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bookmarkStart w:id="80" w:name="bookmark288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Классификация</w:t>
      </w:r>
      <w:bookmarkEnd w:id="80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 этиологии.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Остеомаляция на фоне вторичного гиперпаратиреоза и ги</w:t>
      </w:r>
      <w:r w:rsidRPr="00BF7C29">
        <w:rPr>
          <w:color w:val="000000"/>
          <w:sz w:val="24"/>
          <w:szCs w:val="24"/>
          <w:lang w:eastAsia="ru-RU" w:bidi="ru-RU"/>
        </w:rPr>
        <w:softHyphen/>
        <w:t>пофосфатемии (возникают вследствие патологии метабо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лизма и потребления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>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 xml:space="preserve">Дефицит потребления и всасывания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>:</w:t>
      </w:r>
    </w:p>
    <w:p w:rsidR="00BF7C29" w:rsidRPr="00BF7C29" w:rsidRDefault="00BF7C29" w:rsidP="0038538C">
      <w:pPr>
        <w:pStyle w:val="1f1"/>
        <w:numPr>
          <w:ilvl w:val="0"/>
          <w:numId w:val="72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болезни тонкого кишечника;</w:t>
      </w:r>
    </w:p>
    <w:p w:rsidR="00BF7C29" w:rsidRPr="00BF7C29" w:rsidRDefault="00BF7C29" w:rsidP="0038538C">
      <w:pPr>
        <w:pStyle w:val="1f1"/>
        <w:numPr>
          <w:ilvl w:val="0"/>
          <w:numId w:val="72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гастрэктомия;</w:t>
      </w:r>
    </w:p>
    <w:p w:rsidR="00BF7C29" w:rsidRPr="00BF7C29" w:rsidRDefault="00BF7C29" w:rsidP="0038538C">
      <w:pPr>
        <w:pStyle w:val="1f1"/>
        <w:numPr>
          <w:ilvl w:val="0"/>
          <w:numId w:val="72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мальабсорбция;</w:t>
      </w:r>
    </w:p>
    <w:p w:rsidR="00BF7C29" w:rsidRPr="00BF7C29" w:rsidRDefault="00BF7C29" w:rsidP="0038538C">
      <w:pPr>
        <w:pStyle w:val="1f1"/>
        <w:numPr>
          <w:ilvl w:val="0"/>
          <w:numId w:val="72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недостаток инсоляции;</w:t>
      </w:r>
    </w:p>
    <w:p w:rsidR="00BF7C29" w:rsidRPr="00BF7C29" w:rsidRDefault="00BF7C29" w:rsidP="0038538C">
      <w:pPr>
        <w:pStyle w:val="1f1"/>
        <w:numPr>
          <w:ilvl w:val="0"/>
          <w:numId w:val="72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панкреатическая недостаточность;</w:t>
      </w:r>
    </w:p>
    <w:p w:rsidR="00BF7C29" w:rsidRPr="00BF7C29" w:rsidRDefault="00BF7C29" w:rsidP="0038538C">
      <w:pPr>
        <w:pStyle w:val="1f1"/>
        <w:numPr>
          <w:ilvl w:val="0"/>
          <w:numId w:val="72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алиментарный фактор.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Нарушения 25-гидроксилирования:</w:t>
      </w:r>
    </w:p>
    <w:p w:rsidR="00BF7C29" w:rsidRPr="00BF7C29" w:rsidRDefault="00BF7C29" w:rsidP="0038538C">
      <w:pPr>
        <w:pStyle w:val="1f1"/>
        <w:numPr>
          <w:ilvl w:val="0"/>
          <w:numId w:val="73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алкогольный цирроз;</w:t>
      </w:r>
    </w:p>
    <w:p w:rsidR="00BF7C29" w:rsidRPr="00BF7C29" w:rsidRDefault="00BF7C29" w:rsidP="0038538C">
      <w:pPr>
        <w:pStyle w:val="1f1"/>
        <w:numPr>
          <w:ilvl w:val="0"/>
          <w:numId w:val="73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билиарный цирроз;</w:t>
      </w:r>
    </w:p>
    <w:p w:rsidR="00BF7C29" w:rsidRPr="00BF7C29" w:rsidRDefault="00BF7C29" w:rsidP="0038538C">
      <w:pPr>
        <w:pStyle w:val="1f1"/>
        <w:numPr>
          <w:ilvl w:val="0"/>
          <w:numId w:val="73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прием противосудорожных препаратов.</w:t>
      </w:r>
    </w:p>
    <w:p w:rsidR="00BF7C29" w:rsidRPr="00BF7C29" w:rsidRDefault="00BF7C29" w:rsidP="0038538C">
      <w:pPr>
        <w:pStyle w:val="1f1"/>
        <w:numPr>
          <w:ilvl w:val="0"/>
          <w:numId w:val="7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Потеря белка, связывающего 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(нефротический синдром).</w:t>
      </w:r>
    </w:p>
    <w:p w:rsidR="00BF7C29" w:rsidRPr="00BF7C29" w:rsidRDefault="00BF7C29" w:rsidP="0038538C">
      <w:pPr>
        <w:pStyle w:val="1f1"/>
        <w:numPr>
          <w:ilvl w:val="0"/>
          <w:numId w:val="74"/>
        </w:numPr>
        <w:tabs>
          <w:tab w:val="left" w:pos="78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Нарушения 1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>а</w:t>
      </w:r>
      <w:r w:rsidRPr="00BF7C29">
        <w:rPr>
          <w:color w:val="000000"/>
          <w:sz w:val="24"/>
          <w:szCs w:val="24"/>
          <w:lang w:eastAsia="ru-RU" w:bidi="ru-RU"/>
        </w:rPr>
        <w:t>,25-гидроксилирования:</w:t>
      </w:r>
    </w:p>
    <w:p w:rsidR="00BF7C29" w:rsidRPr="00BF7C29" w:rsidRDefault="00BF7C29" w:rsidP="0038538C">
      <w:pPr>
        <w:pStyle w:val="1f1"/>
        <w:numPr>
          <w:ilvl w:val="0"/>
          <w:numId w:val="75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eastAsia="ru-RU" w:bidi="ru-RU"/>
        </w:rPr>
        <w:t>-зависимый рахит типа 1;</w:t>
      </w:r>
    </w:p>
    <w:p w:rsidR="00BF7C29" w:rsidRPr="00BF7C29" w:rsidRDefault="00BF7C29" w:rsidP="0038538C">
      <w:pPr>
        <w:pStyle w:val="1f1"/>
        <w:numPr>
          <w:ilvl w:val="0"/>
          <w:numId w:val="75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гипопаратиреоз;</w:t>
      </w:r>
    </w:p>
    <w:p w:rsidR="00BF7C29" w:rsidRPr="00BF7C29" w:rsidRDefault="00BF7C29" w:rsidP="0038538C">
      <w:pPr>
        <w:pStyle w:val="1f1"/>
        <w:numPr>
          <w:ilvl w:val="0"/>
          <w:numId w:val="75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почечная недостаточность.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 xml:space="preserve">Патология ответа органов-мишеней на кальцитриол — 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eastAsia="ru-RU" w:bidi="ru-RU"/>
        </w:rPr>
        <w:t>-зависимый рахит типа 2 (наследственный ви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eastAsia="ru-RU" w:bidi="ru-RU"/>
        </w:rPr>
        <w:t>-резистентный рахит).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Остеомаляция вследствие дефектов минерализации.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Патология костного матрикса:</w:t>
      </w:r>
    </w:p>
    <w:p w:rsidR="00BF7C29" w:rsidRPr="00BF7C29" w:rsidRDefault="00BF7C29" w:rsidP="0038538C">
      <w:pPr>
        <w:pStyle w:val="1f1"/>
        <w:numPr>
          <w:ilvl w:val="0"/>
          <w:numId w:val="76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аксиальная остеомаляция (генерализованное заболе</w:t>
      </w:r>
      <w:r w:rsidRPr="00BF7C29">
        <w:rPr>
          <w:color w:val="000000"/>
          <w:sz w:val="24"/>
          <w:szCs w:val="24"/>
          <w:lang w:eastAsia="ru-RU" w:bidi="ru-RU"/>
        </w:rPr>
        <w:softHyphen/>
        <w:t>вание скелета, связанное с нарушениями минерали</w:t>
      </w:r>
      <w:r w:rsidRPr="00BF7C29">
        <w:rPr>
          <w:color w:val="000000"/>
          <w:sz w:val="24"/>
          <w:szCs w:val="24"/>
          <w:lang w:eastAsia="ru-RU" w:bidi="ru-RU"/>
        </w:rPr>
        <w:softHyphen/>
        <w:t>зации костного матрикса, симптомы — хроническая боль в костях осевого скелета; мужчины более подвер</w:t>
      </w:r>
      <w:r w:rsidRPr="00BF7C29">
        <w:rPr>
          <w:color w:val="000000"/>
          <w:sz w:val="24"/>
          <w:szCs w:val="24"/>
          <w:lang w:eastAsia="ru-RU" w:bidi="ru-RU"/>
        </w:rPr>
        <w:softHyphen/>
        <w:t>жены этому заболеванию, чем женщины, оно может быть семейным);</w:t>
      </w:r>
    </w:p>
    <w:p w:rsidR="00BF7C29" w:rsidRPr="00BF7C29" w:rsidRDefault="00BF7C29" w:rsidP="0038538C">
      <w:pPr>
        <w:pStyle w:val="1f1"/>
        <w:numPr>
          <w:ilvl w:val="0"/>
          <w:numId w:val="76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несовершенный остеогенез;</w:t>
      </w:r>
    </w:p>
    <w:p w:rsidR="00BF7C29" w:rsidRPr="00BF7C29" w:rsidRDefault="00BF7C29" w:rsidP="0038538C">
      <w:pPr>
        <w:pStyle w:val="1f1"/>
        <w:numPr>
          <w:ilvl w:val="0"/>
          <w:numId w:val="76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несовершенный фиброгенез (спорадическое идиопа</w:t>
      </w:r>
      <w:r w:rsidRPr="00BF7C29">
        <w:rPr>
          <w:color w:val="000000"/>
          <w:sz w:val="24"/>
          <w:szCs w:val="24"/>
          <w:lang w:eastAsia="ru-RU" w:bidi="ru-RU"/>
        </w:rPr>
        <w:softHyphen/>
        <w:t>тическое заболевание, характеризующееся патологией образования костного матрикса);</w:t>
      </w:r>
    </w:p>
    <w:p w:rsidR="00BF7C29" w:rsidRPr="00BF7C29" w:rsidRDefault="00BF7C29" w:rsidP="0038538C">
      <w:pPr>
        <w:pStyle w:val="1f1"/>
        <w:numPr>
          <w:ilvl w:val="0"/>
          <w:numId w:val="76"/>
        </w:numPr>
        <w:tabs>
          <w:tab w:val="left" w:pos="9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ХПН.</w:t>
      </w:r>
    </w:p>
    <w:p w:rsidR="00BF7C29" w:rsidRPr="00BF7C29" w:rsidRDefault="00BF7C29" w:rsidP="0038538C">
      <w:pPr>
        <w:pStyle w:val="1f1"/>
        <w:numPr>
          <w:ilvl w:val="0"/>
          <w:numId w:val="77"/>
        </w:numPr>
        <w:tabs>
          <w:tab w:val="left" w:pos="73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Гипофосфатазия — редкое заболевание, характеризую</w:t>
      </w:r>
      <w:r w:rsidRPr="00BF7C29">
        <w:rPr>
          <w:color w:val="000000"/>
          <w:sz w:val="24"/>
          <w:szCs w:val="24"/>
          <w:lang w:eastAsia="ru-RU" w:bidi="ru-RU"/>
        </w:rPr>
        <w:softHyphen/>
        <w:t>щееся низкой активностью ЩФ в крови и костях, остео</w:t>
      </w:r>
      <w:r w:rsidRPr="00BF7C29">
        <w:rPr>
          <w:color w:val="000000"/>
          <w:sz w:val="24"/>
          <w:szCs w:val="24"/>
          <w:lang w:eastAsia="ru-RU" w:bidi="ru-RU"/>
        </w:rPr>
        <w:softHyphen/>
        <w:t>маляция и болезни периодонта.</w:t>
      </w:r>
    </w:p>
    <w:p w:rsidR="00BF7C29" w:rsidRPr="00BF7C29" w:rsidRDefault="00BF7C29" w:rsidP="0038538C">
      <w:pPr>
        <w:pStyle w:val="1f1"/>
        <w:numPr>
          <w:ilvl w:val="0"/>
          <w:numId w:val="77"/>
        </w:numPr>
        <w:tabs>
          <w:tab w:val="left" w:pos="73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Прием ингибиторов минерализации:</w:t>
      </w:r>
    </w:p>
    <w:p w:rsidR="00BF7C29" w:rsidRPr="00BF7C29" w:rsidRDefault="00BF7C29" w:rsidP="0038538C">
      <w:pPr>
        <w:pStyle w:val="1f1"/>
        <w:numPr>
          <w:ilvl w:val="0"/>
          <w:numId w:val="78"/>
        </w:numPr>
        <w:tabs>
          <w:tab w:val="left" w:pos="934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алюминия;</w:t>
      </w:r>
    </w:p>
    <w:p w:rsidR="00BF7C29" w:rsidRPr="00BF7C29" w:rsidRDefault="00BF7C29" w:rsidP="0038538C">
      <w:pPr>
        <w:pStyle w:val="1f1"/>
        <w:numPr>
          <w:ilvl w:val="0"/>
          <w:numId w:val="78"/>
        </w:numPr>
        <w:tabs>
          <w:tab w:val="left" w:pos="934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бисфосфонатов;</w:t>
      </w:r>
    </w:p>
    <w:p w:rsidR="00BF7C29" w:rsidRPr="00BF7C29" w:rsidRDefault="00BF7C29" w:rsidP="0038538C">
      <w:pPr>
        <w:pStyle w:val="1f1"/>
        <w:numPr>
          <w:ilvl w:val="0"/>
          <w:numId w:val="78"/>
        </w:numPr>
        <w:tabs>
          <w:tab w:val="left" w:pos="934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фторидов.</w:t>
      </w:r>
    </w:p>
    <w:p w:rsidR="00BF7C29" w:rsidRPr="00BF7C29" w:rsidRDefault="00BF7C29" w:rsidP="0038538C">
      <w:pPr>
        <w:pStyle w:val="1f1"/>
        <w:numPr>
          <w:ilvl w:val="0"/>
          <w:numId w:val="78"/>
        </w:numPr>
        <w:tabs>
          <w:tab w:val="left" w:pos="73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Дефицит фосфата:</w:t>
      </w:r>
    </w:p>
    <w:p w:rsidR="00BF7C29" w:rsidRPr="00BF7C29" w:rsidRDefault="00BF7C29" w:rsidP="0038538C">
      <w:pPr>
        <w:pStyle w:val="1f1"/>
        <w:numPr>
          <w:ilvl w:val="0"/>
          <w:numId w:val="79"/>
        </w:numPr>
        <w:tabs>
          <w:tab w:val="left" w:pos="934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снижение всасывания (прием антацидов);</w:t>
      </w:r>
    </w:p>
    <w:p w:rsidR="00BF7C29" w:rsidRPr="00BF7C29" w:rsidRDefault="00BF7C29" w:rsidP="0038538C">
      <w:pPr>
        <w:pStyle w:val="1f1"/>
        <w:numPr>
          <w:ilvl w:val="0"/>
          <w:numId w:val="79"/>
        </w:numPr>
        <w:tabs>
          <w:tab w:val="left" w:pos="934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сниженное потребление.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Дефекты почечной реабсорбции: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Courier New"/>
          <w:color w:val="000000"/>
          <w:sz w:val="24"/>
          <w:szCs w:val="24"/>
          <w:lang w:eastAsia="ru-RU" w:bidi="ru-RU"/>
        </w:rPr>
        <w:t xml:space="preserve">- </w:t>
      </w:r>
      <w:r w:rsidRPr="00BF7C29">
        <w:rPr>
          <w:color w:val="000000"/>
          <w:sz w:val="24"/>
          <w:szCs w:val="24"/>
          <w:lang w:eastAsia="ru-RU" w:bidi="ru-RU"/>
        </w:rPr>
        <w:t>первичные:</w:t>
      </w:r>
    </w:p>
    <w:p w:rsidR="00BF7C29" w:rsidRPr="00BF7C29" w:rsidRDefault="00BF7C29" w:rsidP="0038538C">
      <w:pPr>
        <w:pStyle w:val="1f1"/>
        <w:numPr>
          <w:ilvl w:val="0"/>
          <w:numId w:val="80"/>
        </w:numPr>
        <w:tabs>
          <w:tab w:val="left" w:pos="118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наследственный гипофосфатемический рахит с ги- перкальциурией;</w:t>
      </w:r>
    </w:p>
    <w:p w:rsidR="00BF7C29" w:rsidRPr="00BF7C29" w:rsidRDefault="00BF7C29" w:rsidP="0038538C">
      <w:pPr>
        <w:pStyle w:val="1f1"/>
        <w:numPr>
          <w:ilvl w:val="0"/>
          <w:numId w:val="80"/>
        </w:numPr>
        <w:tabs>
          <w:tab w:val="left" w:pos="118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Фанкони — сочетание болезни Вильсона, цистиноза и множественной миеломы;</w:t>
      </w:r>
    </w:p>
    <w:p w:rsidR="00BF7C29" w:rsidRPr="00BF7C29" w:rsidRDefault="00BF7C29" w:rsidP="0038538C">
      <w:pPr>
        <w:pStyle w:val="1f1"/>
        <w:numPr>
          <w:ilvl w:val="0"/>
          <w:numId w:val="80"/>
        </w:numPr>
        <w:tabs>
          <w:tab w:val="left" w:pos="118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val="en-US" w:bidi="en-US"/>
        </w:rPr>
        <w:t>X</w:t>
      </w:r>
      <w:r w:rsidRPr="00BF7C29">
        <w:rPr>
          <w:color w:val="000000"/>
          <w:sz w:val="24"/>
          <w:szCs w:val="24"/>
          <w:lang w:eastAsia="ru-RU" w:bidi="ru-RU"/>
        </w:rPr>
        <w:t>-связанный гипофосфатемический рахит (вита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eastAsia="ru-RU" w:bidi="ru-RU"/>
        </w:rPr>
        <w:t>-резистентный).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Courier New"/>
          <w:color w:val="000000"/>
          <w:sz w:val="24"/>
          <w:szCs w:val="24"/>
          <w:lang w:eastAsia="ru-RU" w:bidi="ru-RU"/>
        </w:rPr>
        <w:t xml:space="preserve">- </w:t>
      </w:r>
      <w:r w:rsidRPr="00BF7C29">
        <w:rPr>
          <w:color w:val="000000"/>
          <w:sz w:val="24"/>
          <w:szCs w:val="24"/>
          <w:lang w:eastAsia="ru-RU" w:bidi="ru-RU"/>
        </w:rPr>
        <w:t>вторичные:</w:t>
      </w:r>
    </w:p>
    <w:p w:rsidR="00BF7C29" w:rsidRPr="00BF7C29" w:rsidRDefault="00BF7C29" w:rsidP="0038538C">
      <w:pPr>
        <w:pStyle w:val="1f1"/>
        <w:numPr>
          <w:ilvl w:val="0"/>
          <w:numId w:val="81"/>
        </w:numPr>
        <w:tabs>
          <w:tab w:val="left" w:pos="118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вторичный гиперпаратиреоз (почечный канальце</w:t>
      </w:r>
      <w:r w:rsidRPr="00BF7C29">
        <w:rPr>
          <w:color w:val="000000"/>
          <w:sz w:val="24"/>
          <w:szCs w:val="24"/>
          <w:lang w:eastAsia="ru-RU" w:bidi="ru-RU"/>
        </w:rPr>
        <w:softHyphen/>
        <w:t>вый ацидоз типа 1 и нарушения метаболизма вита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>);</w:t>
      </w:r>
    </w:p>
    <w:p w:rsidR="00BF7C29" w:rsidRPr="00BF7C29" w:rsidRDefault="00BF7C29" w:rsidP="0038538C">
      <w:pPr>
        <w:pStyle w:val="1f1"/>
        <w:numPr>
          <w:ilvl w:val="0"/>
          <w:numId w:val="81"/>
        </w:numPr>
        <w:tabs>
          <w:tab w:val="left" w:pos="1182"/>
        </w:tabs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онкогенная остеомаляция.</w:t>
      </w:r>
    </w:p>
    <w:p w:rsidR="00BF7C29" w:rsidRPr="00BF7C29" w:rsidRDefault="00BF7C29" w:rsidP="0038538C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1" w:name="bookmark288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</w:t>
      </w:r>
      <w:bookmarkEnd w:id="81"/>
    </w:p>
    <w:p w:rsidR="00BF7C29" w:rsidRPr="00BF7C29" w:rsidRDefault="00BF7C29" w:rsidP="0038538C">
      <w:pPr>
        <w:pStyle w:val="1f1"/>
        <w:numPr>
          <w:ilvl w:val="0"/>
          <w:numId w:val="82"/>
        </w:numPr>
        <w:tabs>
          <w:tab w:val="left" w:pos="474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Бессимптомная форма — наличие остеопении (по результа</w:t>
      </w:r>
      <w:r w:rsidRPr="00BF7C29">
        <w:rPr>
          <w:color w:val="000000"/>
          <w:sz w:val="24"/>
          <w:szCs w:val="24"/>
          <w:lang w:eastAsia="ru-RU" w:bidi="ru-RU"/>
        </w:rPr>
        <w:softHyphen/>
        <w:t>там рентгеновских обследований).</w:t>
      </w:r>
    </w:p>
    <w:p w:rsidR="00BF7C29" w:rsidRPr="00BF7C29" w:rsidRDefault="00BF7C29" w:rsidP="0038538C">
      <w:pPr>
        <w:pStyle w:val="1f1"/>
        <w:numPr>
          <w:ilvl w:val="0"/>
          <w:numId w:val="82"/>
        </w:numPr>
        <w:tabs>
          <w:tab w:val="left" w:pos="474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Манифестная форма — мышечная слабость, диффузные боли в костях и болезненность при пальпации в проекции костей.</w:t>
      </w:r>
    </w:p>
    <w:p w:rsidR="00BF7C29" w:rsidRPr="00BF7C29" w:rsidRDefault="00BF7C29" w:rsidP="0038538C">
      <w:pPr>
        <w:pStyle w:val="1f1"/>
        <w:numPr>
          <w:ilvl w:val="0"/>
          <w:numId w:val="83"/>
        </w:numPr>
        <w:tabs>
          <w:tab w:val="left" w:pos="73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Мышечная слабость чаще возникает в проксимальных отделах конечностей, сочетается с мышечной атрофией, гипотонией и дискомфортом при движениях, что приво</w:t>
      </w:r>
      <w:r w:rsidRPr="00BF7C29">
        <w:rPr>
          <w:color w:val="000000"/>
          <w:sz w:val="24"/>
          <w:szCs w:val="24"/>
          <w:lang w:eastAsia="ru-RU" w:bidi="ru-RU"/>
        </w:rPr>
        <w:softHyphen/>
        <w:t>дит к утиной походке.</w:t>
      </w:r>
    </w:p>
    <w:p w:rsidR="00BF7C29" w:rsidRPr="00BF7C29" w:rsidRDefault="00BF7C29" w:rsidP="0038538C">
      <w:pPr>
        <w:pStyle w:val="1f1"/>
        <w:numPr>
          <w:ilvl w:val="0"/>
          <w:numId w:val="83"/>
        </w:numPr>
        <w:tabs>
          <w:tab w:val="left" w:pos="73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Для миопатии характерны: высокий уровень ПТГ, гипофос</w:t>
      </w:r>
      <w:r w:rsidRPr="00BF7C29">
        <w:rPr>
          <w:color w:val="000000"/>
          <w:sz w:val="24"/>
          <w:szCs w:val="24"/>
          <w:lang w:eastAsia="ru-RU" w:bidi="ru-RU"/>
        </w:rPr>
        <w:softHyphen/>
        <w:t>фатемия и низкий уровень кальцитриола. Сходные симпто</w:t>
      </w:r>
      <w:r w:rsidRPr="00BF7C29">
        <w:rPr>
          <w:color w:val="000000"/>
          <w:sz w:val="24"/>
          <w:szCs w:val="24"/>
          <w:lang w:eastAsia="ru-RU" w:bidi="ru-RU"/>
        </w:rPr>
        <w:softHyphen/>
        <w:t>мы наблюдаются и при первичном гиперпаратиреозе.</w:t>
      </w:r>
    </w:p>
    <w:p w:rsidR="00BF7C29" w:rsidRPr="00BF7C29" w:rsidRDefault="00BF7C29" w:rsidP="0038538C">
      <w:pPr>
        <w:pStyle w:val="1f1"/>
        <w:numPr>
          <w:ilvl w:val="0"/>
          <w:numId w:val="83"/>
        </w:numPr>
        <w:tabs>
          <w:tab w:val="left" w:pos="73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Костные боли более выраженны в пояснично-крестцовой области, костях таза и нижних конечностей. Боли тупые и ломящие, усиливаются при движениях и ношении тя</w:t>
      </w:r>
      <w:r w:rsidRPr="00BF7C29">
        <w:rPr>
          <w:color w:val="000000"/>
          <w:sz w:val="24"/>
          <w:szCs w:val="24"/>
          <w:lang w:eastAsia="ru-RU" w:bidi="ru-RU"/>
        </w:rPr>
        <w:softHyphen/>
        <w:t>жестей.</w:t>
      </w:r>
    </w:p>
    <w:p w:rsidR="00BF7C29" w:rsidRPr="00BF7C29" w:rsidRDefault="00BF7C29" w:rsidP="0038538C">
      <w:pPr>
        <w:pStyle w:val="1f1"/>
        <w:numPr>
          <w:ilvl w:val="0"/>
          <w:numId w:val="83"/>
        </w:numPr>
        <w:tabs>
          <w:tab w:val="left" w:pos="73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Переломы возникают при незначительной травме или без таковой. Наиболее типичные локализации перело</w:t>
      </w:r>
      <w:r w:rsidRPr="00BF7C29">
        <w:rPr>
          <w:color w:val="000000"/>
          <w:sz w:val="24"/>
          <w:szCs w:val="24"/>
          <w:lang w:eastAsia="ru-RU" w:bidi="ru-RU"/>
        </w:rPr>
        <w:softHyphen/>
        <w:t>мов — ребра, кости таза, позвонки и длинные трубчатые кости.</w:t>
      </w:r>
    </w:p>
    <w:p w:rsidR="00BF7C29" w:rsidRPr="00BF7C29" w:rsidRDefault="00BF7C29" w:rsidP="0038538C">
      <w:pPr>
        <w:pStyle w:val="1f1"/>
        <w:numPr>
          <w:ilvl w:val="0"/>
          <w:numId w:val="83"/>
        </w:numPr>
        <w:tabs>
          <w:tab w:val="left" w:pos="73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 взрослых деформации скелета — искривление позво</w:t>
      </w:r>
      <w:r w:rsidRPr="00BF7C29">
        <w:rPr>
          <w:color w:val="000000"/>
          <w:sz w:val="24"/>
          <w:szCs w:val="24"/>
          <w:lang w:eastAsia="ru-RU" w:bidi="ru-RU"/>
        </w:rPr>
        <w:softHyphen/>
        <w:t>ночника; деформации грудной клетки и таза встречаются при тяжелом и длительном течении остеомаляции.</w:t>
      </w:r>
    </w:p>
    <w:p w:rsidR="00BF7C29" w:rsidRPr="00BF7C29" w:rsidRDefault="00BF7C29" w:rsidP="0038538C">
      <w:pPr>
        <w:ind w:firstLine="567"/>
        <w:rPr>
          <w:sz w:val="24"/>
          <w:szCs w:val="24"/>
        </w:rPr>
      </w:pPr>
      <w:r w:rsidRPr="00BF7C29">
        <w:rPr>
          <w:color w:val="000000"/>
          <w:sz w:val="24"/>
          <w:szCs w:val="24"/>
          <w:lang w:bidi="ru-RU"/>
        </w:rPr>
        <w:t xml:space="preserve">Характеристика витамин </w:t>
      </w:r>
      <w:r w:rsidRPr="00BF7C29">
        <w:rPr>
          <w:color w:val="000000"/>
          <w:sz w:val="24"/>
          <w:szCs w:val="24"/>
          <w:lang w:val="en-US" w:eastAsia="en-US" w:bidi="en-US"/>
        </w:rPr>
        <w:t>D</w:t>
      </w:r>
      <w:r w:rsidRPr="00BF7C29">
        <w:rPr>
          <w:color w:val="000000"/>
          <w:sz w:val="24"/>
          <w:szCs w:val="24"/>
          <w:lang w:bidi="ru-RU"/>
        </w:rPr>
        <w:t xml:space="preserve">-зависимого и наследственного витамин </w:t>
      </w:r>
      <w:r w:rsidRPr="00BF7C29">
        <w:rPr>
          <w:color w:val="000000"/>
          <w:sz w:val="24"/>
          <w:szCs w:val="24"/>
          <w:lang w:val="en-US" w:eastAsia="en-US" w:bidi="en-US"/>
        </w:rPr>
        <w:t>D</w:t>
      </w:r>
      <w:r w:rsidRPr="00BF7C29">
        <w:rPr>
          <w:color w:val="000000"/>
          <w:sz w:val="24"/>
          <w:szCs w:val="24"/>
          <w:lang w:bidi="ru-RU"/>
        </w:rPr>
        <w:t xml:space="preserve">-резистентного рахита </w:t>
      </w:r>
      <w:r w:rsidRPr="00BF7C29">
        <w:rPr>
          <w:color w:val="000000"/>
          <w:sz w:val="24"/>
          <w:szCs w:val="24"/>
          <w:lang w:eastAsia="en-US" w:bidi="en-US"/>
        </w:rPr>
        <w:t>(</w:t>
      </w:r>
      <w:r w:rsidRPr="00BF7C29">
        <w:rPr>
          <w:color w:val="000000"/>
          <w:sz w:val="24"/>
          <w:szCs w:val="24"/>
          <w:lang w:val="en-US" w:eastAsia="en-US" w:bidi="en-US"/>
        </w:rPr>
        <w:t>PDDR</w:t>
      </w:r>
      <w:r w:rsidRPr="00BF7C29">
        <w:rPr>
          <w:color w:val="000000"/>
          <w:sz w:val="24"/>
          <w:szCs w:val="24"/>
          <w:lang w:eastAsia="en-US" w:bidi="en-US"/>
        </w:rPr>
        <w:t xml:space="preserve"> </w:t>
      </w:r>
      <w:r w:rsidRPr="00BF7C29">
        <w:rPr>
          <w:color w:val="000000"/>
          <w:sz w:val="24"/>
          <w:szCs w:val="24"/>
          <w:lang w:bidi="ru-RU"/>
        </w:rPr>
        <w:t xml:space="preserve">и </w:t>
      </w:r>
      <w:r w:rsidRPr="00BF7C29">
        <w:rPr>
          <w:color w:val="000000"/>
          <w:sz w:val="24"/>
          <w:szCs w:val="24"/>
          <w:lang w:val="en-US" w:eastAsia="en-US" w:bidi="en-US"/>
        </w:rPr>
        <w:t>HVDDR</w:t>
      </w:r>
      <w:r w:rsidRPr="00BF7C29">
        <w:rPr>
          <w:color w:val="000000"/>
          <w:sz w:val="24"/>
          <w:szCs w:val="24"/>
          <w:lang w:eastAsia="en-US" w:bidi="en-US"/>
        </w:rPr>
        <w:t xml:space="preserve">) </w:t>
      </w:r>
    </w:p>
    <w:p w:rsidR="00BF7C29" w:rsidRPr="00BF7C29" w:rsidRDefault="00BF7C29" w:rsidP="0038538C">
      <w:pPr>
        <w:pStyle w:val="3f2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Этиология</w:t>
      </w:r>
      <w:bookmarkEnd w:id="77"/>
    </w:p>
    <w:p w:rsidR="00BF7C29" w:rsidRPr="00BF7C29" w:rsidRDefault="00BF7C29" w:rsidP="0038538C">
      <w:pPr>
        <w:pStyle w:val="1f1"/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Дефицит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— основная причина остеомаляции; кроме того, ее вызывают гастрэктомия, целиакия, кишечные анастомо</w:t>
      </w:r>
      <w:r w:rsidRPr="00BF7C29">
        <w:rPr>
          <w:color w:val="000000"/>
          <w:sz w:val="24"/>
          <w:szCs w:val="24"/>
          <w:lang w:eastAsia="ru-RU" w:bidi="ru-RU"/>
        </w:rPr>
        <w:softHyphen/>
        <w:t>зы и резекция кишечника, хронический панкреатит и первичный билиарный цирроз, муковисцидоз.</w:t>
      </w:r>
    </w:p>
    <w:p w:rsidR="00BF7C29" w:rsidRPr="00BF7C29" w:rsidRDefault="00BF7C29" w:rsidP="0038538C">
      <w:pPr>
        <w:pStyle w:val="3f2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2" w:name="bookmark288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Патогенез</w:t>
      </w:r>
      <w:bookmarkEnd w:id="82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Дефекты минерализации при остеомаляции возникают из-за недостатка одного или более необходимых для этого факторов. Достаточная концентрация кальция и фосфатов во внеклеточной жидкости и нормальная активность ЩФ — необходимое условие для поглощения кальция и фосфора костью.</w:t>
      </w:r>
    </w:p>
    <w:p w:rsidR="00BF7C29" w:rsidRPr="00BF7C29" w:rsidRDefault="00BF7C29" w:rsidP="0038538C">
      <w:pPr>
        <w:pStyle w:val="1f1"/>
        <w:numPr>
          <w:ilvl w:val="0"/>
          <w:numId w:val="8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Наиболее частые причины остеомаляции — гипофосфате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мия при дефиците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и вторичный гиперпаратире</w:t>
      </w:r>
      <w:r w:rsidRPr="00BF7C29">
        <w:rPr>
          <w:color w:val="000000"/>
          <w:sz w:val="24"/>
          <w:szCs w:val="24"/>
          <w:lang w:eastAsia="ru-RU" w:bidi="ru-RU"/>
        </w:rPr>
        <w:softHyphen/>
        <w:t>оз или первичная патология почечных канальцев с потерей фосфора.</w:t>
      </w:r>
    </w:p>
    <w:p w:rsidR="00BF7C29" w:rsidRPr="00BF7C29" w:rsidRDefault="00BF7C29" w:rsidP="0038538C">
      <w:pPr>
        <w:pStyle w:val="1f1"/>
        <w:numPr>
          <w:ilvl w:val="0"/>
          <w:numId w:val="8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В местах кальцификации необходимо иметь нейтральную среду (нормальный </w:t>
      </w:r>
      <w:r w:rsidRPr="00BF7C29">
        <w:rPr>
          <w:color w:val="000000"/>
          <w:sz w:val="24"/>
          <w:szCs w:val="24"/>
          <w:lang w:val="en-US" w:bidi="en-US"/>
        </w:rPr>
        <w:t>pH</w:t>
      </w:r>
      <w:r w:rsidRPr="00BF7C29">
        <w:rPr>
          <w:color w:val="000000"/>
          <w:sz w:val="24"/>
          <w:szCs w:val="24"/>
          <w:lang w:bidi="en-US"/>
        </w:rPr>
        <w:t xml:space="preserve">). </w:t>
      </w:r>
      <w:r w:rsidRPr="00BF7C29">
        <w:rPr>
          <w:color w:val="000000"/>
          <w:sz w:val="24"/>
          <w:szCs w:val="24"/>
          <w:lang w:eastAsia="ru-RU" w:bidi="ru-RU"/>
        </w:rPr>
        <w:t xml:space="preserve">С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 xml:space="preserve">нарушением </w:t>
      </w:r>
      <w:r w:rsidRPr="00BF7C29">
        <w:rPr>
          <w:color w:val="000000"/>
          <w:sz w:val="24"/>
          <w:szCs w:val="24"/>
          <w:lang w:val="en-US" w:bidi="en-US"/>
        </w:rPr>
        <w:t>pH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связана костная патология при хроническом ацидозе (почечном канальце</w:t>
      </w:r>
      <w:r w:rsidRPr="00BF7C29">
        <w:rPr>
          <w:color w:val="000000"/>
          <w:sz w:val="24"/>
          <w:szCs w:val="24"/>
          <w:lang w:eastAsia="ru-RU" w:bidi="ru-RU"/>
        </w:rPr>
        <w:softHyphen/>
        <w:t>вом ацидозе).</w:t>
      </w:r>
    </w:p>
    <w:p w:rsidR="00BF7C29" w:rsidRPr="00BF7C29" w:rsidRDefault="00BF7C29" w:rsidP="0038538C">
      <w:pPr>
        <w:pStyle w:val="1f1"/>
        <w:numPr>
          <w:ilvl w:val="0"/>
          <w:numId w:val="8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Качество кальцификации снижается при замедлении ми</w:t>
      </w:r>
      <w:r w:rsidRPr="00BF7C29">
        <w:rPr>
          <w:color w:val="000000"/>
          <w:sz w:val="24"/>
          <w:szCs w:val="24"/>
          <w:lang w:eastAsia="ru-RU" w:bidi="ru-RU"/>
        </w:rPr>
        <w:softHyphen/>
        <w:t>нерализации под влиянием некоторых бисфосфонатов, алюминия и особенно при использовании высоких доз фто</w:t>
      </w:r>
      <w:r w:rsidRPr="00BF7C29">
        <w:rPr>
          <w:color w:val="000000"/>
          <w:sz w:val="24"/>
          <w:szCs w:val="24"/>
          <w:lang w:eastAsia="ru-RU" w:bidi="ru-RU"/>
        </w:rPr>
        <w:softHyphen/>
        <w:t>ридов.</w:t>
      </w:r>
    </w:p>
    <w:p w:rsidR="00BF7C29" w:rsidRPr="00BF7C29" w:rsidRDefault="00BF7C29" w:rsidP="0038538C">
      <w:pPr>
        <w:pStyle w:val="1f1"/>
        <w:numPr>
          <w:ilvl w:val="0"/>
          <w:numId w:val="8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Несовершенный фиброгенез и аксиальная остеомаляция — примеры патологического костеобразования, когда, не</w:t>
      </w:r>
      <w:r w:rsidRPr="00BF7C29">
        <w:rPr>
          <w:color w:val="000000"/>
          <w:sz w:val="24"/>
          <w:szCs w:val="24"/>
          <w:lang w:eastAsia="ru-RU" w:bidi="ru-RU"/>
        </w:rPr>
        <w:softHyphen/>
        <w:t>смотря на нормальную концентрацию в крови кальция и фосфатов и активность ЩФ, не происходит достаточной минерализации.</w:t>
      </w:r>
    </w:p>
    <w:p w:rsidR="00BF7C29" w:rsidRPr="00BF7C29" w:rsidRDefault="00BF7C29" w:rsidP="0038538C">
      <w:pPr>
        <w:pStyle w:val="1f1"/>
        <w:numPr>
          <w:ilvl w:val="0"/>
          <w:numId w:val="8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Гипофосфатазия — редкое заболевание, отмечают низкую активность ЩФ в сыворотке крови и сниженную минерали</w:t>
      </w:r>
      <w:r w:rsidRPr="00BF7C29">
        <w:rPr>
          <w:color w:val="000000"/>
          <w:sz w:val="24"/>
          <w:szCs w:val="24"/>
          <w:lang w:eastAsia="ru-RU" w:bidi="ru-RU"/>
        </w:rPr>
        <w:softHyphen/>
        <w:t>зацию.</w:t>
      </w:r>
    </w:p>
    <w:p w:rsidR="00BF7C29" w:rsidRPr="00BF7C29" w:rsidRDefault="00BF7C29" w:rsidP="0038538C">
      <w:pPr>
        <w:pStyle w:val="3f2"/>
        <w:spacing w:after="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78"/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3" w:name="bookmark289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Анамнез и физикальное обследование</w:t>
      </w:r>
      <w:bookmarkEnd w:id="83"/>
    </w:p>
    <w:p w:rsidR="00BF7C29" w:rsidRPr="00BF7C29" w:rsidRDefault="00BF7C29" w:rsidP="0038538C">
      <w:pPr>
        <w:pStyle w:val="1f1"/>
        <w:numPr>
          <w:ilvl w:val="0"/>
          <w:numId w:val="8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Обращают внимание на длительность заболевания, наличие переломов, не связанных со значительной травмой (особен</w:t>
      </w:r>
      <w:r w:rsidRPr="00BF7C29">
        <w:rPr>
          <w:color w:val="000000"/>
          <w:sz w:val="24"/>
          <w:szCs w:val="24"/>
          <w:lang w:eastAsia="ru-RU" w:bidi="ru-RU"/>
        </w:rPr>
        <w:softHyphen/>
        <w:t>но ребер, позвонков и длинных трубчатых костей).</w:t>
      </w:r>
    </w:p>
    <w:p w:rsidR="00BF7C29" w:rsidRPr="00BF7C29" w:rsidRDefault="00BF7C29" w:rsidP="0038538C">
      <w:pPr>
        <w:pStyle w:val="1f1"/>
        <w:numPr>
          <w:ilvl w:val="0"/>
          <w:numId w:val="84"/>
        </w:numPr>
        <w:tabs>
          <w:tab w:val="left" w:pos="466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осмотре выявляют болезненность при пальпации по ходу костей, мышечную слабость в проксимальных отделах конечностей, атрофию мышц, искривление позвоночника, деформации грудной клетки и таза (особенно при длитель</w:t>
      </w:r>
      <w:r w:rsidRPr="00BF7C29">
        <w:rPr>
          <w:color w:val="000000"/>
          <w:sz w:val="24"/>
          <w:szCs w:val="24"/>
          <w:lang w:eastAsia="ru-RU" w:bidi="ru-RU"/>
        </w:rPr>
        <w:softHyphen/>
        <w:t>ном течении заболевания).</w:t>
      </w:r>
    </w:p>
    <w:p w:rsidR="00BF7C29" w:rsidRPr="00BF7C29" w:rsidRDefault="00BF7C29" w:rsidP="0038538C">
      <w:pPr>
        <w:pStyle w:val="1f1"/>
        <w:numPr>
          <w:ilvl w:val="0"/>
          <w:numId w:val="8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Дефицит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(из-за недостатка в пище или в резуль</w:t>
      </w:r>
      <w:r w:rsidRPr="00BF7C29">
        <w:rPr>
          <w:color w:val="000000"/>
          <w:sz w:val="24"/>
          <w:szCs w:val="24"/>
          <w:lang w:eastAsia="ru-RU" w:bidi="ru-RU"/>
        </w:rPr>
        <w:softHyphen/>
        <w:t>тате мальабсорбции) — чаще всего гипофосфатемия (кон</w:t>
      </w:r>
      <w:r w:rsidRPr="00BF7C29">
        <w:rPr>
          <w:color w:val="000000"/>
          <w:sz w:val="24"/>
          <w:szCs w:val="24"/>
          <w:lang w:eastAsia="ru-RU" w:bidi="ru-RU"/>
        </w:rPr>
        <w:softHyphen/>
        <w:t>центрация кальция в крови на нижней границе нормы или ниже нормы), низкий уровень кальцидиола и увеличенный уровень ПТГ.</w:t>
      </w:r>
    </w:p>
    <w:p w:rsidR="00BF7C29" w:rsidRPr="00BF7C29" w:rsidRDefault="00BF7C29" w:rsidP="0038538C">
      <w:pPr>
        <w:pStyle w:val="1f1"/>
        <w:numPr>
          <w:ilvl w:val="0"/>
          <w:numId w:val="8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Первичная потеря фосфата — гипофосфатемия в сочетании с увеличенным клиренсом фосфата. Если фосфатурия — часть синдрома Фанкони, то могут наблюдаться и другие канальцевые нарушения: гипоурикемия, аминоацидурия, глюкозурия.</w:t>
      </w:r>
    </w:p>
    <w:p w:rsidR="00BF7C29" w:rsidRPr="00BF7C29" w:rsidRDefault="00BF7C29" w:rsidP="0038538C">
      <w:pPr>
        <w:pStyle w:val="1f1"/>
        <w:numPr>
          <w:ilvl w:val="0"/>
          <w:numId w:val="8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Почечный канальцевый ацидоз типа 1 (проксимальный) — гиперхлоремический метаболический ацидоз и гипо</w:t>
      </w:r>
      <w:r w:rsidRPr="00BF7C29">
        <w:rPr>
          <w:color w:val="000000"/>
          <w:sz w:val="24"/>
          <w:szCs w:val="24"/>
          <w:lang w:eastAsia="ru-RU" w:bidi="ru-RU"/>
        </w:rPr>
        <w:softHyphen/>
        <w:t>фосфатемия. В более поздние сроки — потери фосфата и вторичный гиперпаратиреоз вследствие вызванной ацидо</w:t>
      </w:r>
      <w:r w:rsidRPr="00BF7C29">
        <w:rPr>
          <w:color w:val="000000"/>
          <w:sz w:val="24"/>
          <w:szCs w:val="24"/>
          <w:lang w:eastAsia="ru-RU" w:bidi="ru-RU"/>
        </w:rPr>
        <w:softHyphen/>
        <w:t>зом гиперкальциурии.</w:t>
      </w:r>
    </w:p>
    <w:p w:rsidR="00BF7C29" w:rsidRPr="00BF7C29" w:rsidRDefault="00BF7C29" w:rsidP="0038538C">
      <w:pPr>
        <w:pStyle w:val="1f1"/>
        <w:numPr>
          <w:ilvl w:val="0"/>
          <w:numId w:val="8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Гипофосфатазия — снижение активности ЩФ в сыворотке крови (на фоне нормальной концентрации кальция и фос</w:t>
      </w:r>
      <w:r w:rsidRPr="00BF7C29">
        <w:rPr>
          <w:color w:val="000000"/>
          <w:sz w:val="24"/>
          <w:szCs w:val="24"/>
          <w:lang w:eastAsia="ru-RU" w:bidi="ru-RU"/>
        </w:rPr>
        <w:softHyphen/>
        <w:t>фата).</w:t>
      </w:r>
    </w:p>
    <w:p w:rsidR="00BF7C29" w:rsidRPr="00BF7C29" w:rsidRDefault="00BF7C29" w:rsidP="0038538C">
      <w:pPr>
        <w:pStyle w:val="1f1"/>
        <w:numPr>
          <w:ilvl w:val="0"/>
          <w:numId w:val="84"/>
        </w:numPr>
        <w:tabs>
          <w:tab w:val="left" w:pos="466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Несовершенный фиброгенез и аксиальная остеомаляция — концентрация кальция, фосфата, активность ЩФ в пределах нормы.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4" w:name="bookmark289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Инструментальные исследования</w:t>
      </w:r>
      <w:bookmarkEnd w:id="84"/>
    </w:p>
    <w:p w:rsidR="00BF7C29" w:rsidRPr="00BF7C29" w:rsidRDefault="00BF7C29" w:rsidP="0038538C">
      <w:pPr>
        <w:pStyle w:val="1f1"/>
        <w:numPr>
          <w:ilvl w:val="0"/>
          <w:numId w:val="8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Гистоморфометрическое исследование позволяет оценить скорость костеобразования и кальцификации. Для этого применяют двойную тетрациклиновую метку.</w:t>
      </w:r>
    </w:p>
    <w:p w:rsidR="00BF7C29" w:rsidRPr="00BF7C29" w:rsidRDefault="00BF7C29" w:rsidP="0038538C">
      <w:pPr>
        <w:pStyle w:val="1f1"/>
        <w:numPr>
          <w:ilvl w:val="0"/>
          <w:numId w:val="85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Флюоресцирующий тетрациклин откладывается в зоне минерализации. Оценить скорость обновления кости можно, изучая костный биоптат (берут из крыла под</w:t>
      </w:r>
      <w:r w:rsidRPr="00BF7C29">
        <w:rPr>
          <w:color w:val="000000"/>
          <w:sz w:val="24"/>
          <w:szCs w:val="24"/>
          <w:lang w:eastAsia="ru-RU" w:bidi="ru-RU"/>
        </w:rPr>
        <w:softHyphen/>
        <w:t>вздошной кости после двух курсов приема этого анти</w:t>
      </w:r>
      <w:r w:rsidRPr="00BF7C29">
        <w:rPr>
          <w:color w:val="000000"/>
          <w:sz w:val="24"/>
          <w:szCs w:val="24"/>
          <w:lang w:eastAsia="ru-RU" w:bidi="ru-RU"/>
        </w:rPr>
        <w:softHyphen/>
        <w:t>биотика, проведенных с интервалом несколько дней): измеряют расстояние между двумя зонами отложения тетрациклина в минерализационном фронте. У здоро</w:t>
      </w:r>
      <w:r w:rsidRPr="00BF7C29">
        <w:rPr>
          <w:color w:val="000000"/>
          <w:sz w:val="24"/>
          <w:szCs w:val="24"/>
          <w:lang w:eastAsia="ru-RU" w:bidi="ru-RU"/>
        </w:rPr>
        <w:softHyphen/>
        <w:t>вых взрослых людей скорость обновления кости — около 1 мкм в день.</w:t>
      </w:r>
    </w:p>
    <w:p w:rsidR="00BF7C29" w:rsidRPr="00BF7C29" w:rsidRDefault="00BF7C29" w:rsidP="0038538C">
      <w:pPr>
        <w:pStyle w:val="1f1"/>
        <w:numPr>
          <w:ilvl w:val="0"/>
          <w:numId w:val="85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остеомаляции расстояние между двумя тетрацикли</w:t>
      </w:r>
      <w:r w:rsidRPr="00BF7C29">
        <w:rPr>
          <w:color w:val="000000"/>
          <w:sz w:val="24"/>
          <w:szCs w:val="24"/>
          <w:lang w:eastAsia="ru-RU" w:bidi="ru-RU"/>
        </w:rPr>
        <w:softHyphen/>
        <w:t>новыми метками уменьшается, а также появляется не</w:t>
      </w:r>
      <w:r w:rsidRPr="00BF7C29">
        <w:rPr>
          <w:color w:val="000000"/>
          <w:sz w:val="24"/>
          <w:szCs w:val="24"/>
          <w:lang w:eastAsia="ru-RU" w:bidi="ru-RU"/>
        </w:rPr>
        <w:softHyphen/>
        <w:t>минерализованный матрикс в виде остеоидной полоски шириной более 15 мкм.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Рентгенологическое исследование.</w:t>
      </w:r>
    </w:p>
    <w:p w:rsidR="00BF7C29" w:rsidRPr="00BF7C29" w:rsidRDefault="00BF7C29" w:rsidP="0038538C">
      <w:pPr>
        <w:pStyle w:val="1f1"/>
        <w:numPr>
          <w:ilvl w:val="0"/>
          <w:numId w:val="86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Остеопения (снижение МПКТ) и утончение кортикаль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ного слоя костей — наиболее частые, но неспецифиче</w:t>
      </w:r>
      <w:r w:rsidRPr="00BF7C29">
        <w:rPr>
          <w:color w:val="000000"/>
          <w:sz w:val="24"/>
          <w:szCs w:val="24"/>
          <w:lang w:eastAsia="ru-RU" w:bidi="ru-RU"/>
        </w:rPr>
        <w:softHyphen/>
        <w:t>ские симптомы.</w:t>
      </w:r>
    </w:p>
    <w:p w:rsidR="00BF7C29" w:rsidRPr="00BF7C29" w:rsidRDefault="00BF7C29" w:rsidP="0038538C">
      <w:pPr>
        <w:pStyle w:val="1f1"/>
        <w:numPr>
          <w:ilvl w:val="0"/>
          <w:numId w:val="86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Более специфичные проявления.</w:t>
      </w:r>
    </w:p>
    <w:p w:rsidR="00BF7C29" w:rsidRPr="00BF7C29" w:rsidRDefault="00BF7C29" w:rsidP="0038538C">
      <w:pPr>
        <w:pStyle w:val="1f1"/>
        <w:numPr>
          <w:ilvl w:val="0"/>
          <w:numId w:val="87"/>
        </w:numPr>
        <w:tabs>
          <w:tab w:val="left" w:pos="9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Изменения тел позвонков. Неадекватная минерали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зация остеоида и рассасывание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вторичных трабекул объясняет размытость трабекулярного рисунка тел по</w:t>
      </w:r>
      <w:r w:rsidRPr="00BF7C29">
        <w:rPr>
          <w:color w:val="000000"/>
          <w:sz w:val="24"/>
          <w:szCs w:val="24"/>
          <w:lang w:eastAsia="ru-RU" w:bidi="ru-RU"/>
        </w:rPr>
        <w:softHyphen/>
        <w:t>звонков (впечатление плохого качества рентгенограм</w:t>
      </w:r>
      <w:r w:rsidRPr="00BF7C29">
        <w:rPr>
          <w:color w:val="000000"/>
          <w:sz w:val="24"/>
          <w:szCs w:val="24"/>
          <w:lang w:eastAsia="ru-RU" w:bidi="ru-RU"/>
        </w:rPr>
        <w:softHyphen/>
        <w:t>мы). При прогрессировании заболевания появляется вогнутость краев вплоть до образования «рыбьих» позвонков — диски становятся большими и двухкон</w:t>
      </w:r>
      <w:r w:rsidRPr="00BF7C29">
        <w:rPr>
          <w:color w:val="000000"/>
          <w:sz w:val="24"/>
          <w:szCs w:val="24"/>
          <w:lang w:eastAsia="ru-RU" w:bidi="ru-RU"/>
        </w:rPr>
        <w:softHyphen/>
        <w:t>турными. Можно обнаружить компрессионные пере</w:t>
      </w:r>
      <w:r w:rsidRPr="00BF7C29">
        <w:rPr>
          <w:color w:val="000000"/>
          <w:sz w:val="24"/>
          <w:szCs w:val="24"/>
          <w:lang w:eastAsia="ru-RU" w:bidi="ru-RU"/>
        </w:rPr>
        <w:softHyphen/>
        <w:t>ломы, но они более характерны для остеопороза.</w:t>
      </w:r>
    </w:p>
    <w:p w:rsidR="00BF7C29" w:rsidRPr="00BF7C29" w:rsidRDefault="00BF7C29" w:rsidP="0038538C">
      <w:pPr>
        <w:pStyle w:val="1f1"/>
        <w:numPr>
          <w:ilvl w:val="0"/>
          <w:numId w:val="87"/>
        </w:numPr>
        <w:tabs>
          <w:tab w:val="left" w:pos="9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Зоны Лоозера (лоозеровские псевдопереломы, зоны Милкмана-Лоозера, синдром Милкмана) — наиболее характерный рентгенологический симптом остеома</w:t>
      </w:r>
      <w:r w:rsidRPr="00BF7C29">
        <w:rPr>
          <w:color w:val="000000"/>
          <w:sz w:val="24"/>
          <w:szCs w:val="24"/>
          <w:lang w:eastAsia="ru-RU" w:bidi="ru-RU"/>
        </w:rPr>
        <w:softHyphen/>
        <w:t>ляции — трещины или узкие линии, пропускающие рентгеновские лучи, их края склеротически изменены, а ширина — 2-5 мм. Обычно они располагаются би</w:t>
      </w:r>
      <w:r w:rsidRPr="00BF7C29">
        <w:rPr>
          <w:color w:val="000000"/>
          <w:sz w:val="24"/>
          <w:szCs w:val="24"/>
          <w:lang w:eastAsia="ru-RU" w:bidi="ru-RU"/>
        </w:rPr>
        <w:softHyphen/>
        <w:t>латерально и симметрично, перпендикулярно корти</w:t>
      </w:r>
      <w:r w:rsidRPr="00BF7C29">
        <w:rPr>
          <w:color w:val="000000"/>
          <w:sz w:val="24"/>
          <w:szCs w:val="24"/>
          <w:lang w:eastAsia="ru-RU" w:bidi="ru-RU"/>
        </w:rPr>
        <w:softHyphen/>
        <w:t>кальному краю кости.</w:t>
      </w:r>
    </w:p>
    <w:p w:rsidR="00BF7C29" w:rsidRPr="00BF7C29" w:rsidRDefault="00BF7C29" w:rsidP="0038538C">
      <w:pPr>
        <w:pStyle w:val="1f1"/>
        <w:numPr>
          <w:ilvl w:val="0"/>
          <w:numId w:val="87"/>
        </w:numPr>
        <w:tabs>
          <w:tab w:val="left" w:pos="9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Часто их обнаруживают в области шейки и медиальной части диафиза, около большого вертела бедренной ко</w:t>
      </w:r>
      <w:r w:rsidRPr="00BF7C29">
        <w:rPr>
          <w:color w:val="000000"/>
          <w:sz w:val="24"/>
          <w:szCs w:val="24"/>
          <w:lang w:eastAsia="ru-RU" w:bidi="ru-RU"/>
        </w:rPr>
        <w:softHyphen/>
        <w:t>сти, в лонной и седалищной костях, реже — в лопатках, ключицах, ребрах, локтевых и плюсневых костях.</w:t>
      </w:r>
    </w:p>
    <w:p w:rsidR="00BF7C29" w:rsidRPr="00BF7C29" w:rsidRDefault="00BF7C29" w:rsidP="0038538C">
      <w:pPr>
        <w:pStyle w:val="1f1"/>
        <w:numPr>
          <w:ilvl w:val="0"/>
          <w:numId w:val="87"/>
        </w:numPr>
        <w:tabs>
          <w:tab w:val="left" w:pos="92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Псевдопереломы можно обнаружить при сканиро</w:t>
      </w:r>
      <w:r w:rsidRPr="00BF7C29">
        <w:rPr>
          <w:color w:val="000000"/>
          <w:sz w:val="24"/>
          <w:szCs w:val="24"/>
          <w:lang w:eastAsia="ru-RU" w:bidi="ru-RU"/>
        </w:rPr>
        <w:softHyphen/>
        <w:t>вании костей, где они проявляются в виде «горячих» пятен.</w:t>
      </w:r>
    </w:p>
    <w:p w:rsidR="00BF7C29" w:rsidRPr="00BF7C29" w:rsidRDefault="00BF7C29" w:rsidP="0038538C">
      <w:pPr>
        <w:pStyle w:val="1f1"/>
        <w:numPr>
          <w:ilvl w:val="0"/>
          <w:numId w:val="87"/>
        </w:numPr>
        <w:tabs>
          <w:tab w:val="left" w:pos="706"/>
        </w:tabs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Признаки вторичного гиперпаратиреоза (встречаются редко) — субпериостальная резорбция концевых фаланг, костные кисты и резорбция дистальных отделов трубча</w:t>
      </w:r>
      <w:r w:rsidRPr="00BF7C29">
        <w:rPr>
          <w:color w:val="000000"/>
          <w:sz w:val="24"/>
          <w:szCs w:val="24"/>
          <w:lang w:eastAsia="ru-RU" w:bidi="ru-RU"/>
        </w:rPr>
        <w:softHyphen/>
        <w:t>тых костей (ключиц, плечевых костей).</w:t>
      </w:r>
    </w:p>
    <w:p w:rsidR="00BF7C29" w:rsidRPr="00BF7C29" w:rsidRDefault="00BF7C29" w:rsidP="0038538C">
      <w:pPr>
        <w:pStyle w:val="3f2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5" w:name="bookmark289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85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Цели — устранение дефицита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гипофосфатемии и гипокальциемии.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Применяют как препараты природного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так и его активные метаболиты или их аналоги (см. «Синдром гипокаль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циемии»). Препараты кальция добавляют при дефиците его потребления или всасывания, при гипокальциемии. При гипо</w:t>
      </w:r>
      <w:r w:rsidRPr="00BF7C29">
        <w:rPr>
          <w:color w:val="000000"/>
          <w:sz w:val="24"/>
          <w:szCs w:val="24"/>
          <w:lang w:eastAsia="ru-RU" w:bidi="ru-RU"/>
        </w:rPr>
        <w:softHyphen/>
        <w:t>фосфатемии показаны препараты фосфора, но на практике их редко применяют у взрослых.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eastAsia="ru-RU" w:bidi="ru-RU"/>
        </w:rPr>
        <w:t>Остеомаляция, связанная с дефицитом потребления вита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и кальция.</w:t>
      </w:r>
    </w:p>
    <w:p w:rsidR="00BF7C29" w:rsidRPr="00BF7C29" w:rsidRDefault="00BF7C29" w:rsidP="0038538C">
      <w:pPr>
        <w:pStyle w:val="1f1"/>
        <w:numPr>
          <w:ilvl w:val="0"/>
          <w:numId w:val="88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Для оптимизации мышечных функций и поддержания МПК необходимая концентрация в крови </w:t>
      </w:r>
      <w:r w:rsidRPr="00BF7C29">
        <w:rPr>
          <w:color w:val="000000"/>
          <w:sz w:val="24"/>
          <w:szCs w:val="24"/>
          <w:lang w:bidi="en-US"/>
        </w:rPr>
        <w:t>25(</w:t>
      </w:r>
      <w:r w:rsidRPr="00BF7C29">
        <w:rPr>
          <w:color w:val="000000"/>
          <w:sz w:val="24"/>
          <w:szCs w:val="24"/>
          <w:lang w:val="en-US" w:bidi="en-US"/>
        </w:rPr>
        <w:t>OH</w:t>
      </w:r>
      <w:r w:rsidRPr="00BF7C29">
        <w:rPr>
          <w:color w:val="000000"/>
          <w:sz w:val="24"/>
          <w:szCs w:val="24"/>
          <w:lang w:bidi="en-US"/>
        </w:rPr>
        <w:t>)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vertAlign w:val="subscript"/>
          <w:lang w:bidi="en-US"/>
        </w:rPr>
        <w:t>3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не менее 75 нмоль/л (30 нг/мл).</w:t>
      </w:r>
    </w:p>
    <w:p w:rsidR="00BF7C29" w:rsidRPr="00BF7C29" w:rsidRDefault="00BF7C29" w:rsidP="0038538C">
      <w:pPr>
        <w:pStyle w:val="1f1"/>
        <w:numPr>
          <w:ilvl w:val="0"/>
          <w:numId w:val="88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— 50 000 МЕ (1,25 мг) в неделю. Возможно применение ударной дозы — 600 000 МЕ (15 мг) одно</w:t>
      </w:r>
      <w:r w:rsidRPr="00BF7C29">
        <w:rPr>
          <w:color w:val="000000"/>
          <w:sz w:val="24"/>
          <w:szCs w:val="24"/>
          <w:lang w:eastAsia="ru-RU" w:bidi="ru-RU"/>
        </w:rPr>
        <w:softHyphen/>
        <w:t>кратно, внутримышечно или внутрь.</w:t>
      </w:r>
    </w:p>
    <w:p w:rsidR="00BF7C29" w:rsidRPr="00BF7C29" w:rsidRDefault="00BF7C29" w:rsidP="0038538C">
      <w:pPr>
        <w:pStyle w:val="1f1"/>
        <w:numPr>
          <w:ilvl w:val="0"/>
          <w:numId w:val="88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Кальций — до 2000 мг в неделю.</w:t>
      </w:r>
    </w:p>
    <w:p w:rsidR="00BF7C29" w:rsidRPr="00BF7C29" w:rsidRDefault="00BF7C29" w:rsidP="0038538C">
      <w:pPr>
        <w:pStyle w:val="1f1"/>
        <w:numPr>
          <w:ilvl w:val="0"/>
          <w:numId w:val="88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Иногда применяют кальцитриол или альфакальцидол, но они не имеют преимуществ при лечении этой формы остеомаляции.</w:t>
      </w:r>
    </w:p>
    <w:p w:rsidR="00BF7C29" w:rsidRPr="00BF7C29" w:rsidRDefault="00BF7C29" w:rsidP="0038538C">
      <w:pPr>
        <w:pStyle w:val="1f1"/>
        <w:numPr>
          <w:ilvl w:val="0"/>
          <w:numId w:val="89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Дефицит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>связанный с синдромом мальабсорб</w:t>
      </w:r>
      <w:r w:rsidRPr="00BF7C29">
        <w:rPr>
          <w:color w:val="000000"/>
          <w:sz w:val="24"/>
          <w:szCs w:val="24"/>
          <w:lang w:eastAsia="ru-RU" w:bidi="ru-RU"/>
        </w:rPr>
        <w:softHyphen/>
        <w:t>ции: альфакальцидол или кальцитриол в дозах, не вызыва</w:t>
      </w:r>
      <w:r w:rsidRPr="00BF7C29">
        <w:rPr>
          <w:color w:val="000000"/>
          <w:sz w:val="24"/>
          <w:szCs w:val="24"/>
          <w:lang w:eastAsia="ru-RU" w:bidi="ru-RU"/>
        </w:rPr>
        <w:softHyphen/>
        <w:t>ющих гиперкальциемию и гиперкальциурию (1-2 мкг/сут).</w:t>
      </w:r>
    </w:p>
    <w:p w:rsidR="00BF7C29" w:rsidRPr="00BF7C29" w:rsidRDefault="00BF7C29" w:rsidP="0038538C">
      <w:pPr>
        <w:pStyle w:val="1f1"/>
        <w:numPr>
          <w:ilvl w:val="0"/>
          <w:numId w:val="89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Остеомаляция на фоне гипопаратиреоза и псевдогипопара</w:t>
      </w:r>
      <w:r w:rsidRPr="00BF7C29">
        <w:rPr>
          <w:color w:val="000000"/>
          <w:sz w:val="24"/>
          <w:szCs w:val="24"/>
          <w:lang w:eastAsia="ru-RU" w:bidi="ru-RU"/>
        </w:rPr>
        <w:softHyphen/>
        <w:t>тиреоза: альфакальцидол или кальцитриол (1-2 мкг/сут).</w:t>
      </w:r>
    </w:p>
    <w:p w:rsidR="00BF7C29" w:rsidRPr="00BF7C29" w:rsidRDefault="00BF7C29" w:rsidP="0038538C">
      <w:pPr>
        <w:pStyle w:val="1f1"/>
        <w:numPr>
          <w:ilvl w:val="0"/>
          <w:numId w:val="89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ХПН и почечный канальцевый ацидоз: альфакальцидол или кальцитриол, дозу подбирают индивидуально (начинают с 0,25 мкг/сут) под контролем содержания ионизированного кальция и фосфора в крови.</w:t>
      </w:r>
    </w:p>
    <w:p w:rsidR="00BF7C29" w:rsidRPr="00BF7C29" w:rsidRDefault="00BF7C29" w:rsidP="0038538C">
      <w:pPr>
        <w:pStyle w:val="1f1"/>
        <w:numPr>
          <w:ilvl w:val="0"/>
          <w:numId w:val="89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Лекарственно-обусловленная остеомаляция.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ascii="MS Gothic" w:eastAsia="MS Gothic" w:hAnsi="MS Gothic" w:cs="MS Gothic" w:hint="eastAsia"/>
          <w:color w:val="000000"/>
          <w:sz w:val="24"/>
          <w:szCs w:val="24"/>
          <w:lang w:eastAsia="ru-RU" w:bidi="ru-RU"/>
        </w:rPr>
        <w:t>❖</w:t>
      </w:r>
      <w:r w:rsidRPr="00BF7C29">
        <w:rPr>
          <w:rFonts w:eastAsia="Arial Unicode MS"/>
          <w:color w:val="000000"/>
          <w:sz w:val="24"/>
          <w:szCs w:val="24"/>
          <w:lang w:eastAsia="ru-RU" w:bidi="ru-RU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Противосудорожные препараты:</w:t>
      </w:r>
    </w:p>
    <w:p w:rsidR="00BF7C29" w:rsidRPr="00BF7C29" w:rsidRDefault="00BF7C29" w:rsidP="0038538C">
      <w:pPr>
        <w:pStyle w:val="1f1"/>
        <w:numPr>
          <w:ilvl w:val="0"/>
          <w:numId w:val="90"/>
        </w:numPr>
        <w:tabs>
          <w:tab w:val="left" w:pos="92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— 4000 МЕ (100 мкг) ежедневно;</w:t>
      </w:r>
    </w:p>
    <w:p w:rsidR="00BF7C29" w:rsidRPr="00BF7C29" w:rsidRDefault="00BF7C29" w:rsidP="0038538C">
      <w:pPr>
        <w:pStyle w:val="1f1"/>
        <w:numPr>
          <w:ilvl w:val="0"/>
          <w:numId w:val="90"/>
        </w:numPr>
        <w:tabs>
          <w:tab w:val="left" w:pos="92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альфакальцидол или кальцитриол — 1-2 мкг постоян</w:t>
      </w:r>
      <w:r w:rsidRPr="00BF7C29">
        <w:rPr>
          <w:color w:val="000000"/>
          <w:sz w:val="24"/>
          <w:szCs w:val="24"/>
          <w:lang w:eastAsia="ru-RU" w:bidi="ru-RU"/>
        </w:rPr>
        <w:softHyphen/>
        <w:t>но.</w:t>
      </w:r>
    </w:p>
    <w:p w:rsidR="00BF7C29" w:rsidRPr="00BF7C29" w:rsidRDefault="00BF7C29" w:rsidP="0038538C">
      <w:pPr>
        <w:pStyle w:val="1f1"/>
        <w:numPr>
          <w:ilvl w:val="0"/>
          <w:numId w:val="90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Колестирамин (снижает всасывание кальция и витами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в кишечнике) вызывает остеомаляцию (как при син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дроме мальабсорбции). Препарат отменяют и назначают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альфакальцидол или кальцитриол.</w:t>
      </w:r>
    </w:p>
    <w:p w:rsidR="00BF7C29" w:rsidRPr="00BF7C29" w:rsidRDefault="00BF7C29" w:rsidP="0038538C">
      <w:pPr>
        <w:pStyle w:val="1f1"/>
        <w:numPr>
          <w:ilvl w:val="0"/>
          <w:numId w:val="91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Остеомаляция вследствие применения защитных кремов от солнца: лечение как при пищевом дефиците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и обязательная инсоляция (10-20 мин/сут).</w:t>
      </w:r>
    </w:p>
    <w:p w:rsidR="00BF7C29" w:rsidRPr="00BF7C29" w:rsidRDefault="00BF7C29" w:rsidP="0038538C">
      <w:pPr>
        <w:pStyle w:val="1f1"/>
        <w:numPr>
          <w:ilvl w:val="0"/>
          <w:numId w:val="91"/>
        </w:numPr>
        <w:tabs>
          <w:tab w:val="left" w:pos="467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Витамин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eastAsia="ru-RU" w:bidi="ru-RU"/>
        </w:rPr>
        <w:t>-зависимый и наследственный витамин D-резис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тентный рахит </w:t>
      </w:r>
      <w:r w:rsidRPr="00BF7C29">
        <w:rPr>
          <w:color w:val="000000"/>
          <w:sz w:val="24"/>
          <w:szCs w:val="24"/>
          <w:lang w:bidi="en-US"/>
        </w:rPr>
        <w:t>(</w:t>
      </w:r>
      <w:r w:rsidRPr="00BF7C29">
        <w:rPr>
          <w:color w:val="000000"/>
          <w:sz w:val="24"/>
          <w:szCs w:val="24"/>
          <w:lang w:val="en-US" w:bidi="en-US"/>
        </w:rPr>
        <w:t>PDDR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 xml:space="preserve">и </w:t>
      </w:r>
      <w:r w:rsidRPr="00BF7C29">
        <w:rPr>
          <w:color w:val="000000"/>
          <w:sz w:val="24"/>
          <w:szCs w:val="24"/>
          <w:lang w:val="en-US" w:bidi="en-US"/>
        </w:rPr>
        <w:t>HVDDR</w:t>
      </w:r>
      <w:r w:rsidRPr="00BF7C29">
        <w:rPr>
          <w:color w:val="000000"/>
          <w:sz w:val="24"/>
          <w:szCs w:val="24"/>
          <w:lang w:bidi="en-US"/>
        </w:rPr>
        <w:t>).</w:t>
      </w:r>
    </w:p>
    <w:p w:rsidR="00BF7C29" w:rsidRPr="00BF7C29" w:rsidRDefault="00BF7C29" w:rsidP="0038538C">
      <w:pPr>
        <w:pStyle w:val="1f1"/>
        <w:numPr>
          <w:ilvl w:val="0"/>
          <w:numId w:val="92"/>
        </w:numPr>
        <w:tabs>
          <w:tab w:val="left" w:pos="74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Постоянная терапия активными метаболитами витами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 xml:space="preserve">или их аналогами в дозах 1-3 мкг/сут при </w:t>
      </w:r>
      <w:r w:rsidRPr="00BF7C29">
        <w:rPr>
          <w:color w:val="000000"/>
          <w:sz w:val="24"/>
          <w:szCs w:val="24"/>
          <w:lang w:val="en-US" w:bidi="en-US"/>
        </w:rPr>
        <w:t>PDDR</w:t>
      </w:r>
      <w:r w:rsidRPr="00BF7C29">
        <w:rPr>
          <w:color w:val="000000"/>
          <w:sz w:val="24"/>
          <w:szCs w:val="24"/>
          <w:lang w:bidi="en-US"/>
        </w:rPr>
        <w:t xml:space="preserve">, </w:t>
      </w:r>
      <w:r w:rsidRPr="00BF7C29">
        <w:rPr>
          <w:color w:val="000000"/>
          <w:sz w:val="24"/>
          <w:szCs w:val="24"/>
          <w:lang w:eastAsia="ru-RU" w:bidi="ru-RU"/>
        </w:rPr>
        <w:t xml:space="preserve">а при </w:t>
      </w:r>
      <w:r w:rsidRPr="00BF7C29">
        <w:rPr>
          <w:color w:val="000000"/>
          <w:sz w:val="24"/>
          <w:szCs w:val="24"/>
          <w:lang w:val="en-US" w:bidi="en-US"/>
        </w:rPr>
        <w:t>HVDDR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— в больших дозах.</w:t>
      </w:r>
    </w:p>
    <w:p w:rsidR="00BF7C29" w:rsidRPr="00BF7C29" w:rsidRDefault="00BF7C29" w:rsidP="0038538C">
      <w:pPr>
        <w:pStyle w:val="1f1"/>
        <w:numPr>
          <w:ilvl w:val="0"/>
          <w:numId w:val="92"/>
        </w:numPr>
        <w:tabs>
          <w:tab w:val="left" w:pos="74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Инфузии препаратов кальция (иногда) для коррекции нарушенного всасывания кальция в условиях резистент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ности к витамину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>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• </w:t>
      </w:r>
      <w:r w:rsidRPr="00BF7C29">
        <w:rPr>
          <w:color w:val="000000"/>
          <w:sz w:val="24"/>
          <w:szCs w:val="24"/>
          <w:lang w:val="en-US" w:bidi="en-US"/>
        </w:rPr>
        <w:t>X</w:t>
      </w:r>
      <w:r w:rsidRPr="00BF7C29">
        <w:rPr>
          <w:color w:val="000000"/>
          <w:sz w:val="24"/>
          <w:szCs w:val="24"/>
          <w:lang w:eastAsia="ru-RU" w:bidi="ru-RU"/>
        </w:rPr>
        <w:t>-сцепленный гипофосфатемический рахит (витамин D-ре</w:t>
      </w:r>
      <w:r w:rsidRPr="00BF7C29">
        <w:rPr>
          <w:color w:val="000000"/>
          <w:sz w:val="24"/>
          <w:szCs w:val="24"/>
          <w:lang w:eastAsia="ru-RU" w:bidi="ru-RU"/>
        </w:rPr>
        <w:softHyphen/>
        <w:t>зистентный).</w:t>
      </w:r>
    </w:p>
    <w:p w:rsidR="00BF7C29" w:rsidRPr="00BF7C29" w:rsidRDefault="00BF7C29" w:rsidP="0038538C">
      <w:pPr>
        <w:pStyle w:val="1f1"/>
        <w:numPr>
          <w:ilvl w:val="0"/>
          <w:numId w:val="93"/>
        </w:numPr>
        <w:tabs>
          <w:tab w:val="left" w:pos="74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Фосфаты внутрь — 40 мг на кг массы тела, доза может быть доведена до 100 мг/кг в день, но не более 3 г эле</w:t>
      </w:r>
      <w:r w:rsidRPr="00BF7C29">
        <w:rPr>
          <w:color w:val="000000"/>
          <w:sz w:val="24"/>
          <w:szCs w:val="24"/>
          <w:lang w:eastAsia="ru-RU" w:bidi="ru-RU"/>
        </w:rPr>
        <w:softHyphen/>
        <w:t>ментарного фосфора в день (для коррекции канальцевых потерь фосфатов).</w:t>
      </w:r>
    </w:p>
    <w:p w:rsidR="00BF7C29" w:rsidRPr="00BF7C29" w:rsidRDefault="00BF7C29" w:rsidP="0038538C">
      <w:pPr>
        <w:pStyle w:val="1f1"/>
        <w:numPr>
          <w:ilvl w:val="0"/>
          <w:numId w:val="93"/>
        </w:numPr>
        <w:tabs>
          <w:tab w:val="left" w:pos="741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Кальцитриол — 25-70 нг/кг массы тела в день (суточную дозу делят на два приема).</w:t>
      </w:r>
    </w:p>
    <w:p w:rsidR="00BF7C29" w:rsidRPr="00BF7C29" w:rsidRDefault="00BF7C29" w:rsidP="0038538C">
      <w:pPr>
        <w:pStyle w:val="1f1"/>
        <w:numPr>
          <w:ilvl w:val="0"/>
          <w:numId w:val="94"/>
        </w:numPr>
        <w:tabs>
          <w:tab w:val="left" w:pos="467"/>
        </w:tabs>
        <w:spacing w:after="20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Аксиальная остеомаляция, гипофосфатазия — эффективно</w:t>
      </w:r>
      <w:r w:rsidRPr="00BF7C29">
        <w:rPr>
          <w:color w:val="000000"/>
          <w:sz w:val="24"/>
          <w:szCs w:val="24"/>
          <w:lang w:eastAsia="ru-RU" w:bidi="ru-RU"/>
        </w:rPr>
        <w:softHyphen/>
        <w:t>го лечения нет.</w:t>
      </w:r>
    </w:p>
    <w:p w:rsidR="00BF7C29" w:rsidRPr="00BF7C29" w:rsidRDefault="00BF7C29" w:rsidP="0038538C">
      <w:pPr>
        <w:pStyle w:val="3f2"/>
        <w:spacing w:after="10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bookmarkStart w:id="86" w:name="bookmark290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БОЛЕЗНЬ ПЕДЖЕТА</w:t>
      </w:r>
      <w:bookmarkEnd w:id="86"/>
    </w:p>
    <w:p w:rsidR="00BF7C29" w:rsidRPr="00BF7C29" w:rsidRDefault="00BF7C29" w:rsidP="0038538C">
      <w:pPr>
        <w:pStyle w:val="1f1"/>
        <w:spacing w:after="10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Болезнь Педжета костей (деформирующие остеит, остеоди</w:t>
      </w:r>
      <w:r w:rsidRPr="00BF7C29">
        <w:rPr>
          <w:color w:val="000000"/>
          <w:sz w:val="24"/>
          <w:szCs w:val="24"/>
          <w:lang w:eastAsia="ru-RU" w:bidi="ru-RU"/>
        </w:rPr>
        <w:softHyphen/>
        <w:t>строфия) — хроническое локализованное заболевание скелета, характеризующееся нарушением костного ремоделирования, формированием в костях очагов повышенной резорбции и по</w:t>
      </w:r>
      <w:r w:rsidRPr="00BF7C29">
        <w:rPr>
          <w:color w:val="000000"/>
          <w:sz w:val="24"/>
          <w:szCs w:val="24"/>
          <w:lang w:eastAsia="ru-RU" w:bidi="ru-RU"/>
        </w:rPr>
        <w:softHyphen/>
        <w:t>следующим замещением их избыточным количеством неполно</w:t>
      </w:r>
      <w:r w:rsidRPr="00BF7C29">
        <w:rPr>
          <w:color w:val="000000"/>
          <w:sz w:val="24"/>
          <w:szCs w:val="24"/>
          <w:lang w:eastAsia="ru-RU" w:bidi="ru-RU"/>
        </w:rPr>
        <w:softHyphen/>
        <w:t>ценной кости.</w:t>
      </w:r>
    </w:p>
    <w:p w:rsidR="00BF7C29" w:rsidRPr="00BF7C29" w:rsidRDefault="00BF7C29" w:rsidP="0038538C">
      <w:pPr>
        <w:pStyle w:val="3f2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7" w:name="bookmark290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Коды МКБ-10</w:t>
      </w:r>
      <w:bookmarkEnd w:id="87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val="en-US" w:bidi="en-US"/>
        </w:rPr>
        <w:t>M</w:t>
      </w:r>
      <w:r w:rsidRPr="00BF7C29">
        <w:rPr>
          <w:color w:val="000000"/>
          <w:sz w:val="24"/>
          <w:szCs w:val="24"/>
          <w:lang w:bidi="en-US"/>
        </w:rPr>
        <w:t xml:space="preserve">88. </w:t>
      </w:r>
      <w:r w:rsidRPr="00BF7C29">
        <w:rPr>
          <w:color w:val="000000"/>
          <w:sz w:val="24"/>
          <w:szCs w:val="24"/>
          <w:lang w:eastAsia="ru-RU" w:bidi="ru-RU"/>
        </w:rPr>
        <w:t>Болезнь Педжета (костей) (деформирующий остеит).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val="en-US" w:bidi="en-US"/>
        </w:rPr>
        <w:t>M</w:t>
      </w:r>
      <w:r w:rsidRPr="00BF7C29">
        <w:rPr>
          <w:color w:val="000000"/>
          <w:sz w:val="24"/>
          <w:szCs w:val="24"/>
          <w:lang w:bidi="en-US"/>
        </w:rPr>
        <w:t xml:space="preserve">88.0. </w:t>
      </w:r>
      <w:r w:rsidRPr="00BF7C29">
        <w:rPr>
          <w:color w:val="000000"/>
          <w:sz w:val="24"/>
          <w:szCs w:val="24"/>
          <w:lang w:eastAsia="ru-RU" w:bidi="ru-RU"/>
        </w:rPr>
        <w:t>Поражение черепа при болезни Педжета.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val="en-US" w:bidi="en-US"/>
        </w:rPr>
        <w:t>M</w:t>
      </w:r>
      <w:r w:rsidRPr="00BF7C29">
        <w:rPr>
          <w:color w:val="000000"/>
          <w:sz w:val="24"/>
          <w:szCs w:val="24"/>
          <w:lang w:bidi="en-US"/>
        </w:rPr>
        <w:t xml:space="preserve">88.8. </w:t>
      </w:r>
      <w:r w:rsidRPr="00BF7C29">
        <w:rPr>
          <w:color w:val="000000"/>
          <w:sz w:val="24"/>
          <w:szCs w:val="24"/>
          <w:lang w:eastAsia="ru-RU" w:bidi="ru-RU"/>
        </w:rPr>
        <w:t>Поражение других костей при болезни Педжета.</w:t>
      </w:r>
    </w:p>
    <w:p w:rsidR="00BF7C29" w:rsidRPr="00BF7C29" w:rsidRDefault="00BF7C29" w:rsidP="0038538C">
      <w:pPr>
        <w:pStyle w:val="1f1"/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val="en-US" w:bidi="en-US"/>
        </w:rPr>
        <w:t>M</w:t>
      </w:r>
      <w:r w:rsidRPr="00BF7C29">
        <w:rPr>
          <w:color w:val="000000"/>
          <w:sz w:val="24"/>
          <w:szCs w:val="24"/>
          <w:lang w:bidi="en-US"/>
        </w:rPr>
        <w:t xml:space="preserve">88.9. </w:t>
      </w:r>
      <w:r w:rsidRPr="00BF7C29">
        <w:rPr>
          <w:color w:val="000000"/>
          <w:sz w:val="24"/>
          <w:szCs w:val="24"/>
          <w:lang w:eastAsia="ru-RU" w:bidi="ru-RU"/>
        </w:rPr>
        <w:t>Болезнь (костей) Педжета неуточненная.</w:t>
      </w:r>
    </w:p>
    <w:p w:rsidR="00BF7C29" w:rsidRPr="00BF7C29" w:rsidRDefault="00BF7C29" w:rsidP="0038538C">
      <w:pPr>
        <w:pStyle w:val="3f2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8" w:name="bookmark290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Этиология</w:t>
      </w:r>
      <w:bookmarkEnd w:id="88"/>
    </w:p>
    <w:p w:rsidR="00BF7C29" w:rsidRPr="00BF7C29" w:rsidRDefault="00BF7C29" w:rsidP="0038538C">
      <w:pPr>
        <w:pStyle w:val="1f1"/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Природа заболевания не установлена, изучается роль генети</w:t>
      </w:r>
      <w:r w:rsidRPr="00BF7C29">
        <w:rPr>
          <w:color w:val="000000"/>
          <w:sz w:val="24"/>
          <w:szCs w:val="24"/>
          <w:lang w:eastAsia="ru-RU" w:bidi="ru-RU"/>
        </w:rPr>
        <w:softHyphen/>
        <w:t>ческих факторов и вирусной инфекции.</w:t>
      </w:r>
    </w:p>
    <w:p w:rsidR="00BF7C29" w:rsidRPr="00BF7C29" w:rsidRDefault="00BF7C29" w:rsidP="0038538C">
      <w:pPr>
        <w:pStyle w:val="3f2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9" w:name="bookmark290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Патогенез</w:t>
      </w:r>
      <w:bookmarkEnd w:id="89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ранней фазе болезни преобладает остеокластическая костная резорбция. Это происходит вследствие появления аномальных остеокластов. Они крупнее, чем нормальные клетки, и содержат значительно больше ядер (до 100 на клетку). В рентгенологиче</w:t>
      </w:r>
      <w:r w:rsidRPr="00BF7C29">
        <w:rPr>
          <w:color w:val="000000"/>
          <w:sz w:val="24"/>
          <w:szCs w:val="24"/>
          <w:lang w:eastAsia="ru-RU" w:bidi="ru-RU"/>
        </w:rPr>
        <w:softHyphen/>
        <w:t>ской картине преобладают литические клиновидные или дискоо</w:t>
      </w:r>
      <w:r w:rsidRPr="00BF7C29">
        <w:rPr>
          <w:color w:val="000000"/>
          <w:sz w:val="24"/>
          <w:szCs w:val="24"/>
          <w:lang w:eastAsia="ru-RU" w:bidi="ru-RU"/>
        </w:rPr>
        <w:softHyphen/>
        <w:t>бразные поля в длинных трубчатых костях или очаги остеопороза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bookmarkStart w:id="90" w:name="bookmark2925"/>
      <w:r w:rsidRPr="00BF7C29">
        <w:rPr>
          <w:color w:val="000000"/>
          <w:sz w:val="24"/>
          <w:szCs w:val="24"/>
          <w:lang w:eastAsia="ru-RU" w:bidi="ru-RU"/>
        </w:rPr>
        <w:t>в черепе. В ответ на резко увеличенную резорбцию костной ткани происходит усиленное образование новой кости, но образуется неполноценная кость, коллагеновые фибриллы которой располо</w:t>
      </w:r>
      <w:r w:rsidRPr="00BF7C29">
        <w:rPr>
          <w:color w:val="000000"/>
          <w:sz w:val="24"/>
          <w:szCs w:val="24"/>
          <w:lang w:eastAsia="ru-RU" w:bidi="ru-RU"/>
        </w:rPr>
        <w:softHyphen/>
        <w:t>жены хаотично (так называемая мозаичная волокнистая кость). Костный мозг инфильтрирован фиброзной тканью и многочис</w:t>
      </w:r>
      <w:r w:rsidRPr="00BF7C29">
        <w:rPr>
          <w:color w:val="000000"/>
          <w:sz w:val="24"/>
          <w:szCs w:val="24"/>
          <w:lang w:eastAsia="ru-RU" w:bidi="ru-RU"/>
        </w:rPr>
        <w:softHyphen/>
        <w:t>ленными кровеносными сосудами, что приводит к гиперваскуля</w:t>
      </w:r>
      <w:r w:rsidRPr="00BF7C29">
        <w:rPr>
          <w:color w:val="000000"/>
          <w:sz w:val="24"/>
          <w:szCs w:val="24"/>
          <w:lang w:eastAsia="ru-RU" w:bidi="ru-RU"/>
        </w:rPr>
        <w:softHyphen/>
        <w:t>ризации кости. Костный матрикс, как правило, минерализован, но в областях поражения встречаются и слабоминерализованные участки. Со временем участки с повышенным количеством кост</w:t>
      </w:r>
      <w:r w:rsidRPr="00BF7C29">
        <w:rPr>
          <w:color w:val="000000"/>
          <w:sz w:val="24"/>
          <w:szCs w:val="24"/>
          <w:lang w:eastAsia="ru-RU" w:bidi="ru-RU"/>
        </w:rPr>
        <w:softHyphen/>
        <w:t>ных клеток могут уменьшаться вследствие замещения участками склероза.</w:t>
      </w:r>
    </w:p>
    <w:p w:rsidR="00BF7C29" w:rsidRPr="00BF7C29" w:rsidRDefault="00BF7C29" w:rsidP="0038538C">
      <w:pPr>
        <w:pStyle w:val="3f2"/>
        <w:spacing w:after="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1" w:name="bookmark290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</w:t>
      </w:r>
      <w:bookmarkEnd w:id="91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lastRenderedPageBreak/>
        <w:t>Доклиническая стадия</w:t>
      </w:r>
      <w:r w:rsidRPr="00BF7C29">
        <w:rPr>
          <w:color w:val="000000"/>
          <w:sz w:val="24"/>
          <w:szCs w:val="24"/>
          <w:lang w:eastAsia="ru-RU" w:bidi="ru-RU"/>
        </w:rPr>
        <w:t>. При биохимическом анализе крови, выполненном по различным поводам, можно обнаружить повы</w:t>
      </w:r>
      <w:r w:rsidRPr="00BF7C29">
        <w:rPr>
          <w:color w:val="000000"/>
          <w:sz w:val="24"/>
          <w:szCs w:val="24"/>
          <w:lang w:eastAsia="ru-RU" w:bidi="ru-RU"/>
        </w:rPr>
        <w:softHyphen/>
        <w:t>шение активности ЩФ.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>Клиническая стадия</w:t>
      </w:r>
      <w:r w:rsidRPr="00BF7C29">
        <w:rPr>
          <w:color w:val="000000"/>
          <w:sz w:val="24"/>
          <w:szCs w:val="24"/>
          <w:lang w:eastAsia="ru-RU" w:bidi="ru-RU"/>
        </w:rPr>
        <w:t>. Отличается выраженным разнообра</w:t>
      </w:r>
      <w:r w:rsidRPr="00BF7C29">
        <w:rPr>
          <w:color w:val="000000"/>
          <w:sz w:val="24"/>
          <w:szCs w:val="24"/>
          <w:lang w:eastAsia="ru-RU" w:bidi="ru-RU"/>
        </w:rPr>
        <w:softHyphen/>
        <w:t>зием и развивается у 10% пациентов. Различают моно- и поли- оссальную формы. Поражение костей при полиоссальной форме чаще асимметрично. Наиболее часто поражаются тазовые, бе</w:t>
      </w:r>
      <w:r w:rsidRPr="00BF7C29">
        <w:rPr>
          <w:color w:val="000000"/>
          <w:sz w:val="24"/>
          <w:szCs w:val="24"/>
          <w:lang w:eastAsia="ru-RU" w:bidi="ru-RU"/>
        </w:rPr>
        <w:softHyphen/>
        <w:t>дренные, большеберцовые кости, позвонки и череп.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2" w:name="bookmark291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Симптомы и осложнения</w:t>
      </w:r>
      <w:bookmarkEnd w:id="92"/>
    </w:p>
    <w:p w:rsidR="00BF7C29" w:rsidRPr="00BF7C29" w:rsidRDefault="00BF7C29" w:rsidP="0038538C">
      <w:pPr>
        <w:pStyle w:val="1f1"/>
        <w:numPr>
          <w:ilvl w:val="0"/>
          <w:numId w:val="94"/>
        </w:numPr>
        <w:tabs>
          <w:tab w:val="left" w:pos="464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Боль в костях. При поражении позвонков боль в спине труд</w:t>
      </w:r>
      <w:r w:rsidRPr="00BF7C29">
        <w:rPr>
          <w:color w:val="000000"/>
          <w:sz w:val="24"/>
          <w:szCs w:val="24"/>
          <w:lang w:eastAsia="ru-RU" w:bidi="ru-RU"/>
        </w:rPr>
        <w:softHyphen/>
        <w:t>но дифференцируется с другими заболеваниями.</w:t>
      </w:r>
    </w:p>
    <w:p w:rsidR="00BF7C29" w:rsidRPr="00BF7C29" w:rsidRDefault="00BF7C29" w:rsidP="0038538C">
      <w:pPr>
        <w:pStyle w:val="1f1"/>
        <w:numPr>
          <w:ilvl w:val="0"/>
          <w:numId w:val="94"/>
        </w:numPr>
        <w:tabs>
          <w:tab w:val="left" w:pos="464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Деформации костей.</w:t>
      </w:r>
    </w:p>
    <w:p w:rsidR="00BF7C29" w:rsidRPr="00BF7C29" w:rsidRDefault="00BF7C29" w:rsidP="0038538C">
      <w:pPr>
        <w:pStyle w:val="1f1"/>
        <w:numPr>
          <w:ilvl w:val="0"/>
          <w:numId w:val="95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Вблизи очагов поражения могут определяться припух</w:t>
      </w:r>
      <w:r w:rsidRPr="00BF7C29">
        <w:rPr>
          <w:color w:val="000000"/>
          <w:sz w:val="24"/>
          <w:szCs w:val="24"/>
          <w:lang w:eastAsia="ru-RU" w:bidi="ru-RU"/>
        </w:rPr>
        <w:softHyphen/>
        <w:t>лость, покраснение и местное повышение температуры кожи.</w:t>
      </w:r>
    </w:p>
    <w:p w:rsidR="00BF7C29" w:rsidRPr="00BF7C29" w:rsidRDefault="00BF7C29" w:rsidP="0038538C">
      <w:pPr>
        <w:pStyle w:val="1f1"/>
        <w:numPr>
          <w:ilvl w:val="0"/>
          <w:numId w:val="95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поражении костей свода черепа характерно увеличе</w:t>
      </w:r>
      <w:r w:rsidRPr="00BF7C29">
        <w:rPr>
          <w:color w:val="000000"/>
          <w:sz w:val="24"/>
          <w:szCs w:val="24"/>
          <w:lang w:eastAsia="ru-RU" w:bidi="ru-RU"/>
        </w:rPr>
        <w:softHyphen/>
        <w:t>ние размеров головы (с деформацией или без нее), могут беспокоить головные боли.</w:t>
      </w:r>
    </w:p>
    <w:p w:rsidR="00BF7C29" w:rsidRPr="00BF7C29" w:rsidRDefault="00BF7C29" w:rsidP="0038538C">
      <w:pPr>
        <w:pStyle w:val="1f1"/>
        <w:numPr>
          <w:ilvl w:val="0"/>
          <w:numId w:val="96"/>
        </w:numPr>
        <w:tabs>
          <w:tab w:val="left" w:pos="464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Вторичный остеоартроз суставов, прилежащих к патологи</w:t>
      </w:r>
      <w:r w:rsidRPr="00BF7C29">
        <w:rPr>
          <w:color w:val="000000"/>
          <w:sz w:val="24"/>
          <w:szCs w:val="24"/>
          <w:lang w:eastAsia="ru-RU" w:bidi="ru-RU"/>
        </w:rPr>
        <w:softHyphen/>
        <w:t>ческому очагу.</w:t>
      </w:r>
    </w:p>
    <w:p w:rsidR="00BF7C29" w:rsidRPr="00BF7C29" w:rsidRDefault="00BF7C29" w:rsidP="0038538C">
      <w:pPr>
        <w:pStyle w:val="1f1"/>
        <w:numPr>
          <w:ilvl w:val="0"/>
          <w:numId w:val="96"/>
        </w:numPr>
        <w:tabs>
          <w:tab w:val="left" w:pos="464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Переломы костей.</w:t>
      </w:r>
    </w:p>
    <w:p w:rsidR="00BF7C29" w:rsidRPr="00BF7C29" w:rsidRDefault="00BF7C29" w:rsidP="0038538C">
      <w:pPr>
        <w:pStyle w:val="1f1"/>
        <w:numPr>
          <w:ilvl w:val="0"/>
          <w:numId w:val="96"/>
        </w:numPr>
        <w:tabs>
          <w:tab w:val="left" w:pos="464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Неопластическая дезорганизация и малигнизация поражен</w:t>
      </w:r>
      <w:r w:rsidRPr="00BF7C29">
        <w:rPr>
          <w:color w:val="000000"/>
          <w:sz w:val="24"/>
          <w:szCs w:val="24"/>
          <w:lang w:eastAsia="ru-RU" w:bidi="ru-RU"/>
        </w:rPr>
        <w:softHyphen/>
        <w:t>ных участков костей (редкое осложнение).</w:t>
      </w:r>
    </w:p>
    <w:p w:rsidR="00BF7C29" w:rsidRPr="00BF7C29" w:rsidRDefault="00BF7C29" w:rsidP="0038538C">
      <w:pPr>
        <w:pStyle w:val="1f1"/>
        <w:numPr>
          <w:ilvl w:val="0"/>
          <w:numId w:val="96"/>
        </w:numPr>
        <w:tabs>
          <w:tab w:val="left" w:pos="464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Неврологические осложнения и глухота (вследствие сдавле</w:t>
      </w:r>
      <w:r w:rsidRPr="00BF7C29">
        <w:rPr>
          <w:color w:val="000000"/>
          <w:sz w:val="24"/>
          <w:szCs w:val="24"/>
          <w:lang w:eastAsia="ru-RU" w:bidi="ru-RU"/>
        </w:rPr>
        <w:softHyphen/>
        <w:t>ния нервной ткани разросшимися участками кости).</w:t>
      </w:r>
    </w:p>
    <w:p w:rsidR="00BF7C29" w:rsidRPr="00BF7C29" w:rsidRDefault="00BF7C29" w:rsidP="0038538C">
      <w:pPr>
        <w:pStyle w:val="3f2"/>
        <w:spacing w:after="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3" w:name="bookmark291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93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Особенное внимание необходимо уделять пожилым больным с необъяснимыми болями в костях и суставах. Для исключения болезни Педжета в этих случаях рекомендуют выполнить рент</w:t>
      </w:r>
      <w:r w:rsidRPr="00BF7C29">
        <w:rPr>
          <w:color w:val="000000"/>
          <w:sz w:val="24"/>
          <w:szCs w:val="24"/>
          <w:lang w:eastAsia="ru-RU" w:bidi="ru-RU"/>
        </w:rPr>
        <w:softHyphen/>
        <w:t>генографию костей и исследование активности ЩФ в сыворотке крови.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Болезнь Педжета следует исключать у больных с необъясни</w:t>
      </w:r>
      <w:r w:rsidRPr="00BF7C29">
        <w:rPr>
          <w:color w:val="000000"/>
          <w:sz w:val="24"/>
          <w:szCs w:val="24"/>
          <w:lang w:eastAsia="ru-RU" w:bidi="ru-RU"/>
        </w:rPr>
        <w:softHyphen/>
        <w:t>мым повышением активности ЩФ в сыворотке крови, а также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обнаружении специфической картины поражения костей при рентгенологическом исследовании.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4" w:name="bookmark291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Анамнез</w:t>
      </w:r>
      <w:bookmarkEnd w:id="94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Обращают внимание:</w:t>
      </w:r>
    </w:p>
    <w:p w:rsidR="00BF7C29" w:rsidRPr="00BF7C29" w:rsidRDefault="00BF7C29" w:rsidP="0038538C">
      <w:pPr>
        <w:pStyle w:val="1f1"/>
        <w:numPr>
          <w:ilvl w:val="0"/>
          <w:numId w:val="96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 заболевания с подобными болезни Педжета симптомами у родственников;</w:t>
      </w:r>
    </w:p>
    <w:p w:rsidR="00BF7C29" w:rsidRPr="00BF7C29" w:rsidRDefault="00BF7C29" w:rsidP="0038538C">
      <w:pPr>
        <w:pStyle w:val="1f1"/>
        <w:numPr>
          <w:ilvl w:val="0"/>
          <w:numId w:val="96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подагру, псевдоподагру, артриты в анамнезе;</w:t>
      </w:r>
    </w:p>
    <w:p w:rsidR="00BF7C29" w:rsidRPr="00BF7C29" w:rsidRDefault="00BF7C29" w:rsidP="0038538C">
      <w:pPr>
        <w:pStyle w:val="1f1"/>
        <w:numPr>
          <w:ilvl w:val="0"/>
          <w:numId w:val="96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жалобы на увеличение размеров головы, головные боли, снижение слуха.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5" w:name="bookmark291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Физикальное обследование</w:t>
      </w:r>
      <w:bookmarkEnd w:id="95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Необходимо обратить внимание на местное повышение тем</w:t>
      </w:r>
      <w:r w:rsidRPr="00BF7C29">
        <w:rPr>
          <w:color w:val="000000"/>
          <w:sz w:val="24"/>
          <w:szCs w:val="24"/>
          <w:lang w:eastAsia="ru-RU" w:bidi="ru-RU"/>
        </w:rPr>
        <w:softHyphen/>
        <w:t>пературы кожи, болезненность, припухлость или деформации в области периферических костей или черепа, позвоночника.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6" w:name="bookmark291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Лабораторные исследования</w:t>
      </w:r>
      <w:bookmarkEnd w:id="96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Отмечают повышение:</w:t>
      </w:r>
    </w:p>
    <w:p w:rsidR="00BF7C29" w:rsidRPr="00BF7C29" w:rsidRDefault="00BF7C29" w:rsidP="0038538C">
      <w:pPr>
        <w:pStyle w:val="1f1"/>
        <w:numPr>
          <w:ilvl w:val="0"/>
          <w:numId w:val="96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активности общей ЩФ в сыворотке крови и/или ее костной фракции;</w:t>
      </w:r>
    </w:p>
    <w:p w:rsidR="00BF7C29" w:rsidRPr="00BF7C29" w:rsidRDefault="00BF7C29" w:rsidP="0038538C">
      <w:pPr>
        <w:pStyle w:val="1f1"/>
        <w:numPr>
          <w:ilvl w:val="0"/>
          <w:numId w:val="96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содержания С- и </w:t>
      </w:r>
      <w:r w:rsidRPr="00BF7C29">
        <w:rPr>
          <w:color w:val="000000"/>
          <w:sz w:val="24"/>
          <w:szCs w:val="24"/>
          <w:lang w:val="en-US" w:bidi="en-US"/>
        </w:rPr>
        <w:t>N</w:t>
      </w:r>
      <w:r w:rsidRPr="00BF7C29">
        <w:rPr>
          <w:color w:val="000000"/>
          <w:sz w:val="24"/>
          <w:szCs w:val="24"/>
          <w:lang w:eastAsia="ru-RU" w:bidi="ru-RU"/>
        </w:rPr>
        <w:t>-телопептидов в крови;</w:t>
      </w:r>
    </w:p>
    <w:p w:rsidR="00BF7C29" w:rsidRPr="00BF7C29" w:rsidRDefault="00BF7C29" w:rsidP="0038538C">
      <w:pPr>
        <w:pStyle w:val="1f1"/>
        <w:numPr>
          <w:ilvl w:val="0"/>
          <w:numId w:val="96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экскреции с мочой оксипролина, пиридинолонина, дезокси- пиридинолина, </w:t>
      </w:r>
      <w:r w:rsidRPr="00BF7C29">
        <w:rPr>
          <w:color w:val="000000"/>
          <w:sz w:val="24"/>
          <w:szCs w:val="24"/>
          <w:lang w:val="en-US" w:bidi="en-US"/>
        </w:rPr>
        <w:t>N</w:t>
      </w:r>
      <w:r w:rsidRPr="00BF7C29">
        <w:rPr>
          <w:color w:val="000000"/>
          <w:sz w:val="24"/>
          <w:szCs w:val="24"/>
          <w:lang w:eastAsia="ru-RU" w:bidi="ru-RU"/>
        </w:rPr>
        <w:t>-телопептида.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7" w:name="bookmark292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Инструментальные исследования</w:t>
      </w:r>
      <w:bookmarkEnd w:id="97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>Рентгенография</w:t>
      </w:r>
    </w:p>
    <w:p w:rsidR="00BF7C29" w:rsidRPr="00BF7C29" w:rsidRDefault="00BF7C29" w:rsidP="0038538C">
      <w:pPr>
        <w:pStyle w:val="1f1"/>
        <w:numPr>
          <w:ilvl w:val="0"/>
          <w:numId w:val="96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На краниограммах наблюдают увеличение размеров, харак</w:t>
      </w:r>
      <w:r w:rsidRPr="00BF7C29">
        <w:rPr>
          <w:color w:val="000000"/>
          <w:sz w:val="24"/>
          <w:szCs w:val="24"/>
          <w:lang w:eastAsia="ru-RU" w:bidi="ru-RU"/>
        </w:rPr>
        <w:softHyphen/>
        <w:t>терную «ватную» структуру костей свода черепа, признаки повышения внутричерепного давления.</w:t>
      </w:r>
    </w:p>
    <w:p w:rsidR="00BF7C29" w:rsidRPr="00BF7C29" w:rsidRDefault="00BF7C29" w:rsidP="0038538C">
      <w:pPr>
        <w:pStyle w:val="1f1"/>
        <w:numPr>
          <w:ilvl w:val="0"/>
          <w:numId w:val="96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трубчатых костях и костях таза — увеличение и расши</w:t>
      </w:r>
      <w:r w:rsidRPr="00BF7C29">
        <w:rPr>
          <w:color w:val="000000"/>
          <w:sz w:val="24"/>
          <w:szCs w:val="24"/>
          <w:lang w:eastAsia="ru-RU" w:bidi="ru-RU"/>
        </w:rPr>
        <w:softHyphen/>
        <w:t>рение костей, утолщение кортикального слоя, грубая трабе</w:t>
      </w:r>
      <w:r w:rsidRPr="00BF7C29">
        <w:rPr>
          <w:color w:val="000000"/>
          <w:sz w:val="24"/>
          <w:szCs w:val="24"/>
          <w:lang w:eastAsia="ru-RU" w:bidi="ru-RU"/>
        </w:rPr>
        <w:softHyphen/>
        <w:t>кулярная перестройка, поля лизиса и склероза, деформации костей и патологические переломы. Редко — саркоматозные изменения пораженных участков.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Сканирование скелета с технецием </w:t>
      </w:r>
      <w:r w:rsidRPr="00BF7C29">
        <w:rPr>
          <w:color w:val="000000"/>
          <w:sz w:val="24"/>
          <w:szCs w:val="24"/>
          <w:lang w:eastAsia="ru-RU" w:bidi="ru-RU"/>
        </w:rPr>
        <w:t>— наиболее чувстви</w:t>
      </w:r>
      <w:r w:rsidRPr="00BF7C29">
        <w:rPr>
          <w:color w:val="000000"/>
          <w:sz w:val="24"/>
          <w:szCs w:val="24"/>
          <w:lang w:eastAsia="ru-RU" w:bidi="ru-RU"/>
        </w:rPr>
        <w:softHyphen/>
        <w:t>тельный метод выявления очагов высокого костного обмена при болезни Педжета. Сканографическая картина неспецифична, она может быть сходна с таковой при костных метастазах, но при установлении диагноза сканирование костей в динамике может быть полезно для оценки эффективности лечения.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КТ и МРТ </w:t>
      </w:r>
      <w:r w:rsidRPr="00BF7C29">
        <w:rPr>
          <w:color w:val="000000"/>
          <w:sz w:val="24"/>
          <w:szCs w:val="24"/>
          <w:lang w:eastAsia="ru-RU" w:bidi="ru-RU"/>
        </w:rPr>
        <w:t>— необязательные методы при установлении диа</w:t>
      </w:r>
      <w:r w:rsidRPr="00BF7C29">
        <w:rPr>
          <w:color w:val="000000"/>
          <w:sz w:val="24"/>
          <w:szCs w:val="24"/>
          <w:lang w:eastAsia="ru-RU" w:bidi="ru-RU"/>
        </w:rPr>
        <w:softHyphen/>
        <w:t>гноза болезни Педжета. КТ полезна при оценке переломов, когда рентгенография не дает четкого ответа об их наличии. МРТ необ</w:t>
      </w:r>
      <w:r w:rsidRPr="00BF7C29">
        <w:rPr>
          <w:color w:val="000000"/>
          <w:sz w:val="24"/>
          <w:szCs w:val="24"/>
          <w:lang w:eastAsia="ru-RU" w:bidi="ru-RU"/>
        </w:rPr>
        <w:softHyphen/>
        <w:t>ходима при подозрении на малигнизацию педжетоидных повреж</w:t>
      </w:r>
      <w:r w:rsidRPr="00BF7C29">
        <w:rPr>
          <w:color w:val="000000"/>
          <w:sz w:val="24"/>
          <w:szCs w:val="24"/>
          <w:lang w:eastAsia="ru-RU" w:bidi="ru-RU"/>
        </w:rPr>
        <w:softHyphen/>
        <w:t>дений, уточнении поражения окружающих мягких тканей.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8" w:name="bookmark292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Дифференциальная диагностика</w:t>
      </w:r>
      <w:bookmarkEnd w:id="98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Проводят с костными метастазами, гиперпаратиреозом, остео</w:t>
      </w:r>
      <w:r w:rsidRPr="00BF7C29">
        <w:rPr>
          <w:color w:val="000000"/>
          <w:sz w:val="24"/>
          <w:szCs w:val="24"/>
          <w:lang w:eastAsia="ru-RU" w:bidi="ru-RU"/>
        </w:rPr>
        <w:softHyphen/>
        <w:t>маляцией, подагрой, артритами и с акромегалией (при изолиро</w:t>
      </w:r>
      <w:r w:rsidRPr="00BF7C29">
        <w:rPr>
          <w:color w:val="000000"/>
          <w:sz w:val="24"/>
          <w:szCs w:val="24"/>
          <w:lang w:eastAsia="ru-RU" w:bidi="ru-RU"/>
        </w:rPr>
        <w:softHyphen/>
        <w:t>ванном поражении костей черепа).</w:t>
      </w:r>
    </w:p>
    <w:p w:rsidR="00BF7C29" w:rsidRPr="00BF7C29" w:rsidRDefault="00BF7C29" w:rsidP="0038538C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90"/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9" w:name="bookmark292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Цели</w:t>
      </w:r>
      <w:bookmarkEnd w:id="99"/>
    </w:p>
    <w:p w:rsidR="00BF7C29" w:rsidRPr="00BF7C29" w:rsidRDefault="00BF7C29" w:rsidP="0038538C">
      <w:pPr>
        <w:pStyle w:val="1f1"/>
        <w:numPr>
          <w:ilvl w:val="0"/>
          <w:numId w:val="9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Подавление активности остеокластов, снижение костной резорбции.</w:t>
      </w:r>
    </w:p>
    <w:p w:rsidR="00BF7C29" w:rsidRPr="00BF7C29" w:rsidRDefault="00BF7C29" w:rsidP="0038538C">
      <w:pPr>
        <w:pStyle w:val="1f1"/>
        <w:numPr>
          <w:ilvl w:val="0"/>
          <w:numId w:val="9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Устранение болевого синдрома.</w:t>
      </w:r>
    </w:p>
    <w:p w:rsidR="00BF7C29" w:rsidRPr="00BF7C29" w:rsidRDefault="00BF7C29" w:rsidP="0038538C">
      <w:pPr>
        <w:pStyle w:val="1f1"/>
        <w:numPr>
          <w:ilvl w:val="0"/>
          <w:numId w:val="9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Предупреждение развития новых деформаций костей и осложнений заболевания (переломов, неврологических на</w:t>
      </w:r>
      <w:r w:rsidRPr="00BF7C29">
        <w:rPr>
          <w:color w:val="000000"/>
          <w:sz w:val="24"/>
          <w:szCs w:val="24"/>
          <w:lang w:eastAsia="ru-RU" w:bidi="ru-RU"/>
        </w:rPr>
        <w:softHyphen/>
        <w:t>рушений).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0" w:name="bookmark292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Показания к госпитализации</w:t>
      </w:r>
      <w:bookmarkEnd w:id="100"/>
    </w:p>
    <w:p w:rsidR="00BF7C29" w:rsidRPr="00BF7C29" w:rsidRDefault="00BF7C29" w:rsidP="0038538C">
      <w:pPr>
        <w:pStyle w:val="1f1"/>
        <w:numPr>
          <w:ilvl w:val="0"/>
          <w:numId w:val="9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Осложнения заболевания (переломы, обострение артри</w:t>
      </w:r>
      <w:r w:rsidRPr="00BF7C29">
        <w:rPr>
          <w:color w:val="000000"/>
          <w:sz w:val="24"/>
          <w:szCs w:val="24"/>
          <w:lang w:eastAsia="ru-RU" w:bidi="ru-RU"/>
        </w:rPr>
        <w:softHyphen/>
        <w:t>тов).</w:t>
      </w:r>
    </w:p>
    <w:p w:rsidR="00BF7C29" w:rsidRPr="00BF7C29" w:rsidRDefault="00BF7C29" w:rsidP="0038538C">
      <w:pPr>
        <w:pStyle w:val="1f1"/>
        <w:numPr>
          <w:ilvl w:val="0"/>
          <w:numId w:val="9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Необходимость хирургических вмешательств.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1" w:name="bookmark293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Немедикаментозное лечение</w:t>
      </w:r>
      <w:bookmarkEnd w:id="101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 показаниям — ортезы, разгрузка пораженной конечности в периоды обострения заболевания.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2" w:name="bookmark293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Медикаментозное лечение</w:t>
      </w:r>
      <w:bookmarkEnd w:id="102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Патогенетическая терапия </w:t>
      </w:r>
      <w:r w:rsidRPr="00BF7C29">
        <w:rPr>
          <w:color w:val="000000"/>
          <w:sz w:val="24"/>
          <w:szCs w:val="24"/>
          <w:lang w:eastAsia="ru-RU" w:bidi="ru-RU"/>
        </w:rPr>
        <w:t>— длительное применение анти- резорбтивных препаратов. Диагностический критерий ремиссии заболевания — стойкая нормализация активности ЩФ (и/или ее костной фракции) в сыворотке крови.</w:t>
      </w:r>
    </w:p>
    <w:p w:rsidR="00BF7C29" w:rsidRPr="00BF7C29" w:rsidRDefault="00BF7C29" w:rsidP="0038538C">
      <w:pPr>
        <w:pStyle w:val="1f1"/>
        <w:numPr>
          <w:ilvl w:val="0"/>
          <w:numId w:val="97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Препараты первой линии — азотсодержащие бисфосфона</w:t>
      </w:r>
      <w:r w:rsidRPr="00BF7C29">
        <w:rPr>
          <w:color w:val="000000"/>
          <w:sz w:val="24"/>
          <w:szCs w:val="24"/>
          <w:lang w:eastAsia="ru-RU" w:bidi="ru-RU"/>
        </w:rPr>
        <w:softHyphen/>
        <w:t>ты. Пациентам, принимающим бисфосфонаты, необходи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мо дополнительно назначить 500-1000 мг элементарного кальция и 800 МЕ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ежедневно.</w:t>
      </w:r>
    </w:p>
    <w:p w:rsidR="00BF7C29" w:rsidRPr="00BF7C29" w:rsidRDefault="00BF7C29" w:rsidP="0038538C">
      <w:pPr>
        <w:pStyle w:val="1f1"/>
        <w:numPr>
          <w:ilvl w:val="0"/>
          <w:numId w:val="98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Алендроновая кислота (например, фосамакс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* </w:t>
      </w:r>
      <w:r w:rsidRPr="00BF7C29">
        <w:rPr>
          <w:color w:val="000000"/>
          <w:sz w:val="24"/>
          <w:szCs w:val="24"/>
          <w:lang w:eastAsia="ru-RU" w:bidi="ru-RU"/>
        </w:rPr>
        <w:t>— 40 мг ежедневно внутрь).</w:t>
      </w:r>
    </w:p>
    <w:p w:rsidR="00BF7C29" w:rsidRPr="00BF7C29" w:rsidRDefault="00BF7C29" w:rsidP="0038538C">
      <w:pPr>
        <w:pStyle w:val="1f1"/>
        <w:numPr>
          <w:ilvl w:val="0"/>
          <w:numId w:val="98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Ризедроновая кислота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^ </w:t>
      </w:r>
      <w:r w:rsidRPr="00BF7C29">
        <w:rPr>
          <w:color w:val="000000"/>
          <w:sz w:val="24"/>
          <w:szCs w:val="24"/>
          <w:lang w:eastAsia="ru-RU" w:bidi="ru-RU"/>
        </w:rPr>
        <w:t>(актонель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* </w:t>
      </w:r>
      <w:r w:rsidRPr="00BF7C29">
        <w:rPr>
          <w:color w:val="000000"/>
          <w:sz w:val="24"/>
          <w:szCs w:val="24"/>
          <w:lang w:eastAsia="ru-RU" w:bidi="ru-RU"/>
        </w:rPr>
        <w:t>— 30 мг ежедневно внутрь.</w:t>
      </w:r>
    </w:p>
    <w:p w:rsidR="00BF7C29" w:rsidRPr="00BF7C29" w:rsidRDefault="00BF7C29" w:rsidP="0038538C">
      <w:pPr>
        <w:pStyle w:val="1f1"/>
        <w:numPr>
          <w:ilvl w:val="0"/>
          <w:numId w:val="98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Памидроновая кислота (например, аредиа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* </w:t>
      </w:r>
      <w:r w:rsidRPr="00BF7C29">
        <w:rPr>
          <w:color w:val="000000"/>
          <w:sz w:val="24"/>
          <w:szCs w:val="24"/>
          <w:lang w:eastAsia="ru-RU" w:bidi="ru-RU"/>
        </w:rPr>
        <w:t>— внутри</w:t>
      </w:r>
      <w:r w:rsidRPr="00BF7C29">
        <w:rPr>
          <w:color w:val="000000"/>
          <w:sz w:val="24"/>
          <w:szCs w:val="24"/>
          <w:lang w:eastAsia="ru-RU" w:bidi="ru-RU"/>
        </w:rPr>
        <w:softHyphen/>
        <w:t>венная инфузия 30-60 мг в 500 мл 0,9% раствора натрия хлорида или в 500 мл 5% раствора глюкозы в течение 4 ч 3 дня подряд, 1 курс в 2-3 мес). Пациентам со средней тяжестью болезни и при тяжелом течении требуется 2-4 инъекции с повторением курса через 3 мес. Однако поя</w:t>
      </w:r>
      <w:r w:rsidRPr="00BF7C29">
        <w:rPr>
          <w:color w:val="000000"/>
          <w:sz w:val="24"/>
          <w:szCs w:val="24"/>
          <w:lang w:eastAsia="ru-RU" w:bidi="ru-RU"/>
        </w:rPr>
        <w:softHyphen/>
        <w:t>вились сообщения о развитии вторичной резистентности при повторных курсах лечения.</w:t>
      </w:r>
    </w:p>
    <w:p w:rsidR="00BF7C29" w:rsidRPr="00BF7C29" w:rsidRDefault="00BF7C29" w:rsidP="0038538C">
      <w:pPr>
        <w:pStyle w:val="1f1"/>
        <w:numPr>
          <w:ilvl w:val="0"/>
          <w:numId w:val="98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Золедроновая кислота (например, акласта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* </w:t>
      </w:r>
      <w:r w:rsidRPr="00BF7C29">
        <w:rPr>
          <w:color w:val="000000"/>
          <w:sz w:val="24"/>
          <w:szCs w:val="24"/>
          <w:lang w:eastAsia="ru-RU" w:bidi="ru-RU"/>
        </w:rPr>
        <w:t>— 5 мг, ка</w:t>
      </w:r>
      <w:r w:rsidRPr="00BF7C29">
        <w:rPr>
          <w:color w:val="000000"/>
          <w:sz w:val="24"/>
          <w:szCs w:val="24"/>
          <w:lang w:eastAsia="ru-RU" w:bidi="ru-RU"/>
        </w:rPr>
        <w:softHyphen/>
        <w:t>пельная инфузия в течение 15 мин 1 раз в 6 мес. Золедро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новая кислота в настоящее время — самый эффективный препарат для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лечения болезни Педжета.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Препарат второй линии — кальцитонин (например, миа- кальцик</w:t>
      </w:r>
      <w:r w:rsidRPr="00BF7C29">
        <w:rPr>
          <w:rFonts w:eastAsia="Arial"/>
          <w:color w:val="000000"/>
          <w:sz w:val="24"/>
          <w:szCs w:val="24"/>
          <w:vertAlign w:val="superscript"/>
          <w:lang w:eastAsia="ru-RU" w:bidi="ru-RU"/>
        </w:rPr>
        <w:t>*</w:t>
      </w:r>
      <w:r w:rsidRPr="00BF7C29">
        <w:rPr>
          <w:color w:val="000000"/>
          <w:sz w:val="24"/>
          <w:szCs w:val="24"/>
          <w:lang w:eastAsia="ru-RU" w:bidi="ru-RU"/>
        </w:rPr>
        <w:t>), инъекционная форма в дозе 100 МЕ ежедневно. У многих пациентов возникает устойчивость к проводимо</w:t>
      </w:r>
      <w:r w:rsidRPr="00BF7C29">
        <w:rPr>
          <w:color w:val="000000"/>
          <w:sz w:val="24"/>
          <w:szCs w:val="24"/>
          <w:lang w:eastAsia="ru-RU" w:bidi="ru-RU"/>
        </w:rPr>
        <w:softHyphen/>
        <w:t>му лечению вследствие образования нейтрализующих анти</w:t>
      </w:r>
      <w:r w:rsidRPr="00BF7C29">
        <w:rPr>
          <w:color w:val="000000"/>
          <w:sz w:val="24"/>
          <w:szCs w:val="24"/>
          <w:lang w:eastAsia="ru-RU" w:bidi="ru-RU"/>
        </w:rPr>
        <w:softHyphen/>
        <w:t>тел или уменьшения (по принципу отрицательной обратной связи) количества кальцитониновых рецепторов на остео</w:t>
      </w:r>
      <w:r w:rsidRPr="00BF7C29">
        <w:rPr>
          <w:color w:val="000000"/>
          <w:sz w:val="24"/>
          <w:szCs w:val="24"/>
          <w:lang w:eastAsia="ru-RU" w:bidi="ru-RU"/>
        </w:rPr>
        <w:softHyphen/>
        <w:t>кластах.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bookmarkStart w:id="103" w:name="bookmark2963"/>
      <w:r w:rsidRPr="00BF7C29">
        <w:rPr>
          <w:b/>
          <w:bCs/>
          <w:color w:val="000000"/>
          <w:sz w:val="24"/>
          <w:szCs w:val="24"/>
          <w:lang w:eastAsia="ru-RU" w:bidi="ru-RU"/>
        </w:rPr>
        <w:t xml:space="preserve">Симптоматическая терапия </w:t>
      </w:r>
      <w:r w:rsidRPr="00BF7C29">
        <w:rPr>
          <w:color w:val="000000"/>
          <w:sz w:val="24"/>
          <w:szCs w:val="24"/>
          <w:lang w:eastAsia="ru-RU" w:bidi="ru-RU"/>
        </w:rPr>
        <w:t>болей в костях и суставах вклю</w:t>
      </w:r>
      <w:r w:rsidRPr="00BF7C29">
        <w:rPr>
          <w:color w:val="000000"/>
          <w:sz w:val="24"/>
          <w:szCs w:val="24"/>
          <w:lang w:eastAsia="ru-RU" w:bidi="ru-RU"/>
        </w:rPr>
        <w:softHyphen/>
        <w:t>чает применение НПВС, анальгетиков.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4" w:name="bookmark293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Хирургическое лечение</w:t>
      </w:r>
      <w:bookmarkEnd w:id="104"/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Проводят при патологических переломах и необходимости их коррекции, при выраженных артрозах — эндопротезирование суставов. Изредка выполняют остеотомию для исправления де</w:t>
      </w:r>
      <w:r w:rsidRPr="00BF7C29">
        <w:rPr>
          <w:color w:val="000000"/>
          <w:sz w:val="24"/>
          <w:szCs w:val="24"/>
          <w:lang w:eastAsia="ru-RU" w:bidi="ru-RU"/>
        </w:rPr>
        <w:softHyphen/>
        <w:t>формаций большеберцовой кости. Нейрохирургические вмеша</w:t>
      </w:r>
      <w:r w:rsidRPr="00BF7C29">
        <w:rPr>
          <w:color w:val="000000"/>
          <w:sz w:val="24"/>
          <w:szCs w:val="24"/>
          <w:lang w:eastAsia="ru-RU" w:bidi="ru-RU"/>
        </w:rPr>
        <w:softHyphen/>
        <w:t>тельства на позвоночнике применяют при сдавлении спинного мозга пораженными позвонками.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5" w:name="bookmark293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Дальнейшее ведение</w:t>
      </w:r>
      <w:bookmarkEnd w:id="105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достижении ремиссии (уменьшении болей, отсутствии но</w:t>
      </w:r>
      <w:r w:rsidRPr="00BF7C29">
        <w:rPr>
          <w:color w:val="000000"/>
          <w:sz w:val="24"/>
          <w:szCs w:val="24"/>
          <w:lang w:eastAsia="ru-RU" w:bidi="ru-RU"/>
        </w:rPr>
        <w:softHyphen/>
        <w:t>вых очагов и деформаций, нормализации активности ЩФ):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клиническое наблюдение;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контроль активности ЩФ в сыворотке крови (1 раз в 3-6 мес);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рентгенологический контроль (ежегодно, а при стойкой ре</w:t>
      </w:r>
      <w:r w:rsidRPr="00BF7C29">
        <w:rPr>
          <w:color w:val="000000"/>
          <w:sz w:val="24"/>
          <w:szCs w:val="24"/>
          <w:lang w:eastAsia="ru-RU" w:bidi="ru-RU"/>
        </w:rPr>
        <w:softHyphen/>
        <w:t>миссии — 1 раз в 3 года).</w:t>
      </w:r>
    </w:p>
    <w:p w:rsidR="00BF7C29" w:rsidRPr="00BF7C29" w:rsidRDefault="00BF7C29" w:rsidP="0038538C">
      <w:pPr>
        <w:pStyle w:val="1f1"/>
        <w:spacing w:after="1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рецидиве заболевания — повторные курсы лечения.</w:t>
      </w:r>
    </w:p>
    <w:p w:rsidR="00BF7C29" w:rsidRPr="00BF7C29" w:rsidRDefault="00BF7C29" w:rsidP="00BF7C29">
      <w:pPr>
        <w:pStyle w:val="3f2"/>
        <w:spacing w:after="100"/>
        <w:jc w:val="center"/>
        <w:rPr>
          <w:rFonts w:ascii="Times New Roman" w:hAnsi="Times New Roman" w:cs="Times New Roman"/>
          <w:sz w:val="24"/>
          <w:szCs w:val="24"/>
        </w:rPr>
      </w:pPr>
      <w:bookmarkStart w:id="106" w:name="bookmark293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ПЕРВИЧНЫЙ ГИПЕРПАРАТИРЕОЗ</w:t>
      </w:r>
      <w:bookmarkEnd w:id="106"/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 Олбрайта, болезнь Реклингхаузена, фиброзно</w:t>
      </w:r>
      <w:r w:rsidRPr="00BF7C29">
        <w:rPr>
          <w:color w:val="000000"/>
          <w:sz w:val="24"/>
          <w:szCs w:val="24"/>
          <w:lang w:eastAsia="ru-RU" w:bidi="ru-RU"/>
        </w:rPr>
        <w:softHyphen/>
        <w:t>кистозная остеодистрофия, паратиреоидная остеодистрофия, первичный гиперпаратиреоз — первичное заболевание около</w:t>
      </w:r>
      <w:r w:rsidRPr="00BF7C29">
        <w:rPr>
          <w:color w:val="000000"/>
          <w:sz w:val="24"/>
          <w:szCs w:val="24"/>
          <w:lang w:eastAsia="ru-RU" w:bidi="ru-RU"/>
        </w:rPr>
        <w:softHyphen/>
        <w:t>щитовидных желез, проявляющееся гиперпродукцией ПТГ и по</w:t>
      </w:r>
      <w:r w:rsidRPr="00BF7C29">
        <w:rPr>
          <w:color w:val="000000"/>
          <w:sz w:val="24"/>
          <w:szCs w:val="24"/>
          <w:lang w:eastAsia="ru-RU" w:bidi="ru-RU"/>
        </w:rPr>
        <w:softHyphen/>
        <w:t>ражением костной системы и/или внутренних органов (в первую очередь, почек и ЖКТ).</w:t>
      </w:r>
    </w:p>
    <w:p w:rsidR="00BF7C29" w:rsidRPr="00BF7C29" w:rsidRDefault="00BF7C29" w:rsidP="0038538C">
      <w:pPr>
        <w:pStyle w:val="3f2"/>
        <w:spacing w:after="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7" w:name="bookmark294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Код МКБ-10</w:t>
      </w:r>
      <w:bookmarkEnd w:id="107"/>
    </w:p>
    <w:p w:rsidR="00BF7C29" w:rsidRPr="00BF7C29" w:rsidRDefault="00BF7C29" w:rsidP="0038538C">
      <w:pPr>
        <w:pStyle w:val="1f1"/>
        <w:spacing w:after="10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val="en-US" w:bidi="en-US"/>
        </w:rPr>
        <w:t>E</w:t>
      </w:r>
      <w:r w:rsidRPr="00BF7C29">
        <w:rPr>
          <w:color w:val="000000"/>
          <w:sz w:val="24"/>
          <w:szCs w:val="24"/>
          <w:lang w:bidi="en-US"/>
        </w:rPr>
        <w:t xml:space="preserve">21.0. </w:t>
      </w:r>
      <w:r w:rsidRPr="00BF7C29">
        <w:rPr>
          <w:color w:val="000000"/>
          <w:sz w:val="24"/>
          <w:szCs w:val="24"/>
          <w:lang w:eastAsia="ru-RU" w:bidi="ru-RU"/>
        </w:rPr>
        <w:t>Первичный гиперпаратиреоз.</w:t>
      </w:r>
    </w:p>
    <w:p w:rsidR="00BF7C29" w:rsidRPr="00BF7C29" w:rsidRDefault="00BF7C29" w:rsidP="0038538C">
      <w:pPr>
        <w:pStyle w:val="3f2"/>
        <w:spacing w:after="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8" w:name="bookmark294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Скрининг</w:t>
      </w:r>
      <w:bookmarkEnd w:id="108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Исследование уровня кальция и ПТГ необходимо проводить: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выявлении повышения содержания кальция и фосфора в крови;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любых метаболических нарушениях костной системы;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96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частых нетравматических переломах;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рецидивирующей мочекаменной болезни;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частом рецидивировании язвенной болезни желудка и две</w:t>
      </w:r>
      <w:r w:rsidRPr="00BF7C29">
        <w:rPr>
          <w:color w:val="000000"/>
          <w:sz w:val="24"/>
          <w:szCs w:val="24"/>
          <w:lang w:eastAsia="ru-RU" w:bidi="ru-RU"/>
        </w:rPr>
        <w:softHyphen/>
        <w:t>надцатиперстной кишки;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диарее, аритмиях и длительных психоневрологических рас</w:t>
      </w:r>
      <w:r w:rsidRPr="00BF7C29">
        <w:rPr>
          <w:color w:val="000000"/>
          <w:sz w:val="24"/>
          <w:szCs w:val="24"/>
          <w:lang w:eastAsia="ru-RU" w:bidi="ru-RU"/>
        </w:rPr>
        <w:softHyphen/>
        <w:t>стройствах;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синдроме МЭН у пациентов и их родственников 1-й линии;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9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выявлении рака околощитовидной железы (целесообразно обследовать родственников пациентов для исключения се</w:t>
      </w:r>
      <w:r w:rsidRPr="00BF7C29">
        <w:rPr>
          <w:color w:val="000000"/>
          <w:sz w:val="24"/>
          <w:szCs w:val="24"/>
          <w:lang w:eastAsia="ru-RU" w:bidi="ru-RU"/>
        </w:rPr>
        <w:softHyphen/>
        <w:t>мейной формы, а также по возможности провести им гене</w:t>
      </w:r>
      <w:r w:rsidRPr="00BF7C29">
        <w:rPr>
          <w:color w:val="000000"/>
          <w:sz w:val="24"/>
          <w:szCs w:val="24"/>
          <w:lang w:eastAsia="ru-RU" w:bidi="ru-RU"/>
        </w:rPr>
        <w:softHyphen/>
        <w:t>тические исследования).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Клинические формы: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7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бессимптомная;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7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малосимптомная;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7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манифестная;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7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костная;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7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висцеральная;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7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смешанная;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7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гиперкальциемический криз.</w:t>
      </w:r>
    </w:p>
    <w:p w:rsidR="00BF7C29" w:rsidRPr="00BF7C29" w:rsidRDefault="00BF7C29" w:rsidP="0038538C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bookmarkStart w:id="109" w:name="bookmark294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Этиология</w:t>
      </w:r>
      <w:bookmarkEnd w:id="109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Причинами первичного поражения околощитовидных желез могут быть: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7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солитарная аденома околощитовидной железы;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7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множественные аденомы;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7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карцинома околощитовидных желез;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7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гиперплазия околощитовидных желез;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72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первичный гиперпаратиреоз в рамках синдрома МЭН 1 (синдром Вермера) и МЭН 2 (синдром Сиппла).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 части пациентов выявляют зависимость от воздействия ио</w:t>
      </w:r>
      <w:r w:rsidRPr="00BF7C29">
        <w:rPr>
          <w:color w:val="000000"/>
          <w:sz w:val="24"/>
          <w:szCs w:val="24"/>
          <w:lang w:eastAsia="ru-RU" w:bidi="ru-RU"/>
        </w:rPr>
        <w:softHyphen/>
        <w:t>низирующего излучения, длительного приема литиевых препара</w:t>
      </w:r>
      <w:r w:rsidRPr="00BF7C29">
        <w:rPr>
          <w:color w:val="000000"/>
          <w:sz w:val="24"/>
          <w:szCs w:val="24"/>
          <w:lang w:eastAsia="ru-RU" w:bidi="ru-RU"/>
        </w:rPr>
        <w:softHyphen/>
        <w:t>тов или генетические мутации в рамках синдрома МЭН 1.</w:t>
      </w:r>
    </w:p>
    <w:p w:rsidR="00BF7C29" w:rsidRPr="00BF7C29" w:rsidRDefault="00BF7C29" w:rsidP="0038538C">
      <w:pPr>
        <w:pStyle w:val="3f2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bookmarkStart w:id="110" w:name="bookmark294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Патогенез</w:t>
      </w:r>
      <w:bookmarkEnd w:id="110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результате дефекта порог чувствительности кальцийчувстви</w:t>
      </w:r>
      <w:r w:rsidRPr="00BF7C29">
        <w:rPr>
          <w:color w:val="000000"/>
          <w:sz w:val="24"/>
          <w:szCs w:val="24"/>
          <w:lang w:eastAsia="ru-RU" w:bidi="ru-RU"/>
        </w:rPr>
        <w:softHyphen/>
        <w:t>тельных рецепторов опухолевых и гиперплазированных клеток околощитовидных желез к кальцию по сравнению с физиологи</w:t>
      </w:r>
      <w:r w:rsidRPr="00BF7C29">
        <w:rPr>
          <w:color w:val="000000"/>
          <w:sz w:val="24"/>
          <w:szCs w:val="24"/>
          <w:lang w:eastAsia="ru-RU" w:bidi="ru-RU"/>
        </w:rPr>
        <w:softHyphen/>
        <w:t>ческой регуляцией снижен или полностью отсутствует. В резуль</w:t>
      </w:r>
      <w:r w:rsidRPr="00BF7C29">
        <w:rPr>
          <w:color w:val="000000"/>
          <w:sz w:val="24"/>
          <w:szCs w:val="24"/>
          <w:lang w:eastAsia="ru-RU" w:bidi="ru-RU"/>
        </w:rPr>
        <w:softHyphen/>
        <w:t>тате усиливается продукция ПТГ.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Влияние избыточного ПТГ на различные органы приводит к следующим изменениям.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костеобразования, но образование новой кости отстает от ее рассасывания, что приводит к генерализованному остеопоро</w:t>
      </w:r>
      <w:r w:rsidRPr="00BF7C29">
        <w:rPr>
          <w:color w:val="000000"/>
          <w:sz w:val="24"/>
          <w:szCs w:val="24"/>
          <w:lang w:eastAsia="ru-RU" w:bidi="ru-RU"/>
        </w:rPr>
        <w:softHyphen/>
        <w:t>зу и остеодистрофии, вымыванию кальция из костного депо и усилению гиперкальциемии. В результате наблюдают сни</w:t>
      </w:r>
      <w:r w:rsidRPr="00BF7C29">
        <w:rPr>
          <w:color w:val="000000"/>
          <w:sz w:val="24"/>
          <w:szCs w:val="24"/>
          <w:lang w:eastAsia="ru-RU" w:bidi="ru-RU"/>
        </w:rPr>
        <w:softHyphen/>
        <w:t>жение МПКТ различной степени выраженности, нарушение микроархитектоники кости, приводящие к повышению ее хрупкости и возникновению патологических периферических переломов при минимальной нагрузке. Наблюдают усиление субпериостальной резорбции, фиксируемой на рентгено</w:t>
      </w:r>
      <w:r w:rsidRPr="00BF7C29">
        <w:rPr>
          <w:color w:val="000000"/>
          <w:sz w:val="24"/>
          <w:szCs w:val="24"/>
          <w:lang w:eastAsia="ru-RU" w:bidi="ru-RU"/>
        </w:rPr>
        <w:softHyphen/>
        <w:t>граммах кистей. Возможны педжетоидные изменения, когда компактный слой кости не истончен, а неравномерно утол</w:t>
      </w:r>
      <w:r w:rsidRPr="00BF7C29">
        <w:rPr>
          <w:color w:val="000000"/>
          <w:sz w:val="24"/>
          <w:szCs w:val="24"/>
          <w:lang w:eastAsia="ru-RU" w:bidi="ru-RU"/>
        </w:rPr>
        <w:softHyphen/>
        <w:t>щен. Развиваются фиброзно-кистозная дисплазия, деформи</w:t>
      </w:r>
      <w:r w:rsidRPr="00BF7C29">
        <w:rPr>
          <w:color w:val="000000"/>
          <w:sz w:val="24"/>
          <w:szCs w:val="24"/>
          <w:lang w:eastAsia="ru-RU" w:bidi="ru-RU"/>
        </w:rPr>
        <w:softHyphen/>
        <w:t>рующий остеоартроз и хондрокальциноз.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ЖКТ под действием ПТГ усиливается продукция соляной кислоты и пепсина, под действием гиперкальциемии — каль</w:t>
      </w:r>
      <w:r w:rsidRPr="00BF7C29">
        <w:rPr>
          <w:color w:val="000000"/>
          <w:sz w:val="24"/>
          <w:szCs w:val="24"/>
          <w:lang w:eastAsia="ru-RU" w:bidi="ru-RU"/>
        </w:rPr>
        <w:softHyphen/>
        <w:t>цификация тканей и сосудов органов ЖКТ, что приводит к развитию различных их поражений.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66"/>
        </w:tabs>
        <w:spacing w:after="6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Влияние гиперкальциемии на ЦНС проявляется в виде развития депрессивных или эйфорических состояний раз</w:t>
      </w:r>
      <w:r w:rsidRPr="00BF7C29">
        <w:rPr>
          <w:color w:val="000000"/>
          <w:sz w:val="24"/>
          <w:szCs w:val="24"/>
          <w:lang w:eastAsia="ru-RU" w:bidi="ru-RU"/>
        </w:rPr>
        <w:softHyphen/>
        <w:t>личной степени выраженности вплоть до имитации психи</w:t>
      </w:r>
      <w:r w:rsidRPr="00BF7C29">
        <w:rPr>
          <w:color w:val="000000"/>
          <w:sz w:val="24"/>
          <w:szCs w:val="24"/>
          <w:lang w:eastAsia="ru-RU" w:bidi="ru-RU"/>
        </w:rPr>
        <w:softHyphen/>
        <w:t>ческих заболеваний. При умеренном влиянии развиваются анорексия, апатия.</w:t>
      </w:r>
    </w:p>
    <w:p w:rsidR="00BF7C29" w:rsidRPr="00BF7C29" w:rsidRDefault="00BF7C29" w:rsidP="0038538C">
      <w:pPr>
        <w:pStyle w:val="3f2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1" w:name="bookmark295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Клиническая картина</w:t>
      </w:r>
      <w:bookmarkEnd w:id="111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Основные проявления — костные и нефрологические наруше</w:t>
      </w:r>
      <w:r w:rsidRPr="00BF7C29">
        <w:rPr>
          <w:color w:val="000000"/>
          <w:sz w:val="24"/>
          <w:szCs w:val="24"/>
          <w:lang w:eastAsia="ru-RU" w:bidi="ru-RU"/>
        </w:rPr>
        <w:softHyphen/>
        <w:t>ния, однако спектр поражения органов и систем гораздо шире.</w:t>
      </w:r>
    </w:p>
    <w:p w:rsidR="00BF7C29" w:rsidRPr="00BF7C29" w:rsidRDefault="00BF7C29" w:rsidP="0038538C">
      <w:pPr>
        <w:pStyle w:val="1f1"/>
        <w:numPr>
          <w:ilvl w:val="0"/>
          <w:numId w:val="99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Костно-мышечная система:</w:t>
      </w:r>
    </w:p>
    <w:p w:rsidR="00BF7C29" w:rsidRPr="00BF7C29" w:rsidRDefault="00BF7C29" w:rsidP="0038538C">
      <w:pPr>
        <w:pStyle w:val="1f1"/>
        <w:numPr>
          <w:ilvl w:val="0"/>
          <w:numId w:val="100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боли в костях, деформация костей, патологические пере</w:t>
      </w:r>
      <w:r w:rsidRPr="00BF7C29">
        <w:rPr>
          <w:color w:val="000000"/>
          <w:sz w:val="24"/>
          <w:szCs w:val="24"/>
          <w:lang w:eastAsia="ru-RU" w:bidi="ru-RU"/>
        </w:rPr>
        <w:softHyphen/>
        <w:t>ломы, подагра, псевдоподагра с преобладанием пораже</w:t>
      </w:r>
      <w:r w:rsidRPr="00BF7C29">
        <w:rPr>
          <w:color w:val="000000"/>
          <w:sz w:val="24"/>
          <w:szCs w:val="24"/>
          <w:lang w:eastAsia="ru-RU" w:bidi="ru-RU"/>
        </w:rPr>
        <w:softHyphen/>
        <w:t>ний запястных и голеностопных суставов;</w:t>
      </w:r>
    </w:p>
    <w:p w:rsidR="00BF7C29" w:rsidRPr="00BF7C29" w:rsidRDefault="00BF7C29" w:rsidP="0038538C">
      <w:pPr>
        <w:pStyle w:val="1f1"/>
        <w:numPr>
          <w:ilvl w:val="0"/>
          <w:numId w:val="100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мышечная слабость, особенно в конечностях, атрофия мышц;</w:t>
      </w:r>
    </w:p>
    <w:p w:rsidR="00BF7C29" w:rsidRPr="00BF7C29" w:rsidRDefault="00BF7C29" w:rsidP="0038538C">
      <w:pPr>
        <w:pStyle w:val="1f1"/>
        <w:numPr>
          <w:ilvl w:val="0"/>
          <w:numId w:val="100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фиброзно-кистозный остеит, гигантоклеточные опухоли, бурые кисты, эпулиды (5-10% случаев) — характеризу</w:t>
      </w:r>
      <w:r w:rsidRPr="00BF7C29">
        <w:rPr>
          <w:color w:val="000000"/>
          <w:sz w:val="24"/>
          <w:szCs w:val="24"/>
          <w:lang w:eastAsia="ru-RU" w:bidi="ru-RU"/>
        </w:rPr>
        <w:softHyphen/>
        <w:t>ются местным увеличением резорбтивных полостей, по</w:t>
      </w:r>
      <w:r w:rsidRPr="00BF7C29">
        <w:rPr>
          <w:color w:val="000000"/>
          <w:sz w:val="24"/>
          <w:szCs w:val="24"/>
          <w:lang w:eastAsia="ru-RU" w:bidi="ru-RU"/>
        </w:rPr>
        <w:softHyphen/>
        <w:t>вышением воздушности кости;</w:t>
      </w:r>
    </w:p>
    <w:p w:rsidR="00BF7C29" w:rsidRPr="00BF7C29" w:rsidRDefault="00BF7C29" w:rsidP="0038538C">
      <w:pPr>
        <w:pStyle w:val="1f1"/>
        <w:numPr>
          <w:ilvl w:val="0"/>
          <w:numId w:val="100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снижение МПКТ различной степени выраженности, на</w:t>
      </w:r>
      <w:r w:rsidRPr="00BF7C29">
        <w:rPr>
          <w:color w:val="000000"/>
          <w:sz w:val="24"/>
          <w:szCs w:val="24"/>
          <w:lang w:eastAsia="ru-RU" w:bidi="ru-RU"/>
        </w:rPr>
        <w:softHyphen/>
        <w:t>рушение микроархитектоники кости, возникновение нетравматических периферических переломов при ми</w:t>
      </w:r>
      <w:r w:rsidRPr="00BF7C29">
        <w:rPr>
          <w:color w:val="000000"/>
          <w:sz w:val="24"/>
          <w:szCs w:val="24"/>
          <w:lang w:eastAsia="ru-RU" w:bidi="ru-RU"/>
        </w:rPr>
        <w:softHyphen/>
        <w:t>нимальной нагрузке;</w:t>
      </w:r>
    </w:p>
    <w:p w:rsidR="00BF7C29" w:rsidRPr="00BF7C29" w:rsidRDefault="00BF7C29" w:rsidP="0038538C">
      <w:pPr>
        <w:pStyle w:val="1f1"/>
        <w:numPr>
          <w:ilvl w:val="0"/>
          <w:numId w:val="100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тяжелых формах — различные корешковые наруше</w:t>
      </w:r>
      <w:r w:rsidRPr="00BF7C29">
        <w:rPr>
          <w:color w:val="000000"/>
          <w:sz w:val="24"/>
          <w:szCs w:val="24"/>
          <w:lang w:eastAsia="ru-RU" w:bidi="ru-RU"/>
        </w:rPr>
        <w:softHyphen/>
        <w:t>ния, парестезии, паралич мышц тазового пояса;</w:t>
      </w:r>
    </w:p>
    <w:p w:rsidR="00BF7C29" w:rsidRPr="00BF7C29" w:rsidRDefault="00BF7C29" w:rsidP="0038538C">
      <w:pPr>
        <w:pStyle w:val="1f1"/>
        <w:numPr>
          <w:ilvl w:val="0"/>
          <w:numId w:val="100"/>
        </w:numPr>
        <w:tabs>
          <w:tab w:val="left" w:pos="72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возникновении гиперпаратиреоза в молодом воз</w:t>
      </w:r>
      <w:r w:rsidRPr="00BF7C29">
        <w:rPr>
          <w:color w:val="000000"/>
          <w:sz w:val="24"/>
          <w:szCs w:val="24"/>
          <w:lang w:eastAsia="ru-RU" w:bidi="ru-RU"/>
        </w:rPr>
        <w:softHyphen/>
        <w:t>расте — формирование килевидной грудной клетки, де</w:t>
      </w:r>
      <w:r w:rsidRPr="00BF7C29">
        <w:rPr>
          <w:color w:val="000000"/>
          <w:sz w:val="24"/>
          <w:szCs w:val="24"/>
          <w:lang w:eastAsia="ru-RU" w:bidi="ru-RU"/>
        </w:rPr>
        <w:softHyphen/>
        <w:t>формация ребер и позвоночника, недостаточная длина трубчатых костей, формирование увеличенных зубных альвеол и расшатывание зубов.</w:t>
      </w:r>
    </w:p>
    <w:p w:rsidR="00BF7C29" w:rsidRPr="00BF7C29" w:rsidRDefault="00BF7C29" w:rsidP="0038538C">
      <w:pPr>
        <w:pStyle w:val="1f1"/>
        <w:numPr>
          <w:ilvl w:val="0"/>
          <w:numId w:val="101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Почки: кальциурия (50%), рецидивирующий нефролити</w:t>
      </w:r>
      <w:r w:rsidRPr="00BF7C29">
        <w:rPr>
          <w:color w:val="000000"/>
          <w:sz w:val="24"/>
          <w:szCs w:val="24"/>
          <w:lang w:eastAsia="ru-RU" w:bidi="ru-RU"/>
        </w:rPr>
        <w:softHyphen/>
        <w:t>аз (15-20%), нефрокальциноз, нарушение функций почек вплоть до ХПН.</w:t>
      </w:r>
    </w:p>
    <w:p w:rsidR="00BF7C29" w:rsidRPr="00BF7C29" w:rsidRDefault="00BF7C29" w:rsidP="0038538C">
      <w:pPr>
        <w:pStyle w:val="1f1"/>
        <w:numPr>
          <w:ilvl w:val="0"/>
          <w:numId w:val="101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Гастроэнтерологические нарушения: рецидивирующая яз</w:t>
      </w:r>
      <w:r w:rsidRPr="00BF7C29">
        <w:rPr>
          <w:color w:val="000000"/>
          <w:sz w:val="24"/>
          <w:szCs w:val="24"/>
          <w:lang w:eastAsia="ru-RU" w:bidi="ru-RU"/>
        </w:rPr>
        <w:softHyphen/>
        <w:t>венная болезнь желудка и двенадцатиперстной кишки, по</w:t>
      </w:r>
      <w:r w:rsidRPr="00BF7C29">
        <w:rPr>
          <w:color w:val="000000"/>
          <w:sz w:val="24"/>
          <w:szCs w:val="24"/>
          <w:lang w:eastAsia="ru-RU" w:bidi="ru-RU"/>
        </w:rPr>
        <w:softHyphen/>
        <w:t>ражения ПЖ (хронический панкреатит, панкреокалькулез, панкреокальциноз).</w:t>
      </w:r>
    </w:p>
    <w:p w:rsidR="00BF7C29" w:rsidRPr="00BF7C29" w:rsidRDefault="00BF7C29" w:rsidP="0038538C">
      <w:pPr>
        <w:pStyle w:val="1f1"/>
        <w:numPr>
          <w:ilvl w:val="0"/>
          <w:numId w:val="101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Диспепсические расстройства: анорексия, тошнота, рвота, запоры, похудание.</w:t>
      </w:r>
    </w:p>
    <w:p w:rsidR="00BF7C29" w:rsidRPr="00BF7C29" w:rsidRDefault="00BF7C29" w:rsidP="0038538C">
      <w:pPr>
        <w:pStyle w:val="1f1"/>
        <w:numPr>
          <w:ilvl w:val="0"/>
          <w:numId w:val="101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Кальцификация органов сердечно-сосудистой системы с развитием поражения сердечных клапанов, коронарных со</w:t>
      </w:r>
      <w:r w:rsidRPr="00BF7C29">
        <w:rPr>
          <w:color w:val="000000"/>
          <w:sz w:val="24"/>
          <w:szCs w:val="24"/>
          <w:lang w:eastAsia="ru-RU" w:bidi="ru-RU"/>
        </w:rPr>
        <w:softHyphen/>
        <w:t>судов, сосудов глаз (катаракта), мозга и т.п.</w:t>
      </w:r>
    </w:p>
    <w:p w:rsidR="00BF7C29" w:rsidRPr="00BF7C29" w:rsidRDefault="00BF7C29" w:rsidP="0038538C">
      <w:pPr>
        <w:pStyle w:val="1f1"/>
        <w:numPr>
          <w:ilvl w:val="0"/>
          <w:numId w:val="101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Изменения психики: депрессия, сонливость, снижение па</w:t>
      </w:r>
      <w:r w:rsidRPr="00BF7C29">
        <w:rPr>
          <w:color w:val="000000"/>
          <w:sz w:val="24"/>
          <w:szCs w:val="24"/>
          <w:lang w:eastAsia="ru-RU" w:bidi="ru-RU"/>
        </w:rPr>
        <w:softHyphen/>
        <w:t>мяти.</w:t>
      </w:r>
    </w:p>
    <w:p w:rsidR="00BF7C29" w:rsidRPr="00BF7C29" w:rsidRDefault="00BF7C29" w:rsidP="0038538C">
      <w:pPr>
        <w:pStyle w:val="1f1"/>
        <w:numPr>
          <w:ilvl w:val="0"/>
          <w:numId w:val="101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Инсипидарный синдром: полидипсия, полиурия, никтурия.</w:t>
      </w:r>
    </w:p>
    <w:p w:rsidR="00BF7C29" w:rsidRPr="00BF7C29" w:rsidRDefault="00BF7C29" w:rsidP="0038538C">
      <w:pPr>
        <w:pStyle w:val="1f1"/>
        <w:numPr>
          <w:ilvl w:val="0"/>
          <w:numId w:val="101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Нарушения сердечно-сосудистой системы: АГ, нарушения сердечного ритма.</w:t>
      </w:r>
    </w:p>
    <w:p w:rsidR="00BF7C29" w:rsidRPr="00BF7C29" w:rsidRDefault="00BF7C29" w:rsidP="0038538C">
      <w:pPr>
        <w:pStyle w:val="1f1"/>
        <w:numPr>
          <w:ilvl w:val="0"/>
          <w:numId w:val="101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Гиперурикемия, подагра, псевдоподагра с отложением пи</w:t>
      </w:r>
      <w:r w:rsidRPr="00BF7C29">
        <w:rPr>
          <w:color w:val="000000"/>
          <w:sz w:val="24"/>
          <w:szCs w:val="24"/>
          <w:lang w:eastAsia="ru-RU" w:bidi="ru-RU"/>
        </w:rPr>
        <w:softHyphen/>
        <w:t>рофосфатных кристаллов в суставах, хондрокальциноз с преобладанием поражений запястных и голеностопных су</w:t>
      </w:r>
      <w:r w:rsidRPr="00BF7C29">
        <w:rPr>
          <w:color w:val="000000"/>
          <w:sz w:val="24"/>
          <w:szCs w:val="24"/>
          <w:lang w:eastAsia="ru-RU" w:bidi="ru-RU"/>
        </w:rPr>
        <w:softHyphen/>
        <w:t>ставов (ревматологическая симптоматика).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Выделяют несколько вариантов течения первичного гиперпа</w:t>
      </w:r>
      <w:r w:rsidRPr="00BF7C29">
        <w:rPr>
          <w:color w:val="000000"/>
          <w:sz w:val="24"/>
          <w:szCs w:val="24"/>
          <w:lang w:eastAsia="ru-RU" w:bidi="ru-RU"/>
        </w:rPr>
        <w:softHyphen/>
        <w:t>ратиреоза.</w:t>
      </w:r>
    </w:p>
    <w:p w:rsidR="00BF7C29" w:rsidRPr="00BF7C29" w:rsidRDefault="00BF7C29" w:rsidP="0038538C">
      <w:pPr>
        <w:pStyle w:val="1f1"/>
        <w:numPr>
          <w:ilvl w:val="0"/>
          <w:numId w:val="101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Бессимптомное — отсутствие клинических проявлений, слу</w:t>
      </w:r>
      <w:r w:rsidRPr="00BF7C29">
        <w:rPr>
          <w:color w:val="000000"/>
          <w:sz w:val="24"/>
          <w:szCs w:val="24"/>
          <w:lang w:eastAsia="ru-RU" w:bidi="ru-RU"/>
        </w:rPr>
        <w:softHyphen/>
        <w:t>чайно обнаруживают умеренное повышение концентрации кальция в крови и ПТГ. При прицельном обследовании об</w:t>
      </w:r>
      <w:r w:rsidRPr="00BF7C29">
        <w:rPr>
          <w:color w:val="000000"/>
          <w:sz w:val="24"/>
          <w:szCs w:val="24"/>
          <w:lang w:eastAsia="ru-RU" w:bidi="ru-RU"/>
        </w:rPr>
        <w:softHyphen/>
        <w:t>наруживают объемное образование околощитовидной же</w:t>
      </w:r>
      <w:r w:rsidRPr="00BF7C29">
        <w:rPr>
          <w:color w:val="000000"/>
          <w:sz w:val="24"/>
          <w:szCs w:val="24"/>
          <w:lang w:eastAsia="ru-RU" w:bidi="ru-RU"/>
        </w:rPr>
        <w:softHyphen/>
        <w:t>лезы либо ее гиперплазию и в ряде случаев незначительную остеопению.</w:t>
      </w:r>
    </w:p>
    <w:p w:rsidR="00BF7C29" w:rsidRPr="00BF7C29" w:rsidRDefault="00BF7C29" w:rsidP="0038538C">
      <w:pPr>
        <w:pStyle w:val="1f1"/>
        <w:numPr>
          <w:ilvl w:val="0"/>
          <w:numId w:val="101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Малосимптомное (мягкое) (30-40% случаев) — умерен</w:t>
      </w:r>
      <w:r w:rsidRPr="00BF7C29">
        <w:rPr>
          <w:color w:val="000000"/>
          <w:sz w:val="24"/>
          <w:szCs w:val="24"/>
          <w:lang w:eastAsia="ru-RU" w:bidi="ru-RU"/>
        </w:rPr>
        <w:softHyphen/>
        <w:t>ная выраженность клинических проявлений на фоне не</w:t>
      </w:r>
      <w:r w:rsidRPr="00BF7C29">
        <w:rPr>
          <w:color w:val="000000"/>
          <w:sz w:val="24"/>
          <w:szCs w:val="24"/>
          <w:lang w:eastAsia="ru-RU" w:bidi="ru-RU"/>
        </w:rPr>
        <w:softHyphen/>
        <w:t>значительно повышенного содержания кальция и ПТГ, остеопения либо остеопороз без переломов, нетяжелые, вялотекущие висцеральные нарушения, гиперплазия либо аденома околощитовидных желез.</w:t>
      </w:r>
    </w:p>
    <w:p w:rsidR="00BF7C29" w:rsidRPr="00BF7C29" w:rsidRDefault="00BF7C29" w:rsidP="0038538C">
      <w:pPr>
        <w:pStyle w:val="1f1"/>
        <w:numPr>
          <w:ilvl w:val="0"/>
          <w:numId w:val="101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Манифестный гиперпаратиреоз — яркая клиническая кар</w:t>
      </w:r>
      <w:r w:rsidRPr="00BF7C29">
        <w:rPr>
          <w:color w:val="000000"/>
          <w:sz w:val="24"/>
          <w:szCs w:val="24"/>
          <w:lang w:eastAsia="ru-RU" w:bidi="ru-RU"/>
        </w:rPr>
        <w:softHyphen/>
        <w:t>тина с преобладанием тех или иных симптомов, различают:</w:t>
      </w:r>
    </w:p>
    <w:p w:rsidR="00BF7C29" w:rsidRPr="00BF7C29" w:rsidRDefault="00BF7C29" w:rsidP="0038538C">
      <w:pPr>
        <w:pStyle w:val="1f1"/>
        <w:numPr>
          <w:ilvl w:val="0"/>
          <w:numId w:val="102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костную форму (преимущественное поражение костно</w:t>
      </w:r>
      <w:r w:rsidRPr="00BF7C29">
        <w:rPr>
          <w:color w:val="000000"/>
          <w:sz w:val="24"/>
          <w:szCs w:val="24"/>
          <w:lang w:eastAsia="ru-RU" w:bidi="ru-RU"/>
        </w:rPr>
        <w:softHyphen/>
        <w:t>мышечной системы);</w:t>
      </w:r>
    </w:p>
    <w:p w:rsidR="00BF7C29" w:rsidRPr="00BF7C29" w:rsidRDefault="00BF7C29" w:rsidP="0038538C">
      <w:pPr>
        <w:pStyle w:val="1f1"/>
        <w:numPr>
          <w:ilvl w:val="0"/>
          <w:numId w:val="102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висцеральную форму (с преимущественным поражением почек, ЖКТ или нервно-психической сферы);</w:t>
      </w:r>
    </w:p>
    <w:p w:rsidR="00BF7C29" w:rsidRPr="00BF7C29" w:rsidRDefault="00BF7C29" w:rsidP="0038538C">
      <w:pPr>
        <w:pStyle w:val="1f1"/>
        <w:numPr>
          <w:ilvl w:val="0"/>
          <w:numId w:val="102"/>
        </w:numPr>
        <w:tabs>
          <w:tab w:val="left" w:pos="70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смешанную форму (включает клинические проявления костных и висцеральных нарушений);</w:t>
      </w:r>
    </w:p>
    <w:p w:rsidR="00BF7C29" w:rsidRPr="00BF7C29" w:rsidRDefault="00BF7C29" w:rsidP="0038538C">
      <w:pPr>
        <w:pStyle w:val="1f1"/>
        <w:numPr>
          <w:ilvl w:val="0"/>
          <w:numId w:val="102"/>
        </w:numPr>
        <w:tabs>
          <w:tab w:val="left" w:pos="706"/>
        </w:tabs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гиперкальциемический криз.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2" w:name="bookmark295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Гиперкальциемический криз</w:t>
      </w:r>
      <w:bookmarkEnd w:id="112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Осложнение тяжелого гиперпаратиреоза, возникающее на фоне резкого повышения содержания кальция в крови при инфек</w:t>
      </w:r>
      <w:r w:rsidRPr="00BF7C29">
        <w:rPr>
          <w:color w:val="000000"/>
          <w:sz w:val="24"/>
          <w:szCs w:val="24"/>
          <w:lang w:eastAsia="ru-RU" w:bidi="ru-RU"/>
        </w:rPr>
        <w:softHyphen/>
        <w:t>ционных заболеваниях, переломах, длительной иммобилизации,</w:t>
      </w:r>
    </w:p>
    <w:p w:rsidR="00BF7C29" w:rsidRPr="00BF7C29" w:rsidRDefault="00BF7C29" w:rsidP="0038538C">
      <w:pPr>
        <w:pStyle w:val="1f1"/>
        <w:spacing w:after="8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беременности, приеме антацидных средств. Криз характеризуется внезапным развитием лихорадки, судорог, тошноты, боли в мыш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цах и суставах, острой боли в животе, неукротимой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рвоты, спу</w:t>
      </w:r>
      <w:r w:rsidRPr="00BF7C29">
        <w:rPr>
          <w:color w:val="000000"/>
          <w:sz w:val="24"/>
          <w:szCs w:val="24"/>
          <w:lang w:eastAsia="ru-RU" w:bidi="ru-RU"/>
        </w:rPr>
        <w:softHyphen/>
        <w:t>танности сознания, ступора, комы.</w:t>
      </w:r>
    </w:p>
    <w:p w:rsidR="00BF7C29" w:rsidRPr="00BF7C29" w:rsidRDefault="00BF7C29" w:rsidP="0038538C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3" w:name="bookmark295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113"/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4" w:name="bookmark295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Анамнез</w:t>
      </w:r>
      <w:bookmarkEnd w:id="114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Необходимо уточнить наличие частых, неадекватных нагрузке и плохо консолидирующихся переломов, рецидивирующей моче</w:t>
      </w:r>
      <w:r w:rsidRPr="00BF7C29">
        <w:rPr>
          <w:color w:val="000000"/>
          <w:sz w:val="24"/>
          <w:szCs w:val="24"/>
          <w:lang w:eastAsia="ru-RU" w:bidi="ru-RU"/>
        </w:rPr>
        <w:softHyphen/>
        <w:t>каменной болезни, рецидивирующих нарушений ЖКТ, депрес</w:t>
      </w:r>
      <w:r w:rsidRPr="00BF7C29">
        <w:rPr>
          <w:color w:val="000000"/>
          <w:sz w:val="24"/>
          <w:szCs w:val="24"/>
          <w:lang w:eastAsia="ru-RU" w:bidi="ru-RU"/>
        </w:rPr>
        <w:softHyphen/>
        <w:t>сивных состояний, полиурии, полидипсии.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5" w:name="bookmark295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Физикальное обследование</w:t>
      </w:r>
      <w:bookmarkEnd w:id="115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Отмечают мышечную слабость, формирование утиной поход</w:t>
      </w:r>
      <w:r w:rsidRPr="00BF7C29">
        <w:rPr>
          <w:color w:val="000000"/>
          <w:sz w:val="24"/>
          <w:szCs w:val="24"/>
          <w:lang w:eastAsia="ru-RU" w:bidi="ru-RU"/>
        </w:rPr>
        <w:softHyphen/>
        <w:t>ки. Следует обратить внимание на деформации скелета, костные разрастания в области костей лицевого черепа, крупных суставов, трубчатых костей. При тяжелом повреждении почек и развитии ХПН отмечают вялость, бледность (с серым оттенком) кожных покровов. При значительной выраженности гиперкальциемии могут отмечаться характерные признаки (см. «Синдром гипер</w:t>
      </w:r>
      <w:r w:rsidRPr="00BF7C29">
        <w:rPr>
          <w:color w:val="000000"/>
          <w:sz w:val="24"/>
          <w:szCs w:val="24"/>
          <w:lang w:eastAsia="ru-RU" w:bidi="ru-RU"/>
        </w:rPr>
        <w:softHyphen/>
        <w:t>кальциемии»).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6" w:name="bookmark296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Лабораторные исследования</w:t>
      </w:r>
      <w:bookmarkEnd w:id="116"/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Общий анализ крови (могут быть признаки воспаления при присоединении инфекции мочеполового тракта на фоне мо</w:t>
      </w:r>
      <w:r w:rsidRPr="00BF7C29">
        <w:rPr>
          <w:color w:val="000000"/>
          <w:sz w:val="24"/>
          <w:szCs w:val="24"/>
          <w:lang w:eastAsia="ru-RU" w:bidi="ru-RU"/>
        </w:rPr>
        <w:softHyphen/>
        <w:t>чекаменной болезни).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Общий анализ мочи.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Биохимический анализ крови: исследование содержания общего и/или ионизированного (более информативно) кальция (повышение выше физиологических значений), фосфора (гипофосфатемия &lt;0,7 ммоль/л), ЩФ (повышение активности в 1,5-5 раз вследствие активности костного ре</w:t>
      </w:r>
      <w:r w:rsidRPr="00BF7C29">
        <w:rPr>
          <w:color w:val="000000"/>
          <w:sz w:val="24"/>
          <w:szCs w:val="24"/>
          <w:lang w:eastAsia="ru-RU" w:bidi="ru-RU"/>
        </w:rPr>
        <w:softHyphen/>
        <w:t>моделирования), креатинина, мочевины, мочевой кислоты. Исследование содержания ионизированного кальция менее подвергнуто возрастным и половым влияниям, менее зави</w:t>
      </w:r>
      <w:r w:rsidRPr="00BF7C29">
        <w:rPr>
          <w:color w:val="000000"/>
          <w:sz w:val="24"/>
          <w:szCs w:val="24"/>
          <w:lang w:eastAsia="ru-RU" w:bidi="ru-RU"/>
        </w:rPr>
        <w:softHyphen/>
        <w:t>симо от содержания альбумина в сыворотке крови.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Исследование содержания кальция и фосфора в моче — в большинстве случаев гипер-, нормокальциурия (&gt;10 ммоль/ сут, или 250 мг/сут у женщин и 300 мг/сут у мужчин), гипер- фосфатурия, повышение экскреции цАМФ с мочой. Обычно это сопровождается выявлением оксалатных камней.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Исследование маркеров костного ремоделирования в кро</w:t>
      </w:r>
      <w:r w:rsidRPr="00BF7C29">
        <w:rPr>
          <w:color w:val="000000"/>
          <w:sz w:val="24"/>
          <w:szCs w:val="24"/>
          <w:lang w:eastAsia="ru-RU" w:bidi="ru-RU"/>
        </w:rPr>
        <w:softHyphen/>
        <w:t>ви — содержание остеокальцина и С-термального гемопеп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тида коллагена </w:t>
      </w:r>
      <w:r w:rsidRPr="00BF7C29">
        <w:rPr>
          <w:color w:val="000000"/>
          <w:sz w:val="24"/>
          <w:szCs w:val="24"/>
          <w:lang w:val="en-US" w:bidi="en-US"/>
        </w:rPr>
        <w:t>I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типа (СТх) в сыворотке крови (повышение в 1,5-20 раз).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Исследование маркеров костного ремоделирования в моче — экскреция оксипролина (повышенная).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признаках инсипидарного синдрома (полиурии, поли</w:t>
      </w:r>
      <w:r w:rsidRPr="00BF7C29">
        <w:rPr>
          <w:color w:val="000000"/>
          <w:sz w:val="24"/>
          <w:szCs w:val="24"/>
          <w:lang w:eastAsia="ru-RU" w:bidi="ru-RU"/>
        </w:rPr>
        <w:softHyphen/>
        <w:t>дипсии, гипоизостенурии) — определение диуреза, исследо</w:t>
      </w:r>
      <w:r w:rsidRPr="00BF7C29">
        <w:rPr>
          <w:color w:val="000000"/>
          <w:sz w:val="24"/>
          <w:szCs w:val="24"/>
          <w:lang w:eastAsia="ru-RU" w:bidi="ru-RU"/>
        </w:rPr>
        <w:softHyphen/>
        <w:t>вание мочи по Зимницкому.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Инструментальные исследования</w:t>
      </w:r>
      <w:bookmarkEnd w:id="103"/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Рентгенологическое исследование различных костей — при</w:t>
      </w:r>
      <w:r w:rsidRPr="00BF7C29">
        <w:rPr>
          <w:color w:val="000000"/>
          <w:sz w:val="24"/>
          <w:szCs w:val="24"/>
          <w:lang w:eastAsia="ru-RU" w:bidi="ru-RU"/>
        </w:rPr>
        <w:softHyphen/>
        <w:t>знаки субпериостальной резорбции (особенно характерны для фаланг пальцев кисти) и акроостеолиз концевых фа</w:t>
      </w:r>
      <w:r w:rsidRPr="00BF7C29">
        <w:rPr>
          <w:color w:val="000000"/>
          <w:sz w:val="24"/>
          <w:szCs w:val="24"/>
          <w:lang w:eastAsia="ru-RU" w:bidi="ru-RU"/>
        </w:rPr>
        <w:softHyphen/>
        <w:t>ланг, описываемый как «обсосанные пальцы».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костях таза, проксимальных отделах различных трубча</w:t>
      </w:r>
      <w:r w:rsidRPr="00BF7C29">
        <w:rPr>
          <w:color w:val="000000"/>
          <w:sz w:val="24"/>
          <w:szCs w:val="24"/>
          <w:lang w:eastAsia="ru-RU" w:bidi="ru-RU"/>
        </w:rPr>
        <w:softHyphen/>
        <w:t>тых, пяточных костей в тяжелых случаях при длительно существующем гиперпаратиреозе выявляют очаги просвет</w:t>
      </w:r>
      <w:r w:rsidRPr="00BF7C29">
        <w:rPr>
          <w:color w:val="000000"/>
          <w:sz w:val="24"/>
          <w:szCs w:val="24"/>
          <w:lang w:eastAsia="ru-RU" w:bidi="ru-RU"/>
        </w:rPr>
        <w:softHyphen/>
        <w:t>ления — кисты (при слиянии — рисунок крупнопузырча</w:t>
      </w:r>
      <w:r w:rsidRPr="00BF7C29">
        <w:rPr>
          <w:color w:val="000000"/>
          <w:sz w:val="24"/>
          <w:szCs w:val="24"/>
          <w:lang w:eastAsia="ru-RU" w:bidi="ru-RU"/>
        </w:rPr>
        <w:softHyphen/>
        <w:t>той мыльной пены), деструкцию головки бедренной кости. Отличительная особенность костных поражений при ги</w:t>
      </w:r>
      <w:r w:rsidRPr="00BF7C29">
        <w:rPr>
          <w:color w:val="000000"/>
          <w:sz w:val="24"/>
          <w:szCs w:val="24"/>
          <w:lang w:eastAsia="ru-RU" w:bidi="ru-RU"/>
        </w:rPr>
        <w:softHyphen/>
        <w:t>перпаратиреозе — выраженные различия в поражении кор</w:t>
      </w:r>
      <w:r w:rsidRPr="00BF7C29">
        <w:rPr>
          <w:color w:val="000000"/>
          <w:sz w:val="24"/>
          <w:szCs w:val="24"/>
          <w:lang w:eastAsia="ru-RU" w:bidi="ru-RU"/>
        </w:rPr>
        <w:softHyphen/>
        <w:t>тикальной и губчатой костной ткани. Выявляют признаки диффузной остеопении и истончение кортикального слоя с расширением костномозгового канала в результате повыше</w:t>
      </w:r>
      <w:r w:rsidRPr="00BF7C29">
        <w:rPr>
          <w:color w:val="000000"/>
          <w:sz w:val="24"/>
          <w:szCs w:val="24"/>
          <w:lang w:eastAsia="ru-RU" w:bidi="ru-RU"/>
        </w:rPr>
        <w:softHyphen/>
        <w:t>ния эндостальной резорбции.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lastRenderedPageBreak/>
        <w:t>Остеоденситометрия. Необходима денситометрия дисталь</w:t>
      </w:r>
      <w:r w:rsidRPr="00BF7C29">
        <w:rPr>
          <w:color w:val="000000"/>
          <w:sz w:val="24"/>
          <w:szCs w:val="24"/>
          <w:lang w:eastAsia="ru-RU" w:bidi="ru-RU"/>
        </w:rPr>
        <w:softHyphen/>
        <w:t>ного отдела лучевой кости, так как эта область подвергается патологическому действию ПТГ в первую очередь.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УЗИ околощитовидных желез информативно в 50-99% слу</w:t>
      </w:r>
      <w:r w:rsidRPr="00BF7C29">
        <w:rPr>
          <w:color w:val="000000"/>
          <w:sz w:val="24"/>
          <w:szCs w:val="24"/>
          <w:lang w:eastAsia="ru-RU" w:bidi="ru-RU"/>
        </w:rPr>
        <w:softHyphen/>
        <w:t>чаев в зависимости от квалификации специалиста и размера железы.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УЗИ почек.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Эзофагогастродуоденоскопия — обязательное исследование даже при отсутствии явных клинических проявлений.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КТ органов шеи с контрастированием — информативность метода высока, но влечет большую радиационную нагрузку, требуется введение контраста. При подозрении на атипич</w:t>
      </w:r>
      <w:r w:rsidRPr="00BF7C29">
        <w:rPr>
          <w:color w:val="000000"/>
          <w:sz w:val="24"/>
          <w:szCs w:val="24"/>
          <w:lang w:eastAsia="ru-RU" w:bidi="ru-RU"/>
        </w:rPr>
        <w:softHyphen/>
        <w:t>ное расположение паратиромы (чаще загрудинное) целесо</w:t>
      </w:r>
      <w:r w:rsidRPr="00BF7C29">
        <w:rPr>
          <w:color w:val="000000"/>
          <w:sz w:val="24"/>
          <w:szCs w:val="24"/>
          <w:lang w:eastAsia="ru-RU" w:bidi="ru-RU"/>
        </w:rPr>
        <w:softHyphen/>
        <w:t>образна мультиспиральная КТ органов шеи и средостения.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МРТ околощитовидных желез высокоинформативна, но возникают затруднения при интратиреоидном расположе</w:t>
      </w:r>
      <w:r w:rsidRPr="00BF7C29">
        <w:rPr>
          <w:color w:val="000000"/>
          <w:sz w:val="24"/>
          <w:szCs w:val="24"/>
          <w:lang w:eastAsia="ru-RU" w:bidi="ru-RU"/>
        </w:rPr>
        <w:softHyphen/>
        <w:t>нии парааденом, имеет высокую стоимость и длительность исследования.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Сцинтиграфия с таллием-технецием, селен-метионином или технетрилом </w:t>
      </w:r>
      <w:r w:rsidRPr="00BF7C29">
        <w:rPr>
          <w:color w:val="000000"/>
          <w:sz w:val="24"/>
          <w:szCs w:val="24"/>
          <w:lang w:bidi="en-US"/>
        </w:rPr>
        <w:t>(</w:t>
      </w:r>
      <w:r w:rsidRPr="00BF7C29">
        <w:rPr>
          <w:color w:val="000000"/>
          <w:sz w:val="24"/>
          <w:szCs w:val="24"/>
          <w:lang w:val="en-US" w:bidi="en-US"/>
        </w:rPr>
        <w:t>MIBI</w:t>
      </w:r>
      <w:r w:rsidRPr="00BF7C29">
        <w:rPr>
          <w:color w:val="000000"/>
          <w:sz w:val="24"/>
          <w:szCs w:val="24"/>
          <w:lang w:bidi="en-US"/>
        </w:rPr>
        <w:t xml:space="preserve">) </w:t>
      </w:r>
      <w:r w:rsidRPr="00BF7C29">
        <w:rPr>
          <w:color w:val="000000"/>
          <w:sz w:val="24"/>
          <w:szCs w:val="24"/>
          <w:lang w:eastAsia="ru-RU" w:bidi="ru-RU"/>
        </w:rPr>
        <w:t>характеризуется наименьшей лу</w:t>
      </w:r>
      <w:r w:rsidRPr="00BF7C29">
        <w:rPr>
          <w:color w:val="000000"/>
          <w:sz w:val="24"/>
          <w:szCs w:val="24"/>
          <w:lang w:eastAsia="ru-RU" w:bidi="ru-RU"/>
        </w:rPr>
        <w:softHyphen/>
        <w:t>чевой нагрузкой и большей чувствительностью.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Пункционная биопсия выявленного образования под кон</w:t>
      </w:r>
      <w:r w:rsidRPr="00BF7C29">
        <w:rPr>
          <w:color w:val="000000"/>
          <w:sz w:val="24"/>
          <w:szCs w:val="24"/>
          <w:lang w:eastAsia="ru-RU" w:bidi="ru-RU"/>
        </w:rPr>
        <w:softHyphen/>
        <w:t>тролем УЗИ.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Инвазивные методы диагностики образований околощи</w:t>
      </w:r>
      <w:r w:rsidRPr="00BF7C29">
        <w:rPr>
          <w:color w:val="000000"/>
          <w:sz w:val="24"/>
          <w:szCs w:val="24"/>
          <w:lang w:eastAsia="ru-RU" w:bidi="ru-RU"/>
        </w:rPr>
        <w:softHyphen/>
        <w:t>товидных желез (используют при трудностях топической диагностики, отсутствии визуализации околощитовидных желез в местах типичного расположения) — селективная ан</w:t>
      </w:r>
      <w:r w:rsidRPr="00BF7C29">
        <w:rPr>
          <w:color w:val="000000"/>
          <w:sz w:val="24"/>
          <w:szCs w:val="24"/>
          <w:lang w:eastAsia="ru-RU" w:bidi="ru-RU"/>
        </w:rPr>
        <w:softHyphen/>
        <w:t>гиография, флебография, лимфография, селективное и не</w:t>
      </w:r>
      <w:r w:rsidRPr="00BF7C29">
        <w:rPr>
          <w:color w:val="000000"/>
          <w:sz w:val="24"/>
          <w:szCs w:val="24"/>
          <w:lang w:eastAsia="ru-RU" w:bidi="ru-RU"/>
        </w:rPr>
        <w:softHyphen/>
        <w:t>селективное взятие крови при ангиографии с определением концентрации ПТГ.</w:t>
      </w:r>
    </w:p>
    <w:p w:rsidR="00BF7C29" w:rsidRPr="00BF7C29" w:rsidRDefault="00BF7C29" w:rsidP="0038538C">
      <w:pPr>
        <w:pStyle w:val="1f1"/>
        <w:numPr>
          <w:ilvl w:val="0"/>
          <w:numId w:val="103"/>
        </w:numPr>
        <w:tabs>
          <w:tab w:val="left" w:pos="470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Интраоперационные методы — введение красителей, опре</w:t>
      </w:r>
      <w:r w:rsidRPr="00BF7C29">
        <w:rPr>
          <w:color w:val="000000"/>
          <w:sz w:val="24"/>
          <w:szCs w:val="24"/>
          <w:lang w:eastAsia="ru-RU" w:bidi="ru-RU"/>
        </w:rPr>
        <w:softHyphen/>
        <w:t>деление плотности удаленной ткани (в случае неудачной ре</w:t>
      </w:r>
      <w:r w:rsidRPr="00BF7C29">
        <w:rPr>
          <w:color w:val="000000"/>
          <w:sz w:val="24"/>
          <w:szCs w:val="24"/>
          <w:lang w:eastAsia="ru-RU" w:bidi="ru-RU"/>
        </w:rPr>
        <w:softHyphen/>
        <w:t>визии или при рецидиве).</w:t>
      </w:r>
    </w:p>
    <w:p w:rsidR="00BF7C29" w:rsidRPr="00BF7C29" w:rsidRDefault="00BF7C29" w:rsidP="0038538C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7" w:name="bookmark296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Лечение</w:t>
      </w:r>
      <w:bookmarkEnd w:id="117"/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8" w:name="bookmark2969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Цели</w:t>
      </w:r>
      <w:bookmarkEnd w:id="118"/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Нормализация или снижение содержания кальция и ПТГ в крови.</w:t>
      </w:r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Ликвидация и/или предотвращение прогрессирования костно-висцеральных нарушений гиперпаратиреоза.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9" w:name="bookmark2971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Показания к госпитализации</w:t>
      </w:r>
      <w:bookmarkEnd w:id="119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Необходимость оперативного лечения или компенсации выра</w:t>
      </w:r>
      <w:r w:rsidRPr="00BF7C29">
        <w:rPr>
          <w:color w:val="000000"/>
          <w:sz w:val="24"/>
          <w:szCs w:val="24"/>
          <w:lang w:eastAsia="ru-RU" w:bidi="ru-RU"/>
        </w:rPr>
        <w:softHyphen/>
        <w:t>женной гиперкальциемии у неоперабельных пациентов.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0" w:name="bookmark2973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Медикаментозное лечение</w:t>
      </w:r>
      <w:bookmarkEnd w:id="120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мягкой или бессимптомной форме гиперпаратиреоза у пациентов старшего возраста часто применяют консервативную тактику ведения. Пациент находится под наблюдением врача в течение 12-24 мес, результаты ежегодного обследования об ак</w:t>
      </w:r>
      <w:r w:rsidRPr="00BF7C29">
        <w:rPr>
          <w:color w:val="000000"/>
          <w:sz w:val="24"/>
          <w:szCs w:val="24"/>
          <w:lang w:eastAsia="ru-RU" w:bidi="ru-RU"/>
        </w:rPr>
        <w:softHyphen/>
        <w:t>тивности процесса и необходимости лечения. Бессимптомный первичный гиперпаратиреоз при небольшом размере образова</w:t>
      </w:r>
      <w:r w:rsidRPr="00BF7C29">
        <w:rPr>
          <w:color w:val="000000"/>
          <w:sz w:val="24"/>
          <w:szCs w:val="24"/>
          <w:lang w:eastAsia="ru-RU" w:bidi="ru-RU"/>
        </w:rPr>
        <w:softHyphen/>
        <w:t>ния околощитовидной железы требует динамического наблюде</w:t>
      </w:r>
      <w:r w:rsidRPr="00BF7C29">
        <w:rPr>
          <w:color w:val="000000"/>
          <w:sz w:val="24"/>
          <w:szCs w:val="24"/>
          <w:lang w:eastAsia="ru-RU" w:bidi="ru-RU"/>
        </w:rPr>
        <w:softHyphen/>
        <w:t>ния без дополнительных средств лечения.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Медикаментозное лечение назначают:</w:t>
      </w:r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легких костных нарушениях и незначительной гипер- либо нормокальциемии;</w:t>
      </w:r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отсутствии ремиссии гиперпаратиреоза после оперативного лечения;</w:t>
      </w:r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манифестном гиперпаратиреозе, но при противопоказаниях к оперативному лечению или отказе пациента.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Основная группа препаратов для консервативного лечения гиперпаратиреоза —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>бисфосфонаты. Они не снижают концентра</w:t>
      </w:r>
      <w:r w:rsidRPr="00BF7C29">
        <w:rPr>
          <w:color w:val="000000"/>
          <w:sz w:val="24"/>
          <w:szCs w:val="24"/>
          <w:lang w:eastAsia="ru-RU" w:bidi="ru-RU"/>
        </w:rPr>
        <w:softHyphen/>
        <w:t>цию ПТГ, но предотвращают развитие новых переломов и снижа</w:t>
      </w:r>
      <w:r w:rsidRPr="00BF7C29">
        <w:rPr>
          <w:color w:val="000000"/>
          <w:sz w:val="24"/>
          <w:szCs w:val="24"/>
          <w:lang w:eastAsia="ru-RU" w:bidi="ru-RU"/>
        </w:rPr>
        <w:softHyphen/>
        <w:t>ют содержание кальция в крови.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Применяют:</w:t>
      </w:r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пролонгированные препараты внутрь: алендроновую кисло</w:t>
      </w:r>
      <w:r w:rsidRPr="00BF7C29">
        <w:rPr>
          <w:color w:val="000000"/>
          <w:sz w:val="24"/>
          <w:szCs w:val="24"/>
          <w:lang w:eastAsia="ru-RU" w:bidi="ru-RU"/>
        </w:rPr>
        <w:softHyphen/>
        <w:t>ту в дозе 70 мг 1 раз в неделю, ибандроновую кислоту 150 мг 1 раз в месяц;</w:t>
      </w:r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препарат для внутривенного введения: памидроновую кис</w:t>
      </w:r>
      <w:r w:rsidRPr="00BF7C29">
        <w:rPr>
          <w:color w:val="000000"/>
          <w:sz w:val="24"/>
          <w:szCs w:val="24"/>
          <w:lang w:eastAsia="ru-RU" w:bidi="ru-RU"/>
        </w:rPr>
        <w:softHyphen/>
        <w:t>лоту однократно внутривенно капельно в дозе 15-90 мг, ин</w:t>
      </w:r>
      <w:r w:rsidRPr="00BF7C29">
        <w:rPr>
          <w:color w:val="000000"/>
          <w:sz w:val="24"/>
          <w:szCs w:val="24"/>
          <w:lang w:eastAsia="ru-RU" w:bidi="ru-RU"/>
        </w:rPr>
        <w:softHyphen/>
        <w:t>фузия 4-6 ч 1 раз в 4-6 нед 2-5 лет.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Кальцитонин — непосредственный антагонист ПТГ, и его при</w:t>
      </w:r>
      <w:r w:rsidRPr="00BF7C29">
        <w:rPr>
          <w:color w:val="000000"/>
          <w:sz w:val="24"/>
          <w:szCs w:val="24"/>
          <w:lang w:eastAsia="ru-RU" w:bidi="ru-RU"/>
        </w:rPr>
        <w:softHyphen/>
        <w:t>менение в ряде случаев позволяет снизить концентрацию кальция в крови до физиологических величин и предотвратить дальнейшее повышение концентрации ПТГ. Кальцитонин назначают по 200 МЕ в нос ежедневно или в дозе 100 МЕ внутримышечно через день.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легком течении гиперпаратиреоза у женщин постменопа</w:t>
      </w:r>
      <w:r w:rsidRPr="00BF7C29">
        <w:rPr>
          <w:color w:val="000000"/>
          <w:sz w:val="24"/>
          <w:szCs w:val="24"/>
          <w:lang w:eastAsia="ru-RU" w:bidi="ru-RU"/>
        </w:rPr>
        <w:softHyphen/>
        <w:t>узального возраста достаточным остеопротективным эффектом может обладать эстроген-гестагенная ЗГТ.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 последнее время появился новый класс препаратов — каль- цимиметики (цинакальцет</w:t>
      </w:r>
      <w:r w:rsidRPr="00BF7C29">
        <w:rPr>
          <w:rFonts w:eastAsia="Arial"/>
          <w:color w:val="000000"/>
          <w:sz w:val="24"/>
          <w:szCs w:val="24"/>
          <w:lang w:eastAsia="ru-RU" w:bidi="ru-RU"/>
        </w:rPr>
        <w:t xml:space="preserve">' </w:t>
      </w:r>
      <w:r w:rsidRPr="00BF7C29">
        <w:rPr>
          <w:color w:val="000000"/>
          <w:sz w:val="24"/>
          <w:szCs w:val="24"/>
          <w:lang w:eastAsia="ru-RU" w:bidi="ru-RU"/>
        </w:rPr>
        <w:t>— от 30 до 50 мг/сут), которые су</w:t>
      </w:r>
      <w:r w:rsidRPr="00BF7C29">
        <w:rPr>
          <w:color w:val="000000"/>
          <w:sz w:val="24"/>
          <w:szCs w:val="24"/>
          <w:lang w:eastAsia="ru-RU" w:bidi="ru-RU"/>
        </w:rPr>
        <w:softHyphen/>
        <w:t>щественно подавляют уровень ПТГ у пациентов с первичным и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вторичным гиперпаратиреозом за счет увеличения чувствитель</w:t>
      </w:r>
      <w:r w:rsidRPr="00BF7C29">
        <w:rPr>
          <w:color w:val="000000"/>
          <w:sz w:val="24"/>
          <w:szCs w:val="24"/>
          <w:lang w:eastAsia="ru-RU" w:bidi="ru-RU"/>
        </w:rPr>
        <w:softHyphen/>
        <w:t>ности кальцийчувствительных рецепторов на клетках околощи</w:t>
      </w:r>
      <w:r w:rsidRPr="00BF7C29">
        <w:rPr>
          <w:color w:val="000000"/>
          <w:sz w:val="24"/>
          <w:szCs w:val="24"/>
          <w:lang w:eastAsia="ru-RU" w:bidi="ru-RU"/>
        </w:rPr>
        <w:softHyphen/>
        <w:t>товидных желез и приводят к нормализации уровня кальция в крови. В настоящее время препарат проходит процедуру реги</w:t>
      </w:r>
      <w:r w:rsidRPr="00BF7C29">
        <w:rPr>
          <w:color w:val="000000"/>
          <w:sz w:val="24"/>
          <w:szCs w:val="24"/>
          <w:lang w:eastAsia="ru-RU" w:bidi="ru-RU"/>
        </w:rPr>
        <w:softHyphen/>
        <w:t>страции в России.</w:t>
      </w:r>
    </w:p>
    <w:p w:rsidR="00BF7C29" w:rsidRPr="00BF7C29" w:rsidRDefault="00BF7C29" w:rsidP="0038538C">
      <w:pPr>
        <w:pStyle w:val="1f1"/>
        <w:spacing w:after="40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Медикаментозную терапию в случае рака околощитовидных желез проводят при невозможности оперативного лечения, она заключается в организации форсированного диуреза с введением кальцимиметиков и бисфосфонатов для внутривенного введения (памидроновой, золедроновой кислот). Химиотерапия дакарба- зином, циклофосфамидом иногда позволяет снижать содержание кальция в крови на 3-13 мес.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1" w:name="bookmark2975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Хирургическое лечение</w:t>
      </w:r>
      <w:bookmarkEnd w:id="121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Паратиреоидэктомия показана при первичном гиперпаратире</w:t>
      </w:r>
      <w:r w:rsidRPr="00BF7C29">
        <w:rPr>
          <w:color w:val="000000"/>
          <w:sz w:val="24"/>
          <w:szCs w:val="24"/>
          <w:lang w:eastAsia="ru-RU" w:bidi="ru-RU"/>
        </w:rPr>
        <w:softHyphen/>
        <w:t>озе, который проявляется клинически и при котором с помощью инструментальных методов исследования выявляют признаки поражения органов-мишеней. Существуют хирургическая и не</w:t>
      </w:r>
      <w:r w:rsidRPr="00BF7C29">
        <w:rPr>
          <w:color w:val="000000"/>
          <w:sz w:val="24"/>
          <w:szCs w:val="24"/>
          <w:lang w:eastAsia="ru-RU" w:bidi="ru-RU"/>
        </w:rPr>
        <w:softHyphen/>
        <w:t>хирургическая паратиреоидэктомия. Нехирургическая заклю</w:t>
      </w:r>
      <w:r w:rsidRPr="00BF7C29">
        <w:rPr>
          <w:color w:val="000000"/>
          <w:sz w:val="24"/>
          <w:szCs w:val="24"/>
          <w:lang w:eastAsia="ru-RU" w:bidi="ru-RU"/>
        </w:rPr>
        <w:softHyphen/>
        <w:t>чается в чрескожном введении этанола или кальцитриола под контролем УЗИ. Как первичный вариант хирургического лечения склеротерапия признана малоэффективной, однако при тяжелой сопутствующей патологии (при невозможности хирургического вмешательства) и рецидивирующем гиперпаратиреозе, когда по</w:t>
      </w:r>
      <w:r w:rsidRPr="00BF7C29">
        <w:rPr>
          <w:color w:val="000000"/>
          <w:sz w:val="24"/>
          <w:szCs w:val="24"/>
          <w:lang w:eastAsia="ru-RU" w:bidi="ru-RU"/>
        </w:rPr>
        <w:softHyphen/>
        <w:t>вторные операции сопряжены с высокой вероятностью интрао</w:t>
      </w:r>
      <w:r w:rsidRPr="00BF7C29">
        <w:rPr>
          <w:color w:val="000000"/>
          <w:sz w:val="24"/>
          <w:szCs w:val="24"/>
          <w:lang w:eastAsia="ru-RU" w:bidi="ru-RU"/>
        </w:rPr>
        <w:softHyphen/>
        <w:t>перационных осложнений, склерозирующие процедуры можно рассматривать как альтернативу хирургическому вмешательству.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Абсолютные показания к оперативному лечению — наличие у пациента одного или нескольких из следующих признаков (Ми</w:t>
      </w:r>
      <w:r w:rsidRPr="00BF7C29">
        <w:rPr>
          <w:color w:val="000000"/>
          <w:sz w:val="24"/>
          <w:szCs w:val="24"/>
          <w:lang w:eastAsia="ru-RU" w:bidi="ru-RU"/>
        </w:rPr>
        <w:softHyphen/>
        <w:t>ровой консенсус, 2002).</w:t>
      </w:r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Возраст менее 50 лет.</w:t>
      </w:r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Невозможность длительного наблюдения под контролем врача.</w:t>
      </w:r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Превышение содержания общего кальция в крови более чем на 1 мг/дл (0,25 ммоль/л) относительно верхней границы нормы.</w:t>
      </w:r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Экскреция кальция с мочой за сутки более 400 мг при обыч</w:t>
      </w:r>
      <w:r w:rsidRPr="00BF7C29">
        <w:rPr>
          <w:color w:val="000000"/>
          <w:sz w:val="24"/>
          <w:szCs w:val="24"/>
          <w:lang w:eastAsia="ru-RU" w:bidi="ru-RU"/>
        </w:rPr>
        <w:softHyphen/>
        <w:t>ном рационе.</w:t>
      </w:r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Снижение уровня креатинина более чем на 30%.</w:t>
      </w:r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 xml:space="preserve">Осложнения первичного гиперпаратиреоза, такие как не- фрокальциноз, остеопороз не </w:t>
      </w:r>
      <w:r w:rsidRPr="00BF7C29">
        <w:rPr>
          <w:color w:val="000000"/>
          <w:sz w:val="24"/>
          <w:szCs w:val="24"/>
          <w:lang w:eastAsia="ru-RU" w:bidi="ru-RU"/>
        </w:rPr>
        <w:lastRenderedPageBreak/>
        <w:t xml:space="preserve">более 2,5 </w:t>
      </w:r>
      <w:r w:rsidRPr="00BF7C29">
        <w:rPr>
          <w:color w:val="000000"/>
          <w:sz w:val="24"/>
          <w:szCs w:val="24"/>
          <w:lang w:val="en-US" w:bidi="en-US"/>
        </w:rPr>
        <w:t>SD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по Т-критерию в позвоночнике, проксимальном отделе бедренной либо луче</w:t>
      </w:r>
      <w:r w:rsidRPr="00BF7C29">
        <w:rPr>
          <w:color w:val="000000"/>
          <w:sz w:val="24"/>
          <w:szCs w:val="24"/>
          <w:lang w:eastAsia="ru-RU" w:bidi="ru-RU"/>
        </w:rPr>
        <w:softHyphen/>
        <w:t>вой кости или тяжелые психоневрологические нарушения.</w:t>
      </w:r>
    </w:p>
    <w:p w:rsidR="00BF7C29" w:rsidRPr="00BF7C29" w:rsidRDefault="00BF7C29" w:rsidP="0038538C">
      <w:pPr>
        <w:pStyle w:val="1f1"/>
        <w:numPr>
          <w:ilvl w:val="0"/>
          <w:numId w:val="104"/>
        </w:numPr>
        <w:tabs>
          <w:tab w:val="left" w:pos="466"/>
        </w:tabs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Рак околощитовидных желез.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Послеоперационное ведение пациентов требует в случае раз</w:t>
      </w:r>
      <w:r w:rsidRPr="00BF7C29">
        <w:rPr>
          <w:color w:val="000000"/>
          <w:sz w:val="24"/>
          <w:szCs w:val="24"/>
          <w:lang w:eastAsia="ru-RU" w:bidi="ru-RU"/>
        </w:rPr>
        <w:softHyphen/>
        <w:t xml:space="preserve">вития гипокальциемии восполнения недостатка кальция за счет введения его препаратов и препаратов витамина </w:t>
      </w:r>
      <w:r w:rsidRPr="00BF7C29">
        <w:rPr>
          <w:color w:val="000000"/>
          <w:sz w:val="24"/>
          <w:szCs w:val="24"/>
          <w:lang w:val="en-US" w:bidi="en-US"/>
        </w:rPr>
        <w:t>D</w:t>
      </w:r>
      <w:r w:rsidRPr="00BF7C29">
        <w:rPr>
          <w:color w:val="000000"/>
          <w:sz w:val="24"/>
          <w:szCs w:val="24"/>
          <w:lang w:bidi="en-US"/>
        </w:rPr>
        <w:t xml:space="preserve"> </w:t>
      </w:r>
      <w:r w:rsidRPr="00BF7C29">
        <w:rPr>
          <w:color w:val="000000"/>
          <w:sz w:val="24"/>
          <w:szCs w:val="24"/>
          <w:lang w:eastAsia="ru-RU" w:bidi="ru-RU"/>
        </w:rPr>
        <w:t>и его актив</w:t>
      </w:r>
      <w:r w:rsidRPr="00BF7C29">
        <w:rPr>
          <w:color w:val="000000"/>
          <w:sz w:val="24"/>
          <w:szCs w:val="24"/>
          <w:lang w:eastAsia="ru-RU" w:bidi="ru-RU"/>
        </w:rPr>
        <w:softHyphen/>
        <w:t>ных метаболитов: кальций — 1,5-3,0 г, дигидротахистерол — 5-20 капель 2-3 раза в день, альфакальцидол — 1-3 мкг/сут.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При выраженной гипокальциемии: кальция глюконат — 80 мл на 150 мл 0,9% раствора натрия хлорида внутривенно капельно ежедневно. Целесообразен контроль содержания кальция в крови первую неделю после операции ежедневно.</w:t>
      </w:r>
    </w:p>
    <w:p w:rsidR="00BF7C29" w:rsidRPr="00BF7C29" w:rsidRDefault="00BF7C29" w:rsidP="0038538C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2" w:name="bookmark2977"/>
      <w:r w:rsidRPr="00BF7C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Дальнейшее ведение</w:t>
      </w:r>
      <w:bookmarkEnd w:id="122"/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Пациентам с легким течением заболевания на фоне приема бисфосфанатов показаны определение содержания кальция в крови 1 раз в 3 мес, ПТГ — 1 раз в 6 мес и остеоденситометрия 1 раз в 12 мес.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После оперативного лечения (выписки из стационара) показа</w:t>
      </w:r>
      <w:r w:rsidRPr="00BF7C29">
        <w:rPr>
          <w:color w:val="000000"/>
          <w:sz w:val="24"/>
          <w:szCs w:val="24"/>
          <w:lang w:eastAsia="ru-RU" w:bidi="ru-RU"/>
        </w:rPr>
        <w:softHyphen/>
        <w:t>ны контроль содержания кальция в крови в течение первого меся</w:t>
      </w:r>
      <w:r w:rsidRPr="00BF7C29">
        <w:rPr>
          <w:color w:val="000000"/>
          <w:sz w:val="24"/>
          <w:szCs w:val="24"/>
          <w:lang w:eastAsia="ru-RU" w:bidi="ru-RU"/>
        </w:rPr>
        <w:softHyphen/>
        <w:t>ца 1 раз в неделю, затем в течение полугода 1 раз в месяц, затем в течение полугода 1 раз в 2 мес; контроль содержания креатинина, фосфора, ЩФ в крови в течение первых 3 мес 1 раз в месяц, затем в течение года 1 раз в 3 мес; определение концентрации ПТГ 1 раз в 6 мес, остеоденситометрия, УЗИ околощитовидных желез и по</w:t>
      </w:r>
      <w:r w:rsidRPr="00BF7C29">
        <w:rPr>
          <w:color w:val="000000"/>
          <w:sz w:val="24"/>
          <w:szCs w:val="24"/>
          <w:lang w:eastAsia="ru-RU" w:bidi="ru-RU"/>
        </w:rPr>
        <w:softHyphen/>
        <w:t>чек — 1 раз в 6-12 мес.</w:t>
      </w:r>
    </w:p>
    <w:p w:rsidR="00BF7C29" w:rsidRPr="00BF7C29" w:rsidRDefault="00BF7C29" w:rsidP="0038538C">
      <w:pPr>
        <w:pStyle w:val="1f1"/>
        <w:ind w:firstLine="567"/>
        <w:jc w:val="both"/>
        <w:rPr>
          <w:sz w:val="24"/>
          <w:szCs w:val="24"/>
        </w:rPr>
      </w:pPr>
      <w:r w:rsidRPr="00BF7C29">
        <w:rPr>
          <w:color w:val="000000"/>
          <w:sz w:val="24"/>
          <w:szCs w:val="24"/>
          <w:lang w:eastAsia="ru-RU" w:bidi="ru-RU"/>
        </w:rPr>
        <w:t>Динамическое наблюдение пациентов с манифестным гипер</w:t>
      </w:r>
      <w:r w:rsidRPr="00BF7C29">
        <w:rPr>
          <w:color w:val="000000"/>
          <w:sz w:val="24"/>
          <w:szCs w:val="24"/>
          <w:lang w:eastAsia="ru-RU" w:bidi="ru-RU"/>
        </w:rPr>
        <w:softHyphen/>
        <w:t>паратиреозом на фоне медикаментозного лечения предполагает контроль содержания кальция, креатинина, фосфора, ЩФ в кро</w:t>
      </w:r>
      <w:r w:rsidRPr="00BF7C29">
        <w:rPr>
          <w:color w:val="000000"/>
          <w:sz w:val="24"/>
          <w:szCs w:val="24"/>
          <w:lang w:eastAsia="ru-RU" w:bidi="ru-RU"/>
        </w:rPr>
        <w:softHyphen/>
        <w:t>ви 1 раз в 3-6 мес, ПТГ — 1 раз в 6 мес, остеоденситометрию (лу</w:t>
      </w:r>
      <w:r w:rsidRPr="00BF7C29">
        <w:rPr>
          <w:color w:val="000000"/>
          <w:sz w:val="24"/>
          <w:szCs w:val="24"/>
          <w:lang w:eastAsia="ru-RU" w:bidi="ru-RU"/>
        </w:rPr>
        <w:softHyphen/>
        <w:t>чевой кости, бедра, позвонков), УЗИ околощитовидных желез и почек — 1 раз в 12 мес.</w:t>
      </w:r>
    </w:p>
    <w:p w:rsidR="005D1C1F" w:rsidRPr="00BF7C29" w:rsidRDefault="005D1C1F" w:rsidP="00BF7C29">
      <w:pPr>
        <w:widowControl/>
        <w:autoSpaceDE/>
        <w:autoSpaceDN/>
        <w:adjustRightInd/>
        <w:spacing w:before="100" w:beforeAutospacing="1" w:after="100" w:afterAutospacing="1"/>
        <w:rPr>
          <w:sz w:val="24"/>
          <w:szCs w:val="24"/>
        </w:rPr>
      </w:pPr>
      <w:r w:rsidRPr="00BF7C29">
        <w:rPr>
          <w:b/>
          <w:bCs/>
          <w:sz w:val="24"/>
          <w:szCs w:val="24"/>
        </w:rPr>
        <w:t xml:space="preserve">Литература </w:t>
      </w:r>
    </w:p>
    <w:p w:rsidR="00E74942" w:rsidRPr="00BF7C29" w:rsidRDefault="00DB3110" w:rsidP="00BF7C29">
      <w:pPr>
        <w:pStyle w:val="af8"/>
        <w:numPr>
          <w:ilvl w:val="0"/>
          <w:numId w:val="14"/>
        </w:numPr>
        <w:spacing w:before="30"/>
        <w:rPr>
          <w:sz w:val="24"/>
          <w:szCs w:val="24"/>
        </w:rPr>
      </w:pPr>
      <w:r w:rsidRPr="00BF7C29">
        <w:rPr>
          <w:sz w:val="24"/>
          <w:szCs w:val="24"/>
          <w:lang w:val="en-US"/>
        </w:rPr>
        <w:t xml:space="preserve">American Joint Committee on Cancer. In OH Beahrs, MH Myers (eds), Manual for Staging of Cancer. Philadelphia: Lippincott, 1983. </w:t>
      </w:r>
    </w:p>
    <w:p w:rsidR="00E74942" w:rsidRPr="00BF7C29" w:rsidRDefault="00DB3110" w:rsidP="00BF7C29">
      <w:pPr>
        <w:pStyle w:val="af8"/>
        <w:numPr>
          <w:ilvl w:val="0"/>
          <w:numId w:val="14"/>
        </w:numPr>
        <w:spacing w:before="30"/>
        <w:rPr>
          <w:sz w:val="24"/>
          <w:szCs w:val="24"/>
          <w:lang w:val="en-US"/>
        </w:rPr>
      </w:pPr>
      <w:r w:rsidRPr="00BF7C29">
        <w:rPr>
          <w:sz w:val="24"/>
          <w:szCs w:val="24"/>
          <w:lang w:val="en-US"/>
        </w:rPr>
        <w:t xml:space="preserve">Boring CC, et al. Cancer statistics, 1991. CA 41:19, 1991. </w:t>
      </w:r>
    </w:p>
    <w:p w:rsidR="00E74942" w:rsidRPr="00BF7C29" w:rsidRDefault="00DB3110" w:rsidP="00BF7C29">
      <w:pPr>
        <w:pStyle w:val="af8"/>
        <w:numPr>
          <w:ilvl w:val="0"/>
          <w:numId w:val="14"/>
        </w:numPr>
        <w:spacing w:before="30"/>
        <w:rPr>
          <w:sz w:val="24"/>
          <w:szCs w:val="24"/>
          <w:lang w:val="en-US"/>
        </w:rPr>
      </w:pPr>
      <w:r w:rsidRPr="00BF7C29">
        <w:rPr>
          <w:sz w:val="24"/>
          <w:szCs w:val="24"/>
          <w:lang w:val="en-US"/>
        </w:rPr>
        <w:t xml:space="preserve">Catalona WJ, Avioli LV. Diagnosis, staging, and surgical treatment of prostatic carcinoma. Arch Intern Med 147:361, 1987. </w:t>
      </w:r>
    </w:p>
    <w:p w:rsidR="00E74942" w:rsidRPr="00BF7C29" w:rsidRDefault="00DB3110" w:rsidP="00BF7C29">
      <w:pPr>
        <w:pStyle w:val="af8"/>
        <w:numPr>
          <w:ilvl w:val="0"/>
          <w:numId w:val="14"/>
        </w:numPr>
        <w:spacing w:before="30"/>
        <w:rPr>
          <w:sz w:val="24"/>
          <w:szCs w:val="24"/>
          <w:lang w:val="en-US"/>
        </w:rPr>
      </w:pPr>
      <w:r w:rsidRPr="00BF7C29">
        <w:rPr>
          <w:sz w:val="24"/>
          <w:szCs w:val="24"/>
          <w:lang w:val="en-US"/>
        </w:rPr>
        <w:t xml:space="preserve">Chadwick DJ, et al. Pilot study of screening for prostate cancer in general practice. Lancet 338:613, 1991. </w:t>
      </w:r>
    </w:p>
    <w:p w:rsidR="00E74942" w:rsidRPr="00BF7C29" w:rsidRDefault="00DB3110" w:rsidP="00BF7C29">
      <w:pPr>
        <w:pStyle w:val="af8"/>
        <w:numPr>
          <w:ilvl w:val="0"/>
          <w:numId w:val="14"/>
        </w:numPr>
        <w:spacing w:before="30"/>
        <w:rPr>
          <w:sz w:val="24"/>
          <w:szCs w:val="24"/>
          <w:lang w:val="en-US"/>
        </w:rPr>
      </w:pPr>
      <w:r w:rsidRPr="00BF7C29">
        <w:rPr>
          <w:sz w:val="24"/>
          <w:szCs w:val="24"/>
          <w:lang w:val="en-US"/>
        </w:rPr>
        <w:t xml:space="preserve">Cooner WH, et al. Clinical application of transrectal ultrasonography and prostate specific antigen in the search for prostate cancer. J Urol 139:758, 1988. </w:t>
      </w:r>
    </w:p>
    <w:p w:rsidR="00E74942" w:rsidRPr="00BF7C29" w:rsidRDefault="00DB3110" w:rsidP="00BF7C29">
      <w:pPr>
        <w:pStyle w:val="af8"/>
        <w:numPr>
          <w:ilvl w:val="0"/>
          <w:numId w:val="14"/>
        </w:numPr>
        <w:spacing w:before="30"/>
        <w:rPr>
          <w:sz w:val="24"/>
          <w:szCs w:val="24"/>
          <w:lang w:val="en-US"/>
        </w:rPr>
      </w:pPr>
      <w:r w:rsidRPr="00BF7C29">
        <w:rPr>
          <w:sz w:val="24"/>
          <w:szCs w:val="24"/>
          <w:lang w:val="en-US"/>
        </w:rPr>
        <w:t xml:space="preserve">Crawford ED. Hormonal therapy of prostatic carcinoma: Defining the challenge. Cancer 66:1035, 1990. </w:t>
      </w:r>
    </w:p>
    <w:p w:rsidR="00E74942" w:rsidRPr="00BF7C29" w:rsidRDefault="00DB3110" w:rsidP="00BF7C29">
      <w:pPr>
        <w:pStyle w:val="af8"/>
        <w:numPr>
          <w:ilvl w:val="0"/>
          <w:numId w:val="14"/>
        </w:numPr>
        <w:spacing w:before="30"/>
        <w:rPr>
          <w:sz w:val="24"/>
          <w:szCs w:val="24"/>
        </w:rPr>
      </w:pPr>
      <w:r w:rsidRPr="00BF7C29">
        <w:rPr>
          <w:sz w:val="24"/>
          <w:szCs w:val="24"/>
        </w:rPr>
        <w:t>Дедов И.И., Мельниченко Г.А., Фадеев В.В. «Эндокринология». Учебник. –М.: «Медицина», 2000. Стр. 632.</w:t>
      </w:r>
    </w:p>
    <w:p w:rsidR="00E74942" w:rsidRPr="00BF7C29" w:rsidRDefault="00DB3110" w:rsidP="00BF7C29">
      <w:pPr>
        <w:pStyle w:val="af8"/>
        <w:numPr>
          <w:ilvl w:val="0"/>
          <w:numId w:val="14"/>
        </w:numPr>
        <w:spacing w:before="30"/>
        <w:rPr>
          <w:sz w:val="24"/>
          <w:szCs w:val="24"/>
        </w:rPr>
      </w:pPr>
      <w:r w:rsidRPr="00BF7C29">
        <w:rPr>
          <w:sz w:val="24"/>
          <w:szCs w:val="24"/>
        </w:rPr>
        <w:t>Гарднер Д., Шобек Д. Базисная и клиническая эндокринология / под ред. Г. А. Мельниченко. — М.: 2015. — Стр. 169.</w:t>
      </w:r>
    </w:p>
    <w:p w:rsidR="006D0C8C" w:rsidRPr="0038538C" w:rsidRDefault="00DB3110" w:rsidP="00AA2012">
      <w:pPr>
        <w:pStyle w:val="af8"/>
        <w:widowControl/>
        <w:numPr>
          <w:ilvl w:val="0"/>
          <w:numId w:val="14"/>
        </w:numPr>
        <w:autoSpaceDE/>
        <w:autoSpaceDN/>
        <w:adjustRightInd/>
        <w:spacing w:before="30"/>
        <w:jc w:val="both"/>
        <w:rPr>
          <w:sz w:val="24"/>
          <w:szCs w:val="24"/>
        </w:rPr>
      </w:pPr>
      <w:r w:rsidRPr="0038538C">
        <w:rPr>
          <w:sz w:val="24"/>
          <w:szCs w:val="24"/>
        </w:rPr>
        <w:t xml:space="preserve">Дедов И. И., Мельниченко Г. А. Эндокринология. Национальное руководство. Краткое издание. — 2-е изд., перераб. и доп. — М.: ГЭОТАР-Медиа, 2018. — Стр. 832. </w:t>
      </w:r>
    </w:p>
    <w:sectPr w:rsidR="006D0C8C" w:rsidRPr="0038538C" w:rsidSect="006D0C8C">
      <w:headerReference w:type="default" r:id="rId12"/>
      <w:headerReference w:type="first" r:id="rId13"/>
      <w:pgSz w:w="11906" w:h="16838" w:code="9"/>
      <w:pgMar w:top="2591" w:right="851" w:bottom="1559" w:left="1134" w:header="142" w:footer="11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F1E" w:rsidRDefault="00976F1E" w:rsidP="001E7D29">
      <w:r>
        <w:separator/>
      </w:r>
    </w:p>
  </w:endnote>
  <w:endnote w:type="continuationSeparator" w:id="0">
    <w:p w:rsidR="00976F1E" w:rsidRDefault="00976F1E" w:rsidP="001E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500000000000000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F1E" w:rsidRDefault="00976F1E" w:rsidP="001E7D29">
      <w:r>
        <w:separator/>
      </w:r>
    </w:p>
  </w:footnote>
  <w:footnote w:type="continuationSeparator" w:id="0">
    <w:p w:rsidR="00976F1E" w:rsidRDefault="00976F1E" w:rsidP="001E7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C29" w:rsidRDefault="00BF7C29" w:rsidP="005F25B0">
    <w:pPr>
      <w:pStyle w:val="afff1"/>
    </w:pPr>
    <w:r w:rsidRPr="00FE777E"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4BFE3E3" wp14:editId="0096759A">
              <wp:simplePos x="0" y="0"/>
              <wp:positionH relativeFrom="column">
                <wp:posOffset>-554355</wp:posOffset>
              </wp:positionH>
              <wp:positionV relativeFrom="paragraph">
                <wp:posOffset>563880</wp:posOffset>
              </wp:positionV>
              <wp:extent cx="2833370" cy="722630"/>
              <wp:effectExtent l="19050" t="19050" r="24130" b="20320"/>
              <wp:wrapTight wrapText="bothSides">
                <wp:wrapPolygon edited="0">
                  <wp:start x="-145" y="-569"/>
                  <wp:lineTo x="-145" y="21638"/>
                  <wp:lineTo x="21639" y="21638"/>
                  <wp:lineTo x="21639" y="-569"/>
                  <wp:lineTo x="-145" y="-569"/>
                </wp:wrapPolygon>
              </wp:wrapTight>
              <wp:docPr id="2" name="Фигура 61">
                <a:extLst xmlns:a="http://schemas.openxmlformats.org/drawingml/2006/main">
                  <a:ext uri="{C183D7F6-B498-43B3-948B-1728B52AA6E4}">
                    <adec:decorative xmlns:cx="http://schemas.microsoft.com/office/drawing/2014/chartex" xmlns:w16se="http://schemas.microsoft.com/office/word/2015/wordml/symex"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33370" cy="722630"/>
                      </a:xfrm>
                      <a:prstGeom prst="rect">
                        <a:avLst/>
                      </a:prstGeom>
                      <a:ln w="38100">
                        <a:solidFill>
                          <a:schemeClr val="bg1"/>
                        </a:solidFill>
                        <a:miter lim="400000"/>
                      </a:ln>
                      <a:extLst>
                        <a:ext uri="{C572A759-6A51-4108-AA02-DFA0A04FC94B}">
                          <ma14:wrappingTextBoxFlag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p="http://schemas.openxmlformats.org/presentationml/2006/main" xmlns:lc="http://schemas.openxmlformats.org/drawingml/2006/lockedCanvas" xmlns:ma14="http://schemas.microsoft.com/office/mac/drawingml/2011/main" xmlns:w10="urn:schemas-microsoft-com:office:word" xmlns:v="urn:schemas-microsoft-com:vml" xmlns:o="urn:schemas-microsoft-com:office:office" xmlns:w="http://schemas.openxmlformats.org/wordprocessingml/2006/main" xmlns="" val="1"/>
                        </a:ext>
                      </a:extLst>
                    </wps:spPr>
                    <wps:txbx>
                      <w:txbxContent>
                        <w:p w:rsidR="00BF7C29" w:rsidRPr="00FA3FA4" w:rsidRDefault="00BF7C29" w:rsidP="00FA3FA4">
                          <w:pPr>
                            <w:pStyle w:val="afffff4"/>
                            <w:shd w:val="clear" w:color="auto" w:fill="44546A"/>
                            <w:jc w:val="center"/>
                            <w:rPr>
                              <w:color w:val="FFFFFF"/>
                              <w:sz w:val="21"/>
                              <w:lang w:val="en-US"/>
                            </w:rPr>
                          </w:pPr>
                          <w:r w:rsidRPr="00FA3FA4">
                            <w:rPr>
                              <w:b/>
                              <w:color w:val="FFFFFF"/>
                              <w:sz w:val="26"/>
                              <w:szCs w:val="26"/>
                            </w:rPr>
                            <w:t>АНДИЖАНСКИЙ ГОСУДАРСТВЕННЫЙ МЕДИЦИНСКИЙ ИНСТИТУТ</w:t>
                          </w:r>
                        </w:p>
                      </w:txbxContent>
                    </wps:txbx>
                    <wps:bodyPr wrap="square" lIns="19050" tIns="19050" rIns="19050" bIns="19050" anchor="ctr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BFE3E3" id="Фигура 61" o:spid="_x0000_s1026" style="position:absolute;margin-left:-43.65pt;margin-top:44.4pt;width:223.1pt;height:56.9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" filled="f" strokecolor="white [3212]" strokeweight="3pt">
              <v:stroke miterlimit="4"/>
              <v:textbox inset="1.5pt,1.5pt,1.5pt,1.5pt">
                <w:txbxContent>
                  <w:p w:rsidR="00BF7C29" w:rsidRPr="00FA3FA4" w:rsidRDefault="00BF7C29" w:rsidP="00FA3FA4">
                    <w:pPr>
                      <w:pStyle w:val="afffff4"/>
                      <w:shd w:val="clear" w:color="auto" w:fill="44546A"/>
                      <w:jc w:val="center"/>
                      <w:rPr>
                        <w:color w:val="FFFFFF"/>
                        <w:sz w:val="21"/>
                        <w:lang w:val="en-US"/>
                      </w:rPr>
                    </w:pPr>
                    <w:r w:rsidRPr="00FA3FA4">
                      <w:rPr>
                        <w:b/>
                        <w:color w:val="FFFFFF"/>
                        <w:sz w:val="26"/>
                        <w:szCs w:val="26"/>
                      </w:rPr>
                      <w:t>АНДИЖАНСКИЙ ГОСУДАРСТВЕННЫЙ МЕДИЦИНСКИЙ ИНСТИТУТ</w:t>
                    </w:r>
                  </w:p>
                </w:txbxContent>
              </v:textbox>
              <w10:wrap type="tight"/>
            </v:rect>
          </w:pict>
        </mc:Fallback>
      </mc:AlternateContent>
    </w:r>
    <w:r w:rsidRPr="00FE777E">
      <w:rPr>
        <w:noProof/>
      </w:rPr>
      <w:drawing>
        <wp:anchor distT="0" distB="0" distL="114300" distR="114300" simplePos="0" relativeHeight="251666432" behindDoc="1" locked="0" layoutInCell="1" allowOverlap="1" wp14:anchorId="272A4B6C" wp14:editId="1C9C23BD">
          <wp:simplePos x="0" y="0"/>
          <wp:positionH relativeFrom="margin">
            <wp:posOffset>4912721</wp:posOffset>
          </wp:positionH>
          <wp:positionV relativeFrom="paragraph">
            <wp:posOffset>82018</wp:posOffset>
          </wp:positionV>
          <wp:extent cx="1266825" cy="1243330"/>
          <wp:effectExtent l="0" t="0" r="9525" b="0"/>
          <wp:wrapTight wrapText="bothSides">
            <wp:wrapPolygon edited="0">
              <wp:start x="8445" y="0"/>
              <wp:lineTo x="6821" y="331"/>
              <wp:lineTo x="1624" y="4302"/>
              <wp:lineTo x="0" y="9598"/>
              <wp:lineTo x="1624" y="15886"/>
              <wp:lineTo x="1624" y="17540"/>
              <wp:lineTo x="5847" y="21181"/>
              <wp:lineTo x="7795" y="21181"/>
              <wp:lineTo x="14292" y="21181"/>
              <wp:lineTo x="16241" y="21181"/>
              <wp:lineTo x="20788" y="17540"/>
              <wp:lineTo x="21438" y="9928"/>
              <wp:lineTo x="20463" y="4633"/>
              <wp:lineTo x="15591" y="662"/>
              <wp:lineTo x="13642" y="0"/>
              <wp:lineTo x="8445" y="0"/>
            </wp:wrapPolygon>
          </wp:wrapTight>
          <wp:docPr id="36" name="Рисунок 36" descr="C:\Users\User\Desktop\Без-имени-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Без-имени-1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1243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84752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E98740C" wp14:editId="79A8CA45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556500" cy="10865485"/>
              <wp:effectExtent l="0" t="0" r="2540" b="14605"/>
              <wp:wrapNone/>
              <wp:docPr id="29" name="Группа 29">
                <a:extLst xmlns:a="http://schemas.openxmlformats.org/drawingml/2006/main">
                  <a:ext uri="{C183D7F6-B498-43B3-948B-1728B52AA6E4}">
                    <adec:decorative xmlns:cx="http://schemas.microsoft.com/office/drawing/2014/chartex" xmlns:w16se="http://schemas.microsoft.com/office/word/2015/wordml/symex"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865485"/>
                        <a:chOff x="0" y="0"/>
                        <a:chExt cx="7556858" cy="10865783"/>
                      </a:xfrm>
                    </wpg:grpSpPr>
                    <wps:wsp>
                      <wps:cNvPr id="8" name="Полилиния: Фигура 8"/>
                      <wps:cNvSpPr/>
                      <wps:spPr>
                        <a:xfrm>
                          <a:off x="4120179" y="0"/>
                          <a:ext cx="3436679" cy="896497"/>
                        </a:xfrm>
                        <a:custGeom>
                          <a:avLst/>
                          <a:gdLst>
                            <a:gd name="connsiteX0" fmla="*/ 3429208 w 3436678"/>
                            <a:gd name="connsiteY0" fmla="*/ 12451 h 896496"/>
                            <a:gd name="connsiteX1" fmla="*/ 3429208 w 3436678"/>
                            <a:gd name="connsiteY1" fmla="*/ 889026 h 896496"/>
                            <a:gd name="connsiteX2" fmla="*/ 497239 w 3436678"/>
                            <a:gd name="connsiteY2" fmla="*/ 889026 h 896496"/>
                            <a:gd name="connsiteX3" fmla="*/ 12452 w 3436678"/>
                            <a:gd name="connsiteY3" fmla="*/ 12451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436678" h="896496">
                              <a:moveTo>
                                <a:pt x="3429208" y="12451"/>
                              </a:moveTo>
                              <a:lnTo>
                                <a:pt x="3429208" y="889026"/>
                              </a:lnTo>
                              <a:lnTo>
                                <a:pt x="497239" y="889026"/>
                              </a:lnTo>
                              <a:lnTo>
                                <a:pt x="12452" y="1245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Полилиния: Фигура 9"/>
                      <wps:cNvSpPr/>
                      <wps:spPr>
                        <a:xfrm>
                          <a:off x="0" y="656216"/>
                          <a:ext cx="3519690" cy="896497"/>
                        </a:xfrm>
                        <a:custGeom>
                          <a:avLst/>
                          <a:gdLst>
                            <a:gd name="connsiteX0" fmla="*/ 12452 w 3519690"/>
                            <a:gd name="connsiteY0" fmla="*/ 890686 h 896496"/>
                            <a:gd name="connsiteX1" fmla="*/ 12452 w 3519690"/>
                            <a:gd name="connsiteY1" fmla="*/ 12451 h 896496"/>
                            <a:gd name="connsiteX2" fmla="*/ 3030752 w 3519690"/>
                            <a:gd name="connsiteY2" fmla="*/ 12451 h 896496"/>
                            <a:gd name="connsiteX3" fmla="*/ 3515540 w 3519690"/>
                            <a:gd name="connsiteY3" fmla="*/ 89068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12452" y="890686"/>
                              </a:moveTo>
                              <a:lnTo>
                                <a:pt x="12452" y="12451"/>
                              </a:lnTo>
                              <a:lnTo>
                                <a:pt x="3030752" y="12451"/>
                              </a:lnTo>
                              <a:lnTo>
                                <a:pt x="3515540" y="89068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Полилиния: Фигура 12"/>
                      <wps:cNvSpPr/>
                      <wps:spPr>
                        <a:xfrm>
                          <a:off x="3399416" y="9886277"/>
                          <a:ext cx="912495" cy="979170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5270 w 913127"/>
                            <a:gd name="connsiteY1" fmla="*/ 12451 h 979505"/>
                            <a:gd name="connsiteX2" fmla="*/ 905656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5270" y="12451"/>
                              </a:lnTo>
                              <a:lnTo>
                                <a:pt x="905656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Полилиния: Фигура 13"/>
                      <wps:cNvSpPr/>
                      <wps:spPr>
                        <a:xfrm>
                          <a:off x="2829261" y="9886277"/>
                          <a:ext cx="913127" cy="979506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0289 w 913127"/>
                            <a:gd name="connsiteY1" fmla="*/ 12451 h 979505"/>
                            <a:gd name="connsiteX2" fmla="*/ 900675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0289" y="12451"/>
                              </a:lnTo>
                              <a:lnTo>
                                <a:pt x="900675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Полилиния: фигура 14"/>
                      <wps:cNvSpPr/>
                      <wps:spPr>
                        <a:xfrm>
                          <a:off x="4034118" y="9886277"/>
                          <a:ext cx="3519690" cy="896497"/>
                        </a:xfrm>
                        <a:custGeom>
                          <a:avLst/>
                          <a:gdLst>
                            <a:gd name="connsiteX0" fmla="*/ 3515540 w 3519690"/>
                            <a:gd name="connsiteY0" fmla="*/ 889026 h 896496"/>
                            <a:gd name="connsiteX1" fmla="*/ 3515540 w 3519690"/>
                            <a:gd name="connsiteY1" fmla="*/ 12451 h 896496"/>
                            <a:gd name="connsiteX2" fmla="*/ 497239 w 3519690"/>
                            <a:gd name="connsiteY2" fmla="*/ 12451 h 896496"/>
                            <a:gd name="connsiteX3" fmla="*/ 12452 w 3519690"/>
                            <a:gd name="connsiteY3" fmla="*/ 88902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3515540" y="889026"/>
                              </a:moveTo>
                              <a:lnTo>
                                <a:pt x="3515540" y="12451"/>
                              </a:lnTo>
                              <a:lnTo>
                                <a:pt x="497239" y="12451"/>
                              </a:lnTo>
                              <a:lnTo>
                                <a:pt x="12452" y="88902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BF7C29" w:rsidRDefault="00BF7C29" w:rsidP="002273DF">
                            <w:pPr>
                              <w:jc w:val="center"/>
                            </w:pPr>
                            <w:r w:rsidRPr="002273DF">
                              <w:t>Лектор: Айсачева Мафтунабону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Полилиния: Фигура 8"/>
                      <wps:cNvSpPr/>
                      <wps:spPr>
                        <a:xfrm>
                          <a:off x="2872292" y="0"/>
                          <a:ext cx="1217295" cy="1542415"/>
                        </a:xfrm>
                        <a:custGeom>
                          <a:avLst/>
                          <a:gdLst>
                            <a:gd name="connsiteX0" fmla="*/ 0 w 1217675"/>
                            <a:gd name="connsiteY0" fmla="*/ 0 h 1542668"/>
                            <a:gd name="connsiteX1" fmla="*/ 330287 w 1217675"/>
                            <a:gd name="connsiteY1" fmla="*/ 0 h 1542668"/>
                            <a:gd name="connsiteX2" fmla="*/ 1217675 w 1217675"/>
                            <a:gd name="connsiteY2" fmla="*/ 1542668 h 1542668"/>
                            <a:gd name="connsiteX3" fmla="*/ 888533 w 1217675"/>
                            <a:gd name="connsiteY3" fmla="*/ 1542668 h 1542668"/>
                            <a:gd name="connsiteX4" fmla="*/ 0 w 1217675"/>
                            <a:gd name="connsiteY4" fmla="*/ 0 h 15426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17675" h="1542668">
                              <a:moveTo>
                                <a:pt x="0" y="0"/>
                              </a:moveTo>
                              <a:lnTo>
                                <a:pt x="330287" y="0"/>
                              </a:lnTo>
                              <a:lnTo>
                                <a:pt x="1217675" y="1542668"/>
                              </a:lnTo>
                              <a:lnTo>
                                <a:pt x="888533" y="1542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Полилиния: Фигура 7"/>
                      <wps:cNvSpPr/>
                      <wps:spPr>
                        <a:xfrm>
                          <a:off x="3474720" y="0"/>
                          <a:ext cx="1225138" cy="1542664"/>
                        </a:xfrm>
                        <a:custGeom>
                          <a:avLst/>
                          <a:gdLst>
                            <a:gd name="connsiteX0" fmla="*/ 0 w 1225138"/>
                            <a:gd name="connsiteY0" fmla="*/ 0 h 1542664"/>
                            <a:gd name="connsiteX1" fmla="*/ 330265 w 1225138"/>
                            <a:gd name="connsiteY1" fmla="*/ 0 h 1542664"/>
                            <a:gd name="connsiteX2" fmla="*/ 1225138 w 1225138"/>
                            <a:gd name="connsiteY2" fmla="*/ 1542664 h 1542664"/>
                            <a:gd name="connsiteX3" fmla="*/ 895208 w 1225138"/>
                            <a:gd name="connsiteY3" fmla="*/ 1542664 h 1542664"/>
                            <a:gd name="connsiteX4" fmla="*/ 0 w 1225138"/>
                            <a:gd name="connsiteY4" fmla="*/ 0 h 15426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25138" h="1542664">
                              <a:moveTo>
                                <a:pt x="0" y="0"/>
                              </a:moveTo>
                              <a:lnTo>
                                <a:pt x="330265" y="0"/>
                              </a:lnTo>
                              <a:lnTo>
                                <a:pt x="1225138" y="1542664"/>
                              </a:lnTo>
                              <a:lnTo>
                                <a:pt x="895208" y="15426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101600</wp14:pctHeight>
              </wp14:sizeRelV>
            </wp:anchor>
          </w:drawing>
        </mc:Choice>
        <mc:Fallback>
          <w:pict>
            <v:group w14:anchorId="3E98740C" id="Группа 29" o:spid="_x0000_s1027" style="position:absolute;margin-left:0;margin-top:0;width:595pt;height:855.55pt;z-index:-251657216;mso-width-percent:1000;mso-height-percent:1016;mso-position-horizontal:center;mso-position-horizontal-relative:page;mso-position-vertical:center;mso-position-vertical-relative:page;mso-width-percent:1000;mso-height-percent:1016" coordsize="75568,10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">
              <v:shape id="Полилиния: Фигура 8" o:spid="_x0000_s1028" style="position:absolute;left:41201;width:34367;height:8964;visibility:visible;mso-wrap-style:square;v-text-anchor:middle" coordsize="3436678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3+SL0A&#10;AADaAAAADwAAAGRycy9kb3ducmV2LnhtbERPy4rCMBTdD/gP4QpuBk0VRrQaRQSl2/EBLi/J7QOb&#10;m9JEW//eLASXh/Neb3tbiye1vnKsYDpJQBBrZyouFFzOh/EChA/IBmvHpOBFHrabwc8aU+M6/qfn&#10;KRQihrBPUUEZQpNK6XVJFv3ENcSRy11rMUTYFtK02MVwW8tZksylxYpjQ4kN7UvS99PDKjh2v/k9&#10;84frX3btMr3Uy9sxN0qNhv1uBSJQH77ijzszCuLWeCXeALl5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e3+SL0AAADaAAAADwAAAAAAAAAAAAAAAACYAgAAZHJzL2Rvd25yZXYu&#10;eG1sUEsFBgAAAAAEAAQA9QAAAIIDAAAAAA==&#10;" path="m3429208,12451r,876575l497239,889026,12452,12451r3416756,xe" fillcolor="#373545 [3215]" stroked="f">
                <v:stroke joinstyle="miter"/>
                <v:path arrowok="t" o:connecttype="custom" o:connectlocs="3429209,12451;3429209,889027;497239,889027;12452,12451" o:connectangles="0,0,0,0"/>
              </v:shape>
              <v:shape id="Полилиния: Фигура 9" o:spid="_x0000_s1029" style="position:absolute;top:6562;width:35196;height:8965;visibility:visible;mso-wrap-style:square;v-text-anchor:middle" coordsize="3519690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3+78MA&#10;AADaAAAADwAAAGRycy9kb3ducmV2LnhtbESPQYvCMBSE74L/ITzBi2i6gotWo4gg6MHDqojHR/Ns&#10;q81LabJt9debhQWPw8x8wyxWrSlETZXLLSv4GkUgiBOrc04VnE/b4RSE88gaC8uk4EkOVstuZ4Gx&#10;tg3/UH30qQgQdjEqyLwvYyldkpFBN7IlcfButjLog6xSqStsAtwUchxF39JgzmEhw5I2GSWP468J&#10;lKbdpoP6Wu4v4/OuOT3vk8fhpVS/167nIDy1/hP+b++0ghn8XQk3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R3+78MAAADaAAAADwAAAAAAAAAAAAAAAACYAgAAZHJzL2Rv&#10;d25yZXYueG1sUEsFBgAAAAAEAAQA9QAAAIgDAAAAAA==&#10;" path="m12452,890686r,-878235l3030752,12451r484788,878235l12452,890686xe" fillcolor="#373545 [3215]" stroked="f">
                <v:stroke joinstyle="miter"/>
                <v:path arrowok="t" o:connecttype="custom" o:connectlocs="12452,890687;12452,12451;3030752,12451;3515540,890687" o:connectangles="0,0,0,0"/>
              </v:shape>
              <v:shape id="Полилиния: Фигура 12" o:spid="_x0000_s1030" style="position:absolute;left:33994;top:98862;width:9125;height:9792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vnF8IA&#10;AADbAAAADwAAAGRycy9kb3ducmV2LnhtbESPQYvCMBCF74L/IYzgRTTVw7JUo4iieBFWLXgdk7Et&#10;NpPSpFr//WZB2NsM771v3ixWna3EkxpfOlYwnSQgiLUzJecKsstu/A3CB2SDlWNS8CYPq2W/t8DU&#10;uBef6HkOuYgQ9ikqKEKoUym9Lsiin7iaOGp311gMcW1yaRp8Rbit5CxJvqTFkuOFAmvaFKQf59Yq&#10;GN0e7+tetrrd+GNEbLPtj86UGg669RxEoC78mz/pg4n1Z/D3SxxAL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C+cXwgAAANsAAAAPAAAAAAAAAAAAAAAAAJgCAABkcnMvZG93&#10;bnJldi54bWxQSwUGAAAAAAQABAD1AAAAhwMAAAAA&#10;" path="m12452,981997l575270,12451r330386,l342838,981997r-330386,xe" fillcolor="#58b6c0 [3205]" stroked="f">
                <v:stroke joinstyle="miter"/>
                <v:path arrowok="t" o:connecttype="custom" o:connectlocs="12443,981661;574872,12447;905029,12447;342601,981661" o:connectangles="0,0,0,0"/>
              </v:shape>
              <v:shape id="Полилиния: Фигура 13" o:spid="_x0000_s1031" style="position:absolute;left:28292;top:98862;width:9131;height:9795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dCjMQA&#10;AADbAAAADwAAAGRycy9kb3ducmV2LnhtbESPzWrDMBCE74W8g9hALyWR00IJTpQQbFp6KbSJIdeN&#10;tLFNrJWx5J+8fVUo9LbLzHw7u91PthEDdb52rGC1TEAQa2dqLhUUp7fFGoQPyAYbx6TgTh72u9nD&#10;FlPjRv6m4RhKESHsU1RQhdCmUnpdkUW/dC1x1K6usxji2pXSdDhGuG3kc5K8Sos1xwsVtpRVpG/H&#10;3ip4utzu53fZ6z7znxGRF/mXLpR6nE+HDYhAU/g3/6U/TKz/Ar+/xAH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HQozEAAAA2wAAAA8AAAAAAAAAAAAAAAAAmAIAAGRycy9k&#10;b3ducmV2LnhtbFBLBQYAAAAABAAEAPUAAACJAwAAAAA=&#10;" path="m12452,981997l570289,12451r330386,l342838,981997r-330386,xe" fillcolor="#58b6c0 [3205]" stroked="f">
                <v:stroke joinstyle="miter"/>
                <v:path arrowok="t" o:connecttype="custom" o:connectlocs="12452,981998;570289,12451;900675,12451;342838,981998" o:connectangles="0,0,0,0"/>
              </v:shape>
              <v:shape id="Полилиния: фигура 14" o:spid="_x0000_s1032" style="position:absolute;left:40341;top:98862;width:35197;height:8965;visibility:visible;mso-wrap-style:square;v-text-anchor:middle" coordsize="3519690,89649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H8DcEA&#10;AADbAAAADwAAAGRycy9kb3ducmV2LnhtbERPTWvCQBC9F/wPywje6kYtpURXUUugUHpo0oPHYXfM&#10;BrOzIbtN4r/vFgq9zeN9zu4wuVYM1IfGs4LVMgNBrL1puFbwVRWPLyBCRDbYeiYFdwpw2M8edpgb&#10;P/InDWWsRQrhkKMCG2OXSxm0JYdh6TvixF197zAm2NfS9DimcNfKdZY9S4cNpwaLHZ0t6Vv57RQc&#10;3zN9GSq+nezmdfqwfrMuNCu1mE/HLYhIU/wX/7nfTJr/BL+/pAPk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x/A3BAAAA2wAAAA8AAAAAAAAAAAAAAAAAmAIAAGRycy9kb3du&#10;cmV2LnhtbFBLBQYAAAAABAAEAPUAAACGAwAAAAA=&#10;" adj="-11796480,,5400" path="m3515540,889026r,-876575l497239,12451,12452,889026r3503088,xe" fillcolor="#373545 [3215]" stroked="f">
                <v:stroke joinstyle="miter"/>
                <v:formulas/>
                <v:path arrowok="t" o:connecttype="custom" o:connectlocs="3515540,889027;3515540,12451;497239,12451;12452,889027" o:connectangles="0,0,0,0" textboxrect="0,0,3519690,896496"/>
                <v:textbox>
                  <w:txbxContent>
                    <w:p w:rsidR="00BF7C29" w:rsidRDefault="00BF7C29" w:rsidP="002273DF">
                      <w:pPr>
                        <w:jc w:val="center"/>
                      </w:pPr>
                      <w:r w:rsidRPr="002273DF">
                        <w:t>Лектор: Айсачева Мафтунабону</w:t>
                      </w:r>
                    </w:p>
                  </w:txbxContent>
                </v:textbox>
              </v:shape>
              <v:shape id="Полилиния: Фигура 8" o:spid="_x0000_s1033" style="position:absolute;left:28722;width:12173;height:15424;visibility:visible;mso-wrap-style:square;v-text-anchor:middle" coordsize="1217675,1542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ZTw8UA&#10;AADbAAAADwAAAGRycy9kb3ducmV2LnhtbESPQWvCQBSE7wX/w/IKvRTdNIcq0VWKILQKgtGDx0f2&#10;maTNexuyq8b+erdQ8DjMzDfMbNFzoy7U+dqJgbdRAoqkcLaW0sBhvxpOQPmAYrFxQgZu5GExHzzN&#10;MLPuKju65KFUESI+QwNVCG2mtS8qYvQj15JE7+Q6xhBlV2rb4TXCudFpkrxrxlriQoUtLSsqfvIz&#10;Gyh4sz1vXpf8e+M1TvJj+r3+So15ee4/pqAC9eER/m9/WgPpGP6+xB+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NlPDxQAAANsAAAAPAAAAAAAAAAAAAAAAAJgCAABkcnMv&#10;ZG93bnJldi54bWxQSwUGAAAAAAQABAD1AAAAigMAAAAA&#10;" path="m,l330287,r887388,1542668l888533,1542668,,xe" fillcolor="#58b6c0 [3205]" stroked="f">
                <v:stroke joinstyle="miter"/>
                <v:path arrowok="t" o:connecttype="custom" o:connectlocs="0,0;330184,0;1217295,1542415;888256,1542415;0,0" o:connectangles="0,0,0,0,0"/>
              </v:shape>
              <v:shape id="Полилиния: Фигура 7" o:spid="_x0000_s1034" style="position:absolute;left:34747;width:12251;height:15426;visibility:visible;mso-wrap-style:square;v-text-anchor:middle" coordsize="1225138,1542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tq9MIA&#10;AADbAAAADwAAAGRycy9kb3ducmV2LnhtbERPy2qDQBTdF/IPww10E+IYFyVYJ6EUBLElpbab7i7O&#10;9UGcO+JM1P59ZlHo8nDe2Xk1g5hpcr1lBYcoBkFcW91zq+D7K98fQTiPrHGwTAp+ycH5tHnIMNV2&#10;4U+aK9+KEMIuRQWd92Mqpas7MugiOxIHrrGTQR/g1Eo94RLCzSCTOH6SBnsODR2O9NpRfa1uRsHH&#10;T182c1m+vddjPq9U7EyyXJR63K4vzyA8rf5f/OcutIIkjA1fwg+Qp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C2r0wgAAANsAAAAPAAAAAAAAAAAAAAAAAJgCAABkcnMvZG93&#10;bnJldi54bWxQSwUGAAAAAAQABAD1AAAAhwMAAAAA&#10;" path="m,l330265,r894873,1542664l895208,1542664,,xe" fillcolor="#58b6c0 [3205]" stroked="f">
                <v:stroke joinstyle="miter"/>
                <v:path arrowok="t" o:connecttype="custom" o:connectlocs="0,0;330265,0;1225138,1542664;895208,1542664;0,0" o:connectangles="0,0,0,0,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C29" w:rsidRDefault="00BF7C29">
    <w:pPr>
      <w:pStyle w:val="afff1"/>
    </w:pPr>
    <w:r w:rsidRPr="00FE777E">
      <w:rPr>
        <w:b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43E87FA0" wp14:editId="4974EDF9">
          <wp:simplePos x="0" y="0"/>
          <wp:positionH relativeFrom="margin">
            <wp:align>right</wp:align>
          </wp:positionH>
          <wp:positionV relativeFrom="paragraph">
            <wp:posOffset>89192</wp:posOffset>
          </wp:positionV>
          <wp:extent cx="1266825" cy="1243330"/>
          <wp:effectExtent l="0" t="0" r="9525" b="0"/>
          <wp:wrapTight wrapText="bothSides">
            <wp:wrapPolygon edited="0">
              <wp:start x="8445" y="0"/>
              <wp:lineTo x="6821" y="331"/>
              <wp:lineTo x="1624" y="4302"/>
              <wp:lineTo x="0" y="9598"/>
              <wp:lineTo x="1624" y="15886"/>
              <wp:lineTo x="1624" y="17540"/>
              <wp:lineTo x="5847" y="21181"/>
              <wp:lineTo x="7795" y="21181"/>
              <wp:lineTo x="14292" y="21181"/>
              <wp:lineTo x="16241" y="21181"/>
              <wp:lineTo x="20788" y="17540"/>
              <wp:lineTo x="21438" y="9928"/>
              <wp:lineTo x="20463" y="4633"/>
              <wp:lineTo x="15591" y="662"/>
              <wp:lineTo x="13642" y="0"/>
              <wp:lineTo x="8445" y="0"/>
            </wp:wrapPolygon>
          </wp:wrapTight>
          <wp:docPr id="37" name="Рисунок 37" descr="C:\Users\User\Desktop\Без-имени-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Без-имени-1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1243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F76DA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5DA42EC" wp14:editId="41462CEE">
              <wp:simplePos x="0" y="0"/>
              <wp:positionH relativeFrom="column">
                <wp:posOffset>-554973</wp:posOffset>
              </wp:positionH>
              <wp:positionV relativeFrom="paragraph">
                <wp:posOffset>571500</wp:posOffset>
              </wp:positionV>
              <wp:extent cx="2833370" cy="722630"/>
              <wp:effectExtent l="19050" t="19050" r="24130" b="20320"/>
              <wp:wrapTight wrapText="bothSides">
                <wp:wrapPolygon edited="0">
                  <wp:start x="-145" y="-569"/>
                  <wp:lineTo x="-145" y="21638"/>
                  <wp:lineTo x="21639" y="21638"/>
                  <wp:lineTo x="21639" y="-569"/>
                  <wp:lineTo x="-145" y="-569"/>
                </wp:wrapPolygon>
              </wp:wrapTight>
              <wp:docPr id="21" name="Фигура 61">
                <a:extLst xmlns:a="http://schemas.openxmlformats.org/drawingml/2006/main">
                  <a:ext uri="{C183D7F6-B498-43B3-948B-1728B52AA6E4}">
                    <adec:decorative xmlns:cx="http://schemas.microsoft.com/office/drawing/2014/chartex" xmlns:w16se="http://schemas.microsoft.com/office/word/2015/wordml/symex"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33370" cy="722630"/>
                      </a:xfrm>
                      <a:prstGeom prst="rect">
                        <a:avLst/>
                      </a:prstGeom>
                      <a:ln w="38100">
                        <a:solidFill>
                          <a:schemeClr val="bg1"/>
                        </a:solidFill>
                        <a:miter lim="400000"/>
                      </a:ln>
                      <a:extLst>
                        <a:ext uri="{C572A759-6A51-4108-AA02-DFA0A04FC94B}">
                          <ma14:wrappingTextBoxFlag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p="http://schemas.openxmlformats.org/presentationml/2006/main" xmlns:lc="http://schemas.openxmlformats.org/drawingml/2006/lockedCanvas" xmlns:ma14="http://schemas.microsoft.com/office/mac/drawingml/2011/main" xmlns:w10="urn:schemas-microsoft-com:office:word" xmlns:v="urn:schemas-microsoft-com:vml" xmlns:o="urn:schemas-microsoft-com:office:office" xmlns:w="http://schemas.openxmlformats.org/wordprocessingml/2006/main" xmlns="" val="1"/>
                        </a:ext>
                      </a:extLst>
                    </wps:spPr>
                    <wps:txbx>
                      <w:txbxContent>
                        <w:p w:rsidR="00BF7C29" w:rsidRPr="00FA3FA4" w:rsidRDefault="00BF7C29" w:rsidP="00FA3FA4">
                          <w:pPr>
                            <w:pStyle w:val="afffff4"/>
                            <w:shd w:val="clear" w:color="auto" w:fill="44546A"/>
                            <w:jc w:val="center"/>
                            <w:rPr>
                              <w:color w:val="FFFFFF"/>
                              <w:sz w:val="21"/>
                              <w:lang w:val="en-US"/>
                            </w:rPr>
                          </w:pPr>
                          <w:r w:rsidRPr="00FA3FA4">
                            <w:rPr>
                              <w:b/>
                              <w:color w:val="FFFFFF"/>
                              <w:sz w:val="26"/>
                              <w:szCs w:val="26"/>
                            </w:rPr>
                            <w:t>АНДИЖАНСКИЙ ГОСУДАРСТВЕННЫЙ МЕДИЦИНСКИЙ ИНСТИТУТ</w:t>
                          </w:r>
                        </w:p>
                      </w:txbxContent>
                    </wps:txbx>
                    <wps:bodyPr wrap="square" lIns="19050" tIns="19050" rIns="19050" bIns="19050" anchor="ctr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5DA42EC" id="_x0000_s1035" style="position:absolute;margin-left:-43.7pt;margin-top:45pt;width:223.1pt;height:56.9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" filled="f" strokecolor="white [3212]" strokeweight="3pt">
              <v:stroke miterlimit="4"/>
              <v:textbox inset="1.5pt,1.5pt,1.5pt,1.5pt">
                <w:txbxContent>
                  <w:p w:rsidR="00BF7C29" w:rsidRPr="00FA3FA4" w:rsidRDefault="00BF7C29" w:rsidP="00FA3FA4">
                    <w:pPr>
                      <w:pStyle w:val="afffff4"/>
                      <w:shd w:val="clear" w:color="auto" w:fill="44546A"/>
                      <w:jc w:val="center"/>
                      <w:rPr>
                        <w:color w:val="FFFFFF"/>
                        <w:sz w:val="21"/>
                        <w:lang w:val="en-US"/>
                      </w:rPr>
                    </w:pPr>
                    <w:r w:rsidRPr="00FA3FA4">
                      <w:rPr>
                        <w:b/>
                        <w:color w:val="FFFFFF"/>
                        <w:sz w:val="26"/>
                        <w:szCs w:val="26"/>
                      </w:rPr>
                      <w:t>АНДИЖАНСКИЙ ГОСУДАРСТВЕННЫЙ МЕДИЦИНСКИЙ ИНСТИТУТ</w:t>
                    </w:r>
                  </w:p>
                </w:txbxContent>
              </v:textbox>
              <w10:wrap type="tight"/>
            </v:rect>
          </w:pict>
        </mc:Fallback>
      </mc:AlternateContent>
    </w:r>
    <w:r w:rsidRPr="00084752"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3E599E5" wp14:editId="2A4DC60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556500" cy="10865485"/>
              <wp:effectExtent l="0" t="0" r="2540" b="14605"/>
              <wp:wrapNone/>
              <wp:docPr id="22" name="Группа 22">
                <a:extLst xmlns:a="http://schemas.openxmlformats.org/drawingml/2006/main">
                  <a:ext uri="{C183D7F6-B498-43B3-948B-1728B52AA6E4}">
                    <adec:decorative xmlns:cx="http://schemas.microsoft.com/office/drawing/2014/chartex" xmlns:w16se="http://schemas.microsoft.com/office/word/2015/wordml/symex"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865485"/>
                        <a:chOff x="0" y="0"/>
                        <a:chExt cx="7556858" cy="10865783"/>
                      </a:xfrm>
                    </wpg:grpSpPr>
                    <wps:wsp>
                      <wps:cNvPr id="23" name="Полилиния: Фигура 23"/>
                      <wps:cNvSpPr/>
                      <wps:spPr>
                        <a:xfrm>
                          <a:off x="4120179" y="0"/>
                          <a:ext cx="3436679" cy="896497"/>
                        </a:xfrm>
                        <a:custGeom>
                          <a:avLst/>
                          <a:gdLst>
                            <a:gd name="connsiteX0" fmla="*/ 3429208 w 3436678"/>
                            <a:gd name="connsiteY0" fmla="*/ 12451 h 896496"/>
                            <a:gd name="connsiteX1" fmla="*/ 3429208 w 3436678"/>
                            <a:gd name="connsiteY1" fmla="*/ 889026 h 896496"/>
                            <a:gd name="connsiteX2" fmla="*/ 497239 w 3436678"/>
                            <a:gd name="connsiteY2" fmla="*/ 889026 h 896496"/>
                            <a:gd name="connsiteX3" fmla="*/ 12452 w 3436678"/>
                            <a:gd name="connsiteY3" fmla="*/ 12451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436678" h="896496">
                              <a:moveTo>
                                <a:pt x="3429208" y="12451"/>
                              </a:moveTo>
                              <a:lnTo>
                                <a:pt x="3429208" y="889026"/>
                              </a:lnTo>
                              <a:lnTo>
                                <a:pt x="497239" y="889026"/>
                              </a:lnTo>
                              <a:lnTo>
                                <a:pt x="12452" y="1245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Полилиния: Форма 24"/>
                      <wps:cNvSpPr/>
                      <wps:spPr>
                        <a:xfrm>
                          <a:off x="0" y="656216"/>
                          <a:ext cx="3519690" cy="896497"/>
                        </a:xfrm>
                        <a:custGeom>
                          <a:avLst/>
                          <a:gdLst>
                            <a:gd name="connsiteX0" fmla="*/ 12452 w 3519690"/>
                            <a:gd name="connsiteY0" fmla="*/ 890686 h 896496"/>
                            <a:gd name="connsiteX1" fmla="*/ 12452 w 3519690"/>
                            <a:gd name="connsiteY1" fmla="*/ 12451 h 896496"/>
                            <a:gd name="connsiteX2" fmla="*/ 3030752 w 3519690"/>
                            <a:gd name="connsiteY2" fmla="*/ 12451 h 896496"/>
                            <a:gd name="connsiteX3" fmla="*/ 3515540 w 3519690"/>
                            <a:gd name="connsiteY3" fmla="*/ 89068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12452" y="890686"/>
                              </a:moveTo>
                              <a:lnTo>
                                <a:pt x="12452" y="12451"/>
                              </a:lnTo>
                              <a:lnTo>
                                <a:pt x="3030752" y="12451"/>
                              </a:lnTo>
                              <a:lnTo>
                                <a:pt x="3515540" y="89068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Полилиния: Форма 25"/>
                      <wps:cNvSpPr/>
                      <wps:spPr>
                        <a:xfrm>
                          <a:off x="3399416" y="9886277"/>
                          <a:ext cx="912495" cy="979170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5270 w 913127"/>
                            <a:gd name="connsiteY1" fmla="*/ 12451 h 979505"/>
                            <a:gd name="connsiteX2" fmla="*/ 905656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5270" y="12451"/>
                              </a:lnTo>
                              <a:lnTo>
                                <a:pt x="905656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Полилиния: Форма 26"/>
                      <wps:cNvSpPr/>
                      <wps:spPr>
                        <a:xfrm>
                          <a:off x="2829261" y="9886277"/>
                          <a:ext cx="913127" cy="979506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0289 w 913127"/>
                            <a:gd name="connsiteY1" fmla="*/ 12451 h 979505"/>
                            <a:gd name="connsiteX2" fmla="*/ 900675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0289" y="12451"/>
                              </a:lnTo>
                              <a:lnTo>
                                <a:pt x="900675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Полилиния: Форма 30"/>
                      <wps:cNvSpPr/>
                      <wps:spPr>
                        <a:xfrm>
                          <a:off x="4034118" y="9886277"/>
                          <a:ext cx="3519690" cy="896497"/>
                        </a:xfrm>
                        <a:custGeom>
                          <a:avLst/>
                          <a:gdLst>
                            <a:gd name="connsiteX0" fmla="*/ 3515540 w 3519690"/>
                            <a:gd name="connsiteY0" fmla="*/ 889026 h 896496"/>
                            <a:gd name="connsiteX1" fmla="*/ 3515540 w 3519690"/>
                            <a:gd name="connsiteY1" fmla="*/ 12451 h 896496"/>
                            <a:gd name="connsiteX2" fmla="*/ 497239 w 3519690"/>
                            <a:gd name="connsiteY2" fmla="*/ 12451 h 896496"/>
                            <a:gd name="connsiteX3" fmla="*/ 12452 w 3519690"/>
                            <a:gd name="connsiteY3" fmla="*/ 88902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3515540" y="889026"/>
                              </a:moveTo>
                              <a:lnTo>
                                <a:pt x="3515540" y="12451"/>
                              </a:lnTo>
                              <a:lnTo>
                                <a:pt x="497239" y="12451"/>
                              </a:lnTo>
                              <a:lnTo>
                                <a:pt x="12452" y="88902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BF7C29" w:rsidRDefault="00BF7C29" w:rsidP="002273DF">
                            <w:pPr>
                              <w:jc w:val="center"/>
                            </w:pPr>
                            <w:r w:rsidRPr="002273DF">
                              <w:t>Лектор: Айсачева Мафтунабону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Полилиния: Фигура 8"/>
                      <wps:cNvSpPr/>
                      <wps:spPr>
                        <a:xfrm>
                          <a:off x="2872292" y="0"/>
                          <a:ext cx="1217295" cy="1542415"/>
                        </a:xfrm>
                        <a:custGeom>
                          <a:avLst/>
                          <a:gdLst>
                            <a:gd name="connsiteX0" fmla="*/ 0 w 1217675"/>
                            <a:gd name="connsiteY0" fmla="*/ 0 h 1542668"/>
                            <a:gd name="connsiteX1" fmla="*/ 330287 w 1217675"/>
                            <a:gd name="connsiteY1" fmla="*/ 0 h 1542668"/>
                            <a:gd name="connsiteX2" fmla="*/ 1217675 w 1217675"/>
                            <a:gd name="connsiteY2" fmla="*/ 1542668 h 1542668"/>
                            <a:gd name="connsiteX3" fmla="*/ 888533 w 1217675"/>
                            <a:gd name="connsiteY3" fmla="*/ 1542668 h 1542668"/>
                            <a:gd name="connsiteX4" fmla="*/ 0 w 1217675"/>
                            <a:gd name="connsiteY4" fmla="*/ 0 h 15426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17675" h="1542668">
                              <a:moveTo>
                                <a:pt x="0" y="0"/>
                              </a:moveTo>
                              <a:lnTo>
                                <a:pt x="330287" y="0"/>
                              </a:lnTo>
                              <a:lnTo>
                                <a:pt x="1217675" y="1542668"/>
                              </a:lnTo>
                              <a:lnTo>
                                <a:pt x="888533" y="1542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Полилиния: фигура 7"/>
                      <wps:cNvSpPr/>
                      <wps:spPr>
                        <a:xfrm>
                          <a:off x="3474720" y="0"/>
                          <a:ext cx="1225138" cy="1542664"/>
                        </a:xfrm>
                        <a:custGeom>
                          <a:avLst/>
                          <a:gdLst>
                            <a:gd name="connsiteX0" fmla="*/ 0 w 1225138"/>
                            <a:gd name="connsiteY0" fmla="*/ 0 h 1542664"/>
                            <a:gd name="connsiteX1" fmla="*/ 330265 w 1225138"/>
                            <a:gd name="connsiteY1" fmla="*/ 0 h 1542664"/>
                            <a:gd name="connsiteX2" fmla="*/ 1225138 w 1225138"/>
                            <a:gd name="connsiteY2" fmla="*/ 1542664 h 1542664"/>
                            <a:gd name="connsiteX3" fmla="*/ 895208 w 1225138"/>
                            <a:gd name="connsiteY3" fmla="*/ 1542664 h 1542664"/>
                            <a:gd name="connsiteX4" fmla="*/ 0 w 1225138"/>
                            <a:gd name="connsiteY4" fmla="*/ 0 h 15426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25138" h="1542664">
                              <a:moveTo>
                                <a:pt x="0" y="0"/>
                              </a:moveTo>
                              <a:lnTo>
                                <a:pt x="330265" y="0"/>
                              </a:lnTo>
                              <a:lnTo>
                                <a:pt x="1225138" y="1542664"/>
                              </a:lnTo>
                              <a:lnTo>
                                <a:pt x="895208" y="15426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101600</wp14:pctHeight>
              </wp14:sizeRelV>
            </wp:anchor>
          </w:drawing>
        </mc:Choice>
        <mc:Fallback>
          <w:pict>
            <v:group w14:anchorId="53E599E5" id="Группа 22" o:spid="_x0000_s1036" style="position:absolute;margin-left:0;margin-top:0;width:595pt;height:855.55pt;z-index:-251655168;mso-width-percent:1000;mso-height-percent:1016;mso-position-horizontal:center;mso-position-horizontal-relative:page;mso-position-vertical:center;mso-position-vertical-relative:page;mso-width-percent:1000;mso-height-percent:1016" coordsize="75568,10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">
              <v:shape id="Полилиния: Фигура 23" o:spid="_x0000_s1037" style="position:absolute;left:41201;width:34367;height:8964;visibility:visible;mso-wrap-style:square;v-text-anchor:middle" coordsize="3436678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q3kMIA&#10;AADbAAAADwAAAGRycy9kb3ducmV2LnhtbESPS4sCMRCE7wv+h9ALXpY1o7KyzhpFBGWuvsBjk/Q8&#10;cNIZJtEZ/70RhD0WVfUVtVj1thZ3an3lWMF4lIAg1s5UXCg4HbffvyB8QDZYOyYFD/KwWg4+Fpga&#10;1/Ge7odQiAhhn6KCMoQmldLrkiz6kWuIo5e71mKIsi2kabGLcFvLSZLMpMWK40KJDW1K0tfDzSrY&#10;dV/5NfPb80927jI91/PLLjdKDT/79R+IQH34D7/bmVEwmcLrS/wB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WreQwgAAANsAAAAPAAAAAAAAAAAAAAAAAJgCAABkcnMvZG93&#10;bnJldi54bWxQSwUGAAAAAAQABAD1AAAAhwMAAAAA&#10;" path="m3429208,12451r,876575l497239,889026,12452,12451r3416756,xe" fillcolor="#373545 [3215]" stroked="f">
                <v:stroke joinstyle="miter"/>
                <v:path arrowok="t" o:connecttype="custom" o:connectlocs="3429209,12451;3429209,889027;497239,889027;12452,12451" o:connectangles="0,0,0,0"/>
              </v:shape>
              <v:shape id="Полилиния: Форма 24" o:spid="_x0000_s1038" style="position:absolute;top:6562;width:35196;height:8965;visibility:visible;mso-wrap-style:square;v-text-anchor:middle" coordsize="3519690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oeOcQA&#10;AADbAAAADwAAAGRycy9kb3ducmV2LnhtbESPQYvCMBSE7wv+h/AEL4umW1yRahQRBD14WBXx+Gie&#10;bbV5KU22rf56s7DgcZiZb5j5sjOlaKh2hWUFX6MIBHFqdcGZgtNxM5yCcB5ZY2mZFDzIwXLR+5hj&#10;om3LP9QcfCYChF2CCnLvq0RKl+Zk0I1sRRy8q60N+iDrTOoa2wA3pYyjaCINFhwWcqxonVN6P/ya&#10;QGm7TfbZXKrdOT5t2+Pj9n3fP5Ua9LvVDISnzr/D/+2tVhCP4e9L+AFy8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qHjnEAAAA2wAAAA8AAAAAAAAAAAAAAAAAmAIAAGRycy9k&#10;b3ducmV2LnhtbFBLBQYAAAAABAAEAPUAAACJAwAAAAA=&#10;" path="m12452,890686r,-878235l3030752,12451r484788,878235l12452,890686xe" fillcolor="#373545 [3215]" stroked="f">
                <v:stroke joinstyle="miter"/>
                <v:path arrowok="t" o:connecttype="custom" o:connectlocs="12452,890687;12452,12451;3030752,12451;3515540,890687" o:connectangles="0,0,0,0"/>
              </v:shape>
              <v:shape id="Полилиния: Форма 25" o:spid="_x0000_s1039" style="position:absolute;left:33994;top:98862;width:9125;height:9792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613sMA&#10;AADbAAAADwAAAGRycy9kb3ducmV2LnhtbESPT4vCMBTE78J+h/AW9iKarqBINYoou+xF8E/B6zN5&#10;tsXmpTSp1m+/EQSPw8z8hpkvO1uJGzW+dKzge5iAINbOlJwryI4/gykIH5ANVo5JwYM8LBcfvTmm&#10;xt15T7dDyEWEsE9RQRFCnUrpdUEW/dDVxNG7uMZiiLLJpWnwHuG2kqMkmUiLJceFAmtaF6Svh9Yq&#10;6J+vj9OvbHW79tuI2GSbnc6U+vrsVjMQgbrwDr/af0bBaAzPL/EHy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4613sMAAADbAAAADwAAAAAAAAAAAAAAAACYAgAAZHJzL2Rv&#10;d25yZXYueG1sUEsFBgAAAAAEAAQA9QAAAIgDAAAAAA==&#10;" path="m12452,981997l575270,12451r330386,l342838,981997r-330386,xe" fillcolor="#58b6c0 [3205]" stroked="f">
                <v:stroke joinstyle="miter"/>
                <v:path arrowok="t" o:connecttype="custom" o:connectlocs="12443,981661;574872,12447;905029,12447;342601,981661" o:connectangles="0,0,0,0"/>
              </v:shape>
              <v:shape id="Полилиния: Форма 26" o:spid="_x0000_s1040" style="position:absolute;left:28292;top:98862;width:9131;height:9795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wrqcEA&#10;AADbAAAADwAAAGRycy9kb3ducmV2LnhtbESPQYvCMBSE7wv+h/AEL4umepClGkUUxYuwasHrM3m2&#10;xealNKnWf28WhD0OM/MNM192thIPanzpWMF4lIAg1s6UnCvIztvhDwgfkA1WjknBizwsF72vOabG&#10;PflIj1PIRYSwT1FBEUKdSul1QRb9yNXE0bu5xmKIssmlafAZ4baSkySZSoslx4UCa1oXpO+n1ir4&#10;vt5fl51sdbv2h4jYZJtfnSk16HerGYhAXfgPf9p7o2Ayhb8v8QfIx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cK6nBAAAA2wAAAA8AAAAAAAAAAAAAAAAAmAIAAGRycy9kb3du&#10;cmV2LnhtbFBLBQYAAAAABAAEAPUAAACGAwAAAAA=&#10;" path="m12452,981997l570289,12451r330386,l342838,981997r-330386,xe" fillcolor="#58b6c0 [3205]" stroked="f">
                <v:stroke joinstyle="miter"/>
                <v:path arrowok="t" o:connecttype="custom" o:connectlocs="12452,981998;570289,12451;900675,12451;342838,981998" o:connectangles="0,0,0,0"/>
              </v:shape>
              <v:shape id="Полилиния: Форма 30" o:spid="_x0000_s1041" style="position:absolute;left:40341;top:98862;width:35197;height:8965;visibility:visible;mso-wrap-style:square;v-text-anchor:middle" coordsize="3519690,89649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+mbr8A&#10;AADbAAAADwAAAGRycy9kb3ducmV2LnhtbERPy4rCMBTdD/gP4QruxlQLw1CN4gNBkFn4WLi8JNem&#10;2NyUJtb692Yx4PJw3vNl72rRURsqzwom4wwEsfam4lLB5bz7/gURIrLB2jMpeFGA5WLwNcfC+Ccf&#10;qTvFUqQQDgUqsDE2hZRBW3IYxr4hTtzNtw5jgm0pTYvPFO5qOc2yH+mw4tRgsaGNJX0/PZyC1SHT&#10;1+7M97XNt/2f9fl0p1mp0bBfzUBE6uNH/O/eGwV5Wp++pB8gF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0v6ZuvwAAANsAAAAPAAAAAAAAAAAAAAAAAJgCAABkcnMvZG93bnJl&#10;di54bWxQSwUGAAAAAAQABAD1AAAAhAMAAAAA&#10;" adj="-11796480,,5400" path="m3515540,889026r,-876575l497239,12451,12452,889026r3503088,xe" fillcolor="#373545 [3215]" stroked="f">
                <v:stroke joinstyle="miter"/>
                <v:formulas/>
                <v:path arrowok="t" o:connecttype="custom" o:connectlocs="3515540,889027;3515540,12451;497239,12451;12452,889027" o:connectangles="0,0,0,0" textboxrect="0,0,3519690,896496"/>
                <v:textbox>
                  <w:txbxContent>
                    <w:p w:rsidR="00BF7C29" w:rsidRDefault="00BF7C29" w:rsidP="002273DF">
                      <w:pPr>
                        <w:jc w:val="center"/>
                      </w:pPr>
                      <w:r w:rsidRPr="002273DF">
                        <w:t>Лектор: Айсачева Мафтунабону</w:t>
                      </w:r>
                    </w:p>
                  </w:txbxContent>
                </v:textbox>
              </v:shape>
              <v:shape id="Полилиния: Фигура 8" o:spid="_x0000_s1042" style="position:absolute;left:28722;width:12173;height:15424;visibility:visible;mso-wrap-style:square;v-text-anchor:middle" coordsize="1217675,1542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r48cUA&#10;AADbAAAADwAAAGRycy9kb3ducmV2LnhtbESPQWvCQBSE7wX/w/KEXopujCASXaUIglUQTHvo8ZF9&#10;TdLmvQ3ZVaO/3i0Uehxm5htmue65URfqfO3EwGScgCIpnK2lNPDxvh3NQfmAYrFxQgZu5GG9Gjwt&#10;MbPuKie65KFUESI+QwNVCG2mtS8qYvRj15JE78t1jCHKrtS2w2uEc6PTJJlpxlriQoUtbSoqfvIz&#10;Gyj4cDwfXjZ8v/Ee5/ln+r1/S415HvavC1CB+vAf/mvvrIHpBH6/xB+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SvjxxQAAANsAAAAPAAAAAAAAAAAAAAAAAJgCAABkcnMv&#10;ZG93bnJldi54bWxQSwUGAAAAAAQABAD1AAAAigMAAAAA&#10;" path="m,l330287,r887388,1542668l888533,1542668,,xe" fillcolor="#58b6c0 [3205]" stroked="f">
                <v:stroke joinstyle="miter"/>
                <v:path arrowok="t" o:connecttype="custom" o:connectlocs="0,0;330184,0;1217295,1542415;888256,1542415;0,0" o:connectangles="0,0,0,0,0"/>
              </v:shape>
              <v:shape id="Полилиния: фигура 7" o:spid="_x0000_s1043" style="position:absolute;left:34747;width:12251;height:15426;visibility:visible;mso-wrap-style:square;v-text-anchor:middle" coordsize="1225138,1542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rLw8QA&#10;AADbAAAADwAAAGRycy9kb3ducmV2LnhtbESPT4vCMBTE74LfITzBi6ypXRDpGkUEQeqy4p/L3h7N&#10;sy3bvJQmtvXbmwXB4zAzv2GW695UoqXGlZYVzKYRCOLM6pJzBdfL7mMBwnlkjZVlUvAgB+vVcLDE&#10;RNuOT9SefS4ChF2CCgrv60RKlxVk0E1tTRy8m20M+iCbXOoGuwA3lYyjaC4NlhwWCqxpW1D2d74b&#10;BcffMr21aXr4zupd29N+YuLuR6nxqN98gfDU+3f41d5rBZ8x/H8JP0C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6y8PEAAAA2wAAAA8AAAAAAAAAAAAAAAAAmAIAAGRycy9k&#10;b3ducmV2LnhtbFBLBQYAAAAABAAEAPUAAACJAwAAAAA=&#10;" path="m,l330265,r894873,1542664l895208,1542664,,xe" fillcolor="#58b6c0 [3205]" stroked="f">
                <v:stroke joinstyle="miter"/>
                <v:path arrowok="t" o:connecttype="custom" o:connectlocs="0,0;330265,0;1225138,1542664;895208,1542664;0,0" o:connectangles="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80"/>
    <w:multiLevelType w:val="singleLevel"/>
    <w:tmpl w:val="6314739A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55DEA4B6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760AC8EA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8A38F804"/>
    <w:lvl w:ilvl="0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9"/>
    <w:multiLevelType w:val="singleLevel"/>
    <w:tmpl w:val="0C6E2CD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105426C"/>
    <w:multiLevelType w:val="multilevel"/>
    <w:tmpl w:val="F104E2B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178058C"/>
    <w:multiLevelType w:val="multilevel"/>
    <w:tmpl w:val="F5D69D5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3A04155"/>
    <w:multiLevelType w:val="multilevel"/>
    <w:tmpl w:val="1772DDE0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6297A88"/>
    <w:multiLevelType w:val="multilevel"/>
    <w:tmpl w:val="FD8A5F8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6DF55C4"/>
    <w:multiLevelType w:val="multilevel"/>
    <w:tmpl w:val="F7703792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8683DA6"/>
    <w:multiLevelType w:val="multilevel"/>
    <w:tmpl w:val="9A86812C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9983DC7"/>
    <w:multiLevelType w:val="multilevel"/>
    <w:tmpl w:val="862E222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9CA4960"/>
    <w:multiLevelType w:val="multilevel"/>
    <w:tmpl w:val="4914FB0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AED4EB5"/>
    <w:multiLevelType w:val="multilevel"/>
    <w:tmpl w:val="57801A2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B933C41"/>
    <w:multiLevelType w:val="multilevel"/>
    <w:tmpl w:val="ACC0DD4C"/>
    <w:lvl w:ilvl="0">
      <w:start w:val="1"/>
      <w:numFmt w:val="bullet"/>
      <w:lvlText w:val="-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BC4083D"/>
    <w:multiLevelType w:val="multilevel"/>
    <w:tmpl w:val="7400AE70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D0228F1"/>
    <w:multiLevelType w:val="multilevel"/>
    <w:tmpl w:val="C18EEDEA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D3E3E91"/>
    <w:multiLevelType w:val="multilevel"/>
    <w:tmpl w:val="FE6077B2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EFB66CF"/>
    <w:multiLevelType w:val="multilevel"/>
    <w:tmpl w:val="9FD669B4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F6600EE"/>
    <w:multiLevelType w:val="multilevel"/>
    <w:tmpl w:val="B638F49A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1042721B"/>
    <w:multiLevelType w:val="multilevel"/>
    <w:tmpl w:val="7960C3E8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119A072D"/>
    <w:multiLevelType w:val="multilevel"/>
    <w:tmpl w:val="0A386B8A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121B4B94"/>
    <w:multiLevelType w:val="multilevel"/>
    <w:tmpl w:val="44D620E6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12EA4864"/>
    <w:multiLevelType w:val="multilevel"/>
    <w:tmpl w:val="D7486054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13974092"/>
    <w:multiLevelType w:val="multilevel"/>
    <w:tmpl w:val="DB6EBC82"/>
    <w:lvl w:ilvl="0">
      <w:start w:val="1"/>
      <w:numFmt w:val="bullet"/>
      <w:lvlText w:val="-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14995982"/>
    <w:multiLevelType w:val="multilevel"/>
    <w:tmpl w:val="103E685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15632C94"/>
    <w:multiLevelType w:val="multilevel"/>
    <w:tmpl w:val="E69A3832"/>
    <w:lvl w:ilvl="0">
      <w:start w:val="1"/>
      <w:numFmt w:val="bullet"/>
      <w:lvlText w:val="-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163227C7"/>
    <w:multiLevelType w:val="multilevel"/>
    <w:tmpl w:val="4D7AA6FC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18F22ECE"/>
    <w:multiLevelType w:val="multilevel"/>
    <w:tmpl w:val="9E80439A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190513D8"/>
    <w:multiLevelType w:val="multilevel"/>
    <w:tmpl w:val="1114B0A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1A0F739B"/>
    <w:multiLevelType w:val="multilevel"/>
    <w:tmpl w:val="8662C79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1A283087"/>
    <w:multiLevelType w:val="multilevel"/>
    <w:tmpl w:val="E62CE252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1AD6293F"/>
    <w:multiLevelType w:val="multilevel"/>
    <w:tmpl w:val="126C3C9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1DA442B0"/>
    <w:multiLevelType w:val="multilevel"/>
    <w:tmpl w:val="3886FD2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1E235003"/>
    <w:multiLevelType w:val="multilevel"/>
    <w:tmpl w:val="A120BC76"/>
    <w:lvl w:ilvl="0">
      <w:start w:val="1"/>
      <w:numFmt w:val="bullet"/>
      <w:lvlText w:val="-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1F5F32D2"/>
    <w:multiLevelType w:val="hybridMultilevel"/>
    <w:tmpl w:val="DFBCE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02B589F"/>
    <w:multiLevelType w:val="multilevel"/>
    <w:tmpl w:val="1458BB3A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204F277D"/>
    <w:multiLevelType w:val="multilevel"/>
    <w:tmpl w:val="50D0B0B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20F643F7"/>
    <w:multiLevelType w:val="multilevel"/>
    <w:tmpl w:val="2EA2860E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211D1D6D"/>
    <w:multiLevelType w:val="multilevel"/>
    <w:tmpl w:val="4B7674D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23373836"/>
    <w:multiLevelType w:val="multilevel"/>
    <w:tmpl w:val="7CA4283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255150A6"/>
    <w:multiLevelType w:val="multilevel"/>
    <w:tmpl w:val="5D807034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25961835"/>
    <w:multiLevelType w:val="multilevel"/>
    <w:tmpl w:val="C888A6F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25A14551"/>
    <w:multiLevelType w:val="multilevel"/>
    <w:tmpl w:val="09F20940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260B3AB2"/>
    <w:multiLevelType w:val="multilevel"/>
    <w:tmpl w:val="0CDCA34A"/>
    <w:lvl w:ilvl="0">
      <w:start w:val="1"/>
      <w:numFmt w:val="bullet"/>
      <w:lvlText w:val="-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28521EDC"/>
    <w:multiLevelType w:val="multilevel"/>
    <w:tmpl w:val="486237C4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290301C3"/>
    <w:multiLevelType w:val="multilevel"/>
    <w:tmpl w:val="8384E7C8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2C1F4B5D"/>
    <w:multiLevelType w:val="multilevel"/>
    <w:tmpl w:val="F790E3D4"/>
    <w:lvl w:ilvl="0">
      <w:start w:val="1"/>
      <w:numFmt w:val="bullet"/>
      <w:lvlText w:val="-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2C200D2E"/>
    <w:multiLevelType w:val="multilevel"/>
    <w:tmpl w:val="BC266DC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30B55DC2"/>
    <w:multiLevelType w:val="multilevel"/>
    <w:tmpl w:val="3252FA30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396D545B"/>
    <w:multiLevelType w:val="multilevel"/>
    <w:tmpl w:val="CB3AF5E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397030ED"/>
    <w:multiLevelType w:val="multilevel"/>
    <w:tmpl w:val="8052500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3BCE01D1"/>
    <w:multiLevelType w:val="multilevel"/>
    <w:tmpl w:val="C9EAA040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3BEF79B9"/>
    <w:multiLevelType w:val="multilevel"/>
    <w:tmpl w:val="F9664992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3D1D354A"/>
    <w:multiLevelType w:val="multilevel"/>
    <w:tmpl w:val="25E4ED0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3F4612D6"/>
    <w:multiLevelType w:val="multilevel"/>
    <w:tmpl w:val="BB649EF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40856772"/>
    <w:multiLevelType w:val="multilevel"/>
    <w:tmpl w:val="4E88364C"/>
    <w:lvl w:ilvl="0">
      <w:start w:val="1"/>
      <w:numFmt w:val="upperRoman"/>
      <w:pStyle w:val="a0"/>
      <w:lvlText w:val="%1."/>
      <w:lvlJc w:val="right"/>
      <w:pPr>
        <w:ind w:left="173" w:hanging="173"/>
      </w:pPr>
      <w:rPr>
        <w:rFonts w:asciiTheme="minorHAnsi" w:hAnsiTheme="minorHAnsi" w:hint="default"/>
        <w:b/>
        <w:i w:val="0"/>
        <w:sz w:val="24"/>
      </w:rPr>
    </w:lvl>
    <w:lvl w:ilvl="1">
      <w:start w:val="1"/>
      <w:numFmt w:val="lowerLetter"/>
      <w:pStyle w:val="20"/>
      <w:lvlText w:val="%2)"/>
      <w:lvlJc w:val="left"/>
      <w:pPr>
        <w:ind w:left="720" w:hanging="588"/>
      </w:pPr>
      <w:rPr>
        <w:rFonts w:asciiTheme="minorHAnsi" w:hAnsiTheme="minorHAnsi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61" w15:restartNumberingAfterBreak="0">
    <w:nsid w:val="41047A95"/>
    <w:multiLevelType w:val="multilevel"/>
    <w:tmpl w:val="01E04EDE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414A7844"/>
    <w:multiLevelType w:val="multilevel"/>
    <w:tmpl w:val="55889812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41C72004"/>
    <w:multiLevelType w:val="multilevel"/>
    <w:tmpl w:val="ED602EDA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423B0468"/>
    <w:multiLevelType w:val="multilevel"/>
    <w:tmpl w:val="571C5E90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42E34001"/>
    <w:multiLevelType w:val="multilevel"/>
    <w:tmpl w:val="66D0968A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43A41A90"/>
    <w:multiLevelType w:val="multilevel"/>
    <w:tmpl w:val="67849358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465D122A"/>
    <w:multiLevelType w:val="multilevel"/>
    <w:tmpl w:val="0360E7C4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48302E32"/>
    <w:multiLevelType w:val="multilevel"/>
    <w:tmpl w:val="04602EC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49C01955"/>
    <w:multiLevelType w:val="multilevel"/>
    <w:tmpl w:val="0F429CE8"/>
    <w:lvl w:ilvl="0">
      <w:start w:val="1"/>
      <w:numFmt w:val="bullet"/>
      <w:lvlText w:val="✓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4C534079"/>
    <w:multiLevelType w:val="multilevel"/>
    <w:tmpl w:val="45A0639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4D9F04D9"/>
    <w:multiLevelType w:val="multilevel"/>
    <w:tmpl w:val="65F28C2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53257087"/>
    <w:multiLevelType w:val="multilevel"/>
    <w:tmpl w:val="805A8CC0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53C61CD1"/>
    <w:multiLevelType w:val="multilevel"/>
    <w:tmpl w:val="64D25B5A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 w15:restartNumberingAfterBreak="0">
    <w:nsid w:val="55904BA4"/>
    <w:multiLevelType w:val="multilevel"/>
    <w:tmpl w:val="0DDC0374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55F84555"/>
    <w:multiLevelType w:val="multilevel"/>
    <w:tmpl w:val="0608D7A4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5975360C"/>
    <w:multiLevelType w:val="multilevel"/>
    <w:tmpl w:val="40BCD836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5D2633AC"/>
    <w:multiLevelType w:val="multilevel"/>
    <w:tmpl w:val="0CF6B214"/>
    <w:lvl w:ilvl="0">
      <w:start w:val="1"/>
      <w:numFmt w:val="bullet"/>
      <w:lvlText w:val="-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23A1C93"/>
    <w:multiLevelType w:val="multilevel"/>
    <w:tmpl w:val="E26CC63E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 w15:restartNumberingAfterBreak="0">
    <w:nsid w:val="64125E60"/>
    <w:multiLevelType w:val="multilevel"/>
    <w:tmpl w:val="A7A2A43A"/>
    <w:lvl w:ilvl="0">
      <w:start w:val="1"/>
      <w:numFmt w:val="bullet"/>
      <w:lvlText w:val="-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 w15:restartNumberingAfterBreak="0">
    <w:nsid w:val="65A93F32"/>
    <w:multiLevelType w:val="multilevel"/>
    <w:tmpl w:val="33827CE6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685437E5"/>
    <w:multiLevelType w:val="multilevel"/>
    <w:tmpl w:val="01BE1410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 w15:restartNumberingAfterBreak="0">
    <w:nsid w:val="68C10718"/>
    <w:multiLevelType w:val="multilevel"/>
    <w:tmpl w:val="04090023"/>
    <w:styleLink w:val="a1"/>
    <w:lvl w:ilvl="0">
      <w:start w:val="1"/>
      <w:numFmt w:val="upperRoman"/>
      <w:lvlText w:val="Статья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84" w15:restartNumberingAfterBreak="0">
    <w:nsid w:val="6B851DF2"/>
    <w:multiLevelType w:val="multilevel"/>
    <w:tmpl w:val="1B1EB76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 w15:restartNumberingAfterBreak="0">
    <w:nsid w:val="6D1F1FC9"/>
    <w:multiLevelType w:val="multilevel"/>
    <w:tmpl w:val="26DE696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6DCD25EA"/>
    <w:multiLevelType w:val="hybridMultilevel"/>
    <w:tmpl w:val="5FEA0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0B6D8F"/>
    <w:multiLevelType w:val="multilevel"/>
    <w:tmpl w:val="A87636DE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 w15:restartNumberingAfterBreak="0">
    <w:nsid w:val="700F4105"/>
    <w:multiLevelType w:val="multilevel"/>
    <w:tmpl w:val="32A43810"/>
    <w:lvl w:ilvl="0">
      <w:start w:val="1"/>
      <w:numFmt w:val="bullet"/>
      <w:lvlText w:val="-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 w15:restartNumberingAfterBreak="0">
    <w:nsid w:val="711E6986"/>
    <w:multiLevelType w:val="multilevel"/>
    <w:tmpl w:val="2144794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 w15:restartNumberingAfterBreak="0">
    <w:nsid w:val="713C4EF7"/>
    <w:multiLevelType w:val="multilevel"/>
    <w:tmpl w:val="50E4A78C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 w15:restartNumberingAfterBreak="0">
    <w:nsid w:val="728811CE"/>
    <w:multiLevelType w:val="multilevel"/>
    <w:tmpl w:val="9CDAD490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 w15:restartNumberingAfterBreak="0">
    <w:nsid w:val="72BA2BA8"/>
    <w:multiLevelType w:val="multilevel"/>
    <w:tmpl w:val="16867982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 w15:restartNumberingAfterBreak="0">
    <w:nsid w:val="737926B9"/>
    <w:multiLevelType w:val="multilevel"/>
    <w:tmpl w:val="624688DA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 w15:restartNumberingAfterBreak="0">
    <w:nsid w:val="747D41E1"/>
    <w:multiLevelType w:val="multilevel"/>
    <w:tmpl w:val="33E40254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 w15:restartNumberingAfterBreak="0">
    <w:nsid w:val="74C873A7"/>
    <w:multiLevelType w:val="multilevel"/>
    <w:tmpl w:val="2D64A212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768E7A20"/>
    <w:multiLevelType w:val="multilevel"/>
    <w:tmpl w:val="F348D49A"/>
    <w:lvl w:ilvl="0">
      <w:start w:val="1"/>
      <w:numFmt w:val="bullet"/>
      <w:lvlText w:val="✓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 w15:restartNumberingAfterBreak="0">
    <w:nsid w:val="780C2785"/>
    <w:multiLevelType w:val="multilevel"/>
    <w:tmpl w:val="9190AB2C"/>
    <w:lvl w:ilvl="0">
      <w:start w:val="1"/>
      <w:numFmt w:val="bullet"/>
      <w:lvlText w:val="-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 w15:restartNumberingAfterBreak="0">
    <w:nsid w:val="7A2B1A93"/>
    <w:multiLevelType w:val="multilevel"/>
    <w:tmpl w:val="5D001B2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 w15:restartNumberingAfterBreak="0">
    <w:nsid w:val="7A4D303B"/>
    <w:multiLevelType w:val="multilevel"/>
    <w:tmpl w:val="003EA360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" w15:restartNumberingAfterBreak="0">
    <w:nsid w:val="7B844D3A"/>
    <w:multiLevelType w:val="multilevel"/>
    <w:tmpl w:val="EB8E4E82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 w15:restartNumberingAfterBreak="0">
    <w:nsid w:val="7BA703CF"/>
    <w:multiLevelType w:val="multilevel"/>
    <w:tmpl w:val="9C863C9E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" w15:restartNumberingAfterBreak="0">
    <w:nsid w:val="7EDD42F9"/>
    <w:multiLevelType w:val="multilevel"/>
    <w:tmpl w:val="3BF0DCA0"/>
    <w:lvl w:ilvl="0">
      <w:start w:val="1"/>
      <w:numFmt w:val="bullet"/>
      <w:lvlText w:val="❖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" w15:restartNumberingAfterBreak="0">
    <w:nsid w:val="7FEC5ACC"/>
    <w:multiLevelType w:val="multilevel"/>
    <w:tmpl w:val="0E0C550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60"/>
  </w:num>
  <w:num w:numId="10">
    <w:abstractNumId w:val="52"/>
  </w:num>
  <w:num w:numId="11">
    <w:abstractNumId w:val="67"/>
  </w:num>
  <w:num w:numId="12">
    <w:abstractNumId w:val="83"/>
  </w:num>
  <w:num w:numId="13">
    <w:abstractNumId w:val="86"/>
  </w:num>
  <w:num w:numId="14">
    <w:abstractNumId w:val="38"/>
  </w:num>
  <w:num w:numId="15">
    <w:abstractNumId w:val="72"/>
  </w:num>
  <w:num w:numId="16">
    <w:abstractNumId w:val="16"/>
  </w:num>
  <w:num w:numId="17">
    <w:abstractNumId w:val="80"/>
  </w:num>
  <w:num w:numId="18">
    <w:abstractNumId w:val="100"/>
  </w:num>
  <w:num w:numId="19">
    <w:abstractNumId w:val="50"/>
  </w:num>
  <w:num w:numId="20">
    <w:abstractNumId w:val="81"/>
  </w:num>
  <w:num w:numId="21">
    <w:abstractNumId w:val="17"/>
  </w:num>
  <w:num w:numId="22">
    <w:abstractNumId w:val="29"/>
  </w:num>
  <w:num w:numId="23">
    <w:abstractNumId w:val="21"/>
  </w:num>
  <w:num w:numId="24">
    <w:abstractNumId w:val="64"/>
  </w:num>
  <w:num w:numId="25">
    <w:abstractNumId w:val="43"/>
  </w:num>
  <w:num w:numId="26">
    <w:abstractNumId w:val="87"/>
  </w:num>
  <w:num w:numId="27">
    <w:abstractNumId w:val="35"/>
  </w:num>
  <w:num w:numId="28">
    <w:abstractNumId w:val="62"/>
  </w:num>
  <w:num w:numId="29">
    <w:abstractNumId w:val="68"/>
  </w:num>
  <w:num w:numId="30">
    <w:abstractNumId w:val="90"/>
  </w:num>
  <w:num w:numId="31">
    <w:abstractNumId w:val="31"/>
  </w:num>
  <w:num w:numId="32">
    <w:abstractNumId w:val="101"/>
  </w:num>
  <w:num w:numId="33">
    <w:abstractNumId w:val="92"/>
  </w:num>
  <w:num w:numId="34">
    <w:abstractNumId w:val="12"/>
  </w:num>
  <w:num w:numId="35">
    <w:abstractNumId w:val="36"/>
  </w:num>
  <w:num w:numId="36">
    <w:abstractNumId w:val="56"/>
  </w:num>
  <w:num w:numId="37">
    <w:abstractNumId w:val="32"/>
  </w:num>
  <w:num w:numId="38">
    <w:abstractNumId w:val="42"/>
  </w:num>
  <w:num w:numId="39">
    <w:abstractNumId w:val="15"/>
  </w:num>
  <w:num w:numId="40">
    <w:abstractNumId w:val="94"/>
  </w:num>
  <w:num w:numId="41">
    <w:abstractNumId w:val="77"/>
  </w:num>
  <w:num w:numId="42">
    <w:abstractNumId w:val="23"/>
  </w:num>
  <w:num w:numId="43">
    <w:abstractNumId w:val="14"/>
  </w:num>
  <w:num w:numId="44">
    <w:abstractNumId w:val="79"/>
  </w:num>
  <w:num w:numId="45">
    <w:abstractNumId w:val="78"/>
  </w:num>
  <w:num w:numId="46">
    <w:abstractNumId w:val="24"/>
  </w:num>
  <w:num w:numId="47">
    <w:abstractNumId w:val="8"/>
  </w:num>
  <w:num w:numId="48">
    <w:abstractNumId w:val="33"/>
  </w:num>
  <w:num w:numId="49">
    <w:abstractNumId w:val="18"/>
  </w:num>
  <w:num w:numId="50">
    <w:abstractNumId w:val="76"/>
  </w:num>
  <w:num w:numId="51">
    <w:abstractNumId w:val="46"/>
  </w:num>
  <w:num w:numId="52">
    <w:abstractNumId w:val="48"/>
  </w:num>
  <w:num w:numId="53">
    <w:abstractNumId w:val="93"/>
  </w:num>
  <w:num w:numId="54">
    <w:abstractNumId w:val="73"/>
  </w:num>
  <w:num w:numId="55">
    <w:abstractNumId w:val="47"/>
  </w:num>
  <w:num w:numId="56">
    <w:abstractNumId w:val="88"/>
  </w:num>
  <w:num w:numId="57">
    <w:abstractNumId w:val="26"/>
  </w:num>
  <w:num w:numId="58">
    <w:abstractNumId w:val="13"/>
  </w:num>
  <w:num w:numId="59">
    <w:abstractNumId w:val="10"/>
  </w:num>
  <w:num w:numId="60">
    <w:abstractNumId w:val="59"/>
  </w:num>
  <w:num w:numId="61">
    <w:abstractNumId w:val="44"/>
  </w:num>
  <w:num w:numId="62">
    <w:abstractNumId w:val="84"/>
  </w:num>
  <w:num w:numId="63">
    <w:abstractNumId w:val="22"/>
  </w:num>
  <w:num w:numId="64">
    <w:abstractNumId w:val="55"/>
  </w:num>
  <w:num w:numId="65">
    <w:abstractNumId w:val="89"/>
  </w:num>
  <w:num w:numId="66">
    <w:abstractNumId w:val="99"/>
  </w:num>
  <w:num w:numId="67">
    <w:abstractNumId w:val="30"/>
  </w:num>
  <w:num w:numId="68">
    <w:abstractNumId w:val="74"/>
  </w:num>
  <w:num w:numId="69">
    <w:abstractNumId w:val="20"/>
  </w:num>
  <w:num w:numId="70">
    <w:abstractNumId w:val="45"/>
  </w:num>
  <w:num w:numId="71">
    <w:abstractNumId w:val="9"/>
  </w:num>
  <w:num w:numId="72">
    <w:abstractNumId w:val="65"/>
  </w:num>
  <w:num w:numId="73">
    <w:abstractNumId w:val="75"/>
  </w:num>
  <w:num w:numId="74">
    <w:abstractNumId w:val="91"/>
  </w:num>
  <w:num w:numId="75">
    <w:abstractNumId w:val="39"/>
  </w:num>
  <w:num w:numId="76">
    <w:abstractNumId w:val="25"/>
  </w:num>
  <w:num w:numId="77">
    <w:abstractNumId w:val="66"/>
  </w:num>
  <w:num w:numId="78">
    <w:abstractNumId w:val="37"/>
  </w:num>
  <w:num w:numId="79">
    <w:abstractNumId w:val="63"/>
  </w:num>
  <w:num w:numId="80">
    <w:abstractNumId w:val="96"/>
  </w:num>
  <w:num w:numId="81">
    <w:abstractNumId w:val="70"/>
  </w:num>
  <w:num w:numId="82">
    <w:abstractNumId w:val="11"/>
  </w:num>
  <w:num w:numId="83">
    <w:abstractNumId w:val="102"/>
  </w:num>
  <w:num w:numId="84">
    <w:abstractNumId w:val="54"/>
  </w:num>
  <w:num w:numId="85">
    <w:abstractNumId w:val="57"/>
  </w:num>
  <w:num w:numId="86">
    <w:abstractNumId w:val="82"/>
  </w:num>
  <w:num w:numId="87">
    <w:abstractNumId w:val="27"/>
  </w:num>
  <w:num w:numId="88">
    <w:abstractNumId w:val="49"/>
  </w:num>
  <w:num w:numId="89">
    <w:abstractNumId w:val="71"/>
  </w:num>
  <w:num w:numId="90">
    <w:abstractNumId w:val="97"/>
  </w:num>
  <w:num w:numId="91">
    <w:abstractNumId w:val="51"/>
  </w:num>
  <w:num w:numId="92">
    <w:abstractNumId w:val="95"/>
  </w:num>
  <w:num w:numId="93">
    <w:abstractNumId w:val="19"/>
  </w:num>
  <w:num w:numId="94">
    <w:abstractNumId w:val="85"/>
  </w:num>
  <w:num w:numId="95">
    <w:abstractNumId w:val="61"/>
  </w:num>
  <w:num w:numId="96">
    <w:abstractNumId w:val="98"/>
  </w:num>
  <w:num w:numId="97">
    <w:abstractNumId w:val="40"/>
  </w:num>
  <w:num w:numId="98">
    <w:abstractNumId w:val="34"/>
  </w:num>
  <w:num w:numId="99">
    <w:abstractNumId w:val="103"/>
  </w:num>
  <w:num w:numId="100">
    <w:abstractNumId w:val="53"/>
  </w:num>
  <w:num w:numId="101">
    <w:abstractNumId w:val="69"/>
  </w:num>
  <w:num w:numId="102">
    <w:abstractNumId w:val="41"/>
  </w:num>
  <w:num w:numId="103">
    <w:abstractNumId w:val="28"/>
  </w:num>
  <w:num w:numId="104">
    <w:abstractNumId w:val="58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4"/>
  <w:removePersonalInformation/>
  <w:removeDateAndTime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7E"/>
    <w:rsid w:val="0000418E"/>
    <w:rsid w:val="00016839"/>
    <w:rsid w:val="00042528"/>
    <w:rsid w:val="00042FB3"/>
    <w:rsid w:val="00057671"/>
    <w:rsid w:val="00084752"/>
    <w:rsid w:val="00086540"/>
    <w:rsid w:val="000D445D"/>
    <w:rsid w:val="000E0B00"/>
    <w:rsid w:val="000E46E6"/>
    <w:rsid w:val="000F4987"/>
    <w:rsid w:val="000F65EC"/>
    <w:rsid w:val="00101B17"/>
    <w:rsid w:val="00103670"/>
    <w:rsid w:val="0010487E"/>
    <w:rsid w:val="00110BBD"/>
    <w:rsid w:val="001112C7"/>
    <w:rsid w:val="0011573E"/>
    <w:rsid w:val="00125E33"/>
    <w:rsid w:val="0012634B"/>
    <w:rsid w:val="001269DE"/>
    <w:rsid w:val="001351F7"/>
    <w:rsid w:val="00140DAE"/>
    <w:rsid w:val="0015180F"/>
    <w:rsid w:val="00156128"/>
    <w:rsid w:val="001574C3"/>
    <w:rsid w:val="001746FC"/>
    <w:rsid w:val="00193653"/>
    <w:rsid w:val="001A6AC0"/>
    <w:rsid w:val="001A76E2"/>
    <w:rsid w:val="001B0576"/>
    <w:rsid w:val="001C329C"/>
    <w:rsid w:val="001D1758"/>
    <w:rsid w:val="001E7D29"/>
    <w:rsid w:val="002142C8"/>
    <w:rsid w:val="00215269"/>
    <w:rsid w:val="00222713"/>
    <w:rsid w:val="0022366B"/>
    <w:rsid w:val="002273DF"/>
    <w:rsid w:val="00230B3D"/>
    <w:rsid w:val="002404F5"/>
    <w:rsid w:val="0025449B"/>
    <w:rsid w:val="00275260"/>
    <w:rsid w:val="00276FA1"/>
    <w:rsid w:val="00280C04"/>
    <w:rsid w:val="00285B87"/>
    <w:rsid w:val="00291B4A"/>
    <w:rsid w:val="002C3D7E"/>
    <w:rsid w:val="002D0AAD"/>
    <w:rsid w:val="002E4F42"/>
    <w:rsid w:val="002F234B"/>
    <w:rsid w:val="002F76DA"/>
    <w:rsid w:val="00303179"/>
    <w:rsid w:val="0032131A"/>
    <w:rsid w:val="00330439"/>
    <w:rsid w:val="003310BF"/>
    <w:rsid w:val="00333DF8"/>
    <w:rsid w:val="003377F9"/>
    <w:rsid w:val="00352B99"/>
    <w:rsid w:val="00357641"/>
    <w:rsid w:val="003603AA"/>
    <w:rsid w:val="00360B6E"/>
    <w:rsid w:val="00361DEE"/>
    <w:rsid w:val="0038538C"/>
    <w:rsid w:val="00394EF4"/>
    <w:rsid w:val="003A1CB3"/>
    <w:rsid w:val="003B7F92"/>
    <w:rsid w:val="003D1740"/>
    <w:rsid w:val="003E5EB5"/>
    <w:rsid w:val="00410612"/>
    <w:rsid w:val="00411F8B"/>
    <w:rsid w:val="004203B0"/>
    <w:rsid w:val="004230D9"/>
    <w:rsid w:val="00450670"/>
    <w:rsid w:val="00451440"/>
    <w:rsid w:val="004527B8"/>
    <w:rsid w:val="004701E1"/>
    <w:rsid w:val="004724BD"/>
    <w:rsid w:val="00477352"/>
    <w:rsid w:val="00491C23"/>
    <w:rsid w:val="004B5C09"/>
    <w:rsid w:val="004C733F"/>
    <w:rsid w:val="004D454D"/>
    <w:rsid w:val="004E227E"/>
    <w:rsid w:val="004F7FED"/>
    <w:rsid w:val="00500DD1"/>
    <w:rsid w:val="00507378"/>
    <w:rsid w:val="00521AE3"/>
    <w:rsid w:val="00535B54"/>
    <w:rsid w:val="00554276"/>
    <w:rsid w:val="0056094A"/>
    <w:rsid w:val="00564D17"/>
    <w:rsid w:val="00570173"/>
    <w:rsid w:val="005762AB"/>
    <w:rsid w:val="00587101"/>
    <w:rsid w:val="005A72D4"/>
    <w:rsid w:val="005B3A9C"/>
    <w:rsid w:val="005D1C1F"/>
    <w:rsid w:val="005D3902"/>
    <w:rsid w:val="005E0ED9"/>
    <w:rsid w:val="005E2C92"/>
    <w:rsid w:val="005F25B0"/>
    <w:rsid w:val="00616B41"/>
    <w:rsid w:val="00620AE8"/>
    <w:rsid w:val="00622B83"/>
    <w:rsid w:val="0062682A"/>
    <w:rsid w:val="0064628C"/>
    <w:rsid w:val="0065214E"/>
    <w:rsid w:val="00655EE2"/>
    <w:rsid w:val="00680296"/>
    <w:rsid w:val="00683EA4"/>
    <w:rsid w:val="006853BC"/>
    <w:rsid w:val="00687389"/>
    <w:rsid w:val="006928C1"/>
    <w:rsid w:val="006D0C8C"/>
    <w:rsid w:val="006D5463"/>
    <w:rsid w:val="006E015E"/>
    <w:rsid w:val="006F03D4"/>
    <w:rsid w:val="006F36A7"/>
    <w:rsid w:val="00700B1F"/>
    <w:rsid w:val="0072228D"/>
    <w:rsid w:val="007257E9"/>
    <w:rsid w:val="00740105"/>
    <w:rsid w:val="00744B1E"/>
    <w:rsid w:val="00756AD4"/>
    <w:rsid w:val="00756D9C"/>
    <w:rsid w:val="007619BD"/>
    <w:rsid w:val="00771C24"/>
    <w:rsid w:val="00776A0C"/>
    <w:rsid w:val="00781863"/>
    <w:rsid w:val="00792701"/>
    <w:rsid w:val="007D0BC1"/>
    <w:rsid w:val="007D5836"/>
    <w:rsid w:val="007F34A4"/>
    <w:rsid w:val="00800BDB"/>
    <w:rsid w:val="00815563"/>
    <w:rsid w:val="008240DA"/>
    <w:rsid w:val="008429E5"/>
    <w:rsid w:val="00867EA4"/>
    <w:rsid w:val="0088077C"/>
    <w:rsid w:val="00880C14"/>
    <w:rsid w:val="00890EFA"/>
    <w:rsid w:val="00897D88"/>
    <w:rsid w:val="008A0319"/>
    <w:rsid w:val="008A059E"/>
    <w:rsid w:val="008D0732"/>
    <w:rsid w:val="008D43E9"/>
    <w:rsid w:val="008E3C0E"/>
    <w:rsid w:val="008E421A"/>
    <w:rsid w:val="008E476B"/>
    <w:rsid w:val="008F0672"/>
    <w:rsid w:val="008F0F63"/>
    <w:rsid w:val="00927C63"/>
    <w:rsid w:val="00932F50"/>
    <w:rsid w:val="0093563E"/>
    <w:rsid w:val="0094637B"/>
    <w:rsid w:val="00955A78"/>
    <w:rsid w:val="00956233"/>
    <w:rsid w:val="009602EE"/>
    <w:rsid w:val="00976F1E"/>
    <w:rsid w:val="009921B8"/>
    <w:rsid w:val="0099313D"/>
    <w:rsid w:val="009D4984"/>
    <w:rsid w:val="009D6901"/>
    <w:rsid w:val="009F4E19"/>
    <w:rsid w:val="009F7D3C"/>
    <w:rsid w:val="00A02E28"/>
    <w:rsid w:val="00A07662"/>
    <w:rsid w:val="00A1006B"/>
    <w:rsid w:val="00A207BA"/>
    <w:rsid w:val="00A21B71"/>
    <w:rsid w:val="00A25111"/>
    <w:rsid w:val="00A3439E"/>
    <w:rsid w:val="00A37F9E"/>
    <w:rsid w:val="00A40085"/>
    <w:rsid w:val="00A426DC"/>
    <w:rsid w:val="00A47DF6"/>
    <w:rsid w:val="00A60E11"/>
    <w:rsid w:val="00A63D35"/>
    <w:rsid w:val="00A9231C"/>
    <w:rsid w:val="00AA2532"/>
    <w:rsid w:val="00AA4144"/>
    <w:rsid w:val="00AA46B7"/>
    <w:rsid w:val="00AB33D5"/>
    <w:rsid w:val="00AC72FB"/>
    <w:rsid w:val="00AD589B"/>
    <w:rsid w:val="00AE1F88"/>
    <w:rsid w:val="00AE361F"/>
    <w:rsid w:val="00AE5370"/>
    <w:rsid w:val="00B247A9"/>
    <w:rsid w:val="00B435B5"/>
    <w:rsid w:val="00B50C2F"/>
    <w:rsid w:val="00B54E12"/>
    <w:rsid w:val="00B565D8"/>
    <w:rsid w:val="00B5779A"/>
    <w:rsid w:val="00B60818"/>
    <w:rsid w:val="00B64D24"/>
    <w:rsid w:val="00B7147D"/>
    <w:rsid w:val="00B75CFC"/>
    <w:rsid w:val="00B853F9"/>
    <w:rsid w:val="00B92231"/>
    <w:rsid w:val="00B9319F"/>
    <w:rsid w:val="00BA2CE6"/>
    <w:rsid w:val="00BB018B"/>
    <w:rsid w:val="00BD1747"/>
    <w:rsid w:val="00BD1B3B"/>
    <w:rsid w:val="00BD2B06"/>
    <w:rsid w:val="00BE367F"/>
    <w:rsid w:val="00BF01F4"/>
    <w:rsid w:val="00BF363B"/>
    <w:rsid w:val="00BF49DD"/>
    <w:rsid w:val="00BF7C29"/>
    <w:rsid w:val="00C05872"/>
    <w:rsid w:val="00C078AF"/>
    <w:rsid w:val="00C14973"/>
    <w:rsid w:val="00C1643D"/>
    <w:rsid w:val="00C16505"/>
    <w:rsid w:val="00C1685F"/>
    <w:rsid w:val="00C261A9"/>
    <w:rsid w:val="00C37607"/>
    <w:rsid w:val="00C42793"/>
    <w:rsid w:val="00C47362"/>
    <w:rsid w:val="00C601ED"/>
    <w:rsid w:val="00C63F12"/>
    <w:rsid w:val="00C916B2"/>
    <w:rsid w:val="00CA3D88"/>
    <w:rsid w:val="00CA4B57"/>
    <w:rsid w:val="00CD246E"/>
    <w:rsid w:val="00CE4271"/>
    <w:rsid w:val="00CE5A5C"/>
    <w:rsid w:val="00CF0EC4"/>
    <w:rsid w:val="00CF2DF9"/>
    <w:rsid w:val="00D14CC6"/>
    <w:rsid w:val="00D21E3F"/>
    <w:rsid w:val="00D31AB7"/>
    <w:rsid w:val="00D50D23"/>
    <w:rsid w:val="00D512BB"/>
    <w:rsid w:val="00D53571"/>
    <w:rsid w:val="00D92FF2"/>
    <w:rsid w:val="00DA3B1A"/>
    <w:rsid w:val="00DB3110"/>
    <w:rsid w:val="00DC6078"/>
    <w:rsid w:val="00DC79AD"/>
    <w:rsid w:val="00DD2075"/>
    <w:rsid w:val="00DD6D8B"/>
    <w:rsid w:val="00DE700F"/>
    <w:rsid w:val="00DF2868"/>
    <w:rsid w:val="00E25736"/>
    <w:rsid w:val="00E3437B"/>
    <w:rsid w:val="00E553ED"/>
    <w:rsid w:val="00E557A0"/>
    <w:rsid w:val="00E74942"/>
    <w:rsid w:val="00E907BC"/>
    <w:rsid w:val="00EA3AA9"/>
    <w:rsid w:val="00EE4283"/>
    <w:rsid w:val="00EF6435"/>
    <w:rsid w:val="00F062BA"/>
    <w:rsid w:val="00F10F6B"/>
    <w:rsid w:val="00F12121"/>
    <w:rsid w:val="00F23697"/>
    <w:rsid w:val="00F34140"/>
    <w:rsid w:val="00F36BB7"/>
    <w:rsid w:val="00F414E4"/>
    <w:rsid w:val="00F41B1F"/>
    <w:rsid w:val="00F50B79"/>
    <w:rsid w:val="00F86699"/>
    <w:rsid w:val="00F87EAA"/>
    <w:rsid w:val="00F92B25"/>
    <w:rsid w:val="00F93D79"/>
    <w:rsid w:val="00FA08A0"/>
    <w:rsid w:val="00FA3FA4"/>
    <w:rsid w:val="00FB3809"/>
    <w:rsid w:val="00FD6CAB"/>
    <w:rsid w:val="00FE4063"/>
    <w:rsid w:val="00FE6B6C"/>
    <w:rsid w:val="00FE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2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E777E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2"/>
    <w:link w:val="10"/>
    <w:uiPriority w:val="9"/>
    <w:qFormat/>
    <w:rsid w:val="005F25B0"/>
    <w:pPr>
      <w:keepNext/>
      <w:spacing w:before="480" w:after="60"/>
      <w:contextualSpacing/>
      <w:jc w:val="center"/>
      <w:outlineLvl w:val="0"/>
    </w:pPr>
    <w:rPr>
      <w:rFonts w:asciiTheme="majorHAnsi" w:hAnsiTheme="majorHAnsi" w:cs="Arial"/>
      <w:b/>
      <w:bCs/>
      <w:kern w:val="32"/>
      <w:sz w:val="32"/>
      <w:szCs w:val="32"/>
    </w:rPr>
  </w:style>
  <w:style w:type="paragraph" w:styleId="21">
    <w:name w:val="heading 2"/>
    <w:basedOn w:val="a2"/>
    <w:link w:val="22"/>
    <w:uiPriority w:val="9"/>
    <w:unhideWhenUsed/>
    <w:qFormat/>
    <w:rsid w:val="004230D9"/>
    <w:pPr>
      <w:keepNext/>
      <w:spacing w:before="240" w:after="6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31">
    <w:name w:val="heading 3"/>
    <w:basedOn w:val="a2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41">
    <w:name w:val="heading 4"/>
    <w:basedOn w:val="a2"/>
    <w:link w:val="42"/>
    <w:uiPriority w:val="9"/>
    <w:semiHidden/>
    <w:unhideWhenUsed/>
    <w:qFormat/>
    <w:rsid w:val="004230D9"/>
    <w:pPr>
      <w:keepNext/>
      <w:keepLines/>
      <w:spacing w:before="40"/>
      <w:contextualSpacing/>
      <w:outlineLvl w:val="3"/>
    </w:pPr>
    <w:rPr>
      <w:rFonts w:ascii="Arial" w:eastAsiaTheme="majorEastAsia" w:hAnsi="Arial" w:cs="Arial"/>
      <w:i/>
      <w:iCs/>
      <w:color w:val="276E8B" w:themeColor="accent1" w:themeShade="BF"/>
    </w:rPr>
  </w:style>
  <w:style w:type="paragraph" w:styleId="51">
    <w:name w:val="heading 5"/>
    <w:basedOn w:val="a2"/>
    <w:link w:val="52"/>
    <w:uiPriority w:val="9"/>
    <w:semiHidden/>
    <w:unhideWhenUsed/>
    <w:qFormat/>
    <w:rsid w:val="004230D9"/>
    <w:pPr>
      <w:keepNext/>
      <w:keepLines/>
      <w:spacing w:before="40"/>
      <w:contextualSpacing/>
      <w:outlineLvl w:val="4"/>
    </w:pPr>
    <w:rPr>
      <w:rFonts w:ascii="Arial" w:eastAsiaTheme="majorEastAsia" w:hAnsi="Arial" w:cs="Arial"/>
      <w:color w:val="276E8B" w:themeColor="accent1" w:themeShade="BF"/>
    </w:rPr>
  </w:style>
  <w:style w:type="paragraph" w:styleId="6">
    <w:name w:val="heading 6"/>
    <w:basedOn w:val="a2"/>
    <w:link w:val="60"/>
    <w:uiPriority w:val="9"/>
    <w:semiHidden/>
    <w:unhideWhenUsed/>
    <w:qFormat/>
    <w:rsid w:val="004230D9"/>
    <w:pPr>
      <w:keepNext/>
      <w:keepLines/>
      <w:spacing w:before="40"/>
      <w:contextualSpacing/>
      <w:outlineLvl w:val="5"/>
    </w:pPr>
    <w:rPr>
      <w:rFonts w:ascii="Arial" w:eastAsiaTheme="majorEastAsia" w:hAnsi="Arial" w:cs="Arial"/>
      <w:color w:val="1A495C" w:themeColor="accent1" w:themeShade="7F"/>
    </w:rPr>
  </w:style>
  <w:style w:type="paragraph" w:styleId="7">
    <w:name w:val="heading 7"/>
    <w:basedOn w:val="a2"/>
    <w:link w:val="70"/>
    <w:uiPriority w:val="9"/>
    <w:semiHidden/>
    <w:unhideWhenUsed/>
    <w:qFormat/>
    <w:rsid w:val="004230D9"/>
    <w:pPr>
      <w:keepNext/>
      <w:keepLines/>
      <w:spacing w:before="40"/>
      <w:contextualSpacing/>
      <w:outlineLvl w:val="6"/>
    </w:pPr>
    <w:rPr>
      <w:rFonts w:ascii="Arial" w:eastAsiaTheme="majorEastAsia" w:hAnsi="Arial" w:cs="Arial"/>
      <w:i/>
      <w:iCs/>
      <w:color w:val="1A495C" w:themeColor="accent1" w:themeShade="7F"/>
    </w:rPr>
  </w:style>
  <w:style w:type="paragraph" w:styleId="8">
    <w:name w:val="heading 8"/>
    <w:basedOn w:val="a2"/>
    <w:link w:val="80"/>
    <w:uiPriority w:val="9"/>
    <w:semiHidden/>
    <w:unhideWhenUsed/>
    <w:qFormat/>
    <w:rsid w:val="004230D9"/>
    <w:pPr>
      <w:keepNext/>
      <w:keepLines/>
      <w:spacing w:before="4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9">
    <w:name w:val="heading 9"/>
    <w:basedOn w:val="a2"/>
    <w:link w:val="90"/>
    <w:uiPriority w:val="9"/>
    <w:semiHidden/>
    <w:unhideWhenUsed/>
    <w:qFormat/>
    <w:rsid w:val="004230D9"/>
    <w:pPr>
      <w:keepNext/>
      <w:keepLines/>
      <w:spacing w:before="4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0">
    <w:name w:val="List Number"/>
    <w:basedOn w:val="a2"/>
    <w:uiPriority w:val="12"/>
    <w:qFormat/>
    <w:rsid w:val="002F76DA"/>
    <w:pPr>
      <w:numPr>
        <w:numId w:val="9"/>
      </w:numPr>
    </w:pPr>
    <w:rPr>
      <w:b/>
    </w:rPr>
  </w:style>
  <w:style w:type="character" w:styleId="a6">
    <w:name w:val="Placeholder Text"/>
    <w:basedOn w:val="a3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a7">
    <w:name w:val="Date"/>
    <w:basedOn w:val="a2"/>
    <w:next w:val="a2"/>
    <w:link w:val="a8"/>
    <w:uiPriority w:val="10"/>
    <w:qFormat/>
    <w:rsid w:val="004230D9"/>
    <w:pPr>
      <w:spacing w:after="480"/>
      <w:jc w:val="center"/>
    </w:pPr>
  </w:style>
  <w:style w:type="paragraph" w:styleId="a9">
    <w:name w:val="Balloon Text"/>
    <w:basedOn w:val="a2"/>
    <w:link w:val="aa"/>
    <w:uiPriority w:val="99"/>
    <w:semiHidden/>
    <w:unhideWhenUsed/>
    <w:rsid w:val="004230D9"/>
    <w:rPr>
      <w:rFonts w:ascii="Tahoma" w:hAnsi="Tahoma" w:cs="Tahoma"/>
      <w:sz w:val="22"/>
      <w:szCs w:val="16"/>
    </w:rPr>
  </w:style>
  <w:style w:type="character" w:customStyle="1" w:styleId="aa">
    <w:name w:val="Текст выноски Знак"/>
    <w:basedOn w:val="a3"/>
    <w:link w:val="a9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a">
    <w:name w:val="List Bullet"/>
    <w:basedOn w:val="a2"/>
    <w:uiPriority w:val="13"/>
    <w:qFormat/>
    <w:rsid w:val="004230D9"/>
    <w:pPr>
      <w:numPr>
        <w:numId w:val="1"/>
      </w:numPr>
      <w:contextualSpacing/>
    </w:pPr>
    <w:rPr>
      <w:b/>
    </w:rPr>
  </w:style>
  <w:style w:type="character" w:customStyle="1" w:styleId="42">
    <w:name w:val="Заголовок 4 Знак"/>
    <w:basedOn w:val="a3"/>
    <w:link w:val="41"/>
    <w:uiPriority w:val="9"/>
    <w:semiHidden/>
    <w:rsid w:val="004230D9"/>
    <w:rPr>
      <w:rFonts w:ascii="Arial" w:eastAsiaTheme="majorEastAsia" w:hAnsi="Arial" w:cs="Arial"/>
      <w:i/>
      <w:iCs/>
      <w:color w:val="276E8B" w:themeColor="accent1" w:themeShade="BF"/>
    </w:rPr>
  </w:style>
  <w:style w:type="character" w:styleId="ab">
    <w:name w:val="Emphasis"/>
    <w:basedOn w:val="a3"/>
    <w:uiPriority w:val="20"/>
    <w:qFormat/>
    <w:rsid w:val="005F25B0"/>
    <w:rPr>
      <w:rFonts w:asciiTheme="minorHAnsi" w:hAnsiTheme="minorHAnsi" w:cs="Times New Roman"/>
      <w:b/>
      <w:i w:val="0"/>
      <w:iCs/>
      <w:color w:val="FFFFFF" w:themeColor="background1"/>
    </w:rPr>
  </w:style>
  <w:style w:type="character" w:customStyle="1" w:styleId="52">
    <w:name w:val="Заголовок 5 Знак"/>
    <w:basedOn w:val="a3"/>
    <w:link w:val="51"/>
    <w:uiPriority w:val="9"/>
    <w:semiHidden/>
    <w:rsid w:val="004230D9"/>
    <w:rPr>
      <w:rFonts w:ascii="Arial" w:eastAsiaTheme="majorEastAsia" w:hAnsi="Arial" w:cs="Arial"/>
      <w:color w:val="276E8B" w:themeColor="accent1" w:themeShade="BF"/>
    </w:rPr>
  </w:style>
  <w:style w:type="character" w:customStyle="1" w:styleId="60">
    <w:name w:val="Заголовок 6 Знак"/>
    <w:basedOn w:val="a3"/>
    <w:link w:val="6"/>
    <w:uiPriority w:val="9"/>
    <w:semiHidden/>
    <w:rsid w:val="004230D9"/>
    <w:rPr>
      <w:rFonts w:ascii="Arial" w:eastAsiaTheme="majorEastAsia" w:hAnsi="Arial" w:cs="Arial"/>
      <w:color w:val="1A495C" w:themeColor="accent1" w:themeShade="7F"/>
    </w:rPr>
  </w:style>
  <w:style w:type="character" w:customStyle="1" w:styleId="70">
    <w:name w:val="Заголовок 7 Знак"/>
    <w:basedOn w:val="a3"/>
    <w:link w:val="7"/>
    <w:uiPriority w:val="9"/>
    <w:semiHidden/>
    <w:rsid w:val="004230D9"/>
    <w:rPr>
      <w:rFonts w:ascii="Arial" w:eastAsiaTheme="majorEastAsia" w:hAnsi="Arial" w:cs="Arial"/>
      <w:i/>
      <w:iCs/>
      <w:color w:val="1A495C" w:themeColor="accent1" w:themeShade="7F"/>
    </w:rPr>
  </w:style>
  <w:style w:type="character" w:customStyle="1" w:styleId="80">
    <w:name w:val="Заголовок 8 Знак"/>
    <w:basedOn w:val="a3"/>
    <w:link w:val="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90">
    <w:name w:val="Заголовок 9 Знак"/>
    <w:basedOn w:val="a3"/>
    <w:link w:val="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ac">
    <w:name w:val="Title"/>
    <w:basedOn w:val="a2"/>
    <w:link w:val="ad"/>
    <w:uiPriority w:val="10"/>
    <w:semiHidden/>
    <w:unhideWhenUsed/>
    <w:qFormat/>
    <w:rsid w:val="004230D9"/>
    <w:pPr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ad">
    <w:name w:val="Название Знак"/>
    <w:basedOn w:val="a3"/>
    <w:link w:val="ac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ae">
    <w:name w:val="Subtitle"/>
    <w:basedOn w:val="a2"/>
    <w:link w:val="af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af">
    <w:name w:val="Подзаголовок Знак"/>
    <w:basedOn w:val="a3"/>
    <w:link w:val="ae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af0">
    <w:name w:val="Subtle Emphasis"/>
    <w:basedOn w:val="a3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af1">
    <w:name w:val="Intense Emphasis"/>
    <w:basedOn w:val="a3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af2">
    <w:name w:val="Strong"/>
    <w:basedOn w:val="a3"/>
    <w:uiPriority w:val="22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23">
    <w:name w:val="Quote"/>
    <w:basedOn w:val="a2"/>
    <w:link w:val="24"/>
    <w:uiPriority w:val="29"/>
    <w:semiHidden/>
    <w:unhideWhenUsed/>
    <w:qFormat/>
    <w:rsid w:val="004230D9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3"/>
    <w:link w:val="23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af3">
    <w:name w:val="Intense Quote"/>
    <w:basedOn w:val="a2"/>
    <w:next w:val="a2"/>
    <w:link w:val="af4"/>
    <w:uiPriority w:val="30"/>
    <w:semiHidden/>
    <w:unhideWhenUsed/>
    <w:qFormat/>
    <w:rsid w:val="004230D9"/>
    <w:pPr>
      <w:pBdr>
        <w:top w:val="single" w:sz="4" w:space="10" w:color="3494BA" w:themeColor="accent1"/>
        <w:bottom w:val="single" w:sz="4" w:space="10" w:color="3494BA" w:themeColor="accent1"/>
      </w:pBdr>
      <w:spacing w:before="360" w:after="360"/>
      <w:jc w:val="center"/>
    </w:pPr>
    <w:rPr>
      <w:i/>
      <w:iCs/>
      <w:color w:val="276E8B" w:themeColor="accent1" w:themeShade="BF"/>
    </w:rPr>
  </w:style>
  <w:style w:type="character" w:customStyle="1" w:styleId="af4">
    <w:name w:val="Выделенная цитата Знак"/>
    <w:basedOn w:val="a3"/>
    <w:link w:val="af3"/>
    <w:uiPriority w:val="30"/>
    <w:semiHidden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af5">
    <w:name w:val="Subtle Reference"/>
    <w:basedOn w:val="a3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af6">
    <w:name w:val="Intense Reference"/>
    <w:basedOn w:val="a3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276E8B" w:themeColor="accent1" w:themeShade="BF"/>
      <w:spacing w:val="0"/>
    </w:rPr>
  </w:style>
  <w:style w:type="character" w:styleId="af7">
    <w:name w:val="Book Title"/>
    <w:basedOn w:val="a3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af8">
    <w:name w:val="List Paragraph"/>
    <w:basedOn w:val="a2"/>
    <w:uiPriority w:val="34"/>
    <w:unhideWhenUsed/>
    <w:qFormat/>
    <w:rsid w:val="004230D9"/>
    <w:pPr>
      <w:ind w:left="720"/>
      <w:contextualSpacing/>
    </w:pPr>
  </w:style>
  <w:style w:type="paragraph" w:styleId="af9">
    <w:name w:val="caption"/>
    <w:basedOn w:val="a2"/>
    <w:next w:val="a2"/>
    <w:uiPriority w:val="35"/>
    <w:semiHidden/>
    <w:unhideWhenUsed/>
    <w:qFormat/>
    <w:rsid w:val="004230D9"/>
    <w:rPr>
      <w:i/>
      <w:iCs/>
      <w:color w:val="373545" w:themeColor="text2"/>
      <w:sz w:val="22"/>
      <w:szCs w:val="18"/>
    </w:rPr>
  </w:style>
  <w:style w:type="paragraph" w:styleId="afa">
    <w:name w:val="Bibliography"/>
    <w:basedOn w:val="a2"/>
    <w:next w:val="a2"/>
    <w:uiPriority w:val="37"/>
    <w:semiHidden/>
    <w:unhideWhenUsed/>
    <w:rsid w:val="004230D9"/>
  </w:style>
  <w:style w:type="paragraph" w:styleId="11">
    <w:name w:val="toc 1"/>
    <w:basedOn w:val="a2"/>
    <w:next w:val="a2"/>
    <w:autoRedefine/>
    <w:uiPriority w:val="39"/>
    <w:unhideWhenUsed/>
    <w:rsid w:val="004230D9"/>
    <w:pPr>
      <w:spacing w:after="100"/>
    </w:pPr>
  </w:style>
  <w:style w:type="paragraph" w:styleId="91">
    <w:name w:val="toc 9"/>
    <w:basedOn w:val="a2"/>
    <w:next w:val="a2"/>
    <w:autoRedefine/>
    <w:uiPriority w:val="39"/>
    <w:unhideWhenUsed/>
    <w:rsid w:val="004230D9"/>
    <w:pPr>
      <w:spacing w:after="100"/>
      <w:ind w:left="1920"/>
    </w:pPr>
  </w:style>
  <w:style w:type="paragraph" w:styleId="afb">
    <w:name w:val="TOC Heading"/>
    <w:basedOn w:val="1"/>
    <w:next w:val="1"/>
    <w:link w:val="afc"/>
    <w:uiPriority w:val="39"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afd">
    <w:name w:val="Block Text"/>
    <w:basedOn w:val="a2"/>
    <w:uiPriority w:val="99"/>
    <w:semiHidden/>
    <w:unhideWhenUsed/>
    <w:rsid w:val="004230D9"/>
    <w:pPr>
      <w:pBdr>
        <w:top w:val="single" w:sz="2" w:space="10" w:color="276E8B" w:themeColor="accent1" w:themeShade="BF"/>
        <w:left w:val="single" w:sz="2" w:space="10" w:color="276E8B" w:themeColor="accent1" w:themeShade="BF"/>
        <w:bottom w:val="single" w:sz="2" w:space="10" w:color="276E8B" w:themeColor="accent1" w:themeShade="BF"/>
        <w:right w:val="single" w:sz="2" w:space="10" w:color="276E8B" w:themeColor="accent1" w:themeShade="BF"/>
      </w:pBdr>
      <w:ind w:left="1152" w:right="1152"/>
    </w:pPr>
    <w:rPr>
      <w:rFonts w:eastAsiaTheme="minorEastAsia"/>
      <w:i/>
      <w:iCs/>
      <w:color w:val="276E8B" w:themeColor="accent1" w:themeShade="BF"/>
    </w:rPr>
  </w:style>
  <w:style w:type="paragraph" w:styleId="afe">
    <w:name w:val="Body Text"/>
    <w:basedOn w:val="a2"/>
    <w:link w:val="aff"/>
    <w:uiPriority w:val="99"/>
    <w:semiHidden/>
    <w:unhideWhenUsed/>
    <w:rsid w:val="004230D9"/>
    <w:pPr>
      <w:spacing w:after="120"/>
    </w:pPr>
  </w:style>
  <w:style w:type="character" w:customStyle="1" w:styleId="aff">
    <w:name w:val="Основной текст Знак"/>
    <w:basedOn w:val="a3"/>
    <w:link w:val="afe"/>
    <w:uiPriority w:val="99"/>
    <w:semiHidden/>
    <w:rsid w:val="004230D9"/>
    <w:rPr>
      <w:rFonts w:ascii="Times New Roman" w:hAnsi="Times New Roman" w:cs="Times New Roman"/>
    </w:rPr>
  </w:style>
  <w:style w:type="paragraph" w:styleId="25">
    <w:name w:val="Body Text 2"/>
    <w:basedOn w:val="a2"/>
    <w:link w:val="26"/>
    <w:uiPriority w:val="99"/>
    <w:semiHidden/>
    <w:unhideWhenUsed/>
    <w:rsid w:val="004230D9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rsid w:val="004230D9"/>
    <w:rPr>
      <w:rFonts w:ascii="Times New Roman" w:hAnsi="Times New Roman" w:cs="Times New Roman"/>
    </w:rPr>
  </w:style>
  <w:style w:type="paragraph" w:styleId="32">
    <w:name w:val="Body Text 3"/>
    <w:basedOn w:val="a2"/>
    <w:link w:val="33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33">
    <w:name w:val="Основной текст 3 Знак"/>
    <w:basedOn w:val="a3"/>
    <w:link w:val="32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34">
    <w:name w:val="Body Text Indent 3"/>
    <w:basedOn w:val="a2"/>
    <w:link w:val="35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aff0">
    <w:name w:val="annotation reference"/>
    <w:basedOn w:val="a3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aff1">
    <w:name w:val="annotation text"/>
    <w:basedOn w:val="a2"/>
    <w:link w:val="aff2"/>
    <w:uiPriority w:val="99"/>
    <w:semiHidden/>
    <w:unhideWhenUsed/>
    <w:rsid w:val="004230D9"/>
    <w:rPr>
      <w:sz w:val="22"/>
    </w:rPr>
  </w:style>
  <w:style w:type="character" w:customStyle="1" w:styleId="aff2">
    <w:name w:val="Текст примечания Знак"/>
    <w:basedOn w:val="a3"/>
    <w:link w:val="aff1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4230D9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aff5">
    <w:name w:val="Document Map"/>
    <w:basedOn w:val="a2"/>
    <w:link w:val="aff6"/>
    <w:uiPriority w:val="99"/>
    <w:semiHidden/>
    <w:unhideWhenUsed/>
    <w:rsid w:val="004230D9"/>
    <w:rPr>
      <w:rFonts w:ascii="Segoe UI" w:hAnsi="Segoe UI" w:cs="Segoe UI"/>
      <w:sz w:val="22"/>
      <w:szCs w:val="16"/>
    </w:rPr>
  </w:style>
  <w:style w:type="character" w:customStyle="1" w:styleId="aff6">
    <w:name w:val="Схема документа Знак"/>
    <w:basedOn w:val="a3"/>
    <w:link w:val="aff5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aff7">
    <w:name w:val="endnote reference"/>
    <w:basedOn w:val="a3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aff8">
    <w:name w:val="endnote text"/>
    <w:basedOn w:val="a2"/>
    <w:link w:val="aff9"/>
    <w:uiPriority w:val="99"/>
    <w:semiHidden/>
    <w:unhideWhenUsed/>
    <w:rsid w:val="004230D9"/>
    <w:rPr>
      <w:sz w:val="22"/>
    </w:rPr>
  </w:style>
  <w:style w:type="character" w:customStyle="1" w:styleId="aff9">
    <w:name w:val="Текст концевой сноски Знак"/>
    <w:basedOn w:val="a3"/>
    <w:link w:val="aff8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27">
    <w:name w:val="envelope return"/>
    <w:basedOn w:val="a2"/>
    <w:uiPriority w:val="99"/>
    <w:semiHidden/>
    <w:unhideWhenUsed/>
    <w:rsid w:val="004230D9"/>
    <w:rPr>
      <w:rFonts w:ascii="Arial" w:eastAsiaTheme="majorEastAsia" w:hAnsi="Arial" w:cs="Arial"/>
      <w:sz w:val="22"/>
    </w:rPr>
  </w:style>
  <w:style w:type="paragraph" w:styleId="affa">
    <w:name w:val="envelope address"/>
    <w:basedOn w:val="a2"/>
    <w:uiPriority w:val="99"/>
    <w:semiHidden/>
    <w:unhideWhenUsed/>
    <w:rsid w:val="004230D9"/>
    <w:pPr>
      <w:framePr w:w="7920" w:h="1980" w:hRule="exact" w:hSpace="180" w:wrap="auto" w:hAnchor="page" w:xAlign="center" w:yAlign="bottom"/>
      <w:ind w:left="2880"/>
    </w:pPr>
    <w:rPr>
      <w:rFonts w:ascii="Arial" w:eastAsiaTheme="majorEastAsia" w:hAnsi="Arial" w:cs="Arial"/>
    </w:rPr>
  </w:style>
  <w:style w:type="character" w:styleId="affb">
    <w:name w:val="FollowedHyperlink"/>
    <w:basedOn w:val="a3"/>
    <w:uiPriority w:val="99"/>
    <w:semiHidden/>
    <w:unhideWhenUsed/>
    <w:rsid w:val="004230D9"/>
    <w:rPr>
      <w:rFonts w:ascii="Times New Roman" w:hAnsi="Times New Roman" w:cs="Times New Roman"/>
      <w:color w:val="9F6715" w:themeColor="followedHyperlink"/>
      <w:u w:val="single"/>
    </w:rPr>
  </w:style>
  <w:style w:type="paragraph" w:styleId="affc">
    <w:name w:val="footer"/>
    <w:basedOn w:val="a2"/>
    <w:link w:val="affd"/>
    <w:uiPriority w:val="99"/>
    <w:rsid w:val="004230D9"/>
  </w:style>
  <w:style w:type="character" w:customStyle="1" w:styleId="affd">
    <w:name w:val="Нижний колонтитул Знак"/>
    <w:basedOn w:val="a3"/>
    <w:link w:val="affc"/>
    <w:uiPriority w:val="99"/>
    <w:rsid w:val="004701E1"/>
  </w:style>
  <w:style w:type="character" w:styleId="affe">
    <w:name w:val="footnote reference"/>
    <w:basedOn w:val="a3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afff">
    <w:name w:val="footnote text"/>
    <w:basedOn w:val="a2"/>
    <w:link w:val="afff0"/>
    <w:uiPriority w:val="99"/>
    <w:semiHidden/>
    <w:unhideWhenUsed/>
    <w:rsid w:val="004230D9"/>
    <w:rPr>
      <w:sz w:val="22"/>
    </w:rPr>
  </w:style>
  <w:style w:type="character" w:customStyle="1" w:styleId="afff0">
    <w:name w:val="Текст сноски Знак"/>
    <w:basedOn w:val="a3"/>
    <w:link w:val="afff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customStyle="1" w:styleId="Hashtag">
    <w:name w:val="Hashtag"/>
    <w:basedOn w:val="a3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afff1">
    <w:name w:val="header"/>
    <w:basedOn w:val="a2"/>
    <w:link w:val="afff2"/>
    <w:uiPriority w:val="99"/>
    <w:unhideWhenUsed/>
    <w:rsid w:val="00222713"/>
    <w:rPr>
      <w:sz w:val="16"/>
    </w:rPr>
  </w:style>
  <w:style w:type="character" w:customStyle="1" w:styleId="afff2">
    <w:name w:val="Верхний колонтитул Знак"/>
    <w:basedOn w:val="a3"/>
    <w:link w:val="afff1"/>
    <w:uiPriority w:val="99"/>
    <w:rsid w:val="00222713"/>
    <w:rPr>
      <w:sz w:val="16"/>
    </w:rPr>
  </w:style>
  <w:style w:type="character" w:styleId="HTML">
    <w:name w:val="HTML Acronym"/>
    <w:basedOn w:val="a3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HTML0">
    <w:name w:val="HTML Address"/>
    <w:basedOn w:val="a2"/>
    <w:link w:val="HTML1"/>
    <w:uiPriority w:val="99"/>
    <w:semiHidden/>
    <w:unhideWhenUsed/>
    <w:rsid w:val="004230D9"/>
    <w:rPr>
      <w:i/>
      <w:iCs/>
    </w:rPr>
  </w:style>
  <w:style w:type="character" w:customStyle="1" w:styleId="HTML1">
    <w:name w:val="Адрес HTML Знак"/>
    <w:basedOn w:val="a3"/>
    <w:link w:val="HTML0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HTML2">
    <w:name w:val="HTML Cite"/>
    <w:basedOn w:val="a3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3">
    <w:name w:val="HTML Code"/>
    <w:basedOn w:val="a3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4">
    <w:name w:val="HTML Definition"/>
    <w:basedOn w:val="a3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5">
    <w:name w:val="HTML Keyboard"/>
    <w:basedOn w:val="a3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HTML6">
    <w:name w:val="HTML Preformatted"/>
    <w:basedOn w:val="a2"/>
    <w:link w:val="HTML7"/>
    <w:uiPriority w:val="99"/>
    <w:semiHidden/>
    <w:unhideWhenUsed/>
    <w:rsid w:val="004230D9"/>
    <w:rPr>
      <w:rFonts w:ascii="Consolas" w:hAnsi="Consolas"/>
      <w:sz w:val="22"/>
    </w:rPr>
  </w:style>
  <w:style w:type="character" w:customStyle="1" w:styleId="HTML7">
    <w:name w:val="Стандартный HTML Знак"/>
    <w:basedOn w:val="a3"/>
    <w:link w:val="HTML6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HTML8">
    <w:name w:val="HTML Typewriter"/>
    <w:basedOn w:val="a3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9">
    <w:name w:val="HTML Variable"/>
    <w:basedOn w:val="a3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afff3">
    <w:name w:val="Hyperlink"/>
    <w:basedOn w:val="a3"/>
    <w:uiPriority w:val="99"/>
    <w:unhideWhenUsed/>
    <w:rsid w:val="004230D9"/>
    <w:rPr>
      <w:rFonts w:ascii="Times New Roman" w:hAnsi="Times New Roman" w:cs="Times New Roman"/>
      <w:color w:val="6B9F25" w:themeColor="hyperlink"/>
      <w:u w:val="single"/>
    </w:rPr>
  </w:style>
  <w:style w:type="paragraph" w:styleId="12">
    <w:name w:val="index 1"/>
    <w:basedOn w:val="a2"/>
    <w:next w:val="a2"/>
    <w:autoRedefine/>
    <w:uiPriority w:val="99"/>
    <w:semiHidden/>
    <w:unhideWhenUsed/>
    <w:rsid w:val="004230D9"/>
    <w:pPr>
      <w:ind w:left="240" w:hanging="240"/>
    </w:pPr>
  </w:style>
  <w:style w:type="paragraph" w:styleId="afff4">
    <w:name w:val="index heading"/>
    <w:basedOn w:val="a2"/>
    <w:next w:val="12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afff5">
    <w:name w:val="line number"/>
    <w:basedOn w:val="a3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afff6">
    <w:name w:val="macro"/>
    <w:link w:val="afff7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afff7">
    <w:name w:val="Текст макроса Знак"/>
    <w:basedOn w:val="a3"/>
    <w:link w:val="afff6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customStyle="1" w:styleId="Mention">
    <w:name w:val="Mention"/>
    <w:basedOn w:val="a3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afff8">
    <w:name w:val="Message Header"/>
    <w:basedOn w:val="a2"/>
    <w:link w:val="afff9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Theme="majorEastAsia" w:hAnsi="Arial" w:cs="Arial"/>
    </w:rPr>
  </w:style>
  <w:style w:type="character" w:customStyle="1" w:styleId="afff9">
    <w:name w:val="Шапка Знак"/>
    <w:basedOn w:val="a3"/>
    <w:link w:val="afff8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afffa">
    <w:name w:val="Note Heading"/>
    <w:basedOn w:val="a2"/>
    <w:next w:val="a2"/>
    <w:link w:val="afffb"/>
    <w:uiPriority w:val="99"/>
    <w:semiHidden/>
    <w:unhideWhenUsed/>
    <w:rsid w:val="004230D9"/>
  </w:style>
  <w:style w:type="character" w:customStyle="1" w:styleId="afffb">
    <w:name w:val="Заголовок записки Знак"/>
    <w:basedOn w:val="a3"/>
    <w:link w:val="afffa"/>
    <w:uiPriority w:val="99"/>
    <w:semiHidden/>
    <w:rsid w:val="004230D9"/>
    <w:rPr>
      <w:rFonts w:ascii="Times New Roman" w:hAnsi="Times New Roman" w:cs="Times New Roman"/>
    </w:rPr>
  </w:style>
  <w:style w:type="paragraph" w:styleId="afffc">
    <w:name w:val="Plain Text"/>
    <w:basedOn w:val="a2"/>
    <w:link w:val="afffd"/>
    <w:uiPriority w:val="99"/>
    <w:semiHidden/>
    <w:unhideWhenUsed/>
    <w:rsid w:val="004230D9"/>
    <w:rPr>
      <w:rFonts w:ascii="Consolas" w:hAnsi="Consolas"/>
      <w:sz w:val="22"/>
      <w:szCs w:val="21"/>
    </w:rPr>
  </w:style>
  <w:style w:type="character" w:customStyle="1" w:styleId="afffd">
    <w:name w:val="Текст Знак"/>
    <w:basedOn w:val="a3"/>
    <w:link w:val="afffc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afffe">
    <w:name w:val="Salutation"/>
    <w:basedOn w:val="a2"/>
    <w:next w:val="a2"/>
    <w:link w:val="affff"/>
    <w:uiPriority w:val="99"/>
    <w:semiHidden/>
    <w:unhideWhenUsed/>
    <w:rsid w:val="004230D9"/>
  </w:style>
  <w:style w:type="character" w:customStyle="1" w:styleId="affff">
    <w:name w:val="Приветствие Знак"/>
    <w:basedOn w:val="a3"/>
    <w:link w:val="afffe"/>
    <w:uiPriority w:val="99"/>
    <w:semiHidden/>
    <w:rsid w:val="004230D9"/>
    <w:rPr>
      <w:rFonts w:ascii="Times New Roman" w:hAnsi="Times New Roman" w:cs="Times New Roman"/>
    </w:rPr>
  </w:style>
  <w:style w:type="paragraph" w:styleId="affff0">
    <w:name w:val="Signature"/>
    <w:basedOn w:val="a2"/>
    <w:link w:val="affff1"/>
    <w:uiPriority w:val="99"/>
    <w:semiHidden/>
    <w:unhideWhenUsed/>
    <w:rsid w:val="004230D9"/>
    <w:pPr>
      <w:ind w:left="4252"/>
    </w:pPr>
  </w:style>
  <w:style w:type="character" w:customStyle="1" w:styleId="affff1">
    <w:name w:val="Подпись Знак"/>
    <w:basedOn w:val="a3"/>
    <w:link w:val="affff0"/>
    <w:uiPriority w:val="99"/>
    <w:semiHidden/>
    <w:rsid w:val="004230D9"/>
    <w:rPr>
      <w:rFonts w:ascii="Times New Roman" w:hAnsi="Times New Roman" w:cs="Times New Roman"/>
    </w:rPr>
  </w:style>
  <w:style w:type="character" w:customStyle="1" w:styleId="SmartHyperlink">
    <w:name w:val="Smart Hyperlink"/>
    <w:basedOn w:val="a3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customStyle="1" w:styleId="UnresolvedMention">
    <w:name w:val="Unresolved Mention"/>
    <w:basedOn w:val="a3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20">
    <w:name w:val="List Number 2"/>
    <w:basedOn w:val="a2"/>
    <w:uiPriority w:val="12"/>
    <w:unhideWhenUsed/>
    <w:qFormat/>
    <w:rsid w:val="002E4F42"/>
    <w:pPr>
      <w:numPr>
        <w:ilvl w:val="1"/>
        <w:numId w:val="9"/>
      </w:numPr>
    </w:pPr>
  </w:style>
  <w:style w:type="numbering" w:styleId="111111">
    <w:name w:val="Outline List 2"/>
    <w:basedOn w:val="a5"/>
    <w:uiPriority w:val="99"/>
    <w:semiHidden/>
    <w:unhideWhenUsed/>
    <w:rsid w:val="004230D9"/>
    <w:pPr>
      <w:numPr>
        <w:numId w:val="10"/>
      </w:numPr>
    </w:pPr>
  </w:style>
  <w:style w:type="numbering" w:styleId="1ai">
    <w:name w:val="Outline List 1"/>
    <w:basedOn w:val="a5"/>
    <w:uiPriority w:val="99"/>
    <w:semiHidden/>
    <w:unhideWhenUsed/>
    <w:rsid w:val="004230D9"/>
    <w:pPr>
      <w:numPr>
        <w:numId w:val="11"/>
      </w:numPr>
    </w:pPr>
  </w:style>
  <w:style w:type="numbering" w:styleId="a1">
    <w:name w:val="Outline List 3"/>
    <w:basedOn w:val="a5"/>
    <w:uiPriority w:val="99"/>
    <w:semiHidden/>
    <w:unhideWhenUsed/>
    <w:rsid w:val="004230D9"/>
    <w:pPr>
      <w:numPr>
        <w:numId w:val="12"/>
      </w:numPr>
    </w:pPr>
  </w:style>
  <w:style w:type="paragraph" w:styleId="affff2">
    <w:name w:val="Body Text First Indent"/>
    <w:basedOn w:val="afe"/>
    <w:link w:val="affff3"/>
    <w:uiPriority w:val="99"/>
    <w:semiHidden/>
    <w:unhideWhenUsed/>
    <w:rsid w:val="004230D9"/>
    <w:pPr>
      <w:spacing w:after="200"/>
      <w:ind w:firstLine="360"/>
    </w:pPr>
  </w:style>
  <w:style w:type="character" w:customStyle="1" w:styleId="affff3">
    <w:name w:val="Красная строка Знак"/>
    <w:basedOn w:val="aff"/>
    <w:link w:val="affff2"/>
    <w:uiPriority w:val="99"/>
    <w:semiHidden/>
    <w:rsid w:val="004230D9"/>
    <w:rPr>
      <w:rFonts w:ascii="Times New Roman" w:hAnsi="Times New Roman" w:cs="Times New Roman"/>
    </w:rPr>
  </w:style>
  <w:style w:type="paragraph" w:styleId="affff4">
    <w:name w:val="Body Text Indent"/>
    <w:basedOn w:val="a2"/>
    <w:link w:val="affff5"/>
    <w:uiPriority w:val="99"/>
    <w:semiHidden/>
    <w:unhideWhenUsed/>
    <w:rsid w:val="004230D9"/>
    <w:pPr>
      <w:spacing w:after="120"/>
      <w:ind w:left="360"/>
    </w:pPr>
  </w:style>
  <w:style w:type="character" w:customStyle="1" w:styleId="affff5">
    <w:name w:val="Основной текст с отступом Знак"/>
    <w:basedOn w:val="a3"/>
    <w:link w:val="affff4"/>
    <w:uiPriority w:val="99"/>
    <w:semiHidden/>
    <w:rsid w:val="004230D9"/>
    <w:rPr>
      <w:rFonts w:ascii="Times New Roman" w:hAnsi="Times New Roman" w:cs="Times New Roman"/>
    </w:rPr>
  </w:style>
  <w:style w:type="paragraph" w:styleId="28">
    <w:name w:val="Body Text First Indent 2"/>
    <w:basedOn w:val="affff4"/>
    <w:link w:val="29"/>
    <w:uiPriority w:val="99"/>
    <w:semiHidden/>
    <w:unhideWhenUsed/>
    <w:rsid w:val="004230D9"/>
    <w:pPr>
      <w:spacing w:after="200"/>
      <w:ind w:firstLine="360"/>
    </w:pPr>
  </w:style>
  <w:style w:type="character" w:customStyle="1" w:styleId="29">
    <w:name w:val="Красная строка 2 Знак"/>
    <w:basedOn w:val="affff5"/>
    <w:link w:val="28"/>
    <w:uiPriority w:val="99"/>
    <w:semiHidden/>
    <w:rsid w:val="004230D9"/>
    <w:rPr>
      <w:rFonts w:ascii="Times New Roman" w:hAnsi="Times New Roman" w:cs="Times New Roman"/>
    </w:rPr>
  </w:style>
  <w:style w:type="paragraph" w:styleId="2a">
    <w:name w:val="Body Text Indent 2"/>
    <w:basedOn w:val="a2"/>
    <w:link w:val="2b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2b">
    <w:name w:val="Основной текст с отступом 2 Знак"/>
    <w:basedOn w:val="a3"/>
    <w:link w:val="2a"/>
    <w:uiPriority w:val="99"/>
    <w:semiHidden/>
    <w:rsid w:val="004230D9"/>
    <w:rPr>
      <w:rFonts w:ascii="Times New Roman" w:hAnsi="Times New Roman" w:cs="Times New Roman"/>
    </w:rPr>
  </w:style>
  <w:style w:type="paragraph" w:styleId="affff6">
    <w:name w:val="Closing"/>
    <w:basedOn w:val="a2"/>
    <w:link w:val="affff7"/>
    <w:uiPriority w:val="99"/>
    <w:semiHidden/>
    <w:unhideWhenUsed/>
    <w:rsid w:val="004230D9"/>
    <w:pPr>
      <w:ind w:left="4320"/>
    </w:pPr>
  </w:style>
  <w:style w:type="character" w:customStyle="1" w:styleId="affff7">
    <w:name w:val="Прощание Знак"/>
    <w:basedOn w:val="a3"/>
    <w:link w:val="affff6"/>
    <w:uiPriority w:val="99"/>
    <w:semiHidden/>
    <w:rsid w:val="004230D9"/>
    <w:rPr>
      <w:rFonts w:ascii="Times New Roman" w:hAnsi="Times New Roman" w:cs="Times New Roman"/>
    </w:rPr>
  </w:style>
  <w:style w:type="table" w:styleId="affff8">
    <w:name w:val="Colorful Grid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</w:rPr>
      <w:tblPr/>
      <w:tcPr>
        <w:shd w:val="clear" w:color="auto" w:fill="A9D5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5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-2">
    <w:name w:val="Colorful Grid Accent 2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</w:rPr>
      <w:tblPr/>
      <w:tcPr>
        <w:shd w:val="clear" w:color="auto" w:fill="BCE1E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E1E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-3">
    <w:name w:val="Colorful Grid Accent 3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</w:rPr>
      <w:tblPr/>
      <w:tcPr>
        <w:shd w:val="clear" w:color="auto" w:fill="C7E4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4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-4">
    <w:name w:val="Colorful Grid Accent 4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</w:rPr>
      <w:tblPr/>
      <w:tcPr>
        <w:shd w:val="clear" w:color="auto" w:fill="C9D0D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9D0D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-5">
    <w:name w:val="Colorful Grid Accent 5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</w:rPr>
      <w:tblPr/>
      <w:tcPr>
        <w:shd w:val="clear" w:color="auto" w:fill="CDDDE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DDE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-6">
    <w:name w:val="Colorful Grid Accent 6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</w:rPr>
      <w:tblPr/>
      <w:tcPr>
        <w:shd w:val="clear" w:color="auto" w:fill="A3CEE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CEE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affff9">
    <w:name w:val="Colorful List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4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7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8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7072" w:themeFill="accent4" w:themeFillShade="CC"/>
      </w:tcPr>
    </w:tblStylePr>
    <w:tblStylePr w:type="lastRow">
      <w:rPr>
        <w:b/>
        <w:bCs/>
        <w:color w:val="61707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3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FA58B" w:themeFill="accent3" w:themeFillShade="CC"/>
      </w:tcPr>
    </w:tblStylePr>
    <w:tblStylePr w:type="lastRow">
      <w:rPr>
        <w:b/>
        <w:bCs/>
        <w:color w:val="4FA58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6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E689E" w:themeFill="accent6" w:themeFillShade="CC"/>
      </w:tcPr>
    </w:tblStylePr>
    <w:tblStylePr w:type="lastRow">
      <w:rPr>
        <w:b/>
        <w:bCs/>
        <w:color w:val="1E689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-60">
    <w:name w:val="Colorful List Accent 6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2F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909D" w:themeFill="accent5" w:themeFillShade="CC"/>
      </w:tcPr>
    </w:tblStylePr>
    <w:tblStylePr w:type="lastRow">
      <w:rPr>
        <w:b/>
        <w:bCs/>
        <w:color w:val="5D909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affffa">
    <w:name w:val="Colorful Shading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86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86F" w:themeColor="accent1" w:themeShade="99"/>
          <w:insideV w:val="nil"/>
        </w:tcBorders>
        <w:shd w:val="clear" w:color="auto" w:fill="1F586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86F" w:themeFill="accent1" w:themeFillShade="99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94CB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7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72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7279" w:themeColor="accent2" w:themeShade="99"/>
          <w:insideV w:val="nil"/>
        </w:tcBorders>
        <w:shd w:val="clear" w:color="auto" w:fill="2E72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279" w:themeFill="accent2" w:themeFillShade="99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ABDAD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A8C8E" w:themeColor="accent4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8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B7C6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B7C68" w:themeColor="accent3" w:themeShade="99"/>
          <w:insideV w:val="nil"/>
        </w:tcBorders>
        <w:shd w:val="clear" w:color="auto" w:fill="3B7C6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7C68" w:themeFill="accent3" w:themeFillShade="99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5BDA7" w:themeColor="accent3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3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8545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85455" w:themeColor="accent4" w:themeShade="99"/>
          <w:insideV w:val="nil"/>
        </w:tcBorders>
        <w:shd w:val="clear" w:color="auto" w:fill="48545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5455" w:themeFill="accent4" w:themeFillShade="99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BCC5C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683C6" w:themeColor="accent6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6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66C7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66C76" w:themeColor="accent5" w:themeShade="99"/>
          <w:insideV w:val="nil"/>
        </w:tcBorders>
        <w:shd w:val="clear" w:color="auto" w:fill="466C7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6C76" w:themeFill="accent5" w:themeFillShade="99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1D5D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4ACB6" w:themeColor="accent5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2F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4E7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4E76" w:themeColor="accent6" w:themeShade="99"/>
          <w:insideV w:val="nil"/>
        </w:tcBorders>
        <w:shd w:val="clear" w:color="auto" w:fill="164E7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E76" w:themeFill="accent6" w:themeFillShade="99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8CC2E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b">
    <w:name w:val="Dark List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95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6E8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</w:style>
  <w:style w:type="table" w:styleId="-22">
    <w:name w:val="Dark List Accent 2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E6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8E9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</w:style>
  <w:style w:type="table" w:styleId="-32">
    <w:name w:val="Dark List Accent 3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675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A9A8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</w:style>
  <w:style w:type="table" w:styleId="-42">
    <w:name w:val="Dark List Accent 4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454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A696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</w:style>
  <w:style w:type="table" w:styleId="-52">
    <w:name w:val="Dark List Accent 5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A5A6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7879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</w:style>
  <w:style w:type="table" w:styleId="-62">
    <w:name w:val="Dark List Accent 6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3416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C619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</w:style>
  <w:style w:type="paragraph" w:styleId="affffc">
    <w:name w:val="E-mail Signature"/>
    <w:basedOn w:val="a2"/>
    <w:link w:val="affffd"/>
    <w:uiPriority w:val="99"/>
    <w:semiHidden/>
    <w:unhideWhenUsed/>
    <w:rsid w:val="004230D9"/>
  </w:style>
  <w:style w:type="character" w:customStyle="1" w:styleId="affffd">
    <w:name w:val="Электронная подпись Знак"/>
    <w:basedOn w:val="a3"/>
    <w:link w:val="affffc"/>
    <w:uiPriority w:val="99"/>
    <w:semiHidden/>
    <w:rsid w:val="004230D9"/>
    <w:rPr>
      <w:rFonts w:ascii="Times New Roman" w:hAnsi="Times New Roman" w:cs="Times New Roman"/>
    </w:rPr>
  </w:style>
  <w:style w:type="table" w:customStyle="1" w:styleId="-110">
    <w:name w:val="Таблица-сетка 1 светлая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1">
    <w:name w:val="Таблица-сетка 1 светлая — акцент 1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">
    <w:name w:val="Таблица-сетка 1 светлая — акцент 2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CE1E5" w:themeColor="accent2" w:themeTint="66"/>
        <w:left w:val="single" w:sz="4" w:space="0" w:color="BCE1E5" w:themeColor="accent2" w:themeTint="66"/>
        <w:bottom w:val="single" w:sz="4" w:space="0" w:color="BCE1E5" w:themeColor="accent2" w:themeTint="66"/>
        <w:right w:val="single" w:sz="4" w:space="0" w:color="BCE1E5" w:themeColor="accent2" w:themeTint="66"/>
        <w:insideH w:val="single" w:sz="4" w:space="0" w:color="BCE1E5" w:themeColor="accent2" w:themeTint="66"/>
        <w:insideV w:val="single" w:sz="4" w:space="0" w:color="BCE1E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">
    <w:name w:val="Таблица-сетка 1 светлая — акцент 3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7E4DB" w:themeColor="accent3" w:themeTint="66"/>
        <w:left w:val="single" w:sz="4" w:space="0" w:color="C7E4DB" w:themeColor="accent3" w:themeTint="66"/>
        <w:bottom w:val="single" w:sz="4" w:space="0" w:color="C7E4DB" w:themeColor="accent3" w:themeTint="66"/>
        <w:right w:val="single" w:sz="4" w:space="0" w:color="C7E4DB" w:themeColor="accent3" w:themeTint="66"/>
        <w:insideH w:val="single" w:sz="4" w:space="0" w:color="C7E4DB" w:themeColor="accent3" w:themeTint="66"/>
        <w:insideV w:val="single" w:sz="4" w:space="0" w:color="C7E4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1">
    <w:name w:val="Таблица-сетка 1 светлая — акцент 4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D0D1" w:themeColor="accent4" w:themeTint="66"/>
        <w:left w:val="single" w:sz="4" w:space="0" w:color="C9D0D1" w:themeColor="accent4" w:themeTint="66"/>
        <w:bottom w:val="single" w:sz="4" w:space="0" w:color="C9D0D1" w:themeColor="accent4" w:themeTint="66"/>
        <w:right w:val="single" w:sz="4" w:space="0" w:color="C9D0D1" w:themeColor="accent4" w:themeTint="66"/>
        <w:insideH w:val="single" w:sz="4" w:space="0" w:color="C9D0D1" w:themeColor="accent4" w:themeTint="66"/>
        <w:insideV w:val="single" w:sz="4" w:space="0" w:color="C9D0D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51">
    <w:name w:val="Таблица-сетка 1 светлая — акцент 5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DDDE1" w:themeColor="accent5" w:themeTint="66"/>
        <w:left w:val="single" w:sz="4" w:space="0" w:color="CDDDE1" w:themeColor="accent5" w:themeTint="66"/>
        <w:bottom w:val="single" w:sz="4" w:space="0" w:color="CDDDE1" w:themeColor="accent5" w:themeTint="66"/>
        <w:right w:val="single" w:sz="4" w:space="0" w:color="CDDDE1" w:themeColor="accent5" w:themeTint="66"/>
        <w:insideH w:val="single" w:sz="4" w:space="0" w:color="CDDDE1" w:themeColor="accent5" w:themeTint="66"/>
        <w:insideV w:val="single" w:sz="4" w:space="0" w:color="CDDDE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61">
    <w:name w:val="Таблица-сетка 1 светлая — акцент 6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3CEED" w:themeColor="accent6" w:themeTint="66"/>
        <w:left w:val="single" w:sz="4" w:space="0" w:color="A3CEED" w:themeColor="accent6" w:themeTint="66"/>
        <w:bottom w:val="single" w:sz="4" w:space="0" w:color="A3CEED" w:themeColor="accent6" w:themeTint="66"/>
        <w:right w:val="single" w:sz="4" w:space="0" w:color="A3CEED" w:themeColor="accent6" w:themeTint="66"/>
        <w:insideH w:val="single" w:sz="4" w:space="0" w:color="A3CEED" w:themeColor="accent6" w:themeTint="66"/>
        <w:insideV w:val="single" w:sz="4" w:space="0" w:color="A3CEE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10">
    <w:name w:val="Таблица-сетка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Таблица-сетка 2 — акцент 1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FC0DB" w:themeColor="accent1" w:themeTint="99"/>
        <w:bottom w:val="single" w:sz="2" w:space="0" w:color="7FC0DB" w:themeColor="accent1" w:themeTint="99"/>
        <w:insideH w:val="single" w:sz="2" w:space="0" w:color="7FC0DB" w:themeColor="accent1" w:themeTint="99"/>
        <w:insideV w:val="single" w:sz="2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FC0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221">
    <w:name w:val="Таблица-сетка 2 — акцент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9AD3D9" w:themeColor="accent2" w:themeTint="99"/>
        <w:bottom w:val="single" w:sz="2" w:space="0" w:color="9AD3D9" w:themeColor="accent2" w:themeTint="99"/>
        <w:insideH w:val="single" w:sz="2" w:space="0" w:color="9AD3D9" w:themeColor="accent2" w:themeTint="99"/>
        <w:insideV w:val="single" w:sz="2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D3D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231">
    <w:name w:val="Таблица-сетка 2 — акцент 3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CD7CA" w:themeColor="accent3" w:themeTint="99"/>
        <w:bottom w:val="single" w:sz="2" w:space="0" w:color="ACD7CA" w:themeColor="accent3" w:themeTint="99"/>
        <w:insideH w:val="single" w:sz="2" w:space="0" w:color="ACD7CA" w:themeColor="accent3" w:themeTint="99"/>
        <w:insideV w:val="single" w:sz="2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D7CA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241">
    <w:name w:val="Таблица-сетка 2 — акцент 4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FB9BB" w:themeColor="accent4" w:themeTint="99"/>
        <w:bottom w:val="single" w:sz="2" w:space="0" w:color="AFB9BB" w:themeColor="accent4" w:themeTint="99"/>
        <w:insideH w:val="single" w:sz="2" w:space="0" w:color="AFB9BB" w:themeColor="accent4" w:themeTint="99"/>
        <w:insideV w:val="single" w:sz="2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FB9B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251">
    <w:name w:val="Таблица-сетка 2 — акцент 5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B5CDD3" w:themeColor="accent5" w:themeTint="99"/>
        <w:bottom w:val="single" w:sz="2" w:space="0" w:color="B5CDD3" w:themeColor="accent5" w:themeTint="99"/>
        <w:insideH w:val="single" w:sz="2" w:space="0" w:color="B5CDD3" w:themeColor="accent5" w:themeTint="99"/>
        <w:insideV w:val="single" w:sz="2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CDD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261">
    <w:name w:val="Таблица-сетка 2 — акцент 6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4B5E4" w:themeColor="accent6" w:themeTint="99"/>
        <w:bottom w:val="single" w:sz="2" w:space="0" w:color="74B5E4" w:themeColor="accent6" w:themeTint="99"/>
        <w:insideH w:val="single" w:sz="2" w:space="0" w:color="74B5E4" w:themeColor="accent6" w:themeTint="99"/>
        <w:insideV w:val="single" w:sz="2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B5E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310">
    <w:name w:val="Таблица-сетка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-321">
    <w:name w:val="Таблица-сетка 3 — акцент 2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-331">
    <w:name w:val="Таблица-сетка 3 — акцент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-341">
    <w:name w:val="Таблица-сетка 3 — акцент 4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-351">
    <w:name w:val="Таблица-сетка 3 — акцент 5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-361">
    <w:name w:val="Таблица-сетка 3 — акцент 6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table" w:customStyle="1" w:styleId="-410">
    <w:name w:val="Таблица-сетка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Таблица-сетка 4 — акцент 1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421">
    <w:name w:val="Таблица-сетка 4 — акцент 2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431">
    <w:name w:val="Таблица-сетка 4 — акцент 3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441">
    <w:name w:val="Таблица-сетка 4 — акцент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451">
    <w:name w:val="Таблица-сетка 4 — акцент 5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461">
    <w:name w:val="Таблица-сетка 4 — акцент 6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510">
    <w:name w:val="Таблица-сетка 5 темная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">
    <w:name w:val="Таблица-сетка 5 темная — акцент 1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A9D5E7" w:themeFill="accent1" w:themeFillTint="66"/>
      </w:tcPr>
    </w:tblStylePr>
  </w:style>
  <w:style w:type="table" w:customStyle="1" w:styleId="-521">
    <w:name w:val="Таблица-сетка 5 темная — акцент 2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BCE1E5" w:themeFill="accent2" w:themeFillTint="66"/>
      </w:tcPr>
    </w:tblStylePr>
  </w:style>
  <w:style w:type="table" w:customStyle="1" w:styleId="-531">
    <w:name w:val="Таблица-сетка 5 темная — акцент 3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C7E4DB" w:themeFill="accent3" w:themeFillTint="66"/>
      </w:tcPr>
    </w:tblStylePr>
  </w:style>
  <w:style w:type="table" w:customStyle="1" w:styleId="-541">
    <w:name w:val="Таблица-сетка 5 темная — акцент 4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C9D0D1" w:themeFill="accent4" w:themeFillTint="66"/>
      </w:tcPr>
    </w:tblStylePr>
  </w:style>
  <w:style w:type="table" w:customStyle="1" w:styleId="-551">
    <w:name w:val="Таблица-сетка 5 темная — акцент 5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DDDE1" w:themeFill="accent5" w:themeFillTint="66"/>
      </w:tcPr>
    </w:tblStylePr>
  </w:style>
  <w:style w:type="table" w:customStyle="1" w:styleId="-561">
    <w:name w:val="Таблица-сетка 5 темная — акцент 6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A3CEED" w:themeFill="accent6" w:themeFillTint="66"/>
      </w:tcPr>
    </w:tblStylePr>
  </w:style>
  <w:style w:type="table" w:customStyle="1" w:styleId="-610">
    <w:name w:val="Таблица-сетка 6 цветная1"/>
    <w:basedOn w:val="a4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Таблица-сетка 6 цветная — акцент 11"/>
    <w:basedOn w:val="a4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621">
    <w:name w:val="Таблица-сетка 6 цветная — акцент 21"/>
    <w:basedOn w:val="a4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631">
    <w:name w:val="Таблица-сетка 6 цветная — акцент 31"/>
    <w:basedOn w:val="a4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641">
    <w:name w:val="Таблица-сетка 6 цветная — акцент 41"/>
    <w:basedOn w:val="a4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651">
    <w:name w:val="Таблица-сетка 6 цветная — акцент 51"/>
    <w:basedOn w:val="a4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661">
    <w:name w:val="Таблица-сетка 6 цветная — акцент 61"/>
    <w:basedOn w:val="a4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71">
    <w:name w:val="Таблица-сетка 7 цветная1"/>
    <w:basedOn w:val="a4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a4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a4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a4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a4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a4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a4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character" w:styleId="HTMLa">
    <w:name w:val="HTML Sample"/>
    <w:basedOn w:val="a3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2c">
    <w:name w:val="index 2"/>
    <w:basedOn w:val="a2"/>
    <w:next w:val="a2"/>
    <w:autoRedefine/>
    <w:uiPriority w:val="99"/>
    <w:semiHidden/>
    <w:unhideWhenUsed/>
    <w:rsid w:val="004230D9"/>
    <w:pPr>
      <w:ind w:left="480" w:hanging="240"/>
    </w:pPr>
  </w:style>
  <w:style w:type="paragraph" w:styleId="36">
    <w:name w:val="index 3"/>
    <w:basedOn w:val="a2"/>
    <w:next w:val="a2"/>
    <w:autoRedefine/>
    <w:uiPriority w:val="99"/>
    <w:semiHidden/>
    <w:unhideWhenUsed/>
    <w:rsid w:val="004230D9"/>
    <w:pPr>
      <w:ind w:left="720" w:hanging="240"/>
    </w:pPr>
  </w:style>
  <w:style w:type="paragraph" w:styleId="43">
    <w:name w:val="index 4"/>
    <w:basedOn w:val="a2"/>
    <w:next w:val="a2"/>
    <w:autoRedefine/>
    <w:uiPriority w:val="99"/>
    <w:semiHidden/>
    <w:unhideWhenUsed/>
    <w:rsid w:val="004230D9"/>
    <w:pPr>
      <w:ind w:left="960" w:hanging="240"/>
    </w:pPr>
  </w:style>
  <w:style w:type="paragraph" w:styleId="53">
    <w:name w:val="index 5"/>
    <w:basedOn w:val="a2"/>
    <w:next w:val="a2"/>
    <w:autoRedefine/>
    <w:uiPriority w:val="99"/>
    <w:semiHidden/>
    <w:unhideWhenUsed/>
    <w:rsid w:val="004230D9"/>
    <w:pPr>
      <w:ind w:left="1200" w:hanging="240"/>
    </w:pPr>
  </w:style>
  <w:style w:type="paragraph" w:styleId="61">
    <w:name w:val="index 6"/>
    <w:basedOn w:val="a2"/>
    <w:next w:val="a2"/>
    <w:autoRedefine/>
    <w:uiPriority w:val="99"/>
    <w:semiHidden/>
    <w:unhideWhenUsed/>
    <w:rsid w:val="004230D9"/>
    <w:pPr>
      <w:ind w:left="1440" w:hanging="240"/>
    </w:pPr>
  </w:style>
  <w:style w:type="paragraph" w:styleId="71">
    <w:name w:val="index 7"/>
    <w:basedOn w:val="a2"/>
    <w:next w:val="a2"/>
    <w:autoRedefine/>
    <w:uiPriority w:val="99"/>
    <w:semiHidden/>
    <w:unhideWhenUsed/>
    <w:rsid w:val="004230D9"/>
    <w:pPr>
      <w:ind w:left="1680" w:hanging="240"/>
    </w:pPr>
  </w:style>
  <w:style w:type="paragraph" w:styleId="81">
    <w:name w:val="index 8"/>
    <w:basedOn w:val="a2"/>
    <w:next w:val="a2"/>
    <w:autoRedefine/>
    <w:uiPriority w:val="99"/>
    <w:semiHidden/>
    <w:unhideWhenUsed/>
    <w:rsid w:val="004230D9"/>
    <w:pPr>
      <w:ind w:left="1920" w:hanging="240"/>
    </w:pPr>
  </w:style>
  <w:style w:type="paragraph" w:styleId="92">
    <w:name w:val="index 9"/>
    <w:basedOn w:val="a2"/>
    <w:next w:val="a2"/>
    <w:autoRedefine/>
    <w:uiPriority w:val="99"/>
    <w:semiHidden/>
    <w:unhideWhenUsed/>
    <w:rsid w:val="004230D9"/>
    <w:pPr>
      <w:ind w:left="2160" w:hanging="240"/>
    </w:pPr>
  </w:style>
  <w:style w:type="table" w:styleId="affffe">
    <w:name w:val="Light Grid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1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  <w:shd w:val="clear" w:color="auto" w:fill="CAE5F0" w:themeFill="accent1" w:themeFillTint="3F"/>
      </w:tcPr>
    </w:tblStylePr>
    <w:tblStylePr w:type="band2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</w:tcPr>
    </w:tblStylePr>
  </w:style>
  <w:style w:type="table" w:styleId="-23">
    <w:name w:val="Light Grid Accent 2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1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  <w:shd w:val="clear" w:color="auto" w:fill="D5ECEF" w:themeFill="accent2" w:themeFillTint="3F"/>
      </w:tcPr>
    </w:tblStylePr>
    <w:tblStylePr w:type="band2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</w:tcPr>
    </w:tblStylePr>
  </w:style>
  <w:style w:type="table" w:styleId="-33">
    <w:name w:val="Light Grid Accent 3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1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  <w:shd w:val="clear" w:color="auto" w:fill="DCEEE9" w:themeFill="accent3" w:themeFillTint="3F"/>
      </w:tcPr>
    </w:tblStylePr>
    <w:tblStylePr w:type="band2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</w:tcPr>
    </w:tblStylePr>
  </w:style>
  <w:style w:type="table" w:styleId="-43">
    <w:name w:val="Light Grid Accent 4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1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  <w:shd w:val="clear" w:color="auto" w:fill="DEE2E3" w:themeFill="accent4" w:themeFillTint="3F"/>
      </w:tcPr>
    </w:tblStylePr>
    <w:tblStylePr w:type="band2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</w:tcPr>
    </w:tblStylePr>
  </w:style>
  <w:style w:type="table" w:styleId="-53">
    <w:name w:val="Light Grid Accent 5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1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  <w:shd w:val="clear" w:color="auto" w:fill="E0EAED" w:themeFill="accent5" w:themeFillTint="3F"/>
      </w:tcPr>
    </w:tblStylePr>
    <w:tblStylePr w:type="band2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</w:tcPr>
    </w:tblStylePr>
  </w:style>
  <w:style w:type="table" w:styleId="-63">
    <w:name w:val="Light Grid Accent 6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1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  <w:shd w:val="clear" w:color="auto" w:fill="C5E0F4" w:themeFill="accent6" w:themeFillTint="3F"/>
      </w:tcPr>
    </w:tblStylePr>
    <w:tblStylePr w:type="band2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</w:tcPr>
    </w:tblStylePr>
  </w:style>
  <w:style w:type="table" w:styleId="afffff">
    <w:name w:val="Light List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</w:style>
  <w:style w:type="table" w:styleId="-24">
    <w:name w:val="Light List Accent 2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</w:style>
  <w:style w:type="table" w:styleId="-34">
    <w:name w:val="Light List Accent 3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</w:style>
  <w:style w:type="table" w:styleId="-44">
    <w:name w:val="Light List Accent 4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</w:style>
  <w:style w:type="table" w:styleId="-54">
    <w:name w:val="Light List Accent 5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</w:style>
  <w:style w:type="table" w:styleId="-64">
    <w:name w:val="Light List Accent 6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</w:style>
  <w:style w:type="table" w:styleId="afffff0">
    <w:name w:val="Light Shading"/>
    <w:basedOn w:val="a4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4"/>
    <w:uiPriority w:val="60"/>
    <w:semiHidden/>
    <w:unhideWhenUsed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</w:style>
  <w:style w:type="table" w:styleId="-25">
    <w:name w:val="Light Shading Accent 2"/>
    <w:basedOn w:val="a4"/>
    <w:uiPriority w:val="60"/>
    <w:semiHidden/>
    <w:unhideWhenUsed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</w:style>
  <w:style w:type="table" w:styleId="-35">
    <w:name w:val="Light Shading Accent 3"/>
    <w:basedOn w:val="a4"/>
    <w:uiPriority w:val="60"/>
    <w:semiHidden/>
    <w:unhideWhenUsed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</w:style>
  <w:style w:type="table" w:styleId="-45">
    <w:name w:val="Light Shading Accent 4"/>
    <w:basedOn w:val="a4"/>
    <w:uiPriority w:val="60"/>
    <w:semiHidden/>
    <w:unhideWhenUsed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</w:style>
  <w:style w:type="table" w:styleId="-55">
    <w:name w:val="Light Shading Accent 5"/>
    <w:basedOn w:val="a4"/>
    <w:uiPriority w:val="60"/>
    <w:semiHidden/>
    <w:unhideWhenUsed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</w:style>
  <w:style w:type="table" w:styleId="-65">
    <w:name w:val="Light Shading Accent 6"/>
    <w:basedOn w:val="a4"/>
    <w:uiPriority w:val="60"/>
    <w:semiHidden/>
    <w:unhideWhenUsed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</w:style>
  <w:style w:type="paragraph" w:styleId="afffff1">
    <w:name w:val="List"/>
    <w:basedOn w:val="a2"/>
    <w:uiPriority w:val="99"/>
    <w:semiHidden/>
    <w:unhideWhenUsed/>
    <w:rsid w:val="004230D9"/>
    <w:pPr>
      <w:ind w:left="360" w:hanging="360"/>
      <w:contextualSpacing/>
    </w:pPr>
  </w:style>
  <w:style w:type="paragraph" w:styleId="2d">
    <w:name w:val="List 2"/>
    <w:basedOn w:val="a2"/>
    <w:uiPriority w:val="99"/>
    <w:semiHidden/>
    <w:unhideWhenUsed/>
    <w:rsid w:val="004230D9"/>
    <w:pPr>
      <w:ind w:left="720" w:hanging="360"/>
      <w:contextualSpacing/>
    </w:pPr>
  </w:style>
  <w:style w:type="paragraph" w:styleId="37">
    <w:name w:val="List 3"/>
    <w:basedOn w:val="a2"/>
    <w:uiPriority w:val="99"/>
    <w:semiHidden/>
    <w:unhideWhenUsed/>
    <w:rsid w:val="004230D9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4230D9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4230D9"/>
    <w:pPr>
      <w:ind w:left="1800" w:hanging="360"/>
      <w:contextualSpacing/>
    </w:pPr>
  </w:style>
  <w:style w:type="paragraph" w:styleId="2">
    <w:name w:val="List Bullet 2"/>
    <w:basedOn w:val="a2"/>
    <w:uiPriority w:val="99"/>
    <w:semiHidden/>
    <w:unhideWhenUsed/>
    <w:rsid w:val="004230D9"/>
    <w:pPr>
      <w:numPr>
        <w:numId w:val="2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4230D9"/>
    <w:pPr>
      <w:numPr>
        <w:numId w:val="3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4230D9"/>
    <w:pPr>
      <w:numPr>
        <w:numId w:val="4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4230D9"/>
    <w:pPr>
      <w:numPr>
        <w:numId w:val="5"/>
      </w:numPr>
      <w:contextualSpacing/>
    </w:pPr>
  </w:style>
  <w:style w:type="paragraph" w:styleId="afffff2">
    <w:name w:val="List Continue"/>
    <w:basedOn w:val="a2"/>
    <w:uiPriority w:val="99"/>
    <w:semiHidden/>
    <w:unhideWhenUsed/>
    <w:rsid w:val="004230D9"/>
    <w:pPr>
      <w:spacing w:after="120"/>
      <w:ind w:left="360"/>
      <w:contextualSpacing/>
    </w:pPr>
  </w:style>
  <w:style w:type="paragraph" w:styleId="2e">
    <w:name w:val="List Continue 2"/>
    <w:basedOn w:val="a2"/>
    <w:uiPriority w:val="99"/>
    <w:semiHidden/>
    <w:unhideWhenUsed/>
    <w:rsid w:val="004230D9"/>
    <w:pPr>
      <w:spacing w:after="120"/>
      <w:ind w:left="720"/>
      <w:contextualSpacing/>
    </w:pPr>
  </w:style>
  <w:style w:type="paragraph" w:styleId="38">
    <w:name w:val="List Continue 3"/>
    <w:basedOn w:val="a2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3">
    <w:name w:val="List Number 3"/>
    <w:basedOn w:val="a2"/>
    <w:uiPriority w:val="99"/>
    <w:semiHidden/>
    <w:unhideWhenUsed/>
    <w:rsid w:val="004230D9"/>
    <w:pPr>
      <w:numPr>
        <w:numId w:val="6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4230D9"/>
    <w:pPr>
      <w:numPr>
        <w:numId w:val="8"/>
      </w:numPr>
      <w:contextualSpacing/>
    </w:pPr>
  </w:style>
  <w:style w:type="table" w:customStyle="1" w:styleId="-112">
    <w:name w:val="Список-таблица 1 светлая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1210">
    <w:name w:val="Список-таблица 1 светлая — акцент 2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1310">
    <w:name w:val="Список-таблица 1 светлая — акцент 3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1410">
    <w:name w:val="Список-таблица 1 светлая — акцент 4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1510">
    <w:name w:val="Список-таблица 1 светлая — акцент 5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1610">
    <w:name w:val="Список-таблица 1 светлая — акцент 6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212">
    <w:name w:val="Список-таблица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Список-таблица 2 — акцент 1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bottom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2210">
    <w:name w:val="Список-таблица 2 — акцент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bottom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2310">
    <w:name w:val="Список-таблица 2 — акцент 3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bottom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2410">
    <w:name w:val="Список-таблица 2 — акцент 4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bottom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2510">
    <w:name w:val="Список-таблица 2 — акцент 5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bottom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2610">
    <w:name w:val="Список-таблица 2 — акцент 6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bottom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312">
    <w:name w:val="Список-таблица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8B6C0" w:themeColor="accent2"/>
          <w:right w:val="single" w:sz="4" w:space="0" w:color="58B6C0" w:themeColor="accent2"/>
        </w:tcBorders>
      </w:tcPr>
    </w:tblStylePr>
    <w:tblStylePr w:type="band1Horz">
      <w:tblPr/>
      <w:tcPr>
        <w:tcBorders>
          <w:top w:val="single" w:sz="4" w:space="0" w:color="58B6C0" w:themeColor="accent2"/>
          <w:bottom w:val="single" w:sz="4" w:space="0" w:color="58B6C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8B6C0" w:themeColor="accent2"/>
          <w:left w:val="nil"/>
        </w:tcBorders>
      </w:tcPr>
    </w:tblStylePr>
    <w:tblStylePr w:type="swCell">
      <w:tblPr/>
      <w:tcPr>
        <w:tcBorders>
          <w:top w:val="double" w:sz="4" w:space="0" w:color="58B6C0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A8C8E" w:themeColor="accent4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8C8E" w:themeColor="accent4"/>
          <w:right w:val="single" w:sz="4" w:space="0" w:color="7A8C8E" w:themeColor="accent4"/>
        </w:tcBorders>
      </w:tcPr>
    </w:tblStylePr>
    <w:tblStylePr w:type="band1Horz">
      <w:tblPr/>
      <w:tcPr>
        <w:tcBorders>
          <w:top w:val="single" w:sz="4" w:space="0" w:color="7A8C8E" w:themeColor="accent4"/>
          <w:bottom w:val="single" w:sz="4" w:space="0" w:color="7A8C8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8C8E" w:themeColor="accent4"/>
          <w:left w:val="nil"/>
        </w:tcBorders>
      </w:tcPr>
    </w:tblStylePr>
    <w:tblStylePr w:type="swCell">
      <w:tblPr/>
      <w:tcPr>
        <w:tcBorders>
          <w:top w:val="double" w:sz="4" w:space="0" w:color="7A8C8E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4ACB6" w:themeColor="accent5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4ACB6" w:themeColor="accent5"/>
          <w:right w:val="single" w:sz="4" w:space="0" w:color="84ACB6" w:themeColor="accent5"/>
        </w:tcBorders>
      </w:tcPr>
    </w:tblStylePr>
    <w:tblStylePr w:type="band1Horz">
      <w:tblPr/>
      <w:tcPr>
        <w:tcBorders>
          <w:top w:val="single" w:sz="4" w:space="0" w:color="84ACB6" w:themeColor="accent5"/>
          <w:bottom w:val="single" w:sz="4" w:space="0" w:color="84ACB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4ACB6" w:themeColor="accent5"/>
          <w:left w:val="nil"/>
        </w:tcBorders>
      </w:tcPr>
    </w:tblStylePr>
    <w:tblStylePr w:type="swCell">
      <w:tblPr/>
      <w:tcPr>
        <w:tcBorders>
          <w:top w:val="double" w:sz="4" w:space="0" w:color="84ACB6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customStyle="1" w:styleId="-412">
    <w:name w:val="Список-таблица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Список-таблица 4 — акцент 1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4210">
    <w:name w:val="Список-таблица 4 — акцент 2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4310">
    <w:name w:val="Список-таблица 4 — акцент 3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4410">
    <w:name w:val="Список-таблица 4 — акцент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4510">
    <w:name w:val="Список-таблица 4 — акцент 5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4610">
    <w:name w:val="Список-таблица 4 — акцент 6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512">
    <w:name w:val="Список-таблица 5 темная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110">
    <w:name w:val="Список-таблица 5 темная — акцент 1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tblBorders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210">
    <w:name w:val="Список-таблица 5 темная — акцент 2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8B6C0" w:themeColor="accent2"/>
        <w:left w:val="single" w:sz="24" w:space="0" w:color="58B6C0" w:themeColor="accent2"/>
        <w:bottom w:val="single" w:sz="24" w:space="0" w:color="58B6C0" w:themeColor="accent2"/>
        <w:right w:val="single" w:sz="24" w:space="0" w:color="58B6C0" w:themeColor="accent2"/>
      </w:tblBorders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310">
    <w:name w:val="Список-таблица 5 темная — акцент 3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5BDA7" w:themeColor="accent3"/>
        <w:left w:val="single" w:sz="24" w:space="0" w:color="75BDA7" w:themeColor="accent3"/>
        <w:bottom w:val="single" w:sz="24" w:space="0" w:color="75BDA7" w:themeColor="accent3"/>
        <w:right w:val="single" w:sz="24" w:space="0" w:color="75BDA7" w:themeColor="accent3"/>
      </w:tblBorders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410">
    <w:name w:val="Список-таблица 5 темная — акцент 4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8C8E" w:themeColor="accent4"/>
        <w:left w:val="single" w:sz="24" w:space="0" w:color="7A8C8E" w:themeColor="accent4"/>
        <w:bottom w:val="single" w:sz="24" w:space="0" w:color="7A8C8E" w:themeColor="accent4"/>
        <w:right w:val="single" w:sz="24" w:space="0" w:color="7A8C8E" w:themeColor="accent4"/>
      </w:tblBorders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510">
    <w:name w:val="Список-таблица 5 темная — акцент 5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4ACB6" w:themeColor="accent5"/>
        <w:left w:val="single" w:sz="24" w:space="0" w:color="84ACB6" w:themeColor="accent5"/>
        <w:bottom w:val="single" w:sz="24" w:space="0" w:color="84ACB6" w:themeColor="accent5"/>
        <w:right w:val="single" w:sz="24" w:space="0" w:color="84ACB6" w:themeColor="accent5"/>
      </w:tblBorders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610">
    <w:name w:val="Список-таблица 5 темная — акцент 6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683C6" w:themeColor="accent6"/>
        <w:left w:val="single" w:sz="24" w:space="0" w:color="2683C6" w:themeColor="accent6"/>
        <w:bottom w:val="single" w:sz="24" w:space="0" w:color="2683C6" w:themeColor="accent6"/>
        <w:right w:val="single" w:sz="24" w:space="0" w:color="2683C6" w:themeColor="accent6"/>
      </w:tblBorders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2">
    <w:name w:val="Список-таблица 6 цветная1"/>
    <w:basedOn w:val="a4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a4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3494BA" w:themeColor="accent1"/>
        <w:bottom w:val="single" w:sz="4" w:space="0" w:color="3494B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494B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6210">
    <w:name w:val="Список-таблица 6 цветная — акцент 21"/>
    <w:basedOn w:val="a4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58B6C0" w:themeColor="accent2"/>
        <w:bottom w:val="single" w:sz="4" w:space="0" w:color="58B6C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58B6C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6310">
    <w:name w:val="Список-таблица 6 цветная — акцент 31"/>
    <w:basedOn w:val="a4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75BDA7" w:themeColor="accent3"/>
        <w:bottom w:val="single" w:sz="4" w:space="0" w:color="75BDA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75BDA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6410">
    <w:name w:val="Список-таблица 6 цветная — акцент 41"/>
    <w:basedOn w:val="a4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7A8C8E" w:themeColor="accent4"/>
        <w:bottom w:val="single" w:sz="4" w:space="0" w:color="7A8C8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A8C8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6510">
    <w:name w:val="Список-таблица 6 цветная — акцент 51"/>
    <w:basedOn w:val="a4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84ACB6" w:themeColor="accent5"/>
        <w:bottom w:val="single" w:sz="4" w:space="0" w:color="84ACB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84ACB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6610">
    <w:name w:val="Список-таблица 6 цветная — акцент 61"/>
    <w:basedOn w:val="a4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2683C6" w:themeColor="accent6"/>
        <w:bottom w:val="single" w:sz="4" w:space="0" w:color="2683C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683C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710">
    <w:name w:val="Список-таблица 7 цветная1"/>
    <w:basedOn w:val="a4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a4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494B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494B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494B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494B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a4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8B6C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8B6C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8B6C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8B6C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a4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5BDA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5BDA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5BDA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5BDA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a4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8C8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8C8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8C8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8C8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a4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4ACB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4ACB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4ACB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4ACB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a4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83C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83C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83C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83C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3">
    <w:name w:val="Medium Grid 1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  <w:insideV w:val="single" w:sz="8" w:space="0" w:color="5FB1D2" w:themeColor="accent1" w:themeTint="BF"/>
      </w:tblBorders>
    </w:tblPr>
    <w:tcPr>
      <w:shd w:val="clear" w:color="auto" w:fill="CAE5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FB1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1-2">
    <w:name w:val="Medium Grid 1 Accent 2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  <w:insideV w:val="single" w:sz="8" w:space="0" w:color="81C8CF" w:themeColor="accent2" w:themeTint="BF"/>
      </w:tblBorders>
    </w:tblPr>
    <w:tcPr>
      <w:shd w:val="clear" w:color="auto" w:fill="D5EC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1C8C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1-3">
    <w:name w:val="Medium Grid 1 Accent 3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  <w:insideV w:val="single" w:sz="8" w:space="0" w:color="97CDBC" w:themeColor="accent3" w:themeTint="BF"/>
      </w:tblBorders>
    </w:tblPr>
    <w:tcPr>
      <w:shd w:val="clear" w:color="auto" w:fill="DCEE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CDB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1-4">
    <w:name w:val="Medium Grid 1 Accent 4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  <w:insideV w:val="single" w:sz="8" w:space="0" w:color="9BA8AA" w:themeColor="accent4" w:themeTint="BF"/>
      </w:tblBorders>
    </w:tblPr>
    <w:tcPr>
      <w:shd w:val="clear" w:color="auto" w:fill="DEE2E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A8A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1-5">
    <w:name w:val="Medium Grid 1 Accent 5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  <w:insideV w:val="single" w:sz="8" w:space="0" w:color="A2C0C8" w:themeColor="accent5" w:themeTint="BF"/>
      </w:tblBorders>
    </w:tblPr>
    <w:tcPr>
      <w:shd w:val="clear" w:color="auto" w:fill="E0EAE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C0C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1-6">
    <w:name w:val="Medium Grid 1 Accent 6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  <w:insideV w:val="single" w:sz="8" w:space="0" w:color="52A3DE" w:themeColor="accent6" w:themeTint="BF"/>
      </w:tblBorders>
    </w:tblPr>
    <w:tcPr>
      <w:shd w:val="clear" w:color="auto" w:fill="C5E0F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2A3D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2f">
    <w:name w:val="Medium Grid 2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cPr>
      <w:shd w:val="clear" w:color="auto" w:fill="CAE5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4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AF3" w:themeFill="accent1" w:themeFillTint="33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tcBorders>
          <w:insideH w:val="single" w:sz="6" w:space="0" w:color="3494BA" w:themeColor="accent1"/>
          <w:insideV w:val="single" w:sz="6" w:space="0" w:color="3494BA" w:themeColor="accent1"/>
        </w:tcBorders>
        <w:shd w:val="clear" w:color="auto" w:fill="94CB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cPr>
      <w:shd w:val="clear" w:color="auto" w:fill="D5EC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EF7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0F2" w:themeFill="accent2" w:themeFillTint="33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tcBorders>
          <w:insideH w:val="single" w:sz="6" w:space="0" w:color="58B6C0" w:themeColor="accent2"/>
          <w:insideV w:val="single" w:sz="6" w:space="0" w:color="58B6C0" w:themeColor="accent2"/>
        </w:tcBorders>
        <w:shd w:val="clear" w:color="auto" w:fill="ABDAD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cPr>
      <w:shd w:val="clear" w:color="auto" w:fill="DCEE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1F8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1ED" w:themeFill="accent3" w:themeFillTint="33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tcBorders>
          <w:insideH w:val="single" w:sz="6" w:space="0" w:color="75BDA7" w:themeColor="accent3"/>
          <w:insideV w:val="single" w:sz="6" w:space="0" w:color="75BDA7" w:themeColor="accent3"/>
        </w:tcBorders>
        <w:shd w:val="clear" w:color="auto" w:fill="BADED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cPr>
      <w:shd w:val="clear" w:color="auto" w:fill="DEE2E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7E8" w:themeFill="accent4" w:themeFillTint="33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tcBorders>
          <w:insideH w:val="single" w:sz="6" w:space="0" w:color="7A8C8E" w:themeColor="accent4"/>
          <w:insideV w:val="single" w:sz="6" w:space="0" w:color="7A8C8E" w:themeColor="accent4"/>
        </w:tcBorders>
        <w:shd w:val="clear" w:color="auto" w:fill="BCC5C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cPr>
      <w:shd w:val="clear" w:color="auto" w:fill="E0EAE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6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F0" w:themeFill="accent5" w:themeFillTint="33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tcBorders>
          <w:insideH w:val="single" w:sz="6" w:space="0" w:color="84ACB6" w:themeColor="accent5"/>
          <w:insideV w:val="single" w:sz="6" w:space="0" w:color="84ACB6" w:themeColor="accent5"/>
        </w:tcBorders>
        <w:shd w:val="clear" w:color="auto" w:fill="C1D5D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cPr>
      <w:shd w:val="clear" w:color="auto" w:fill="C5E0F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2F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6F6" w:themeFill="accent6" w:themeFillTint="33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tcBorders>
          <w:insideH w:val="single" w:sz="6" w:space="0" w:color="2683C6" w:themeColor="accent6"/>
          <w:insideV w:val="single" w:sz="6" w:space="0" w:color="2683C6" w:themeColor="accent6"/>
        </w:tcBorders>
        <w:shd w:val="clear" w:color="auto" w:fill="8CC2E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9">
    <w:name w:val="Medium Grid 3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5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CB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CBE1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EC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DAD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DADF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EE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DED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DED3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2E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CC5C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CC5C6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AE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D5D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D5DA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E0F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C2E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C2E9" w:themeFill="accent6" w:themeFillTint="7F"/>
      </w:tcPr>
    </w:tblStylePr>
  </w:style>
  <w:style w:type="table" w:styleId="14">
    <w:name w:val="Medium List 1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494BA" w:themeColor="accen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shd w:val="clear" w:color="auto" w:fill="CAE5F0" w:themeFill="accent1" w:themeFillTint="3F"/>
      </w:tcPr>
    </w:tblStylePr>
  </w:style>
  <w:style w:type="table" w:styleId="1-20">
    <w:name w:val="Medium List 1 Accent 2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8B6C0" w:themeColor="accent2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shd w:val="clear" w:color="auto" w:fill="D5ECEF" w:themeFill="accent2" w:themeFillTint="3F"/>
      </w:tcPr>
    </w:tblStylePr>
  </w:style>
  <w:style w:type="table" w:styleId="1-30">
    <w:name w:val="Medium List 1 Accent 3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BDA7" w:themeColor="accent3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shd w:val="clear" w:color="auto" w:fill="DCEEE9" w:themeFill="accent3" w:themeFillTint="3F"/>
      </w:tcPr>
    </w:tblStylePr>
  </w:style>
  <w:style w:type="table" w:styleId="1-40">
    <w:name w:val="Medium List 1 Accent 4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8C8E" w:themeColor="accent4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shd w:val="clear" w:color="auto" w:fill="DEE2E3" w:themeFill="accent4" w:themeFillTint="3F"/>
      </w:tcPr>
    </w:tblStylePr>
  </w:style>
  <w:style w:type="table" w:styleId="1-50">
    <w:name w:val="Medium List 1 Accent 5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4ACB6" w:themeColor="accent5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shd w:val="clear" w:color="auto" w:fill="E0EAED" w:themeFill="accent5" w:themeFillTint="3F"/>
      </w:tcPr>
    </w:tblStylePr>
  </w:style>
  <w:style w:type="table" w:styleId="1-60">
    <w:name w:val="Medium List 1 Accent 6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83C6" w:themeColor="accent6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shd w:val="clear" w:color="auto" w:fill="C5E0F4" w:themeFill="accent6" w:themeFillTint="3F"/>
      </w:tcPr>
    </w:tblStylePr>
  </w:style>
  <w:style w:type="table" w:styleId="2f0">
    <w:name w:val="Medium List 2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494B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494B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494B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5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8B6C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8B6C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EC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BDA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5BDA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EE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8C8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8C8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E2E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4ACB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4ACB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AE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83C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83C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E0F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5">
    <w:name w:val="Medium Shading 1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5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EC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E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2E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AE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E0F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1">
    <w:name w:val="Medium Shading 2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f3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afffff4">
    <w:name w:val="Normal (Web)"/>
    <w:basedOn w:val="a2"/>
    <w:uiPriority w:val="99"/>
    <w:unhideWhenUsed/>
    <w:rsid w:val="004230D9"/>
  </w:style>
  <w:style w:type="paragraph" w:styleId="afffff5">
    <w:name w:val="Normal Indent"/>
    <w:basedOn w:val="a2"/>
    <w:uiPriority w:val="99"/>
    <w:semiHidden/>
    <w:unhideWhenUsed/>
    <w:rsid w:val="004230D9"/>
    <w:pPr>
      <w:ind w:left="708"/>
    </w:pPr>
  </w:style>
  <w:style w:type="character" w:styleId="afffff6">
    <w:name w:val="page number"/>
    <w:basedOn w:val="a3"/>
    <w:uiPriority w:val="99"/>
    <w:semiHidden/>
    <w:unhideWhenUsed/>
    <w:rsid w:val="004230D9"/>
    <w:rPr>
      <w:rFonts w:ascii="Times New Roman" w:hAnsi="Times New Roman" w:cs="Times New Roman"/>
    </w:rPr>
  </w:style>
  <w:style w:type="table" w:customStyle="1" w:styleId="110">
    <w:name w:val="Таблица простая 11"/>
    <w:basedOn w:val="a4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0">
    <w:name w:val="Таблица простая 21"/>
    <w:basedOn w:val="a4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0">
    <w:name w:val="Таблица простая 31"/>
    <w:basedOn w:val="a4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Таблица простая 41"/>
    <w:basedOn w:val="a4"/>
    <w:uiPriority w:val="44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0">
    <w:name w:val="Таблица простая 51"/>
    <w:basedOn w:val="a4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6">
    <w:name w:val="Table 3D effects 1"/>
    <w:basedOn w:val="a4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3D effects 2"/>
    <w:basedOn w:val="a4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3D effects 3"/>
    <w:basedOn w:val="a4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lassic 1"/>
    <w:basedOn w:val="a4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lassic 2"/>
    <w:basedOn w:val="a4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olorful 1"/>
    <w:basedOn w:val="a4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orful 2"/>
    <w:basedOn w:val="a4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Columns 1"/>
    <w:basedOn w:val="a4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7">
    <w:name w:val="Table Contemporary"/>
    <w:basedOn w:val="a4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8">
    <w:name w:val="Table Elegant"/>
    <w:basedOn w:val="a4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9">
    <w:name w:val="Table Grid"/>
    <w:basedOn w:val="a4"/>
    <w:uiPriority w:val="59"/>
    <w:rsid w:val="0042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a">
    <w:name w:val="Table Grid 1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Grid 2"/>
    <w:basedOn w:val="a4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Grid 3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Grid 4"/>
    <w:basedOn w:val="a4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7">
    <w:name w:val="Table Grid 5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b">
    <w:name w:val="Сетка таблицы светлая1"/>
    <w:basedOn w:val="a4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6">
    <w:name w:val="Table List 1"/>
    <w:basedOn w:val="a4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6">
    <w:name w:val="Table List 2"/>
    <w:basedOn w:val="a4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6">
    <w:name w:val="Table List 3"/>
    <w:basedOn w:val="a4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6">
    <w:name w:val="Table List 4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6">
    <w:name w:val="Table List 5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6">
    <w:name w:val="Table List 6"/>
    <w:basedOn w:val="a4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a">
    <w:name w:val="table of authorities"/>
    <w:basedOn w:val="a2"/>
    <w:next w:val="a2"/>
    <w:uiPriority w:val="99"/>
    <w:semiHidden/>
    <w:unhideWhenUsed/>
    <w:rsid w:val="004230D9"/>
    <w:pPr>
      <w:ind w:left="240" w:hanging="240"/>
    </w:pPr>
  </w:style>
  <w:style w:type="paragraph" w:styleId="afffffb">
    <w:name w:val="table of figures"/>
    <w:basedOn w:val="a2"/>
    <w:next w:val="a2"/>
    <w:uiPriority w:val="99"/>
    <w:semiHidden/>
    <w:unhideWhenUsed/>
    <w:rsid w:val="004230D9"/>
  </w:style>
  <w:style w:type="table" w:styleId="afffffc">
    <w:name w:val="Table Professional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imple 1"/>
    <w:basedOn w:val="a4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Simple 2"/>
    <w:basedOn w:val="a4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Simple 3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ubtle 1"/>
    <w:basedOn w:val="a4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ubtle 2"/>
    <w:basedOn w:val="a4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Table Theme"/>
    <w:basedOn w:val="a4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7">
    <w:name w:val="Table Web 1"/>
    <w:basedOn w:val="a4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7">
    <w:name w:val="Table Web 2"/>
    <w:basedOn w:val="a4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7">
    <w:name w:val="Table Web 3"/>
    <w:basedOn w:val="a4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e">
    <w:name w:val="toa heading"/>
    <w:basedOn w:val="a2"/>
    <w:next w:val="a2"/>
    <w:uiPriority w:val="99"/>
    <w:semiHidden/>
    <w:unhideWhenUsed/>
    <w:rsid w:val="004230D9"/>
    <w:pPr>
      <w:spacing w:before="120"/>
    </w:pPr>
    <w:rPr>
      <w:rFonts w:ascii="Arial" w:eastAsiaTheme="majorEastAsia" w:hAnsi="Arial" w:cs="Arial"/>
      <w:b/>
      <w:bCs/>
    </w:rPr>
  </w:style>
  <w:style w:type="paragraph" w:styleId="2f9">
    <w:name w:val="toc 2"/>
    <w:basedOn w:val="a2"/>
    <w:next w:val="a2"/>
    <w:autoRedefine/>
    <w:uiPriority w:val="39"/>
    <w:unhideWhenUsed/>
    <w:rsid w:val="004230D9"/>
    <w:pPr>
      <w:spacing w:after="100"/>
      <w:ind w:left="240"/>
    </w:pPr>
  </w:style>
  <w:style w:type="paragraph" w:styleId="3f0">
    <w:name w:val="toc 3"/>
    <w:basedOn w:val="a2"/>
    <w:next w:val="a2"/>
    <w:autoRedefine/>
    <w:uiPriority w:val="39"/>
    <w:unhideWhenUsed/>
    <w:rsid w:val="004230D9"/>
    <w:pPr>
      <w:spacing w:after="100"/>
      <w:ind w:left="480"/>
    </w:pPr>
  </w:style>
  <w:style w:type="paragraph" w:styleId="49">
    <w:name w:val="toc 4"/>
    <w:basedOn w:val="a2"/>
    <w:next w:val="a2"/>
    <w:autoRedefine/>
    <w:uiPriority w:val="39"/>
    <w:unhideWhenUsed/>
    <w:rsid w:val="004230D9"/>
    <w:pPr>
      <w:spacing w:after="100"/>
      <w:ind w:left="720"/>
    </w:pPr>
  </w:style>
  <w:style w:type="paragraph" w:styleId="58">
    <w:name w:val="toc 5"/>
    <w:basedOn w:val="a2"/>
    <w:next w:val="a2"/>
    <w:autoRedefine/>
    <w:uiPriority w:val="39"/>
    <w:unhideWhenUsed/>
    <w:rsid w:val="004230D9"/>
    <w:pPr>
      <w:spacing w:after="100"/>
      <w:ind w:left="960"/>
    </w:pPr>
  </w:style>
  <w:style w:type="paragraph" w:styleId="63">
    <w:name w:val="toc 6"/>
    <w:basedOn w:val="a2"/>
    <w:next w:val="a2"/>
    <w:autoRedefine/>
    <w:uiPriority w:val="39"/>
    <w:unhideWhenUsed/>
    <w:rsid w:val="004230D9"/>
    <w:pPr>
      <w:spacing w:after="100"/>
      <w:ind w:left="1200"/>
    </w:pPr>
  </w:style>
  <w:style w:type="paragraph" w:styleId="73">
    <w:name w:val="toc 7"/>
    <w:basedOn w:val="a2"/>
    <w:next w:val="a2"/>
    <w:autoRedefine/>
    <w:uiPriority w:val="39"/>
    <w:unhideWhenUsed/>
    <w:rsid w:val="004230D9"/>
    <w:pPr>
      <w:spacing w:after="100"/>
      <w:ind w:left="1440"/>
    </w:pPr>
  </w:style>
  <w:style w:type="paragraph" w:styleId="83">
    <w:name w:val="toc 8"/>
    <w:basedOn w:val="a2"/>
    <w:next w:val="a2"/>
    <w:autoRedefine/>
    <w:uiPriority w:val="39"/>
    <w:unhideWhenUsed/>
    <w:rsid w:val="004230D9"/>
    <w:pPr>
      <w:spacing w:after="100"/>
      <w:ind w:left="1680"/>
    </w:pPr>
  </w:style>
  <w:style w:type="character" w:customStyle="1" w:styleId="a8">
    <w:name w:val="Дата Знак"/>
    <w:basedOn w:val="a3"/>
    <w:link w:val="a7"/>
    <w:uiPriority w:val="10"/>
    <w:rsid w:val="00C47362"/>
    <w:rPr>
      <w:rFonts w:ascii="Times New Roman" w:hAnsi="Times New Roman"/>
    </w:rPr>
  </w:style>
  <w:style w:type="paragraph" w:customStyle="1" w:styleId="affffff">
    <w:name w:val="МестоДатаВремя"/>
    <w:basedOn w:val="a2"/>
    <w:qFormat/>
    <w:rsid w:val="00F50B79"/>
    <w:pPr>
      <w:framePr w:wrap="around" w:vAnchor="page" w:hAnchor="text" w:xAlign="right" w:y="318"/>
      <w:spacing w:line="220" w:lineRule="exact"/>
      <w:ind w:left="431" w:hanging="431"/>
    </w:pPr>
    <w:rPr>
      <w:rFonts w:asciiTheme="majorHAnsi" w:hAnsiTheme="majorHAnsi"/>
      <w:color w:val="FFFFFF" w:themeColor="background1"/>
      <w:sz w:val="16"/>
    </w:rPr>
  </w:style>
  <w:style w:type="numbering" w:customStyle="1" w:styleId="1e">
    <w:name w:val="Нет списка1"/>
    <w:next w:val="a5"/>
    <w:uiPriority w:val="99"/>
    <w:semiHidden/>
    <w:unhideWhenUsed/>
    <w:rsid w:val="00FA3FA4"/>
  </w:style>
  <w:style w:type="character" w:customStyle="1" w:styleId="10">
    <w:name w:val="Заголовок 1 Знак"/>
    <w:basedOn w:val="a3"/>
    <w:link w:val="1"/>
    <w:uiPriority w:val="9"/>
    <w:rsid w:val="00FA3FA4"/>
    <w:rPr>
      <w:rFonts w:asciiTheme="majorHAnsi" w:hAnsiTheme="majorHAnsi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3"/>
    <w:link w:val="21"/>
    <w:uiPriority w:val="9"/>
    <w:rsid w:val="00FA3FA4"/>
    <w:rPr>
      <w:rFonts w:ascii="Arial" w:hAnsi="Arial" w:cs="Arial"/>
      <w:b/>
      <w:bCs/>
      <w:iCs/>
      <w:sz w:val="20"/>
      <w:szCs w:val="28"/>
      <w:lang w:eastAsia="ru-RU"/>
    </w:rPr>
  </w:style>
  <w:style w:type="numbering" w:customStyle="1" w:styleId="111">
    <w:name w:val="Нет списка11"/>
    <w:next w:val="a5"/>
    <w:uiPriority w:val="99"/>
    <w:semiHidden/>
    <w:unhideWhenUsed/>
    <w:rsid w:val="00FA3FA4"/>
  </w:style>
  <w:style w:type="paragraph" w:customStyle="1" w:styleId="FR1">
    <w:name w:val="FR1"/>
    <w:uiPriority w:val="99"/>
    <w:rsid w:val="00FA3FA4"/>
    <w:pPr>
      <w:widowControl w:val="0"/>
      <w:spacing w:after="0" w:line="240" w:lineRule="auto"/>
      <w:ind w:left="0"/>
      <w:jc w:val="center"/>
    </w:pPr>
    <w:rPr>
      <w:rFonts w:ascii="Arial" w:hAnsi="Arial"/>
      <w:b/>
      <w:sz w:val="16"/>
      <w:szCs w:val="20"/>
      <w:lang w:eastAsia="ru-RU"/>
    </w:rPr>
  </w:style>
  <w:style w:type="paragraph" w:customStyle="1" w:styleId="FR2">
    <w:name w:val="FR2"/>
    <w:uiPriority w:val="99"/>
    <w:rsid w:val="00FA3FA4"/>
    <w:pPr>
      <w:widowControl w:val="0"/>
      <w:spacing w:after="0" w:line="240" w:lineRule="auto"/>
      <w:ind w:left="0"/>
      <w:jc w:val="both"/>
    </w:pPr>
    <w:rPr>
      <w:rFonts w:ascii="Arial" w:hAnsi="Arial"/>
      <w:sz w:val="12"/>
      <w:szCs w:val="20"/>
      <w:lang w:eastAsia="ru-RU"/>
    </w:rPr>
  </w:style>
  <w:style w:type="paragraph" w:customStyle="1" w:styleId="FR3">
    <w:name w:val="FR3"/>
    <w:uiPriority w:val="99"/>
    <w:rsid w:val="00FA3FA4"/>
    <w:pPr>
      <w:widowControl w:val="0"/>
      <w:autoSpaceDE w:val="0"/>
      <w:autoSpaceDN w:val="0"/>
      <w:adjustRightInd w:val="0"/>
      <w:spacing w:after="0" w:line="240" w:lineRule="auto"/>
      <w:ind w:left="0" w:right="200"/>
      <w:jc w:val="center"/>
    </w:pPr>
    <w:rPr>
      <w:rFonts w:ascii="Arial" w:hAnsi="Arial" w:cs="Arial"/>
      <w:sz w:val="12"/>
      <w:szCs w:val="12"/>
      <w:lang w:eastAsia="ru-RU"/>
    </w:rPr>
  </w:style>
  <w:style w:type="paragraph" w:customStyle="1" w:styleId="heading2">
    <w:name w:val="heading2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36"/>
      <w:szCs w:val="36"/>
    </w:rPr>
  </w:style>
  <w:style w:type="paragraph" w:customStyle="1" w:styleId="author">
    <w:name w:val="author"/>
    <w:basedOn w:val="a2"/>
    <w:rsid w:val="00FA3FA4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7"/>
      <w:szCs w:val="27"/>
    </w:rPr>
  </w:style>
  <w:style w:type="paragraph" w:customStyle="1" w:styleId="authors">
    <w:name w:val="authors"/>
    <w:basedOn w:val="a2"/>
    <w:rsid w:val="00FA3FA4"/>
    <w:pPr>
      <w:widowControl/>
      <w:autoSpaceDE/>
      <w:autoSpaceDN/>
      <w:adjustRightInd/>
      <w:spacing w:before="100" w:beforeAutospacing="1"/>
    </w:pPr>
    <w:rPr>
      <w:sz w:val="24"/>
      <w:szCs w:val="24"/>
    </w:rPr>
  </w:style>
  <w:style w:type="paragraph" w:customStyle="1" w:styleId="level00">
    <w:name w:val="level00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ing1">
    <w:name w:val="heading1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48"/>
      <w:szCs w:val="48"/>
    </w:rPr>
  </w:style>
  <w:style w:type="paragraph" w:customStyle="1" w:styleId="literature">
    <w:name w:val="literature"/>
    <w:basedOn w:val="a2"/>
    <w:rsid w:val="00FA3FA4"/>
    <w:pPr>
      <w:widowControl/>
      <w:autoSpaceDE/>
      <w:autoSpaceDN/>
      <w:adjustRightInd/>
      <w:spacing w:before="30"/>
      <w:ind w:left="300" w:hanging="300"/>
    </w:pPr>
    <w:rPr>
      <w:sz w:val="24"/>
      <w:szCs w:val="24"/>
    </w:rPr>
  </w:style>
  <w:style w:type="paragraph" w:customStyle="1" w:styleId="level10">
    <w:name w:val="level10"/>
    <w:basedOn w:val="a2"/>
    <w:rsid w:val="00FA3FA4"/>
    <w:pPr>
      <w:widowControl/>
      <w:autoSpaceDE/>
      <w:autoSpaceDN/>
      <w:adjustRightInd/>
      <w:spacing w:before="30"/>
      <w:ind w:left="300" w:hanging="300"/>
    </w:pPr>
    <w:rPr>
      <w:sz w:val="24"/>
      <w:szCs w:val="24"/>
    </w:rPr>
  </w:style>
  <w:style w:type="paragraph" w:customStyle="1" w:styleId="level11">
    <w:name w:val="level11"/>
    <w:basedOn w:val="a2"/>
    <w:rsid w:val="00FA3FA4"/>
    <w:pPr>
      <w:widowControl/>
      <w:autoSpaceDE/>
      <w:autoSpaceDN/>
      <w:adjustRightInd/>
      <w:spacing w:before="30"/>
      <w:ind w:left="300"/>
    </w:pPr>
    <w:rPr>
      <w:sz w:val="24"/>
      <w:szCs w:val="24"/>
    </w:rPr>
  </w:style>
  <w:style w:type="paragraph" w:customStyle="1" w:styleId="level20">
    <w:name w:val="level20"/>
    <w:basedOn w:val="a2"/>
    <w:rsid w:val="00FA3FA4"/>
    <w:pPr>
      <w:widowControl/>
      <w:autoSpaceDE/>
      <w:autoSpaceDN/>
      <w:adjustRightInd/>
      <w:spacing w:before="30"/>
      <w:ind w:left="600" w:hanging="300"/>
    </w:pPr>
    <w:rPr>
      <w:sz w:val="24"/>
      <w:szCs w:val="24"/>
    </w:rPr>
  </w:style>
  <w:style w:type="paragraph" w:customStyle="1" w:styleId="level21">
    <w:name w:val="level21"/>
    <w:basedOn w:val="a2"/>
    <w:rsid w:val="00FA3FA4"/>
    <w:pPr>
      <w:widowControl/>
      <w:autoSpaceDE/>
      <w:autoSpaceDN/>
      <w:adjustRightInd/>
      <w:spacing w:before="30"/>
      <w:ind w:left="600"/>
    </w:pPr>
    <w:rPr>
      <w:sz w:val="24"/>
      <w:szCs w:val="24"/>
    </w:rPr>
  </w:style>
  <w:style w:type="paragraph" w:customStyle="1" w:styleId="level30">
    <w:name w:val="level30"/>
    <w:basedOn w:val="a2"/>
    <w:rsid w:val="00FA3FA4"/>
    <w:pPr>
      <w:widowControl/>
      <w:autoSpaceDE/>
      <w:autoSpaceDN/>
      <w:adjustRightInd/>
      <w:spacing w:before="30"/>
      <w:ind w:left="900" w:hanging="300"/>
    </w:pPr>
    <w:rPr>
      <w:sz w:val="24"/>
      <w:szCs w:val="24"/>
    </w:rPr>
  </w:style>
  <w:style w:type="paragraph" w:customStyle="1" w:styleId="level40">
    <w:name w:val="level40"/>
    <w:basedOn w:val="a2"/>
    <w:rsid w:val="00FA3FA4"/>
    <w:pPr>
      <w:widowControl/>
      <w:autoSpaceDE/>
      <w:autoSpaceDN/>
      <w:adjustRightInd/>
      <w:spacing w:before="30"/>
      <w:ind w:left="1200" w:hanging="300"/>
    </w:pPr>
    <w:rPr>
      <w:sz w:val="24"/>
      <w:szCs w:val="24"/>
    </w:rPr>
  </w:style>
  <w:style w:type="paragraph" w:customStyle="1" w:styleId="level50">
    <w:name w:val="level50"/>
    <w:basedOn w:val="a2"/>
    <w:rsid w:val="00FA3FA4"/>
    <w:pPr>
      <w:widowControl/>
      <w:autoSpaceDE/>
      <w:autoSpaceDN/>
      <w:adjustRightInd/>
      <w:spacing w:before="30"/>
      <w:ind w:left="1500" w:hanging="300"/>
    </w:pPr>
    <w:rPr>
      <w:sz w:val="24"/>
      <w:szCs w:val="24"/>
    </w:rPr>
  </w:style>
  <w:style w:type="paragraph" w:customStyle="1" w:styleId="level31">
    <w:name w:val="level31"/>
    <w:basedOn w:val="a2"/>
    <w:rsid w:val="00FA3FA4"/>
    <w:pPr>
      <w:widowControl/>
      <w:autoSpaceDE/>
      <w:autoSpaceDN/>
      <w:adjustRightInd/>
      <w:spacing w:before="30"/>
      <w:ind w:left="900"/>
    </w:pPr>
    <w:rPr>
      <w:sz w:val="24"/>
      <w:szCs w:val="24"/>
    </w:rPr>
  </w:style>
  <w:style w:type="paragraph" w:customStyle="1" w:styleId="level60">
    <w:name w:val="level60"/>
    <w:basedOn w:val="a2"/>
    <w:rsid w:val="00FA3FA4"/>
    <w:pPr>
      <w:widowControl/>
      <w:autoSpaceDE/>
      <w:autoSpaceDN/>
      <w:adjustRightInd/>
      <w:spacing w:before="30"/>
      <w:ind w:left="1800" w:hanging="300"/>
    </w:pPr>
    <w:rPr>
      <w:sz w:val="24"/>
      <w:szCs w:val="24"/>
    </w:rPr>
  </w:style>
  <w:style w:type="paragraph" w:customStyle="1" w:styleId="level41">
    <w:name w:val="level41"/>
    <w:basedOn w:val="a2"/>
    <w:rsid w:val="00FA3FA4"/>
    <w:pPr>
      <w:widowControl/>
      <w:autoSpaceDE/>
      <w:autoSpaceDN/>
      <w:adjustRightInd/>
      <w:spacing w:before="30"/>
      <w:ind w:left="1200"/>
    </w:pPr>
    <w:rPr>
      <w:sz w:val="24"/>
      <w:szCs w:val="24"/>
    </w:rPr>
  </w:style>
  <w:style w:type="paragraph" w:customStyle="1" w:styleId="level51">
    <w:name w:val="level51"/>
    <w:basedOn w:val="a2"/>
    <w:rsid w:val="00FA3FA4"/>
    <w:pPr>
      <w:widowControl/>
      <w:autoSpaceDE/>
      <w:autoSpaceDN/>
      <w:adjustRightInd/>
      <w:spacing w:before="30"/>
      <w:ind w:left="1500"/>
    </w:pPr>
    <w:rPr>
      <w:sz w:val="24"/>
      <w:szCs w:val="24"/>
    </w:rPr>
  </w:style>
  <w:style w:type="paragraph" w:customStyle="1" w:styleId="level61">
    <w:name w:val="level61"/>
    <w:basedOn w:val="a2"/>
    <w:rsid w:val="00FA3FA4"/>
    <w:pPr>
      <w:widowControl/>
      <w:autoSpaceDE/>
      <w:autoSpaceDN/>
      <w:adjustRightInd/>
      <w:spacing w:before="30"/>
      <w:ind w:left="1800"/>
    </w:pPr>
    <w:rPr>
      <w:sz w:val="24"/>
      <w:szCs w:val="24"/>
    </w:rPr>
  </w:style>
  <w:style w:type="paragraph" w:customStyle="1" w:styleId="tblnorm">
    <w:name w:val="tblnorm"/>
    <w:basedOn w:val="a2"/>
    <w:rsid w:val="00FA3FA4"/>
    <w:pPr>
      <w:widowControl/>
      <w:autoSpaceDE/>
      <w:autoSpaceDN/>
      <w:adjustRightInd/>
    </w:pPr>
    <w:rPr>
      <w:sz w:val="24"/>
      <w:szCs w:val="24"/>
    </w:rPr>
  </w:style>
  <w:style w:type="paragraph" w:customStyle="1" w:styleId="tblshift">
    <w:name w:val="tblshift"/>
    <w:basedOn w:val="a2"/>
    <w:rsid w:val="00FA3FA4"/>
    <w:pPr>
      <w:widowControl/>
      <w:autoSpaceDE/>
      <w:autoSpaceDN/>
      <w:adjustRightInd/>
      <w:ind w:left="300"/>
    </w:pPr>
    <w:rPr>
      <w:sz w:val="24"/>
      <w:szCs w:val="24"/>
    </w:rPr>
  </w:style>
  <w:style w:type="paragraph" w:customStyle="1" w:styleId="figurelegend">
    <w:name w:val="figurelegend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blshift1">
    <w:name w:val="tblshift1"/>
    <w:basedOn w:val="a2"/>
    <w:rsid w:val="00FA3FA4"/>
    <w:pPr>
      <w:widowControl/>
      <w:autoSpaceDE/>
      <w:autoSpaceDN/>
      <w:adjustRightInd/>
      <w:ind w:left="600"/>
    </w:pPr>
    <w:rPr>
      <w:sz w:val="24"/>
      <w:szCs w:val="24"/>
    </w:rPr>
  </w:style>
  <w:style w:type="paragraph" w:customStyle="1" w:styleId="1f">
    <w:name w:val="Стиль1"/>
    <w:basedOn w:val="afb"/>
    <w:link w:val="1f0"/>
    <w:qFormat/>
    <w:rsid w:val="00FA3FA4"/>
    <w:pPr>
      <w:keepLines/>
      <w:framePr w:wrap="auto" w:vAnchor="margin" w:yAlign="inline"/>
      <w:widowControl/>
      <w:autoSpaceDE/>
      <w:autoSpaceDN/>
      <w:adjustRightInd/>
      <w:spacing w:after="0" w:line="276" w:lineRule="auto"/>
      <w:contextualSpacing w:val="0"/>
      <w:jc w:val="left"/>
      <w:outlineLvl w:val="9"/>
    </w:pPr>
    <w:rPr>
      <w:rFonts w:ascii="Cambria" w:hAnsi="Cambria"/>
    </w:rPr>
  </w:style>
  <w:style w:type="character" w:customStyle="1" w:styleId="afc">
    <w:name w:val="Заголовок оглавления Знак"/>
    <w:basedOn w:val="10"/>
    <w:link w:val="afb"/>
    <w:uiPriority w:val="39"/>
    <w:rsid w:val="00FA3FA4"/>
    <w:rPr>
      <w:rFonts w:asciiTheme="majorHAnsi" w:eastAsiaTheme="majorEastAsia" w:hAnsiTheme="majorHAnsi" w:cs="Arial"/>
      <w:b/>
      <w:bCs w:val="0"/>
      <w:kern w:val="32"/>
      <w:sz w:val="32"/>
      <w:szCs w:val="32"/>
      <w:lang w:eastAsia="ru-RU"/>
    </w:rPr>
  </w:style>
  <w:style w:type="character" w:customStyle="1" w:styleId="1f0">
    <w:name w:val="Стиль1 Знак"/>
    <w:basedOn w:val="afc"/>
    <w:link w:val="1f"/>
    <w:rsid w:val="00FA3FA4"/>
    <w:rPr>
      <w:rFonts w:ascii="Cambria" w:eastAsiaTheme="majorEastAsia" w:hAnsi="Cambria" w:cs="Arial"/>
      <w:b/>
      <w:bCs w:val="0"/>
      <w:kern w:val="32"/>
      <w:sz w:val="32"/>
      <w:szCs w:val="32"/>
      <w:lang w:eastAsia="ru-RU"/>
    </w:rPr>
  </w:style>
  <w:style w:type="character" w:customStyle="1" w:styleId="affffff0">
    <w:name w:val="Основной текст_"/>
    <w:basedOn w:val="a3"/>
    <w:link w:val="1f1"/>
    <w:rsid w:val="00BF7C29"/>
    <w:rPr>
      <w:rFonts w:ascii="Times New Roman" w:hAnsi="Times New Roman"/>
      <w:sz w:val="18"/>
      <w:szCs w:val="18"/>
    </w:rPr>
  </w:style>
  <w:style w:type="character" w:customStyle="1" w:styleId="3f1">
    <w:name w:val="Заголовок №3_"/>
    <w:basedOn w:val="a3"/>
    <w:link w:val="3f2"/>
    <w:rsid w:val="00BF7C29"/>
    <w:rPr>
      <w:rFonts w:ascii="Arial" w:eastAsia="Arial" w:hAnsi="Arial" w:cs="Arial"/>
      <w:b/>
      <w:bCs/>
      <w:sz w:val="22"/>
      <w:szCs w:val="22"/>
    </w:rPr>
  </w:style>
  <w:style w:type="character" w:customStyle="1" w:styleId="4a">
    <w:name w:val="Заголовок №4_"/>
    <w:basedOn w:val="a3"/>
    <w:link w:val="4b"/>
    <w:rsid w:val="00BF7C29"/>
    <w:rPr>
      <w:rFonts w:ascii="Arial" w:eastAsia="Arial" w:hAnsi="Arial" w:cs="Arial"/>
      <w:b/>
      <w:bCs/>
      <w:sz w:val="19"/>
      <w:szCs w:val="19"/>
    </w:rPr>
  </w:style>
  <w:style w:type="paragraph" w:customStyle="1" w:styleId="1f1">
    <w:name w:val="Основной текст1"/>
    <w:basedOn w:val="a2"/>
    <w:link w:val="affffff0"/>
    <w:rsid w:val="00BF7C29"/>
    <w:pPr>
      <w:autoSpaceDE/>
      <w:autoSpaceDN/>
      <w:adjustRightInd/>
      <w:ind w:firstLine="240"/>
    </w:pPr>
    <w:rPr>
      <w:sz w:val="18"/>
      <w:szCs w:val="18"/>
      <w:lang w:eastAsia="en-US"/>
    </w:rPr>
  </w:style>
  <w:style w:type="paragraph" w:customStyle="1" w:styleId="3f2">
    <w:name w:val="Заголовок №3"/>
    <w:basedOn w:val="a2"/>
    <w:link w:val="3f1"/>
    <w:rsid w:val="00BF7C29"/>
    <w:pPr>
      <w:autoSpaceDE/>
      <w:autoSpaceDN/>
      <w:adjustRightInd/>
      <w:spacing w:after="60"/>
      <w:outlineLvl w:val="2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customStyle="1" w:styleId="4b">
    <w:name w:val="Заголовок №4"/>
    <w:basedOn w:val="a2"/>
    <w:link w:val="4a"/>
    <w:rsid w:val="00BF7C29"/>
    <w:pPr>
      <w:autoSpaceDE/>
      <w:autoSpaceDN/>
      <w:adjustRightInd/>
      <w:spacing w:line="218" w:lineRule="auto"/>
      <w:outlineLvl w:val="3"/>
    </w:pPr>
    <w:rPr>
      <w:rFonts w:ascii="Arial" w:eastAsia="Arial" w:hAnsi="Arial" w:cs="Arial"/>
      <w:b/>
      <w:bCs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09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18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5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69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790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45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11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21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53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60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7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86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3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9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95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tf23071820.dotx" TargetMode="Externa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Custom 14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CF9A439-08CB-4BF0-B5C9-E9020D5951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4D29EE-BCA5-4847-AAAA-8D9E4282C1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D00AEE-3F06-4626-AB25-35C6D09AE97B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5.xml><?xml version="1.0" encoding="utf-8"?>
<ds:datastoreItem xmlns:ds="http://schemas.openxmlformats.org/officeDocument/2006/customXml" ds:itemID="{62F7FEED-290B-45F4-BF13-977D63E27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tf23071820.dotx</Template>
  <TotalTime>0</TotalTime>
  <Pages>51</Pages>
  <Words>20587</Words>
  <Characters>117348</Characters>
  <Application>Microsoft Office Word</Application>
  <DocSecurity>0</DocSecurity>
  <Lines>977</Lines>
  <Paragraphs>275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cp:lastModifiedBy/>
  <cp:revision>1</cp:revision>
  <dcterms:created xsi:type="dcterms:W3CDTF">2022-03-19T13:50:00Z</dcterms:created>
  <dcterms:modified xsi:type="dcterms:W3CDTF">2022-06-08T14:33:00Z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