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6D8B" w:rsidRPr="008F0C87" w:rsidRDefault="00DD6D8B" w:rsidP="008F0C87">
      <w:pPr>
        <w:jc w:val="center"/>
        <w:rPr>
          <w:b/>
          <w:color w:val="002060"/>
          <w:sz w:val="24"/>
          <w:szCs w:val="24"/>
          <w:lang w:val="en-US"/>
        </w:rPr>
      </w:pPr>
      <w:bookmarkStart w:id="0" w:name="_Toc213118549"/>
      <w:bookmarkStart w:id="1" w:name="_Toc213164096"/>
      <w:r w:rsidRPr="008F0C87">
        <w:rPr>
          <w:b/>
          <w:color w:val="002060"/>
          <w:sz w:val="24"/>
          <w:szCs w:val="24"/>
          <w:lang w:val="en-US"/>
        </w:rPr>
        <w:t>THE COURSE TITLE "ENDOCRINOLOGY: NEW ASPECTS IN DIAGNOSIS AND TREATMENT"</w:t>
      </w:r>
    </w:p>
    <w:p w:rsidR="00FA3FA4" w:rsidRPr="008F0C87" w:rsidRDefault="009F7D3C" w:rsidP="008F0C87">
      <w:pPr>
        <w:jc w:val="center"/>
        <w:rPr>
          <w:b/>
          <w:bCs/>
          <w:color w:val="002060"/>
          <w:sz w:val="24"/>
          <w:szCs w:val="24"/>
          <w:lang w:val="en-US"/>
        </w:rPr>
      </w:pPr>
      <w:r w:rsidRPr="008F0C87">
        <w:rPr>
          <w:b/>
          <w:color w:val="002060"/>
          <w:sz w:val="24"/>
          <w:szCs w:val="24"/>
          <w:lang w:val="en-US"/>
        </w:rPr>
        <w:t>LECTURE</w:t>
      </w:r>
      <w:r w:rsidR="0062682A" w:rsidRPr="008F0C87">
        <w:rPr>
          <w:b/>
          <w:color w:val="002060"/>
          <w:sz w:val="24"/>
          <w:szCs w:val="24"/>
          <w:lang w:val="en-US"/>
        </w:rPr>
        <w:t>_</w:t>
      </w:r>
      <w:r w:rsidR="00E25736" w:rsidRPr="008F0C87">
        <w:rPr>
          <w:b/>
          <w:color w:val="002060"/>
          <w:sz w:val="24"/>
          <w:szCs w:val="24"/>
          <w:lang w:val="uz-Cyrl-UZ"/>
        </w:rPr>
        <w:t>1</w:t>
      </w:r>
      <w:r w:rsidR="00B43F0B" w:rsidRPr="008F0C87">
        <w:rPr>
          <w:b/>
          <w:color w:val="002060"/>
          <w:sz w:val="24"/>
          <w:szCs w:val="24"/>
          <w:lang w:val="uz-Cyrl-UZ"/>
        </w:rPr>
        <w:t>3</w:t>
      </w:r>
      <w:r w:rsidR="0062682A" w:rsidRPr="008F0C87">
        <w:rPr>
          <w:rFonts w:eastAsiaTheme="minorEastAsia"/>
          <w:b/>
          <w:bCs/>
          <w:color w:val="002060"/>
          <w:kern w:val="24"/>
          <w:sz w:val="24"/>
          <w:szCs w:val="24"/>
          <w:lang w:val="en-US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 xml:space="preserve"> </w:t>
      </w:r>
      <w:r w:rsidR="00B43F0B" w:rsidRPr="008F0C87">
        <w:rPr>
          <w:b/>
          <w:bCs/>
          <w:color w:val="002060"/>
          <w:sz w:val="24"/>
          <w:szCs w:val="24"/>
          <w:lang w:val="en-US"/>
        </w:rPr>
        <w:t>AUTOIMMUNE POLYGLANDULAR SYNDROMES. SYNDROMES OF MULTIPLE ENDOCRINE NEOPLASIA.</w:t>
      </w:r>
    </w:p>
    <w:p w:rsidR="00FA3FA4" w:rsidRPr="008F0C87" w:rsidRDefault="0062682A" w:rsidP="008F0C87">
      <w:pPr>
        <w:jc w:val="center"/>
        <w:rPr>
          <w:b/>
          <w:bCs/>
          <w:color w:val="002060"/>
          <w:sz w:val="24"/>
          <w:szCs w:val="24"/>
        </w:rPr>
      </w:pPr>
      <w:r w:rsidRPr="008F0C87">
        <w:rPr>
          <w:b/>
          <w:bCs/>
          <w:color w:val="002060"/>
          <w:sz w:val="24"/>
          <w:szCs w:val="24"/>
        </w:rPr>
        <w:t>ТЕМА-</w:t>
      </w:r>
      <w:r w:rsidR="00E25736" w:rsidRPr="008F0C87">
        <w:rPr>
          <w:b/>
          <w:bCs/>
          <w:color w:val="002060"/>
          <w:sz w:val="24"/>
          <w:szCs w:val="24"/>
          <w:lang w:val="uz-Cyrl-UZ"/>
        </w:rPr>
        <w:t>1</w:t>
      </w:r>
      <w:r w:rsidR="00B43F0B" w:rsidRPr="008F0C87">
        <w:rPr>
          <w:b/>
          <w:bCs/>
          <w:color w:val="002060"/>
          <w:sz w:val="24"/>
          <w:szCs w:val="24"/>
          <w:lang w:val="uz-Cyrl-UZ"/>
        </w:rPr>
        <w:t>3</w:t>
      </w:r>
      <w:r w:rsidRPr="008F0C87">
        <w:rPr>
          <w:b/>
          <w:bCs/>
          <w:color w:val="002060"/>
          <w:sz w:val="24"/>
          <w:szCs w:val="24"/>
        </w:rPr>
        <w:t xml:space="preserve">: </w:t>
      </w:r>
      <w:r w:rsidR="00B43F0B" w:rsidRPr="008F0C87">
        <w:rPr>
          <w:b/>
          <w:bCs/>
          <w:color w:val="002060"/>
          <w:sz w:val="24"/>
          <w:szCs w:val="24"/>
        </w:rPr>
        <w:t>АУТОИММУННЫЕ ПОЛИГЛАНДУЛЯРНЫЕ СИНДРОМЫ. СИНДРОМЫ МНОЖЕСТВЕННОЙ ЭНДОКРИННОЙ НЕОПЛАЗИИ.</w:t>
      </w:r>
    </w:p>
    <w:p w:rsidR="00B43F0B" w:rsidRPr="008F0C87" w:rsidRDefault="00B43F0B" w:rsidP="008F0C87">
      <w:pPr>
        <w:jc w:val="center"/>
        <w:rPr>
          <w:b/>
          <w:bCs/>
          <w:color w:val="002060"/>
          <w:sz w:val="24"/>
          <w:szCs w:val="24"/>
        </w:rPr>
      </w:pPr>
    </w:p>
    <w:p w:rsidR="005D1C1F" w:rsidRPr="008F0C87" w:rsidRDefault="005D1C1F" w:rsidP="008F0C87">
      <w:pPr>
        <w:jc w:val="center"/>
        <w:rPr>
          <w:b/>
          <w:bCs/>
          <w:color w:val="002060"/>
          <w:sz w:val="24"/>
          <w:szCs w:val="24"/>
        </w:rPr>
      </w:pPr>
      <w:r w:rsidRPr="008F0C87">
        <w:rPr>
          <w:b/>
          <w:bCs/>
          <w:color w:val="002060"/>
          <w:sz w:val="24"/>
          <w:szCs w:val="24"/>
        </w:rPr>
        <w:t>План лекции:</w:t>
      </w:r>
    </w:p>
    <w:p w:rsidR="00FA3FA4" w:rsidRPr="008F0C87" w:rsidRDefault="00FA3FA4" w:rsidP="008F0C87">
      <w:pPr>
        <w:jc w:val="center"/>
        <w:rPr>
          <w:b/>
          <w:color w:val="00B050"/>
          <w:sz w:val="24"/>
          <w:szCs w:val="24"/>
        </w:rPr>
      </w:pPr>
    </w:p>
    <w:p w:rsidR="00970C93" w:rsidRPr="008F0C87" w:rsidRDefault="000E16FF" w:rsidP="008F0C87">
      <w:pPr>
        <w:pStyle w:val="af8"/>
        <w:numPr>
          <w:ilvl w:val="0"/>
          <w:numId w:val="13"/>
        </w:numPr>
        <w:jc w:val="both"/>
        <w:rPr>
          <w:sz w:val="24"/>
          <w:szCs w:val="24"/>
        </w:rPr>
      </w:pPr>
      <w:r w:rsidRPr="008F0C87">
        <w:rPr>
          <w:sz w:val="24"/>
          <w:szCs w:val="24"/>
        </w:rPr>
        <w:t>Аутоиммунные полигландулярные синдромы</w:t>
      </w:r>
    </w:p>
    <w:p w:rsidR="00970C93" w:rsidRPr="008F0C87" w:rsidRDefault="000E16FF" w:rsidP="008F0C87">
      <w:pPr>
        <w:pStyle w:val="af8"/>
        <w:numPr>
          <w:ilvl w:val="0"/>
          <w:numId w:val="13"/>
        </w:numPr>
        <w:jc w:val="both"/>
        <w:rPr>
          <w:sz w:val="24"/>
          <w:szCs w:val="24"/>
        </w:rPr>
      </w:pPr>
      <w:r w:rsidRPr="008F0C87">
        <w:rPr>
          <w:sz w:val="24"/>
          <w:szCs w:val="24"/>
        </w:rPr>
        <w:t>Синдромы множественных эндокринных неоплазий</w:t>
      </w:r>
    </w:p>
    <w:p w:rsidR="00970C93" w:rsidRPr="008F0C87" w:rsidRDefault="000E16FF" w:rsidP="008F0C87">
      <w:pPr>
        <w:pStyle w:val="af8"/>
        <w:numPr>
          <w:ilvl w:val="0"/>
          <w:numId w:val="13"/>
        </w:numPr>
        <w:jc w:val="both"/>
        <w:rPr>
          <w:sz w:val="24"/>
          <w:szCs w:val="24"/>
        </w:rPr>
      </w:pPr>
      <w:r w:rsidRPr="008F0C87">
        <w:rPr>
          <w:sz w:val="24"/>
          <w:szCs w:val="24"/>
        </w:rPr>
        <w:t>Синдром множественных эндокринных неоплазий 1-го типа</w:t>
      </w:r>
    </w:p>
    <w:p w:rsidR="00970C93" w:rsidRPr="008F0C87" w:rsidRDefault="000E16FF" w:rsidP="008F0C87">
      <w:pPr>
        <w:pStyle w:val="af8"/>
        <w:numPr>
          <w:ilvl w:val="0"/>
          <w:numId w:val="13"/>
        </w:numPr>
        <w:jc w:val="both"/>
        <w:rPr>
          <w:sz w:val="24"/>
          <w:szCs w:val="24"/>
        </w:rPr>
      </w:pPr>
      <w:r w:rsidRPr="008F0C87">
        <w:rPr>
          <w:sz w:val="24"/>
          <w:szCs w:val="24"/>
        </w:rPr>
        <w:t>Синдром множественных эндокринных неоплазий 2-го типа</w:t>
      </w:r>
    </w:p>
    <w:p w:rsidR="00FA3FA4" w:rsidRPr="008F0C87" w:rsidRDefault="00280C04" w:rsidP="008F0C87">
      <w:pPr>
        <w:pStyle w:val="af8"/>
        <w:widowControl/>
        <w:numPr>
          <w:ilvl w:val="0"/>
          <w:numId w:val="13"/>
        </w:numPr>
        <w:autoSpaceDE/>
        <w:autoSpaceDN/>
        <w:adjustRightInd/>
        <w:jc w:val="both"/>
        <w:rPr>
          <w:sz w:val="24"/>
          <w:szCs w:val="24"/>
        </w:rPr>
      </w:pPr>
      <w:r w:rsidRPr="008F0C87">
        <w:rPr>
          <w:sz w:val="24"/>
          <w:szCs w:val="24"/>
        </w:rPr>
        <w:t>Литература</w:t>
      </w:r>
    </w:p>
    <w:p w:rsidR="00FA3FA4" w:rsidRPr="008F0C87" w:rsidRDefault="005D1C1F" w:rsidP="008F0C87">
      <w:pPr>
        <w:widowControl/>
        <w:autoSpaceDE/>
        <w:autoSpaceDN/>
        <w:adjustRightInd/>
        <w:outlineLvl w:val="1"/>
        <w:rPr>
          <w:bCs/>
          <w:sz w:val="32"/>
          <w:szCs w:val="24"/>
        </w:rPr>
      </w:pPr>
      <w:r w:rsidRPr="008F0C87">
        <w:rPr>
          <w:bCs/>
          <w:sz w:val="32"/>
          <w:szCs w:val="24"/>
        </w:rPr>
        <w:t>План</w:t>
      </w:r>
      <w:r w:rsidR="00FA3FA4" w:rsidRPr="008F0C87">
        <w:rPr>
          <w:bCs/>
          <w:sz w:val="32"/>
          <w:szCs w:val="24"/>
        </w:rPr>
        <w:t xml:space="preserve"> </w:t>
      </w:r>
      <w:r w:rsidRPr="008F0C87">
        <w:rPr>
          <w:bCs/>
          <w:sz w:val="32"/>
          <w:szCs w:val="24"/>
          <w:lang w:val="uz-Latn-UZ"/>
        </w:rPr>
        <w:t>1</w:t>
      </w:r>
      <w:r w:rsidR="00FA3FA4" w:rsidRPr="008F0C87">
        <w:rPr>
          <w:bCs/>
          <w:sz w:val="32"/>
          <w:szCs w:val="24"/>
        </w:rPr>
        <w:t xml:space="preserve">. </w:t>
      </w:r>
      <w:bookmarkEnd w:id="0"/>
      <w:bookmarkEnd w:id="1"/>
      <w:r w:rsidR="00B43F0B" w:rsidRPr="008F0C87">
        <w:rPr>
          <w:bCs/>
          <w:sz w:val="32"/>
          <w:szCs w:val="24"/>
        </w:rPr>
        <w:t>Аутоиммунные полигландулярные синдромы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Аутоиммунные полигландулярные (полиэндокринные) син-дромы — группа заболеваний, связанных с недостаточностью одновременно двух и более эндокринных желез вследствие их ау-тоиммунного поражения. Часто АПС сочетается с аутоиммунной патологией неэндокринных органов.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АПС 1-го типа (кандидополиэндокринный синдром; синдром Уайтекера; APECED — Autoimmune PolyEndocrinopathy, Candidiasis, Ectodermal Dystrophy; MEDAC — Multiple Endocrine Deficiency Autoimmune Candidiasis). Характерна клиническая триада: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•</w:t>
      </w:r>
      <w:r w:rsidRPr="008F0C87">
        <w:rPr>
          <w:sz w:val="24"/>
          <w:szCs w:val="24"/>
        </w:rPr>
        <w:tab/>
        <w:t>кандидоз кожи и слизистых оболочек;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•</w:t>
      </w:r>
      <w:r w:rsidRPr="008F0C87">
        <w:rPr>
          <w:sz w:val="24"/>
          <w:szCs w:val="24"/>
        </w:rPr>
        <w:tab/>
        <w:t>гипопаратиреоз;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•</w:t>
      </w:r>
      <w:r w:rsidRPr="008F0C87">
        <w:rPr>
          <w:sz w:val="24"/>
          <w:szCs w:val="24"/>
        </w:rPr>
        <w:tab/>
        <w:t>первичная НН.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Заболевание отличается клиническим полиморфизмом, оно может проявляться множеством различных аутоиммунных пора-жений как эндокринных, так и неэндокринных органов.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АПС 2-го типа. Характерно сочетание первичной ХНН с АИТ или диффузным токсическим зобом (синдром Шмидта) и/или с СД 1-го типа (синдром Карпентера).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Этиология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АПС 1-го типа — моногенное аутосомно-рецессивное заболе-вание вследствие мутаций гена AIRE (AutoImmune REgulator), ко-дирующего белок аутоиммунного регулятора.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АПС 2-го типа — многофакторное заболевание с наследствен-ной предрасположенностью. Существует ассоциация между АПС 2-го типа и экспрессией некоторых генов главного комплекса гистосовместимости семейства HLA (HLA-DR3, HLA-DR4, HLA- DQB1*2101 и др.).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 xml:space="preserve"> • Аутоиммунные полигландулярные синдромы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Патогенез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Одна из самых популярных гипотез — отсутствие иммуноло-гической толерантности к белкам органа-мишени специфических клонов Т-лимфоцитов CD4+. Клетки таких клонов продуцируют цитокины, приводящие к аутоиммунному воспалению и разруше-нию органа.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Патогенез АПС 1-го типа связан с отсутствием или повреж-дением белка аутоиммунного регулятора, очевидно, играющего ключевую роль в формировании клеточного иммунитета и меха-низмах иммунологической толерантности.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Клиническая картина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lastRenderedPageBreak/>
        <w:t>АПС 1-го типа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Первый признак — хронический кандидоз кожи и слизистых оболочек (чаще в возрасте до 2 лет), вслед за которым развива-ются гипопаратиреоз (чаще до 7-9 лет) и первичная НН (чаще до 12 лет).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Классический клинический критерий диагноза АПС 1-го типа — наличие двух из трех заболеваний: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•</w:t>
      </w:r>
      <w:r w:rsidRPr="008F0C87">
        <w:rPr>
          <w:sz w:val="24"/>
          <w:szCs w:val="24"/>
        </w:rPr>
        <w:tab/>
        <w:t>хронического кандидоза кожи и слизистых оболочек;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•</w:t>
      </w:r>
      <w:r w:rsidRPr="008F0C87">
        <w:rPr>
          <w:sz w:val="24"/>
          <w:szCs w:val="24"/>
        </w:rPr>
        <w:tab/>
        <w:t>гипопаратиреоза;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•</w:t>
      </w:r>
      <w:r w:rsidRPr="008F0C87">
        <w:rPr>
          <w:sz w:val="24"/>
          <w:szCs w:val="24"/>
        </w:rPr>
        <w:tab/>
        <w:t>хронической первичной НН.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Если у пациента имеется родственник первой линии с установ-ленным диагнозом АПС 1-го типа или характерными его симпто-мами, достаточно одного из трех перечисленных признаков.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Дополнительные признаки. У пациентов с АПС 1-го типа возможны: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•</w:t>
      </w:r>
      <w:r w:rsidRPr="008F0C87">
        <w:rPr>
          <w:sz w:val="24"/>
          <w:szCs w:val="24"/>
        </w:rPr>
        <w:tab/>
        <w:t>алопеция;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•</w:t>
      </w:r>
      <w:r w:rsidRPr="008F0C87">
        <w:rPr>
          <w:sz w:val="24"/>
          <w:szCs w:val="24"/>
        </w:rPr>
        <w:tab/>
        <w:t>мальабсорбция;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•</w:t>
      </w:r>
      <w:r w:rsidRPr="008F0C87">
        <w:rPr>
          <w:sz w:val="24"/>
          <w:szCs w:val="24"/>
        </w:rPr>
        <w:tab/>
        <w:t>АИТ;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•</w:t>
      </w:r>
      <w:r w:rsidRPr="008F0C87">
        <w:rPr>
          <w:sz w:val="24"/>
          <w:szCs w:val="24"/>
        </w:rPr>
        <w:tab/>
        <w:t>пернициозная (В12-дефицитная) анемия;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•</w:t>
      </w:r>
      <w:r w:rsidRPr="008F0C87">
        <w:rPr>
          <w:sz w:val="24"/>
          <w:szCs w:val="24"/>
        </w:rPr>
        <w:tab/>
        <w:t>СД 1-го типа;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•</w:t>
      </w:r>
      <w:r w:rsidRPr="008F0C87">
        <w:rPr>
          <w:sz w:val="24"/>
          <w:szCs w:val="24"/>
        </w:rPr>
        <w:tab/>
        <w:t>первичный гипогонадизм;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•</w:t>
      </w:r>
      <w:r w:rsidRPr="008F0C87">
        <w:rPr>
          <w:sz w:val="24"/>
          <w:szCs w:val="24"/>
        </w:rPr>
        <w:tab/>
        <w:t>аутоиммунный гепатит;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•</w:t>
      </w:r>
      <w:r w:rsidRPr="008F0C87">
        <w:rPr>
          <w:sz w:val="24"/>
          <w:szCs w:val="24"/>
        </w:rPr>
        <w:tab/>
        <w:t>витилиго, седые волосы;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•</w:t>
      </w:r>
      <w:r w:rsidRPr="008F0C87">
        <w:rPr>
          <w:sz w:val="24"/>
          <w:szCs w:val="24"/>
        </w:rPr>
        <w:tab/>
        <w:t>кератоконъюнктивит, сухой кератит;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•</w:t>
      </w:r>
      <w:r w:rsidRPr="008F0C87">
        <w:rPr>
          <w:sz w:val="24"/>
          <w:szCs w:val="24"/>
        </w:rPr>
        <w:tab/>
        <w:t>дисплазия зубной эмали;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•</w:t>
      </w:r>
      <w:r w:rsidRPr="008F0C87">
        <w:rPr>
          <w:sz w:val="24"/>
          <w:szCs w:val="24"/>
        </w:rPr>
        <w:tab/>
        <w:t>гипоплазия ногтей;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•</w:t>
      </w:r>
      <w:r w:rsidRPr="008F0C87">
        <w:rPr>
          <w:sz w:val="24"/>
          <w:szCs w:val="24"/>
        </w:rPr>
        <w:tab/>
        <w:t>аспления (гипоспления).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Новые симптомы заболевания могут присоединяться на про-тяжении всей жизни. Периоды между возникновением новых симптомов могут составлять от нескольких месяцев до несколь¬ких десятков лет.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Редкие клинические проявления у пациентов с АПС 1-го типа: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•</w:t>
      </w:r>
      <w:r w:rsidRPr="008F0C87">
        <w:rPr>
          <w:sz w:val="24"/>
          <w:szCs w:val="24"/>
        </w:rPr>
        <w:tab/>
        <w:t>васкулиты;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•</w:t>
      </w:r>
      <w:r w:rsidRPr="008F0C87">
        <w:rPr>
          <w:sz w:val="24"/>
          <w:szCs w:val="24"/>
        </w:rPr>
        <w:tab/>
        <w:t>гемолитическая анемия;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•</w:t>
      </w:r>
      <w:r w:rsidRPr="008F0C87">
        <w:rPr>
          <w:sz w:val="24"/>
          <w:szCs w:val="24"/>
        </w:rPr>
        <w:tab/>
        <w:t>ревматоидный артрит;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• Аутоиммунные полигландулярные синдромы 715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•</w:t>
      </w:r>
      <w:r w:rsidRPr="008F0C87">
        <w:rPr>
          <w:sz w:val="24"/>
          <w:szCs w:val="24"/>
        </w:rPr>
        <w:tab/>
        <w:t>тубулоинтерстициальный нефрит с развитием ХПН;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•</w:t>
      </w:r>
      <w:r w:rsidRPr="008F0C87">
        <w:rPr>
          <w:sz w:val="24"/>
          <w:szCs w:val="24"/>
        </w:rPr>
        <w:tab/>
        <w:t>метафизарная дисплазия.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АПС 2-го типа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Первые симптомы АПС 2-го типа обычно развиваются после 20 лет.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Основные клинические критерии: сочетание первичной ХНН, хронического АИТ и СД 1-го типа.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Крайне редко аутоиммунный процесс приводит не к недоста-точности, а к повышению функции ЩЖ, развитию диффузного токсического зоба. При АПС 2-го типа также могут быть симпто-мы аутоиммунного поражения неэндокринных органов — целиа-кии, пернициозной анемии, алопеции и др.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Диагностика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Анамнез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lastRenderedPageBreak/>
        <w:t>Следует уточнить семейный анамнез.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Аутоиммунное поражение органов обычно развивается по-степенно, новые симптомы могут возникать на протяжении всей жизни, поэтому история заболевания является важным звеном своевременной диагностики.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Физикальное обследование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•</w:t>
      </w:r>
      <w:r w:rsidRPr="008F0C87">
        <w:rPr>
          <w:sz w:val="24"/>
          <w:szCs w:val="24"/>
        </w:rPr>
        <w:tab/>
        <w:t>Измерение роста, массы тела (особенно у детей и подрост-ков) отражает адекватность заместительной терапии и тя-жесть течения АПС.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•</w:t>
      </w:r>
      <w:r w:rsidRPr="008F0C87">
        <w:rPr>
          <w:sz w:val="24"/>
          <w:szCs w:val="24"/>
        </w:rPr>
        <w:tab/>
        <w:t>Оценка полового развития должна быть проведена по шкале Таннера.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•</w:t>
      </w:r>
      <w:r w:rsidRPr="008F0C87">
        <w:rPr>
          <w:sz w:val="24"/>
          <w:szCs w:val="24"/>
        </w:rPr>
        <w:tab/>
        <w:t>Оценка кожных покровов позволяет выявить витилиго (депигментированные пятна), наличие пигментаций (ха-рактерны для НН), бледность (признак анемии), сухость (возможное проявление гипотиреоза).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•</w:t>
      </w:r>
      <w:r w:rsidRPr="008F0C87">
        <w:rPr>
          <w:sz w:val="24"/>
          <w:szCs w:val="24"/>
        </w:rPr>
        <w:tab/>
        <w:t>Необходимо обратить внимание на состояние ногтей, волос и слизистых оболочек (для выявления симптомов кожно-слизистого кандидоза и алопеции).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•</w:t>
      </w:r>
      <w:r w:rsidRPr="008F0C87">
        <w:rPr>
          <w:sz w:val="24"/>
          <w:szCs w:val="24"/>
        </w:rPr>
        <w:tab/>
        <w:t>Положительные симптомы Хвостека и Труссо характерны для гипокальциемии и могут свидетельствовать о гипопара-тиреозе.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Лабораторные исследования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•</w:t>
      </w:r>
      <w:r w:rsidRPr="008F0C87">
        <w:rPr>
          <w:sz w:val="24"/>
          <w:szCs w:val="24"/>
        </w:rPr>
        <w:tab/>
        <w:t>Гипопаратиреоз. Оценивают уровень кальция и ионизиро-ванного кальция, фосфора и ПТГ в плазме крови.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•</w:t>
      </w:r>
      <w:r w:rsidRPr="008F0C87">
        <w:rPr>
          <w:sz w:val="24"/>
          <w:szCs w:val="24"/>
        </w:rPr>
        <w:tab/>
        <w:t>НН. Оценивают содержание ионов калия и натрия, кортизо¬ла и АКТГ, АРП в крови. На доклиническом этапе применя¬ют стандартный тест с определением кортизола до и после введения синтетического аналога АКТГ. Предпочтение от-дают тетракозактиду короткого действия, но можно приме-нять и пролонгированную форму (синактен-депо*).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•</w:t>
      </w:r>
      <w:r w:rsidRPr="008F0C87">
        <w:rPr>
          <w:sz w:val="24"/>
          <w:szCs w:val="24"/>
        </w:rPr>
        <w:tab/>
        <w:t>Гипотиреоз. Выявляют повышение уровня ТТГ в сочетании с низким значением свободного Т4.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 xml:space="preserve"> Аутоиммунные полигландулярные синдромы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•</w:t>
      </w:r>
      <w:r w:rsidRPr="008F0C87">
        <w:rPr>
          <w:sz w:val="24"/>
          <w:szCs w:val="24"/>
        </w:rPr>
        <w:tab/>
        <w:t>Функции половых желез. Оценку проводят на основании из-мерения уровня ЛГ, ФСГ (резко повышены при первичном гипогонадизме), тестостерона, эстрадиола (снижены).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•</w:t>
      </w:r>
      <w:r w:rsidRPr="008F0C87">
        <w:rPr>
          <w:sz w:val="24"/>
          <w:szCs w:val="24"/>
        </w:rPr>
        <w:tab/>
        <w:t>Недостаточность гормона роста. У детей с задержкой роста проводят стандартные СТГ-стимулирующие тесты.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•</w:t>
      </w:r>
      <w:r w:rsidRPr="008F0C87">
        <w:rPr>
          <w:sz w:val="24"/>
          <w:szCs w:val="24"/>
        </w:rPr>
        <w:tab/>
        <w:t>СД. Проводят определение уровня глюкозы в плазме крови, гликозилированного гемоглобина и стандартный перораль-ный тест толерантности к глюкозе.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•</w:t>
      </w:r>
      <w:r w:rsidRPr="008F0C87">
        <w:rPr>
          <w:sz w:val="24"/>
          <w:szCs w:val="24"/>
        </w:rPr>
        <w:tab/>
        <w:t>Функции печени. Определяют активность Y-глутамил-транспептидазы, АЛТ, АСТ, ЩФ и выполняют протеино- грамму.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•</w:t>
      </w:r>
      <w:r w:rsidRPr="008F0C87">
        <w:rPr>
          <w:sz w:val="24"/>
          <w:szCs w:val="24"/>
        </w:rPr>
        <w:tab/>
        <w:t>B12-дефицитная анемия. Проводят клинический анализ кро¬ви.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•</w:t>
      </w:r>
      <w:r w:rsidRPr="008F0C87">
        <w:rPr>
          <w:sz w:val="24"/>
          <w:szCs w:val="24"/>
        </w:rPr>
        <w:tab/>
        <w:t>Аутоиммунная природа заболевания. Показано исследо¬вание аутоантител к органам-мишеням. В реальной кли¬нической практике доступны лишь некоторые из этих исследований:</w:t>
      </w:r>
    </w:p>
    <w:p w:rsidR="00327191" w:rsidRPr="008F0C87" w:rsidRDefault="00327191" w:rsidP="008F0C87">
      <w:pPr>
        <w:widowControl/>
        <w:tabs>
          <w:tab w:val="left" w:pos="993"/>
        </w:tabs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rFonts w:ascii="Segoe UI Symbol" w:hAnsi="Segoe UI Symbol" w:cs="Segoe UI Symbol"/>
          <w:sz w:val="24"/>
          <w:szCs w:val="24"/>
        </w:rPr>
        <w:t>❖</w:t>
      </w:r>
      <w:r w:rsidRPr="008F0C87">
        <w:rPr>
          <w:sz w:val="24"/>
          <w:szCs w:val="24"/>
        </w:rPr>
        <w:tab/>
        <w:t>к микросомальной тиропероксидазе и к рецептору ТТГ в ЩЖ;</w:t>
      </w:r>
    </w:p>
    <w:p w:rsidR="00327191" w:rsidRPr="008F0C87" w:rsidRDefault="00327191" w:rsidP="008F0C87">
      <w:pPr>
        <w:widowControl/>
        <w:tabs>
          <w:tab w:val="left" w:pos="993"/>
        </w:tabs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rFonts w:ascii="Segoe UI Symbol" w:hAnsi="Segoe UI Symbol" w:cs="Segoe UI Symbol"/>
          <w:sz w:val="24"/>
          <w:szCs w:val="24"/>
        </w:rPr>
        <w:t>❖</w:t>
      </w:r>
      <w:r w:rsidRPr="008F0C87">
        <w:rPr>
          <w:sz w:val="24"/>
          <w:szCs w:val="24"/>
        </w:rPr>
        <w:tab/>
        <w:t>GAD-, ICA-, IAA-клеток ПЖ.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Методы молекулярно-генетической диагностики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•</w:t>
      </w:r>
      <w:r w:rsidRPr="008F0C87">
        <w:rPr>
          <w:sz w:val="24"/>
          <w:szCs w:val="24"/>
        </w:rPr>
        <w:tab/>
        <w:t>Определение мутаций гена AIRE не только подтверждает уже установленный на клиническом этапе диагноз, но и по¬зволяет поставить правильный диагноз до формирования типичной клинической картины.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•</w:t>
      </w:r>
      <w:r w:rsidRPr="008F0C87">
        <w:rPr>
          <w:sz w:val="24"/>
          <w:szCs w:val="24"/>
        </w:rPr>
        <w:tab/>
        <w:t>ДНК-диагностику АПС 1-го типа рекомендуют всем паци-ентам с хроническим кандидозом кожи и слизистых оболо-чек, гипопаратиреозом и НН неустановленной этиологии, а также братьям и сестрам пациента.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lastRenderedPageBreak/>
        <w:t>Инструментальные исследования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•</w:t>
      </w:r>
      <w:r w:rsidRPr="008F0C87">
        <w:rPr>
          <w:sz w:val="24"/>
          <w:szCs w:val="24"/>
        </w:rPr>
        <w:tab/>
        <w:t>УЗИ брюшной полости (для выявления признаков гепатита и цирроза печени) и ЩЖ.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•</w:t>
      </w:r>
      <w:r w:rsidRPr="008F0C87">
        <w:rPr>
          <w:sz w:val="24"/>
          <w:szCs w:val="24"/>
        </w:rPr>
        <w:tab/>
        <w:t>Эзофагогастродуоденоскопия (для выявления гастрита, эзо-фагита, грибкового поражения слизистой оболочки верхних отделов ЖКТ).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•</w:t>
      </w:r>
      <w:r w:rsidRPr="008F0C87">
        <w:rPr>
          <w:sz w:val="24"/>
          <w:szCs w:val="24"/>
        </w:rPr>
        <w:tab/>
        <w:t>МРТ и КТ головного мозга (для выявления признаков гипо-питуитаризма и кальцинатов — синдром Фара).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•</w:t>
      </w:r>
      <w:r w:rsidRPr="008F0C87">
        <w:rPr>
          <w:sz w:val="24"/>
          <w:szCs w:val="24"/>
        </w:rPr>
        <w:tab/>
        <w:t>Рентгенография кистей (для оценки костного возраста у де-тей с задержкой роста).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•</w:t>
      </w:r>
      <w:r w:rsidRPr="008F0C87">
        <w:rPr>
          <w:sz w:val="24"/>
          <w:szCs w:val="24"/>
        </w:rPr>
        <w:tab/>
        <w:t>Любые необходимые в конкретном случае исследования.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Дифференциальная диагностика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Известны несколько наследственных заболеваний, которые проявляются (в том числе) полиэндокринной недостаточностью.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•</w:t>
      </w:r>
      <w:r w:rsidRPr="008F0C87">
        <w:rPr>
          <w:sz w:val="24"/>
          <w:szCs w:val="24"/>
        </w:rPr>
        <w:tab/>
        <w:t>Синдром IPEX (Immune dysfunction, Polyendocrinopathy, and Enteropathy, X-linked) — Х-сцепленная полиэндокринопатия с иммунодефицитом и диареей. Заболевание характерно для мальчиков, так как наследуется по Х-сцепленному рецессив-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 xml:space="preserve"> Аутоиммунные полигландулярные синдромы 717 ному типу и манифестирует в период новорожденности. Ти¬пичные проявления IPEX-синдрома:</w:t>
      </w:r>
    </w:p>
    <w:p w:rsidR="00327191" w:rsidRPr="008F0C87" w:rsidRDefault="00327191" w:rsidP="008F0C87">
      <w:pPr>
        <w:widowControl/>
        <w:tabs>
          <w:tab w:val="left" w:pos="993"/>
        </w:tabs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rFonts w:ascii="Segoe UI Symbol" w:hAnsi="Segoe UI Symbol" w:cs="Segoe UI Symbol"/>
          <w:sz w:val="24"/>
          <w:szCs w:val="24"/>
        </w:rPr>
        <w:t>❖</w:t>
      </w:r>
      <w:r w:rsidRPr="008F0C87">
        <w:rPr>
          <w:sz w:val="24"/>
          <w:szCs w:val="24"/>
        </w:rPr>
        <w:tab/>
        <w:t>тяжелая энтеропатия с диареей и нарушением всасыва¬ния;</w:t>
      </w:r>
    </w:p>
    <w:p w:rsidR="00327191" w:rsidRPr="008F0C87" w:rsidRDefault="00327191" w:rsidP="008F0C87">
      <w:pPr>
        <w:widowControl/>
        <w:tabs>
          <w:tab w:val="left" w:pos="993"/>
        </w:tabs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rFonts w:ascii="Segoe UI Symbol" w:hAnsi="Segoe UI Symbol" w:cs="Segoe UI Symbol"/>
          <w:sz w:val="24"/>
          <w:szCs w:val="24"/>
        </w:rPr>
        <w:t>❖</w:t>
      </w:r>
      <w:r w:rsidRPr="008F0C87">
        <w:rPr>
          <w:sz w:val="24"/>
          <w:szCs w:val="24"/>
        </w:rPr>
        <w:tab/>
        <w:t>аутоиммунный СД;</w:t>
      </w:r>
    </w:p>
    <w:p w:rsidR="00327191" w:rsidRPr="008F0C87" w:rsidRDefault="00327191" w:rsidP="008F0C87">
      <w:pPr>
        <w:widowControl/>
        <w:tabs>
          <w:tab w:val="left" w:pos="993"/>
        </w:tabs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rFonts w:ascii="Segoe UI Symbol" w:hAnsi="Segoe UI Symbol" w:cs="Segoe UI Symbol"/>
          <w:sz w:val="24"/>
          <w:szCs w:val="24"/>
        </w:rPr>
        <w:t>❖</w:t>
      </w:r>
      <w:r w:rsidRPr="008F0C87">
        <w:rPr>
          <w:sz w:val="24"/>
          <w:szCs w:val="24"/>
        </w:rPr>
        <w:tab/>
        <w:t>гипотиреоз;</w:t>
      </w:r>
    </w:p>
    <w:p w:rsidR="00327191" w:rsidRPr="008F0C87" w:rsidRDefault="00327191" w:rsidP="008F0C87">
      <w:pPr>
        <w:widowControl/>
        <w:tabs>
          <w:tab w:val="left" w:pos="993"/>
        </w:tabs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rFonts w:ascii="Segoe UI Symbol" w:hAnsi="Segoe UI Symbol" w:cs="Segoe UI Symbol"/>
          <w:sz w:val="24"/>
          <w:szCs w:val="24"/>
        </w:rPr>
        <w:t>❖</w:t>
      </w:r>
      <w:r w:rsidRPr="008F0C87">
        <w:rPr>
          <w:sz w:val="24"/>
          <w:szCs w:val="24"/>
        </w:rPr>
        <w:tab/>
        <w:t>гемолитическая анемия;</w:t>
      </w:r>
    </w:p>
    <w:p w:rsidR="00327191" w:rsidRPr="008F0C87" w:rsidRDefault="00327191" w:rsidP="008F0C87">
      <w:pPr>
        <w:widowControl/>
        <w:tabs>
          <w:tab w:val="left" w:pos="993"/>
        </w:tabs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rFonts w:ascii="Segoe UI Symbol" w:hAnsi="Segoe UI Symbol" w:cs="Segoe UI Symbol"/>
          <w:sz w:val="24"/>
          <w:szCs w:val="24"/>
        </w:rPr>
        <w:t>❖</w:t>
      </w:r>
      <w:r w:rsidRPr="008F0C87">
        <w:rPr>
          <w:sz w:val="24"/>
          <w:szCs w:val="24"/>
        </w:rPr>
        <w:tab/>
        <w:t>экзема;</w:t>
      </w:r>
    </w:p>
    <w:p w:rsidR="00327191" w:rsidRPr="008F0C87" w:rsidRDefault="00327191" w:rsidP="008F0C87">
      <w:pPr>
        <w:widowControl/>
        <w:tabs>
          <w:tab w:val="left" w:pos="993"/>
        </w:tabs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rFonts w:ascii="Segoe UI Symbol" w:hAnsi="Segoe UI Symbol" w:cs="Segoe UI Symbol"/>
          <w:sz w:val="24"/>
          <w:szCs w:val="24"/>
        </w:rPr>
        <w:t>❖</w:t>
      </w:r>
      <w:r w:rsidRPr="008F0C87">
        <w:rPr>
          <w:sz w:val="24"/>
          <w:szCs w:val="24"/>
        </w:rPr>
        <w:tab/>
        <w:t>иммунодефицит.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Пациенты погибают в течение первого года жизни при от-сутствии иммуносупрессивной терапии.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 xml:space="preserve">• Синдром Кернса-Сейра — заболевание, связанное с патоло-гией митохондриальной ДНК. Его признаки: </w:t>
      </w:r>
      <w:r w:rsidRPr="008F0C87">
        <w:rPr>
          <w:rFonts w:ascii="Segoe UI Symbol" w:hAnsi="Segoe UI Symbol" w:cs="Segoe UI Symbol"/>
          <w:sz w:val="24"/>
          <w:szCs w:val="24"/>
        </w:rPr>
        <w:t>❖</w:t>
      </w:r>
      <w:r w:rsidRPr="008F0C87">
        <w:rPr>
          <w:sz w:val="24"/>
          <w:szCs w:val="24"/>
        </w:rPr>
        <w:t xml:space="preserve"> офтальмоплегия;</w:t>
      </w:r>
    </w:p>
    <w:p w:rsidR="00327191" w:rsidRPr="008F0C87" w:rsidRDefault="00327191" w:rsidP="008F0C87">
      <w:pPr>
        <w:widowControl/>
        <w:tabs>
          <w:tab w:val="left" w:pos="851"/>
        </w:tabs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rFonts w:ascii="Segoe UI Symbol" w:hAnsi="Segoe UI Symbol" w:cs="Segoe UI Symbol"/>
          <w:sz w:val="24"/>
          <w:szCs w:val="24"/>
        </w:rPr>
        <w:t>❖</w:t>
      </w:r>
      <w:r w:rsidRPr="008F0C87">
        <w:rPr>
          <w:sz w:val="24"/>
          <w:szCs w:val="24"/>
        </w:rPr>
        <w:tab/>
        <w:t>пигментная дегенерация сетчатки;</w:t>
      </w:r>
    </w:p>
    <w:p w:rsidR="00327191" w:rsidRPr="008F0C87" w:rsidRDefault="00327191" w:rsidP="008F0C87">
      <w:pPr>
        <w:widowControl/>
        <w:tabs>
          <w:tab w:val="left" w:pos="851"/>
        </w:tabs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rFonts w:ascii="Segoe UI Symbol" w:hAnsi="Segoe UI Symbol" w:cs="Segoe UI Symbol"/>
          <w:sz w:val="24"/>
          <w:szCs w:val="24"/>
        </w:rPr>
        <w:t>❖</w:t>
      </w:r>
      <w:r w:rsidRPr="008F0C87">
        <w:rPr>
          <w:sz w:val="24"/>
          <w:szCs w:val="24"/>
        </w:rPr>
        <w:tab/>
        <w:t>прогрессирующая слабость проксимальных мышц конеч-ностей.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Этот синдром может сопровождаться гипопаратиреозом, СД, гипогонадизмом.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• Синдром POEMS (Polyneuropathy — полиневропатия, Organomegaly — органомегалия, Endocrinopathy — эндо- кринопатия, Multiple myeloma — множественная миелома, Skin —поражения кожи) — заболевание со следующими симптомами:</w:t>
      </w:r>
    </w:p>
    <w:p w:rsidR="00327191" w:rsidRPr="008F0C87" w:rsidRDefault="00327191" w:rsidP="008F0C87">
      <w:pPr>
        <w:widowControl/>
        <w:tabs>
          <w:tab w:val="left" w:pos="851"/>
        </w:tabs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rFonts w:ascii="Segoe UI Symbol" w:hAnsi="Segoe UI Symbol" w:cs="Segoe UI Symbol"/>
          <w:sz w:val="24"/>
          <w:szCs w:val="24"/>
        </w:rPr>
        <w:t>❖</w:t>
      </w:r>
      <w:r w:rsidRPr="008F0C87">
        <w:rPr>
          <w:sz w:val="24"/>
          <w:szCs w:val="24"/>
        </w:rPr>
        <w:tab/>
        <w:t>прогрессирующей полинейропатией;</w:t>
      </w:r>
    </w:p>
    <w:p w:rsidR="00327191" w:rsidRPr="008F0C87" w:rsidRDefault="00327191" w:rsidP="008F0C87">
      <w:pPr>
        <w:widowControl/>
        <w:tabs>
          <w:tab w:val="left" w:pos="851"/>
        </w:tabs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rFonts w:ascii="Segoe UI Symbol" w:hAnsi="Segoe UI Symbol" w:cs="Segoe UI Symbol"/>
          <w:sz w:val="24"/>
          <w:szCs w:val="24"/>
        </w:rPr>
        <w:t>❖</w:t>
      </w:r>
      <w:r w:rsidRPr="008F0C87">
        <w:rPr>
          <w:sz w:val="24"/>
          <w:szCs w:val="24"/>
        </w:rPr>
        <w:tab/>
        <w:t>органомегалией;</w:t>
      </w:r>
    </w:p>
    <w:p w:rsidR="00327191" w:rsidRPr="008F0C87" w:rsidRDefault="00327191" w:rsidP="008F0C87">
      <w:pPr>
        <w:widowControl/>
        <w:tabs>
          <w:tab w:val="left" w:pos="851"/>
        </w:tabs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rFonts w:ascii="Segoe UI Symbol" w:hAnsi="Segoe UI Symbol" w:cs="Segoe UI Symbol"/>
          <w:sz w:val="24"/>
          <w:szCs w:val="24"/>
        </w:rPr>
        <w:t>❖</w:t>
      </w:r>
      <w:r w:rsidRPr="008F0C87">
        <w:rPr>
          <w:sz w:val="24"/>
          <w:szCs w:val="24"/>
        </w:rPr>
        <w:tab/>
        <w:t>эндокринными нарушениями (СД, гипогонадизмом);</w:t>
      </w:r>
    </w:p>
    <w:p w:rsidR="00327191" w:rsidRPr="008F0C87" w:rsidRDefault="00327191" w:rsidP="008F0C87">
      <w:pPr>
        <w:widowControl/>
        <w:tabs>
          <w:tab w:val="left" w:pos="851"/>
        </w:tabs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rFonts w:ascii="Segoe UI Symbol" w:hAnsi="Segoe UI Symbol" w:cs="Segoe UI Symbol"/>
          <w:sz w:val="24"/>
          <w:szCs w:val="24"/>
        </w:rPr>
        <w:t>❖</w:t>
      </w:r>
      <w:r w:rsidRPr="008F0C87">
        <w:rPr>
          <w:sz w:val="24"/>
          <w:szCs w:val="24"/>
        </w:rPr>
        <w:tab/>
        <w:t>моноклональной гаммапатией (миеломной болезнью);</w:t>
      </w:r>
    </w:p>
    <w:p w:rsidR="00327191" w:rsidRPr="008F0C87" w:rsidRDefault="00327191" w:rsidP="008F0C87">
      <w:pPr>
        <w:widowControl/>
        <w:tabs>
          <w:tab w:val="left" w:pos="851"/>
        </w:tabs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rFonts w:ascii="Segoe UI Symbol" w:hAnsi="Segoe UI Symbol" w:cs="Segoe UI Symbol"/>
          <w:sz w:val="24"/>
          <w:szCs w:val="24"/>
        </w:rPr>
        <w:t>❖</w:t>
      </w:r>
      <w:r w:rsidRPr="008F0C87">
        <w:rPr>
          <w:sz w:val="24"/>
          <w:szCs w:val="24"/>
        </w:rPr>
        <w:tab/>
        <w:t>изменениями кожи.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•</w:t>
      </w:r>
      <w:r w:rsidRPr="008F0C87">
        <w:rPr>
          <w:sz w:val="24"/>
          <w:szCs w:val="24"/>
        </w:rPr>
        <w:tab/>
        <w:t>Синдром Вольфрама (синдром DIDMOAD — Diabetes Insipidus, Diabetes Mellitus, Optic Atrophy, Deafness — несахар¬ное мочеизнурение, СД, атрофия ЗН, глухота) — редкое наследственное заболевание, для которого характерно со¬четание СД и несахарного диабета, атрофии ЗН, нейросен¬сорной тугоухости.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•</w:t>
      </w:r>
      <w:r w:rsidRPr="008F0C87">
        <w:rPr>
          <w:sz w:val="24"/>
          <w:szCs w:val="24"/>
        </w:rPr>
        <w:tab/>
        <w:t xml:space="preserve">Инсулинорезистентность типа В — редкое заболевание, ха-рактерными проявлениями которого являются инсулиноре- зистентность вследствие присутствия антител к рецептору </w:t>
      </w:r>
      <w:r w:rsidRPr="008F0C87">
        <w:rPr>
          <w:sz w:val="24"/>
          <w:szCs w:val="24"/>
        </w:rPr>
        <w:lastRenderedPageBreak/>
        <w:t>инсулина, acanthosis nigricans (чернеющий акантоз), а так¬же другие аутоиммунные заболевания (например, синдром Шегрена, алопеция), витилиго, системная красная волчан¬ка, АИТ. Данный вариант инсулинорезистентности может проявляться как СД, так и тяжелым гипогликемическим синдромом.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Лечение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Лечение симптоматическое. Основные принципы те же, что и для изолированных форм заболеваний. Некоторые особенности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 xml:space="preserve"> • Аутоиммунные полигландулярные синдромы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лечения обусловлены сочетанием патологии нескольких органов и систем.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•</w:t>
      </w:r>
      <w:r w:rsidRPr="008F0C87">
        <w:rPr>
          <w:sz w:val="24"/>
          <w:szCs w:val="24"/>
        </w:rPr>
        <w:tab/>
        <w:t>При одновременном выявлении НН и гипотиреоза необ-ходимо, в первую очередь, обеспечить ЗГТ глюко- и ми-нералокортикоидами. Однако ЗГТ левотироксином может усугубить явления некомпенсированной НН и привести к развитию острого адреналового криза.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•</w:t>
      </w:r>
      <w:r w:rsidRPr="008F0C87">
        <w:rPr>
          <w:sz w:val="24"/>
          <w:szCs w:val="24"/>
        </w:rPr>
        <w:tab/>
        <w:t>Для лечения гипопаратиреоза применяют препараты ги-дроксилированного витамина D и кальция. Дозы подбира¬ют индивидуально исходя из уровня кальция крови.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•</w:t>
      </w:r>
      <w:r w:rsidRPr="008F0C87">
        <w:rPr>
          <w:sz w:val="24"/>
          <w:szCs w:val="24"/>
        </w:rPr>
        <w:tab/>
        <w:t>Глюкокортикоиды угнетают абсорбцию кальция в кишечни-ке. Это необходимо учитывать у пациентов с АПС 1-го типа (при сочетании гипопаратиреоза и НН). Если у пациента с гипопаратиреозом формируется НН, то уровень кальция в крови может в этот момент относительно возрастать, а доза витамина D — снижаться.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•</w:t>
      </w:r>
      <w:r w:rsidRPr="008F0C87">
        <w:rPr>
          <w:sz w:val="24"/>
          <w:szCs w:val="24"/>
        </w:rPr>
        <w:tab/>
        <w:t>В тяжелых случаях синдрома мальабсорбции может возник-нуть необходимость применения высоких доз препаратов внутрь (на фоне диеты с ограничением жиров) и ферменто- терапии. В редких случаях приходится прибегать к паренте-ральному введению препаратов.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•</w:t>
      </w:r>
      <w:r w:rsidRPr="008F0C87">
        <w:rPr>
          <w:sz w:val="24"/>
          <w:szCs w:val="24"/>
        </w:rPr>
        <w:tab/>
        <w:t>Для лечения кандидоза кожи и слизистых оболочек назна-чают флуконазол. Нежелательно применять кетоконазол, поскольку он угнетает синтез стероидных гомонов в над-почечниках и половых железах и может спровоцировать острый адреналовый криз.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Дальнейшее ведение</w:t>
      </w:r>
    </w:p>
    <w:p w:rsidR="00327191" w:rsidRPr="008F0C87" w:rsidRDefault="00327191" w:rsidP="008F0C87">
      <w:pPr>
        <w:widowControl/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8F0C87">
        <w:rPr>
          <w:sz w:val="24"/>
          <w:szCs w:val="24"/>
        </w:rPr>
        <w:t>Пациенты должны находиться под наблюдением врача- эндокринолога и проходить регулярные обследования (1 раз в 6 мес) в целях обнаружения вновь проявившихся нарушений для их своевременной компенсации и предотвращения развития опасных для жизни состояний, связанных с острой манифестаци¬ей НН, гипопаратиреоза, СД.</w:t>
      </w:r>
    </w:p>
    <w:p w:rsidR="008F0C87" w:rsidRPr="008F0C87" w:rsidRDefault="008F0C87" w:rsidP="008F0C87">
      <w:pPr>
        <w:widowControl/>
        <w:autoSpaceDE/>
        <w:autoSpaceDN/>
        <w:adjustRightInd/>
        <w:jc w:val="both"/>
        <w:outlineLvl w:val="1"/>
        <w:rPr>
          <w:bCs/>
          <w:sz w:val="24"/>
          <w:szCs w:val="24"/>
        </w:rPr>
      </w:pPr>
      <w:bookmarkStart w:id="2" w:name="_Toc213118550"/>
      <w:bookmarkStart w:id="3" w:name="_Toc213164097"/>
    </w:p>
    <w:p w:rsidR="008F0C87" w:rsidRPr="008F0C87" w:rsidRDefault="008F0C87" w:rsidP="008F0C87">
      <w:pPr>
        <w:widowControl/>
        <w:autoSpaceDE/>
        <w:autoSpaceDN/>
        <w:adjustRightInd/>
        <w:jc w:val="both"/>
        <w:outlineLvl w:val="1"/>
        <w:rPr>
          <w:bCs/>
          <w:sz w:val="24"/>
          <w:szCs w:val="24"/>
        </w:rPr>
      </w:pPr>
    </w:p>
    <w:p w:rsidR="008F0C87" w:rsidRPr="008F0C87" w:rsidRDefault="00D92FF2" w:rsidP="008F0C87">
      <w:pPr>
        <w:widowControl/>
        <w:autoSpaceDE/>
        <w:autoSpaceDN/>
        <w:adjustRightInd/>
        <w:jc w:val="both"/>
        <w:outlineLvl w:val="1"/>
        <w:rPr>
          <w:bCs/>
          <w:sz w:val="32"/>
          <w:szCs w:val="24"/>
        </w:rPr>
      </w:pPr>
      <w:r w:rsidRPr="008F0C87">
        <w:rPr>
          <w:bCs/>
          <w:sz w:val="32"/>
          <w:szCs w:val="24"/>
        </w:rPr>
        <w:t xml:space="preserve">План </w:t>
      </w:r>
      <w:r w:rsidRPr="008F0C87">
        <w:rPr>
          <w:bCs/>
          <w:sz w:val="32"/>
          <w:szCs w:val="24"/>
          <w:lang w:val="uz-Latn-UZ"/>
        </w:rPr>
        <w:t>2</w:t>
      </w:r>
      <w:r w:rsidR="008F0C87" w:rsidRPr="008F0C87">
        <w:rPr>
          <w:bCs/>
          <w:sz w:val="32"/>
          <w:szCs w:val="24"/>
        </w:rPr>
        <w:t>,3</w:t>
      </w:r>
      <w:r w:rsidRPr="008F0C87">
        <w:rPr>
          <w:bCs/>
          <w:sz w:val="32"/>
          <w:szCs w:val="24"/>
        </w:rPr>
        <w:t xml:space="preserve">. </w:t>
      </w:r>
      <w:r w:rsidR="00B43F0B" w:rsidRPr="008F0C87">
        <w:rPr>
          <w:bCs/>
          <w:sz w:val="32"/>
          <w:szCs w:val="24"/>
        </w:rPr>
        <w:t>Синдромы множественных эндокринных неоплазий</w:t>
      </w:r>
      <w:r w:rsidR="008F0C87" w:rsidRPr="008F0C87">
        <w:rPr>
          <w:bCs/>
          <w:sz w:val="32"/>
          <w:szCs w:val="24"/>
        </w:rPr>
        <w:t>. Синдром множественных эндокринных неоплазий 1-го типа</w:t>
      </w:r>
    </w:p>
    <w:p w:rsidR="00D92FF2" w:rsidRPr="008F0C87" w:rsidRDefault="008F0C87" w:rsidP="008F0C87">
      <w:pPr>
        <w:widowControl/>
        <w:autoSpaceDE/>
        <w:autoSpaceDN/>
        <w:adjustRightInd/>
        <w:jc w:val="both"/>
        <w:outlineLvl w:val="1"/>
        <w:rPr>
          <w:bCs/>
          <w:sz w:val="24"/>
          <w:szCs w:val="24"/>
        </w:rPr>
      </w:pPr>
      <w:r w:rsidRPr="008F0C87">
        <w:rPr>
          <w:bCs/>
          <w:sz w:val="24"/>
          <w:szCs w:val="24"/>
        </w:rPr>
        <w:t xml:space="preserve"> </w:t>
      </w:r>
    </w:p>
    <w:p w:rsidR="008F0C87" w:rsidRPr="008F0C87" w:rsidRDefault="008F0C87" w:rsidP="008F0C87">
      <w:pPr>
        <w:widowControl/>
        <w:tabs>
          <w:tab w:val="left" w:pos="851"/>
        </w:tabs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</w:rPr>
      </w:pPr>
      <w:r w:rsidRPr="008F0C87">
        <w:rPr>
          <w:bCs/>
          <w:sz w:val="24"/>
          <w:szCs w:val="24"/>
        </w:rPr>
        <w:t>Синонимы: синдром Вермера — симптомокомплекс, обуслов-ленный опухолями или гиперплазиями в двух эндокринных ор-ганах и более.</w:t>
      </w:r>
    </w:p>
    <w:p w:rsidR="008F0C87" w:rsidRPr="008F0C87" w:rsidRDefault="008F0C87" w:rsidP="008F0C87">
      <w:pPr>
        <w:widowControl/>
        <w:tabs>
          <w:tab w:val="left" w:pos="851"/>
        </w:tabs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</w:rPr>
      </w:pPr>
      <w:r w:rsidRPr="008F0C87">
        <w:rPr>
          <w:bCs/>
          <w:sz w:val="24"/>
          <w:szCs w:val="24"/>
        </w:rPr>
        <w:t>В зависимости от генетической основы заболевания и сочета¬ния поражений внутренних органов различают несколько вари¬антов синдромов МЭН. При синдроме МЭН 1-го типа наиболее часто поражаются околощитовидные железы, островки Лангер¬ганса ПЖ и клетки аденогипофиза.</w:t>
      </w:r>
    </w:p>
    <w:p w:rsidR="008F0C87" w:rsidRPr="008F0C87" w:rsidRDefault="008F0C87" w:rsidP="008F0C87">
      <w:pPr>
        <w:widowControl/>
        <w:tabs>
          <w:tab w:val="left" w:pos="851"/>
        </w:tabs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</w:rPr>
      </w:pPr>
      <w:r w:rsidRPr="008F0C87">
        <w:rPr>
          <w:bCs/>
          <w:sz w:val="24"/>
          <w:szCs w:val="24"/>
        </w:rPr>
        <w:t>О наследственном синдроме МЭН 1 можно говорить тогда, когда у пациента с данным заболеванием есть хотя бы один род-ственник первой линии с одной из опухолей, характерной для синдрома МЭН 1.</w:t>
      </w:r>
    </w:p>
    <w:p w:rsidR="008F0C87" w:rsidRPr="008F0C87" w:rsidRDefault="008F0C87" w:rsidP="008F0C87">
      <w:pPr>
        <w:widowControl/>
        <w:tabs>
          <w:tab w:val="left" w:pos="851"/>
        </w:tabs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</w:rPr>
      </w:pPr>
      <w:r w:rsidRPr="008F0C87">
        <w:rPr>
          <w:bCs/>
          <w:sz w:val="24"/>
          <w:szCs w:val="24"/>
        </w:rPr>
        <w:t>Скрининг</w:t>
      </w:r>
    </w:p>
    <w:p w:rsidR="008F0C87" w:rsidRPr="008F0C87" w:rsidRDefault="008F0C87" w:rsidP="008F0C87">
      <w:pPr>
        <w:widowControl/>
        <w:tabs>
          <w:tab w:val="left" w:pos="851"/>
        </w:tabs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</w:rPr>
      </w:pPr>
      <w:r w:rsidRPr="008F0C87">
        <w:rPr>
          <w:bCs/>
          <w:sz w:val="24"/>
          <w:szCs w:val="24"/>
        </w:rPr>
        <w:t>Исследуют пациентов с синдромом МЭН 1 и их родственников первой линии.</w:t>
      </w:r>
    </w:p>
    <w:p w:rsidR="008F0C87" w:rsidRPr="008F0C87" w:rsidRDefault="008F0C87" w:rsidP="008F0C87">
      <w:pPr>
        <w:widowControl/>
        <w:tabs>
          <w:tab w:val="left" w:pos="851"/>
        </w:tabs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</w:rPr>
      </w:pPr>
      <w:r w:rsidRPr="008F0C87">
        <w:rPr>
          <w:bCs/>
          <w:sz w:val="24"/>
          <w:szCs w:val="24"/>
        </w:rPr>
        <w:lastRenderedPageBreak/>
        <w:t>•</w:t>
      </w:r>
      <w:r w:rsidRPr="008F0C87">
        <w:rPr>
          <w:bCs/>
          <w:sz w:val="24"/>
          <w:szCs w:val="24"/>
        </w:rPr>
        <w:tab/>
        <w:t>Ежегодно определяют биохимические и гормональные по-казатели крови:</w:t>
      </w:r>
    </w:p>
    <w:p w:rsidR="008F0C87" w:rsidRPr="008F0C87" w:rsidRDefault="008F0C87" w:rsidP="008F0C87">
      <w:pPr>
        <w:widowControl/>
        <w:tabs>
          <w:tab w:val="left" w:pos="851"/>
        </w:tabs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</w:rPr>
      </w:pPr>
      <w:r w:rsidRPr="008F0C87">
        <w:rPr>
          <w:rFonts w:ascii="Segoe UI Symbol" w:hAnsi="Segoe UI Symbol" w:cs="Segoe UI Symbol"/>
          <w:bCs/>
          <w:sz w:val="24"/>
          <w:szCs w:val="24"/>
        </w:rPr>
        <w:t>❖</w:t>
      </w:r>
      <w:r w:rsidRPr="008F0C87">
        <w:rPr>
          <w:bCs/>
          <w:sz w:val="24"/>
          <w:szCs w:val="24"/>
        </w:rPr>
        <w:tab/>
        <w:t>ионизированный кальций (после 8 лет);</w:t>
      </w:r>
    </w:p>
    <w:p w:rsidR="008F0C87" w:rsidRPr="008F0C87" w:rsidRDefault="008F0C87" w:rsidP="008F0C87">
      <w:pPr>
        <w:widowControl/>
        <w:tabs>
          <w:tab w:val="left" w:pos="851"/>
        </w:tabs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</w:rPr>
      </w:pPr>
      <w:r w:rsidRPr="008F0C87">
        <w:rPr>
          <w:rFonts w:ascii="Segoe UI Symbol" w:hAnsi="Segoe UI Symbol" w:cs="Segoe UI Symbol"/>
          <w:bCs/>
          <w:sz w:val="24"/>
          <w:szCs w:val="24"/>
        </w:rPr>
        <w:t>❖</w:t>
      </w:r>
      <w:r w:rsidRPr="008F0C87">
        <w:rPr>
          <w:bCs/>
          <w:sz w:val="24"/>
          <w:szCs w:val="24"/>
        </w:rPr>
        <w:tab/>
        <w:t>ПТГ (после 8 лет);</w:t>
      </w:r>
    </w:p>
    <w:p w:rsidR="008F0C87" w:rsidRPr="008F0C87" w:rsidRDefault="008F0C87" w:rsidP="008F0C87">
      <w:pPr>
        <w:widowControl/>
        <w:tabs>
          <w:tab w:val="left" w:pos="851"/>
        </w:tabs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</w:rPr>
      </w:pPr>
      <w:r w:rsidRPr="008F0C87">
        <w:rPr>
          <w:rFonts w:ascii="Segoe UI Symbol" w:hAnsi="Segoe UI Symbol" w:cs="Segoe UI Symbol"/>
          <w:bCs/>
          <w:sz w:val="24"/>
          <w:szCs w:val="24"/>
        </w:rPr>
        <w:t>❖</w:t>
      </w:r>
      <w:r w:rsidRPr="008F0C87">
        <w:rPr>
          <w:bCs/>
          <w:sz w:val="24"/>
          <w:szCs w:val="24"/>
        </w:rPr>
        <w:tab/>
        <w:t>гастрин и инсулин натощак (после 20 лет);</w:t>
      </w:r>
    </w:p>
    <w:p w:rsidR="008F0C87" w:rsidRPr="008F0C87" w:rsidRDefault="008F0C87" w:rsidP="008F0C87">
      <w:pPr>
        <w:widowControl/>
        <w:tabs>
          <w:tab w:val="left" w:pos="851"/>
        </w:tabs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</w:rPr>
      </w:pPr>
      <w:r w:rsidRPr="008F0C87">
        <w:rPr>
          <w:rFonts w:ascii="Segoe UI Symbol" w:hAnsi="Segoe UI Symbol" w:cs="Segoe UI Symbol"/>
          <w:bCs/>
          <w:sz w:val="24"/>
          <w:szCs w:val="24"/>
        </w:rPr>
        <w:t>❖</w:t>
      </w:r>
      <w:r w:rsidRPr="008F0C87">
        <w:rPr>
          <w:bCs/>
          <w:sz w:val="24"/>
          <w:szCs w:val="24"/>
        </w:rPr>
        <w:tab/>
        <w:t>хромогранин А и панкреатический полипептид (после 20 лет);</w:t>
      </w:r>
    </w:p>
    <w:p w:rsidR="008F0C87" w:rsidRPr="008F0C87" w:rsidRDefault="008F0C87" w:rsidP="008F0C87">
      <w:pPr>
        <w:widowControl/>
        <w:tabs>
          <w:tab w:val="left" w:pos="851"/>
        </w:tabs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</w:rPr>
      </w:pPr>
      <w:r w:rsidRPr="008F0C87">
        <w:rPr>
          <w:rFonts w:ascii="Segoe UI Symbol" w:hAnsi="Segoe UI Symbol" w:cs="Segoe UI Symbol"/>
          <w:bCs/>
          <w:sz w:val="24"/>
          <w:szCs w:val="24"/>
        </w:rPr>
        <w:t>❖</w:t>
      </w:r>
      <w:r w:rsidRPr="008F0C87">
        <w:rPr>
          <w:bCs/>
          <w:sz w:val="24"/>
          <w:szCs w:val="24"/>
        </w:rPr>
        <w:tab/>
        <w:t>пролактин и ИФР-1 (после 5 лет).</w:t>
      </w:r>
    </w:p>
    <w:p w:rsidR="008F0C87" w:rsidRPr="008F0C87" w:rsidRDefault="008F0C87" w:rsidP="008F0C87">
      <w:pPr>
        <w:widowControl/>
        <w:tabs>
          <w:tab w:val="left" w:pos="851"/>
        </w:tabs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</w:rPr>
      </w:pPr>
      <w:r w:rsidRPr="008F0C87">
        <w:rPr>
          <w:rFonts w:ascii="Segoe UI Symbol" w:hAnsi="Segoe UI Symbol" w:cs="Segoe UI Symbol"/>
          <w:bCs/>
          <w:sz w:val="24"/>
          <w:szCs w:val="24"/>
        </w:rPr>
        <w:t>❖</w:t>
      </w:r>
      <w:r w:rsidRPr="008F0C87">
        <w:rPr>
          <w:bCs/>
          <w:sz w:val="24"/>
          <w:szCs w:val="24"/>
        </w:rPr>
        <w:tab/>
        <w:t>Инструментальные исследования проводят 1 раз в 3 года.</w:t>
      </w:r>
    </w:p>
    <w:p w:rsidR="008F0C87" w:rsidRPr="008F0C87" w:rsidRDefault="008F0C87" w:rsidP="008F0C87">
      <w:pPr>
        <w:widowControl/>
        <w:tabs>
          <w:tab w:val="left" w:pos="851"/>
        </w:tabs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</w:rPr>
      </w:pPr>
      <w:r w:rsidRPr="008F0C87">
        <w:rPr>
          <w:rFonts w:ascii="Segoe UI Symbol" w:hAnsi="Segoe UI Symbol" w:cs="Segoe UI Symbol"/>
          <w:bCs/>
          <w:sz w:val="24"/>
          <w:szCs w:val="24"/>
        </w:rPr>
        <w:t>❖</w:t>
      </w:r>
      <w:r w:rsidRPr="008F0C87">
        <w:rPr>
          <w:bCs/>
          <w:sz w:val="24"/>
          <w:szCs w:val="24"/>
        </w:rPr>
        <w:tab/>
        <w:t>МРТ головного мозга (после 5 лет).</w:t>
      </w:r>
    </w:p>
    <w:p w:rsidR="008F0C87" w:rsidRPr="008F0C87" w:rsidRDefault="008F0C87" w:rsidP="008F0C87">
      <w:pPr>
        <w:widowControl/>
        <w:tabs>
          <w:tab w:val="left" w:pos="851"/>
        </w:tabs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</w:rPr>
      </w:pPr>
      <w:r w:rsidRPr="008F0C87">
        <w:rPr>
          <w:rFonts w:ascii="Segoe UI Symbol" w:hAnsi="Segoe UI Symbol" w:cs="Segoe UI Symbol"/>
          <w:bCs/>
          <w:sz w:val="24"/>
          <w:szCs w:val="24"/>
        </w:rPr>
        <w:t>❖</w:t>
      </w:r>
      <w:r w:rsidRPr="008F0C87">
        <w:rPr>
          <w:bCs/>
          <w:sz w:val="24"/>
          <w:szCs w:val="24"/>
        </w:rPr>
        <w:tab/>
        <w:t>Сканирование тела с In-DTPA-октреотидом (после 20 лет).</w:t>
      </w:r>
    </w:p>
    <w:p w:rsidR="008F0C87" w:rsidRPr="008F0C87" w:rsidRDefault="008F0C87" w:rsidP="008F0C87">
      <w:pPr>
        <w:widowControl/>
        <w:tabs>
          <w:tab w:val="left" w:pos="851"/>
        </w:tabs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</w:rPr>
      </w:pPr>
      <w:r w:rsidRPr="008F0C87">
        <w:rPr>
          <w:bCs/>
          <w:sz w:val="24"/>
          <w:szCs w:val="24"/>
        </w:rPr>
        <w:t>Этиология и патогенез</w:t>
      </w:r>
    </w:p>
    <w:p w:rsidR="008F0C87" w:rsidRPr="008F0C87" w:rsidRDefault="008F0C87" w:rsidP="008F0C87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</w:rPr>
      </w:pPr>
      <w:r w:rsidRPr="008F0C87">
        <w:rPr>
          <w:bCs/>
          <w:sz w:val="24"/>
          <w:szCs w:val="24"/>
        </w:rPr>
        <w:t>Причина возникновения синдрома МЭН — генетические гер-минальные мутации гена MEN1, отвечающего за подавление роста опухолевых клеток и локализующегося на хромосоме 11 (11q13).</w:t>
      </w:r>
    </w:p>
    <w:p w:rsidR="008F0C87" w:rsidRPr="008F0C87" w:rsidRDefault="008F0C87" w:rsidP="008F0C87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</w:rPr>
      </w:pPr>
      <w:r w:rsidRPr="008F0C87">
        <w:rPr>
          <w:bCs/>
          <w:sz w:val="24"/>
          <w:szCs w:val="24"/>
        </w:rPr>
        <w:t>В большинстве случаев возникают герминальные мутации (95%), однако спорадически обнаруживают и соматические. От-сутствие в гене MEN1 определяемой мутации свидетельствует либо о несовершенстве используемых технологий, либо об инак-тивации гена немутирующими механизмами, например, метили-рованием определенного региона гена MEN1 (такой механизм гиперметилирования промотора гена VHL лежит в основе разви¬тия синдрома фон Хиппеля-Линдау).</w:t>
      </w:r>
    </w:p>
    <w:p w:rsidR="008F0C87" w:rsidRPr="008F0C87" w:rsidRDefault="008F0C87" w:rsidP="008F0C87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</w:rPr>
      </w:pPr>
      <w:r w:rsidRPr="008F0C87">
        <w:rPr>
          <w:bCs/>
          <w:sz w:val="24"/>
          <w:szCs w:val="24"/>
        </w:rPr>
        <w:t>Вследствие возникновения наследственных мутаций опухоли появляются в ранние годы жизни и поражают несколько органов, образуя множественные опухолевые очаги в одном органе.</w:t>
      </w:r>
    </w:p>
    <w:p w:rsidR="008F0C87" w:rsidRPr="008F0C87" w:rsidRDefault="008F0C87" w:rsidP="008F0C87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</w:rPr>
      </w:pPr>
      <w:r w:rsidRPr="008F0C87">
        <w:rPr>
          <w:bCs/>
          <w:sz w:val="24"/>
          <w:szCs w:val="24"/>
        </w:rPr>
        <w:t>Синдром наследуется по аутосомно-доминантному типу.</w:t>
      </w:r>
    </w:p>
    <w:p w:rsidR="008F0C87" w:rsidRPr="008F0C87" w:rsidRDefault="008F0C87" w:rsidP="008F0C87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</w:rPr>
      </w:pPr>
      <w:r w:rsidRPr="008F0C87">
        <w:rPr>
          <w:bCs/>
          <w:sz w:val="24"/>
          <w:szCs w:val="24"/>
        </w:rPr>
        <w:t>Клиническая картина</w:t>
      </w:r>
    </w:p>
    <w:p w:rsidR="008F0C87" w:rsidRPr="008F0C87" w:rsidRDefault="008F0C87" w:rsidP="008F0C87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</w:rPr>
      </w:pPr>
      <w:r w:rsidRPr="008F0C87">
        <w:rPr>
          <w:bCs/>
          <w:sz w:val="24"/>
          <w:szCs w:val="24"/>
        </w:rPr>
        <w:t>Новообразования, характерные для синдрома МЭН 1</w:t>
      </w:r>
    </w:p>
    <w:p w:rsidR="008F0C87" w:rsidRPr="008F0C87" w:rsidRDefault="008F0C87" w:rsidP="008F0C87">
      <w:pPr>
        <w:widowControl/>
        <w:tabs>
          <w:tab w:val="left" w:pos="851"/>
        </w:tabs>
        <w:autoSpaceDE/>
        <w:autoSpaceDN/>
        <w:adjustRightInd/>
        <w:ind w:left="426"/>
        <w:jc w:val="both"/>
        <w:outlineLvl w:val="1"/>
        <w:rPr>
          <w:bCs/>
          <w:sz w:val="24"/>
          <w:szCs w:val="24"/>
        </w:rPr>
      </w:pPr>
      <w:r w:rsidRPr="008F0C87">
        <w:rPr>
          <w:bCs/>
          <w:sz w:val="24"/>
          <w:szCs w:val="24"/>
        </w:rPr>
        <w:t>•</w:t>
      </w:r>
      <w:r w:rsidRPr="008F0C87">
        <w:rPr>
          <w:bCs/>
          <w:sz w:val="24"/>
          <w:szCs w:val="24"/>
        </w:rPr>
        <w:tab/>
        <w:t>Гиперплазия или опухоли околощитовидных желез.</w:t>
      </w:r>
    </w:p>
    <w:p w:rsidR="008F0C87" w:rsidRPr="008F0C87" w:rsidRDefault="008F0C87" w:rsidP="008F0C87">
      <w:pPr>
        <w:widowControl/>
        <w:tabs>
          <w:tab w:val="left" w:pos="851"/>
        </w:tabs>
        <w:autoSpaceDE/>
        <w:autoSpaceDN/>
        <w:adjustRightInd/>
        <w:ind w:left="426"/>
        <w:jc w:val="both"/>
        <w:outlineLvl w:val="1"/>
        <w:rPr>
          <w:bCs/>
          <w:sz w:val="24"/>
          <w:szCs w:val="24"/>
        </w:rPr>
      </w:pPr>
      <w:r w:rsidRPr="008F0C87">
        <w:rPr>
          <w:bCs/>
          <w:sz w:val="24"/>
          <w:szCs w:val="24"/>
        </w:rPr>
        <w:t>•</w:t>
      </w:r>
      <w:r w:rsidRPr="008F0C87">
        <w:rPr>
          <w:bCs/>
          <w:sz w:val="24"/>
          <w:szCs w:val="24"/>
        </w:rPr>
        <w:tab/>
        <w:t>Панкреатические эндокринные опухоли.</w:t>
      </w:r>
    </w:p>
    <w:p w:rsidR="008F0C87" w:rsidRPr="008F0C87" w:rsidRDefault="008F0C87" w:rsidP="008F0C87">
      <w:pPr>
        <w:widowControl/>
        <w:tabs>
          <w:tab w:val="left" w:pos="851"/>
        </w:tabs>
        <w:autoSpaceDE/>
        <w:autoSpaceDN/>
        <w:adjustRightInd/>
        <w:ind w:firstLine="426"/>
        <w:jc w:val="both"/>
        <w:outlineLvl w:val="1"/>
        <w:rPr>
          <w:bCs/>
          <w:sz w:val="24"/>
          <w:szCs w:val="24"/>
        </w:rPr>
      </w:pPr>
      <w:r w:rsidRPr="008F0C87">
        <w:rPr>
          <w:rFonts w:ascii="Segoe UI Symbol" w:hAnsi="Segoe UI Symbol" w:cs="Segoe UI Symbol"/>
          <w:bCs/>
          <w:sz w:val="24"/>
          <w:szCs w:val="24"/>
        </w:rPr>
        <w:t>❖</w:t>
      </w:r>
      <w:r w:rsidRPr="008F0C87">
        <w:rPr>
          <w:bCs/>
          <w:sz w:val="24"/>
          <w:szCs w:val="24"/>
        </w:rPr>
        <w:tab/>
        <w:t>Гастринома.</w:t>
      </w:r>
    </w:p>
    <w:p w:rsidR="008F0C87" w:rsidRPr="008F0C87" w:rsidRDefault="008F0C87" w:rsidP="008F0C87">
      <w:pPr>
        <w:widowControl/>
        <w:tabs>
          <w:tab w:val="left" w:pos="851"/>
        </w:tabs>
        <w:autoSpaceDE/>
        <w:autoSpaceDN/>
        <w:adjustRightInd/>
        <w:ind w:firstLine="426"/>
        <w:jc w:val="both"/>
        <w:outlineLvl w:val="1"/>
        <w:rPr>
          <w:bCs/>
          <w:sz w:val="24"/>
          <w:szCs w:val="24"/>
        </w:rPr>
      </w:pPr>
      <w:r w:rsidRPr="008F0C87">
        <w:rPr>
          <w:rFonts w:ascii="Segoe UI Symbol" w:hAnsi="Segoe UI Symbol" w:cs="Segoe UI Symbol"/>
          <w:bCs/>
          <w:sz w:val="24"/>
          <w:szCs w:val="24"/>
        </w:rPr>
        <w:t>❖</w:t>
      </w:r>
      <w:r w:rsidRPr="008F0C87">
        <w:rPr>
          <w:bCs/>
          <w:sz w:val="24"/>
          <w:szCs w:val="24"/>
        </w:rPr>
        <w:tab/>
        <w:t>Инсулинома.</w:t>
      </w:r>
    </w:p>
    <w:p w:rsidR="008F0C87" w:rsidRPr="008F0C87" w:rsidRDefault="008F0C87" w:rsidP="008F0C87">
      <w:pPr>
        <w:widowControl/>
        <w:tabs>
          <w:tab w:val="left" w:pos="851"/>
        </w:tabs>
        <w:autoSpaceDE/>
        <w:autoSpaceDN/>
        <w:adjustRightInd/>
        <w:ind w:firstLine="426"/>
        <w:jc w:val="both"/>
        <w:outlineLvl w:val="1"/>
        <w:rPr>
          <w:bCs/>
          <w:sz w:val="24"/>
          <w:szCs w:val="24"/>
        </w:rPr>
      </w:pPr>
      <w:r w:rsidRPr="008F0C87">
        <w:rPr>
          <w:rFonts w:ascii="Segoe UI Symbol" w:hAnsi="Segoe UI Symbol" w:cs="Segoe UI Symbol"/>
          <w:bCs/>
          <w:sz w:val="24"/>
          <w:szCs w:val="24"/>
        </w:rPr>
        <w:t>❖</w:t>
      </w:r>
      <w:r w:rsidRPr="008F0C87">
        <w:rPr>
          <w:bCs/>
          <w:sz w:val="24"/>
          <w:szCs w:val="24"/>
        </w:rPr>
        <w:tab/>
        <w:t>Опухоль из РР-клеток.</w:t>
      </w:r>
    </w:p>
    <w:p w:rsidR="008F0C87" w:rsidRPr="008F0C87" w:rsidRDefault="008F0C87" w:rsidP="008F0C87">
      <w:pPr>
        <w:widowControl/>
        <w:tabs>
          <w:tab w:val="left" w:pos="851"/>
        </w:tabs>
        <w:autoSpaceDE/>
        <w:autoSpaceDN/>
        <w:adjustRightInd/>
        <w:ind w:firstLine="426"/>
        <w:jc w:val="both"/>
        <w:outlineLvl w:val="1"/>
        <w:rPr>
          <w:bCs/>
          <w:sz w:val="24"/>
          <w:szCs w:val="24"/>
        </w:rPr>
      </w:pPr>
      <w:r w:rsidRPr="008F0C87">
        <w:rPr>
          <w:rFonts w:ascii="Segoe UI Symbol" w:hAnsi="Segoe UI Symbol" w:cs="Segoe UI Symbol"/>
          <w:bCs/>
          <w:sz w:val="24"/>
          <w:szCs w:val="24"/>
        </w:rPr>
        <w:t>❖</w:t>
      </w:r>
      <w:r w:rsidRPr="008F0C87">
        <w:rPr>
          <w:bCs/>
          <w:sz w:val="24"/>
          <w:szCs w:val="24"/>
        </w:rPr>
        <w:tab/>
        <w:t>Глюкагонома, опухоль из клеток, вырабатывающих вазо-интестинальный пептид, соматостатинома.</w:t>
      </w:r>
    </w:p>
    <w:p w:rsidR="008F0C87" w:rsidRPr="008F0C87" w:rsidRDefault="008F0C87" w:rsidP="008F0C87">
      <w:pPr>
        <w:widowControl/>
        <w:tabs>
          <w:tab w:val="left" w:pos="851"/>
        </w:tabs>
        <w:autoSpaceDE/>
        <w:autoSpaceDN/>
        <w:adjustRightInd/>
        <w:ind w:firstLine="426"/>
        <w:jc w:val="both"/>
        <w:outlineLvl w:val="1"/>
        <w:rPr>
          <w:bCs/>
          <w:sz w:val="24"/>
          <w:szCs w:val="24"/>
        </w:rPr>
      </w:pPr>
      <w:r w:rsidRPr="008F0C87">
        <w:rPr>
          <w:rFonts w:ascii="Segoe UI Symbol" w:hAnsi="Segoe UI Symbol" w:cs="Segoe UI Symbol"/>
          <w:bCs/>
          <w:sz w:val="24"/>
          <w:szCs w:val="24"/>
        </w:rPr>
        <w:t>❖</w:t>
      </w:r>
      <w:r w:rsidRPr="008F0C87">
        <w:rPr>
          <w:bCs/>
          <w:sz w:val="24"/>
          <w:szCs w:val="24"/>
        </w:rPr>
        <w:tab/>
        <w:t>Нефункционирующие опухоли (случайные находки).</w:t>
      </w:r>
    </w:p>
    <w:p w:rsidR="008F0C87" w:rsidRPr="008F0C87" w:rsidRDefault="008F0C87" w:rsidP="008F0C87">
      <w:pPr>
        <w:widowControl/>
        <w:autoSpaceDE/>
        <w:autoSpaceDN/>
        <w:adjustRightInd/>
        <w:jc w:val="both"/>
        <w:outlineLvl w:val="1"/>
        <w:rPr>
          <w:bCs/>
          <w:sz w:val="24"/>
          <w:szCs w:val="24"/>
        </w:rPr>
      </w:pPr>
      <w:r w:rsidRPr="008F0C87">
        <w:rPr>
          <w:bCs/>
          <w:sz w:val="24"/>
          <w:szCs w:val="24"/>
        </w:rPr>
        <w:t>• Опухоли гипофиза.</w:t>
      </w:r>
    </w:p>
    <w:p w:rsidR="008F0C87" w:rsidRPr="008F0C87" w:rsidRDefault="008F0C87" w:rsidP="008F0C87">
      <w:pPr>
        <w:widowControl/>
        <w:tabs>
          <w:tab w:val="left" w:pos="851"/>
        </w:tabs>
        <w:autoSpaceDE/>
        <w:autoSpaceDN/>
        <w:adjustRightInd/>
        <w:ind w:firstLine="426"/>
        <w:jc w:val="both"/>
        <w:outlineLvl w:val="1"/>
        <w:rPr>
          <w:bCs/>
          <w:sz w:val="24"/>
          <w:szCs w:val="24"/>
        </w:rPr>
      </w:pPr>
      <w:r w:rsidRPr="008F0C87">
        <w:rPr>
          <w:rFonts w:ascii="Segoe UI Symbol" w:hAnsi="Segoe UI Symbol" w:cs="Segoe UI Symbol"/>
          <w:bCs/>
          <w:sz w:val="24"/>
          <w:szCs w:val="24"/>
        </w:rPr>
        <w:t>❖</w:t>
      </w:r>
      <w:r w:rsidRPr="008F0C87">
        <w:rPr>
          <w:bCs/>
          <w:sz w:val="24"/>
          <w:szCs w:val="24"/>
        </w:rPr>
        <w:tab/>
        <w:t>Пролактинома.</w:t>
      </w:r>
    </w:p>
    <w:p w:rsidR="008F0C87" w:rsidRPr="008F0C87" w:rsidRDefault="008F0C87" w:rsidP="008F0C87">
      <w:pPr>
        <w:widowControl/>
        <w:tabs>
          <w:tab w:val="left" w:pos="851"/>
        </w:tabs>
        <w:autoSpaceDE/>
        <w:autoSpaceDN/>
        <w:adjustRightInd/>
        <w:ind w:firstLine="426"/>
        <w:jc w:val="both"/>
        <w:outlineLvl w:val="1"/>
        <w:rPr>
          <w:bCs/>
          <w:sz w:val="24"/>
          <w:szCs w:val="24"/>
        </w:rPr>
      </w:pPr>
      <w:r w:rsidRPr="008F0C87">
        <w:rPr>
          <w:rFonts w:ascii="Segoe UI Symbol" w:hAnsi="Segoe UI Symbol" w:cs="Segoe UI Symbol"/>
          <w:bCs/>
          <w:sz w:val="24"/>
          <w:szCs w:val="24"/>
        </w:rPr>
        <w:t>❖</w:t>
      </w:r>
      <w:r w:rsidRPr="008F0C87">
        <w:rPr>
          <w:bCs/>
          <w:sz w:val="24"/>
          <w:szCs w:val="24"/>
        </w:rPr>
        <w:tab/>
        <w:t>Смешанная (пролактин + СТГ).</w:t>
      </w:r>
    </w:p>
    <w:p w:rsidR="008F0C87" w:rsidRPr="008F0C87" w:rsidRDefault="008F0C87" w:rsidP="008F0C87">
      <w:pPr>
        <w:widowControl/>
        <w:tabs>
          <w:tab w:val="left" w:pos="851"/>
        </w:tabs>
        <w:autoSpaceDE/>
        <w:autoSpaceDN/>
        <w:adjustRightInd/>
        <w:ind w:firstLine="426"/>
        <w:jc w:val="both"/>
        <w:outlineLvl w:val="1"/>
        <w:rPr>
          <w:bCs/>
          <w:sz w:val="24"/>
          <w:szCs w:val="24"/>
        </w:rPr>
      </w:pPr>
      <w:r w:rsidRPr="008F0C87">
        <w:rPr>
          <w:rFonts w:ascii="Segoe UI Symbol" w:hAnsi="Segoe UI Symbol" w:cs="Segoe UI Symbol"/>
          <w:bCs/>
          <w:sz w:val="24"/>
          <w:szCs w:val="24"/>
        </w:rPr>
        <w:t>❖</w:t>
      </w:r>
      <w:r w:rsidRPr="008F0C87">
        <w:rPr>
          <w:bCs/>
          <w:sz w:val="24"/>
          <w:szCs w:val="24"/>
        </w:rPr>
        <w:tab/>
        <w:t>Соматотропинома.</w:t>
      </w:r>
    </w:p>
    <w:p w:rsidR="008F0C87" w:rsidRPr="008F0C87" w:rsidRDefault="008F0C87" w:rsidP="008F0C87">
      <w:pPr>
        <w:widowControl/>
        <w:tabs>
          <w:tab w:val="left" w:pos="851"/>
        </w:tabs>
        <w:autoSpaceDE/>
        <w:autoSpaceDN/>
        <w:adjustRightInd/>
        <w:ind w:firstLine="426"/>
        <w:jc w:val="both"/>
        <w:outlineLvl w:val="1"/>
        <w:rPr>
          <w:bCs/>
          <w:sz w:val="24"/>
          <w:szCs w:val="24"/>
        </w:rPr>
      </w:pPr>
      <w:r w:rsidRPr="008F0C87">
        <w:rPr>
          <w:rFonts w:ascii="Segoe UI Symbol" w:hAnsi="Segoe UI Symbol" w:cs="Segoe UI Symbol"/>
          <w:bCs/>
          <w:sz w:val="24"/>
          <w:szCs w:val="24"/>
        </w:rPr>
        <w:t>❖</w:t>
      </w:r>
      <w:r w:rsidRPr="008F0C87">
        <w:rPr>
          <w:bCs/>
          <w:sz w:val="24"/>
          <w:szCs w:val="24"/>
        </w:rPr>
        <w:tab/>
        <w:t>Гормонально-неактивная опухоль.</w:t>
      </w:r>
    </w:p>
    <w:p w:rsidR="008F0C87" w:rsidRPr="008F0C87" w:rsidRDefault="008F0C87" w:rsidP="008F0C87">
      <w:pPr>
        <w:widowControl/>
        <w:tabs>
          <w:tab w:val="left" w:pos="851"/>
        </w:tabs>
        <w:autoSpaceDE/>
        <w:autoSpaceDN/>
        <w:adjustRightInd/>
        <w:ind w:firstLine="426"/>
        <w:jc w:val="both"/>
        <w:outlineLvl w:val="1"/>
        <w:rPr>
          <w:bCs/>
          <w:sz w:val="24"/>
          <w:szCs w:val="24"/>
        </w:rPr>
      </w:pPr>
      <w:r w:rsidRPr="008F0C87">
        <w:rPr>
          <w:rFonts w:ascii="Segoe UI Symbol" w:hAnsi="Segoe UI Symbol" w:cs="Segoe UI Symbol"/>
          <w:bCs/>
          <w:sz w:val="24"/>
          <w:szCs w:val="24"/>
        </w:rPr>
        <w:t>❖</w:t>
      </w:r>
      <w:r w:rsidRPr="008F0C87">
        <w:rPr>
          <w:bCs/>
          <w:sz w:val="24"/>
          <w:szCs w:val="24"/>
        </w:rPr>
        <w:tab/>
        <w:t>Кортикотропинома.</w:t>
      </w:r>
    </w:p>
    <w:p w:rsidR="008F0C87" w:rsidRPr="008F0C87" w:rsidRDefault="008F0C87" w:rsidP="008F0C87">
      <w:pPr>
        <w:widowControl/>
        <w:tabs>
          <w:tab w:val="left" w:pos="851"/>
        </w:tabs>
        <w:autoSpaceDE/>
        <w:autoSpaceDN/>
        <w:adjustRightInd/>
        <w:ind w:firstLine="426"/>
        <w:jc w:val="both"/>
        <w:outlineLvl w:val="1"/>
        <w:rPr>
          <w:bCs/>
          <w:sz w:val="24"/>
          <w:szCs w:val="24"/>
        </w:rPr>
      </w:pPr>
      <w:r w:rsidRPr="008F0C87">
        <w:rPr>
          <w:rFonts w:ascii="Segoe UI Symbol" w:hAnsi="Segoe UI Symbol" w:cs="Segoe UI Symbol"/>
          <w:bCs/>
          <w:sz w:val="24"/>
          <w:szCs w:val="24"/>
        </w:rPr>
        <w:t>❖</w:t>
      </w:r>
      <w:r w:rsidRPr="008F0C87">
        <w:rPr>
          <w:bCs/>
          <w:sz w:val="24"/>
          <w:szCs w:val="24"/>
        </w:rPr>
        <w:tab/>
        <w:t>Тиреотропинома.</w:t>
      </w:r>
    </w:p>
    <w:p w:rsidR="008F0C87" w:rsidRPr="008F0C87" w:rsidRDefault="008F0C87" w:rsidP="008F0C87">
      <w:pPr>
        <w:widowControl/>
        <w:tabs>
          <w:tab w:val="left" w:pos="851"/>
        </w:tabs>
        <w:autoSpaceDE/>
        <w:autoSpaceDN/>
        <w:adjustRightInd/>
        <w:jc w:val="both"/>
        <w:outlineLvl w:val="1"/>
        <w:rPr>
          <w:bCs/>
          <w:sz w:val="24"/>
          <w:szCs w:val="24"/>
        </w:rPr>
      </w:pPr>
      <w:r w:rsidRPr="008F0C87">
        <w:rPr>
          <w:bCs/>
          <w:sz w:val="24"/>
          <w:szCs w:val="24"/>
        </w:rPr>
        <w:t>• Карциноидные опухоли.</w:t>
      </w:r>
    </w:p>
    <w:p w:rsidR="008F0C87" w:rsidRPr="008F0C87" w:rsidRDefault="008F0C87" w:rsidP="008F0C87">
      <w:pPr>
        <w:widowControl/>
        <w:tabs>
          <w:tab w:val="left" w:pos="851"/>
        </w:tabs>
        <w:autoSpaceDE/>
        <w:autoSpaceDN/>
        <w:adjustRightInd/>
        <w:ind w:left="284" w:firstLine="141"/>
        <w:jc w:val="both"/>
        <w:outlineLvl w:val="1"/>
        <w:rPr>
          <w:bCs/>
          <w:sz w:val="24"/>
          <w:szCs w:val="24"/>
        </w:rPr>
      </w:pPr>
      <w:r w:rsidRPr="008F0C87">
        <w:rPr>
          <w:rFonts w:ascii="Segoe UI Symbol" w:hAnsi="Segoe UI Symbol" w:cs="Segoe UI Symbol"/>
          <w:bCs/>
          <w:sz w:val="24"/>
          <w:szCs w:val="24"/>
        </w:rPr>
        <w:t>❖</w:t>
      </w:r>
      <w:r w:rsidRPr="008F0C87">
        <w:rPr>
          <w:bCs/>
          <w:sz w:val="24"/>
          <w:szCs w:val="24"/>
        </w:rPr>
        <w:tab/>
        <w:t>Опухоли тимуса.</w:t>
      </w:r>
    </w:p>
    <w:p w:rsidR="008F0C87" w:rsidRPr="008F0C87" w:rsidRDefault="008F0C87" w:rsidP="008F0C87">
      <w:pPr>
        <w:widowControl/>
        <w:tabs>
          <w:tab w:val="left" w:pos="851"/>
        </w:tabs>
        <w:autoSpaceDE/>
        <w:autoSpaceDN/>
        <w:adjustRightInd/>
        <w:ind w:left="284" w:firstLine="141"/>
        <w:jc w:val="both"/>
        <w:outlineLvl w:val="1"/>
        <w:rPr>
          <w:bCs/>
          <w:sz w:val="24"/>
          <w:szCs w:val="24"/>
        </w:rPr>
      </w:pPr>
      <w:r w:rsidRPr="008F0C87">
        <w:rPr>
          <w:rFonts w:ascii="Segoe UI Symbol" w:hAnsi="Segoe UI Symbol" w:cs="Segoe UI Symbol"/>
          <w:bCs/>
          <w:sz w:val="24"/>
          <w:szCs w:val="24"/>
        </w:rPr>
        <w:t>❖</w:t>
      </w:r>
      <w:r w:rsidRPr="008F0C87">
        <w:rPr>
          <w:bCs/>
          <w:sz w:val="24"/>
          <w:szCs w:val="24"/>
        </w:rPr>
        <w:tab/>
        <w:t>Бонхиальный карциноид.</w:t>
      </w:r>
    </w:p>
    <w:p w:rsidR="008F0C87" w:rsidRPr="008F0C87" w:rsidRDefault="008F0C87" w:rsidP="008F0C87">
      <w:pPr>
        <w:widowControl/>
        <w:tabs>
          <w:tab w:val="left" w:pos="851"/>
        </w:tabs>
        <w:autoSpaceDE/>
        <w:autoSpaceDN/>
        <w:adjustRightInd/>
        <w:ind w:left="284" w:firstLine="141"/>
        <w:jc w:val="both"/>
        <w:outlineLvl w:val="1"/>
        <w:rPr>
          <w:bCs/>
          <w:sz w:val="24"/>
          <w:szCs w:val="24"/>
        </w:rPr>
      </w:pPr>
      <w:r w:rsidRPr="008F0C87">
        <w:rPr>
          <w:rFonts w:ascii="Segoe UI Symbol" w:hAnsi="Segoe UI Symbol" w:cs="Segoe UI Symbol"/>
          <w:bCs/>
          <w:sz w:val="24"/>
          <w:szCs w:val="24"/>
        </w:rPr>
        <w:lastRenderedPageBreak/>
        <w:t>❖</w:t>
      </w:r>
      <w:r w:rsidRPr="008F0C87">
        <w:rPr>
          <w:bCs/>
          <w:sz w:val="24"/>
          <w:szCs w:val="24"/>
        </w:rPr>
        <w:tab/>
        <w:t>Опухоли ЖКТ.</w:t>
      </w:r>
    </w:p>
    <w:p w:rsidR="008F0C87" w:rsidRPr="008F0C87" w:rsidRDefault="008F0C87" w:rsidP="008F0C87">
      <w:pPr>
        <w:widowControl/>
        <w:tabs>
          <w:tab w:val="left" w:pos="851"/>
        </w:tabs>
        <w:autoSpaceDE/>
        <w:autoSpaceDN/>
        <w:adjustRightInd/>
        <w:jc w:val="both"/>
        <w:outlineLvl w:val="1"/>
        <w:rPr>
          <w:bCs/>
          <w:sz w:val="24"/>
          <w:szCs w:val="24"/>
        </w:rPr>
      </w:pPr>
      <w:r w:rsidRPr="008F0C87">
        <w:rPr>
          <w:bCs/>
          <w:sz w:val="24"/>
          <w:szCs w:val="24"/>
        </w:rPr>
        <w:t xml:space="preserve">• Опухоли коры надпочечников (гормонально-неактивные). </w:t>
      </w:r>
      <w:r w:rsidRPr="008F0C87">
        <w:rPr>
          <w:rFonts w:ascii="Segoe UI Symbol" w:hAnsi="Segoe UI Symbol" w:cs="Segoe UI Symbol"/>
          <w:bCs/>
          <w:sz w:val="24"/>
          <w:szCs w:val="24"/>
        </w:rPr>
        <w:t>❖</w:t>
      </w:r>
      <w:r w:rsidRPr="008F0C87">
        <w:rPr>
          <w:bCs/>
          <w:sz w:val="24"/>
          <w:szCs w:val="24"/>
        </w:rPr>
        <w:t xml:space="preserve"> Липомы.</w:t>
      </w:r>
    </w:p>
    <w:p w:rsidR="008F0C87" w:rsidRPr="008F0C87" w:rsidRDefault="008F0C87" w:rsidP="008F0C87">
      <w:pPr>
        <w:widowControl/>
        <w:tabs>
          <w:tab w:val="left" w:pos="851"/>
        </w:tabs>
        <w:autoSpaceDE/>
        <w:autoSpaceDN/>
        <w:adjustRightInd/>
        <w:ind w:left="284" w:firstLine="141"/>
        <w:jc w:val="both"/>
        <w:outlineLvl w:val="1"/>
        <w:rPr>
          <w:bCs/>
          <w:sz w:val="24"/>
          <w:szCs w:val="24"/>
        </w:rPr>
      </w:pPr>
      <w:r w:rsidRPr="008F0C87">
        <w:rPr>
          <w:rFonts w:ascii="Segoe UI Symbol" w:hAnsi="Segoe UI Symbol" w:cs="Segoe UI Symbol"/>
          <w:bCs/>
          <w:sz w:val="24"/>
          <w:szCs w:val="24"/>
        </w:rPr>
        <w:t>❖</w:t>
      </w:r>
      <w:r w:rsidRPr="008F0C87">
        <w:rPr>
          <w:bCs/>
          <w:sz w:val="24"/>
          <w:szCs w:val="24"/>
        </w:rPr>
        <w:t xml:space="preserve"> Лицевые ангиофибромы.</w:t>
      </w:r>
    </w:p>
    <w:p w:rsidR="008F0C87" w:rsidRPr="008F0C87" w:rsidRDefault="008F0C87" w:rsidP="008F0C87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</w:rPr>
      </w:pPr>
      <w:r w:rsidRPr="008F0C87">
        <w:rPr>
          <w:bCs/>
          <w:sz w:val="24"/>
          <w:szCs w:val="24"/>
        </w:rPr>
        <w:t>Гиперпаратиреоз — одно из наиболее распространенных и ран-них проявлений синдрома МЭН 1, развивающегося обычно в воз-расте 20-25 лет. Характерны поражение трех или всех четырех желез, более мягкое течение, не столь значительное увеличение содержания кальция, как это отмечают при спорадических случа¬ях (табл. 18-1).</w:t>
      </w:r>
    </w:p>
    <w:p w:rsidR="008F0C87" w:rsidRPr="008F0C87" w:rsidRDefault="008F0C87" w:rsidP="008F0C87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</w:rPr>
      </w:pPr>
      <w:r w:rsidRPr="008F0C87">
        <w:rPr>
          <w:bCs/>
          <w:sz w:val="24"/>
          <w:szCs w:val="24"/>
        </w:rPr>
        <w:t>Манифестные симптомы гормональной гиперсекреции НЭО ПЖ при синдроме МЭН 1 обычно появляются в возрасте 40 лет и старше, хотя с помощью биохимических исследований и ви- зуализационных методик можно обнаружить бессимптомные опухоли уже в третьей декаде жизни. Характерен мультицентри</w:t>
      </w:r>
      <w:r w:rsidRPr="008F0C87">
        <w:rPr>
          <w:sz w:val="24"/>
          <w:szCs w:val="24"/>
        </w:rPr>
        <w:t xml:space="preserve"> </w:t>
      </w:r>
      <w:r w:rsidRPr="008F0C87">
        <w:rPr>
          <w:bCs/>
          <w:sz w:val="24"/>
          <w:szCs w:val="24"/>
        </w:rPr>
        <w:t>ческий рост, могут быть как микроаденомы, макроаденомы, так и инвазивные и метастазирующие карциномы. Основные места локализации — ПЖ и подслизистая оболочка двенадцатиперст¬ной кишки. Чаще всего встречаются множественные гастриномы маленьких размеров (&lt;0,5 см в диаметре) в двенадцатиперстной кишке. Специфические марке</w:t>
      </w:r>
      <w:r>
        <w:rPr>
          <w:bCs/>
          <w:sz w:val="24"/>
          <w:szCs w:val="24"/>
        </w:rPr>
        <w:t>ры злокачественности НЭО не опи</w:t>
      </w:r>
      <w:r w:rsidRPr="008F0C87">
        <w:rPr>
          <w:bCs/>
          <w:sz w:val="24"/>
          <w:szCs w:val="24"/>
        </w:rPr>
        <w:t>саны.</w:t>
      </w:r>
    </w:p>
    <w:p w:rsidR="008F0C87" w:rsidRPr="008F0C87" w:rsidRDefault="008F0C87" w:rsidP="008F0C87">
      <w:pPr>
        <w:widowControl/>
        <w:autoSpaceDE/>
        <w:autoSpaceDN/>
        <w:adjustRightInd/>
        <w:jc w:val="both"/>
        <w:outlineLvl w:val="1"/>
        <w:rPr>
          <w:bCs/>
          <w:sz w:val="24"/>
          <w:szCs w:val="24"/>
        </w:rPr>
      </w:pPr>
      <w:r w:rsidRPr="008F0C87">
        <w:rPr>
          <w:bCs/>
          <w:sz w:val="24"/>
          <w:szCs w:val="24"/>
        </w:rPr>
        <w:t>Таблица 1. Особенности течения гиперпаратиреоза при синдроме МЭН по сравнению со спорадическими формами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42"/>
        <w:gridCol w:w="2226"/>
        <w:gridCol w:w="3831"/>
      </w:tblGrid>
      <w:tr w:rsidR="008F0C87" w:rsidRPr="008F0C87" w:rsidTr="008C3A52">
        <w:trPr>
          <w:trHeight w:hRule="exact" w:val="806"/>
        </w:trPr>
        <w:tc>
          <w:tcPr>
            <w:tcW w:w="3642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8F0C87" w:rsidRPr="008F0C87" w:rsidRDefault="008F0C87" w:rsidP="008F0C87">
            <w:pPr>
              <w:autoSpaceDE/>
              <w:autoSpaceDN/>
              <w:adjustRightInd/>
              <w:jc w:val="center"/>
              <w:rPr>
                <w:color w:val="000000"/>
                <w:sz w:val="28"/>
                <w:szCs w:val="24"/>
                <w:lang w:bidi="ru-RU"/>
              </w:rPr>
            </w:pPr>
            <w:r w:rsidRPr="008F0C87">
              <w:rPr>
                <w:rFonts w:eastAsia="Arial"/>
                <w:b/>
                <w:bCs/>
                <w:color w:val="000000"/>
                <w:sz w:val="28"/>
                <w:szCs w:val="24"/>
                <w:lang w:bidi="ru-RU"/>
              </w:rPr>
              <w:t>Признак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F0C87" w:rsidRPr="008F0C87" w:rsidRDefault="008F0C87" w:rsidP="008F0C87">
            <w:pPr>
              <w:autoSpaceDE/>
              <w:autoSpaceDN/>
              <w:adjustRightInd/>
              <w:jc w:val="center"/>
              <w:rPr>
                <w:color w:val="000000"/>
                <w:sz w:val="28"/>
                <w:szCs w:val="24"/>
                <w:lang w:bidi="ru-RU"/>
              </w:rPr>
            </w:pPr>
            <w:r w:rsidRPr="008F0C87">
              <w:rPr>
                <w:rFonts w:eastAsia="Arial"/>
                <w:b/>
                <w:bCs/>
                <w:color w:val="000000"/>
                <w:sz w:val="28"/>
                <w:szCs w:val="24"/>
                <w:lang w:bidi="ru-RU"/>
              </w:rPr>
              <w:t>МЭН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F0C87" w:rsidRPr="008F0C87" w:rsidRDefault="008F0C87" w:rsidP="008F0C87">
            <w:pPr>
              <w:autoSpaceDE/>
              <w:autoSpaceDN/>
              <w:adjustRightInd/>
              <w:ind w:firstLine="180"/>
              <w:rPr>
                <w:color w:val="000000"/>
                <w:sz w:val="28"/>
                <w:szCs w:val="24"/>
                <w:lang w:bidi="ru-RU"/>
              </w:rPr>
            </w:pPr>
            <w:r w:rsidRPr="008F0C87">
              <w:rPr>
                <w:rFonts w:eastAsia="Arial"/>
                <w:b/>
                <w:bCs/>
                <w:color w:val="000000"/>
                <w:sz w:val="28"/>
                <w:szCs w:val="24"/>
                <w:lang w:bidi="ru-RU"/>
              </w:rPr>
              <w:t>Первичный гиперпаратиреоз</w:t>
            </w:r>
          </w:p>
        </w:tc>
      </w:tr>
      <w:tr w:rsidR="008F0C87" w:rsidRPr="008F0C87" w:rsidTr="008C3A52">
        <w:trPr>
          <w:trHeight w:hRule="exact" w:val="1352"/>
        </w:trPr>
        <w:tc>
          <w:tcPr>
            <w:tcW w:w="3642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8F0C87" w:rsidRPr="008F0C87" w:rsidRDefault="008F0C87" w:rsidP="008F0C87">
            <w:pPr>
              <w:autoSpaceDE/>
              <w:autoSpaceDN/>
              <w:adjustRightInd/>
              <w:rPr>
                <w:color w:val="000000"/>
                <w:sz w:val="28"/>
                <w:szCs w:val="24"/>
                <w:lang w:bidi="ru-RU"/>
              </w:rPr>
            </w:pPr>
            <w:r w:rsidRPr="008F0C87">
              <w:rPr>
                <w:rFonts w:eastAsia="Arial"/>
                <w:color w:val="000000"/>
                <w:sz w:val="28"/>
                <w:szCs w:val="24"/>
                <w:lang w:bidi="ru-RU"/>
              </w:rPr>
              <w:t xml:space="preserve">Чувствительность секреции ПТГ к содержанию </w:t>
            </w:r>
            <w:r w:rsidRPr="008F0C87">
              <w:rPr>
                <w:rFonts w:eastAsia="Arial"/>
                <w:color w:val="000000"/>
                <w:sz w:val="28"/>
                <w:szCs w:val="24"/>
                <w:lang w:val="en-US" w:eastAsia="en-US" w:bidi="en-US"/>
              </w:rPr>
              <w:t>Ca</w:t>
            </w:r>
            <w:r w:rsidRPr="008F0C87">
              <w:rPr>
                <w:rFonts w:eastAsia="Arial"/>
                <w:color w:val="000000"/>
                <w:sz w:val="28"/>
                <w:szCs w:val="24"/>
                <w:vertAlign w:val="superscript"/>
                <w:lang w:eastAsia="en-US" w:bidi="en-US"/>
              </w:rPr>
              <w:t>2+</w:t>
            </w:r>
            <w:r w:rsidRPr="008F0C87">
              <w:rPr>
                <w:rFonts w:eastAsia="Arial"/>
                <w:color w:val="000000"/>
                <w:sz w:val="28"/>
                <w:szCs w:val="24"/>
                <w:lang w:eastAsia="en-US" w:bidi="en-US"/>
              </w:rPr>
              <w:t xml:space="preserve"> </w:t>
            </w:r>
            <w:r w:rsidRPr="008F0C87">
              <w:rPr>
                <w:rFonts w:eastAsia="Arial"/>
                <w:color w:val="000000"/>
                <w:sz w:val="28"/>
                <w:szCs w:val="24"/>
                <w:lang w:bidi="ru-RU"/>
              </w:rPr>
              <w:t>в крови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F0C87" w:rsidRPr="008F0C87" w:rsidRDefault="008F0C87" w:rsidP="008F0C87">
            <w:pPr>
              <w:autoSpaceDE/>
              <w:autoSpaceDN/>
              <w:adjustRightInd/>
              <w:rPr>
                <w:color w:val="000000"/>
                <w:sz w:val="28"/>
                <w:szCs w:val="24"/>
                <w:lang w:bidi="ru-RU"/>
              </w:rPr>
            </w:pPr>
            <w:r w:rsidRPr="008F0C87">
              <w:rPr>
                <w:rFonts w:eastAsia="Arial"/>
                <w:color w:val="000000"/>
                <w:sz w:val="28"/>
                <w:szCs w:val="24"/>
                <w:lang w:bidi="ru-RU"/>
              </w:rPr>
              <w:t>Более высокая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F0C87" w:rsidRPr="008F0C87" w:rsidRDefault="008F0C87" w:rsidP="008F0C87">
            <w:pPr>
              <w:autoSpaceDE/>
              <w:autoSpaceDN/>
              <w:adjustRightInd/>
              <w:rPr>
                <w:color w:val="000000"/>
                <w:sz w:val="28"/>
                <w:szCs w:val="24"/>
                <w:lang w:bidi="ru-RU"/>
              </w:rPr>
            </w:pPr>
            <w:r w:rsidRPr="008F0C87">
              <w:rPr>
                <w:rFonts w:eastAsia="Arial"/>
                <w:color w:val="000000"/>
                <w:sz w:val="28"/>
                <w:szCs w:val="24"/>
                <w:lang w:bidi="ru-RU"/>
              </w:rPr>
              <w:t>Более низкая</w:t>
            </w:r>
          </w:p>
        </w:tc>
      </w:tr>
      <w:tr w:rsidR="008F0C87" w:rsidRPr="008F0C87" w:rsidTr="008C3A52">
        <w:trPr>
          <w:trHeight w:hRule="exact" w:val="806"/>
        </w:trPr>
        <w:tc>
          <w:tcPr>
            <w:tcW w:w="3642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8F0C87" w:rsidRPr="008F0C87" w:rsidRDefault="008F0C87" w:rsidP="008F0C87">
            <w:pPr>
              <w:autoSpaceDE/>
              <w:autoSpaceDN/>
              <w:adjustRightInd/>
              <w:rPr>
                <w:color w:val="000000"/>
                <w:sz w:val="28"/>
                <w:szCs w:val="24"/>
                <w:lang w:bidi="ru-RU"/>
              </w:rPr>
            </w:pPr>
            <w:r w:rsidRPr="008F0C87">
              <w:rPr>
                <w:rFonts w:eastAsia="Arial"/>
                <w:color w:val="000000"/>
                <w:sz w:val="28"/>
                <w:szCs w:val="24"/>
                <w:lang w:bidi="ru-RU"/>
              </w:rPr>
              <w:t>Ремиссия заболевания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F0C87" w:rsidRPr="008F0C87" w:rsidRDefault="008F0C87" w:rsidP="008F0C87">
            <w:pPr>
              <w:autoSpaceDE/>
              <w:autoSpaceDN/>
              <w:adjustRightInd/>
              <w:rPr>
                <w:color w:val="000000"/>
                <w:sz w:val="28"/>
                <w:szCs w:val="24"/>
                <w:lang w:bidi="ru-RU"/>
              </w:rPr>
            </w:pPr>
            <w:r w:rsidRPr="008F0C87">
              <w:rPr>
                <w:rFonts w:eastAsia="Arial"/>
                <w:color w:val="000000"/>
                <w:sz w:val="28"/>
                <w:szCs w:val="24"/>
                <w:lang w:bidi="ru-RU"/>
              </w:rPr>
              <w:t>У 75% пациентов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F0C87" w:rsidRPr="008F0C87" w:rsidRDefault="008F0C87" w:rsidP="008F0C87">
            <w:pPr>
              <w:autoSpaceDE/>
              <w:autoSpaceDN/>
              <w:adjustRightInd/>
              <w:rPr>
                <w:color w:val="000000"/>
                <w:sz w:val="28"/>
                <w:szCs w:val="24"/>
                <w:lang w:bidi="ru-RU"/>
              </w:rPr>
            </w:pPr>
            <w:r w:rsidRPr="008F0C87">
              <w:rPr>
                <w:rFonts w:eastAsia="Arial"/>
                <w:color w:val="000000"/>
                <w:sz w:val="28"/>
                <w:szCs w:val="24"/>
                <w:lang w:bidi="ru-RU"/>
              </w:rPr>
              <w:t>У &gt;85% пациентов</w:t>
            </w:r>
          </w:p>
        </w:tc>
      </w:tr>
      <w:tr w:rsidR="008F0C87" w:rsidRPr="008F0C87" w:rsidTr="008C3A52">
        <w:trPr>
          <w:trHeight w:hRule="exact" w:val="787"/>
        </w:trPr>
        <w:tc>
          <w:tcPr>
            <w:tcW w:w="3642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8F0C87" w:rsidRPr="008F0C87" w:rsidRDefault="008F0C87" w:rsidP="008F0C87">
            <w:pPr>
              <w:autoSpaceDE/>
              <w:autoSpaceDN/>
              <w:adjustRightInd/>
              <w:rPr>
                <w:color w:val="000000"/>
                <w:sz w:val="28"/>
                <w:szCs w:val="24"/>
                <w:lang w:bidi="ru-RU"/>
              </w:rPr>
            </w:pPr>
            <w:r w:rsidRPr="008F0C87">
              <w:rPr>
                <w:rFonts w:eastAsia="Arial"/>
                <w:color w:val="000000"/>
                <w:sz w:val="28"/>
                <w:szCs w:val="24"/>
                <w:lang w:bidi="ru-RU"/>
              </w:rPr>
              <w:t>Рецидив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F0C87" w:rsidRPr="008F0C87" w:rsidRDefault="008F0C87" w:rsidP="008F0C87">
            <w:pPr>
              <w:autoSpaceDE/>
              <w:autoSpaceDN/>
              <w:adjustRightInd/>
              <w:rPr>
                <w:color w:val="000000"/>
                <w:sz w:val="28"/>
                <w:szCs w:val="24"/>
                <w:lang w:bidi="ru-RU"/>
              </w:rPr>
            </w:pPr>
            <w:r w:rsidRPr="008F0C87">
              <w:rPr>
                <w:rFonts w:eastAsia="Arial"/>
                <w:color w:val="000000"/>
                <w:sz w:val="28"/>
                <w:szCs w:val="24"/>
                <w:lang w:bidi="ru-RU"/>
              </w:rPr>
              <w:t>В течение 10 лет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F0C87" w:rsidRPr="008F0C87" w:rsidRDefault="008F0C87" w:rsidP="008F0C87">
            <w:pPr>
              <w:autoSpaceDE/>
              <w:autoSpaceDN/>
              <w:adjustRightInd/>
              <w:rPr>
                <w:color w:val="000000"/>
                <w:sz w:val="28"/>
                <w:szCs w:val="24"/>
                <w:lang w:bidi="ru-RU"/>
              </w:rPr>
            </w:pPr>
            <w:r w:rsidRPr="008F0C87">
              <w:rPr>
                <w:rFonts w:eastAsia="Arial"/>
                <w:color w:val="000000"/>
                <w:sz w:val="28"/>
                <w:szCs w:val="24"/>
                <w:lang w:bidi="ru-RU"/>
              </w:rPr>
              <w:t>Редко</w:t>
            </w:r>
          </w:p>
        </w:tc>
      </w:tr>
      <w:tr w:rsidR="008F0C87" w:rsidRPr="008F0C87" w:rsidTr="008C3A52">
        <w:trPr>
          <w:trHeight w:hRule="exact" w:val="1387"/>
        </w:trPr>
        <w:tc>
          <w:tcPr>
            <w:tcW w:w="36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F0C87" w:rsidRPr="008F0C87" w:rsidRDefault="008F0C87" w:rsidP="008F0C87">
            <w:pPr>
              <w:autoSpaceDE/>
              <w:autoSpaceDN/>
              <w:adjustRightInd/>
              <w:rPr>
                <w:color w:val="000000"/>
                <w:sz w:val="28"/>
                <w:szCs w:val="24"/>
                <w:lang w:bidi="ru-RU"/>
              </w:rPr>
            </w:pPr>
            <w:r w:rsidRPr="008F0C87">
              <w:rPr>
                <w:rFonts w:eastAsia="Arial"/>
                <w:color w:val="000000"/>
                <w:sz w:val="28"/>
                <w:szCs w:val="24"/>
                <w:lang w:bidi="ru-RU"/>
              </w:rPr>
              <w:t>Морфогистологические осо</w:t>
            </w:r>
            <w:r w:rsidRPr="008F0C87">
              <w:rPr>
                <w:rFonts w:eastAsia="Arial"/>
                <w:color w:val="000000"/>
                <w:sz w:val="28"/>
                <w:szCs w:val="24"/>
                <w:lang w:bidi="ru-RU"/>
              </w:rPr>
              <w:softHyphen/>
              <w:t>бенности опухоли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F0C87" w:rsidRPr="008F0C87" w:rsidRDefault="008F0C87" w:rsidP="008F0C87">
            <w:pPr>
              <w:autoSpaceDE/>
              <w:autoSpaceDN/>
              <w:adjustRightInd/>
              <w:rPr>
                <w:color w:val="000000"/>
                <w:sz w:val="28"/>
                <w:szCs w:val="24"/>
                <w:lang w:bidi="ru-RU"/>
              </w:rPr>
            </w:pPr>
            <w:r w:rsidRPr="008F0C87">
              <w:rPr>
                <w:rFonts w:eastAsia="Arial"/>
                <w:color w:val="000000"/>
                <w:sz w:val="28"/>
                <w:szCs w:val="24"/>
                <w:lang w:bidi="ru-RU"/>
              </w:rPr>
              <w:t>Мультицентриче- ский рост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F0C87" w:rsidRPr="008F0C87" w:rsidRDefault="008F0C87" w:rsidP="008F0C87">
            <w:pPr>
              <w:autoSpaceDE/>
              <w:autoSpaceDN/>
              <w:adjustRightInd/>
              <w:rPr>
                <w:color w:val="000000"/>
                <w:sz w:val="28"/>
                <w:szCs w:val="24"/>
                <w:lang w:bidi="ru-RU"/>
              </w:rPr>
            </w:pPr>
            <w:r w:rsidRPr="008F0C87">
              <w:rPr>
                <w:rFonts w:eastAsia="Arial"/>
                <w:color w:val="000000"/>
                <w:sz w:val="28"/>
                <w:szCs w:val="24"/>
                <w:lang w:bidi="ru-RU"/>
              </w:rPr>
              <w:t>Моноклональная одиночная опухоль</w:t>
            </w:r>
          </w:p>
        </w:tc>
      </w:tr>
    </w:tbl>
    <w:p w:rsidR="008F0C87" w:rsidRPr="008F0C87" w:rsidRDefault="008F0C87" w:rsidP="008C3A5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Опухоли гипофиза при МЭН 1 достигают 10 мм и более (ма</w:t>
      </w:r>
      <w:r w:rsidRPr="008F0C87">
        <w:rPr>
          <w:bCs/>
          <w:sz w:val="24"/>
          <w:szCs w:val="24"/>
          <w:lang w:bidi="ru-RU"/>
        </w:rPr>
        <w:softHyphen/>
        <w:t>кроаденомы). Чаще встречаются пролактиномы, хотя описаны все виды опухолей гипофиза, кроме истинной гонадотропиномы.</w:t>
      </w:r>
    </w:p>
    <w:p w:rsidR="008F0C87" w:rsidRPr="008F0C87" w:rsidRDefault="008F0C87" w:rsidP="008C3A5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Почти все карциноидные опухоли, встречающиеся в составе синдрома МЭН 1, происходят из верхнего отдела кишечной эм</w:t>
      </w:r>
      <w:r w:rsidRPr="008F0C87">
        <w:rPr>
          <w:bCs/>
          <w:sz w:val="24"/>
          <w:szCs w:val="24"/>
          <w:lang w:bidi="ru-RU"/>
        </w:rPr>
        <w:softHyphen/>
        <w:t>бриональной трубки. У мужчин встречаются преимущественно карциноидные опухоли тимуса, рост которых до последней стадии может клинически не проявляться. Опухоли тимуса при синдроме МЭН 1 растут агрессивнее по сравнению со спорадическими слу</w:t>
      </w:r>
      <w:r w:rsidRPr="008F0C87">
        <w:rPr>
          <w:bCs/>
          <w:sz w:val="24"/>
          <w:szCs w:val="24"/>
          <w:lang w:bidi="ru-RU"/>
        </w:rPr>
        <w:softHyphen/>
        <w:t>чаями. У женщин чаще возникает бронхиальный карциноид. Для ранней диагностики карциноида бронхов и тимуса необходимы КТ или МРТ органов грудной клетки и средостения.</w:t>
      </w:r>
    </w:p>
    <w:p w:rsidR="008F0C87" w:rsidRPr="008F0C87" w:rsidRDefault="008F0C87" w:rsidP="008C3A5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lastRenderedPageBreak/>
        <w:t>При гастроскопии можно случайно обнаружить множествен</w:t>
      </w:r>
      <w:r w:rsidRPr="008F0C87">
        <w:rPr>
          <w:bCs/>
          <w:sz w:val="24"/>
          <w:szCs w:val="24"/>
          <w:lang w:bidi="ru-RU"/>
        </w:rPr>
        <w:softHyphen/>
        <w:t>ные карциноидные опухоли размером менее 1,5 см в диаметре, происходящие из энтерохромаффиноподобных клеток 2-го типа.</w:t>
      </w:r>
    </w:p>
    <w:p w:rsidR="008F0C87" w:rsidRPr="008F0C87" w:rsidRDefault="008F0C87" w:rsidP="008C3A5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Описаны опухоли коры надпочечников, диффузная и узелко</w:t>
      </w:r>
      <w:r w:rsidRPr="008F0C87">
        <w:rPr>
          <w:bCs/>
          <w:sz w:val="24"/>
          <w:szCs w:val="24"/>
          <w:lang w:bidi="ru-RU"/>
        </w:rPr>
        <w:softHyphen/>
        <w:t>вая гиперплазия и даже карциномы. В большинстве случаев пора</w:t>
      </w:r>
      <w:r w:rsidRPr="008F0C87">
        <w:rPr>
          <w:bCs/>
          <w:sz w:val="24"/>
          <w:szCs w:val="24"/>
          <w:lang w:bidi="ru-RU"/>
        </w:rPr>
        <w:softHyphen/>
        <w:t>жение двустороннее, не влияющее на гормональную активность.</w:t>
      </w:r>
    </w:p>
    <w:p w:rsidR="008F0C87" w:rsidRPr="008F0C87" w:rsidRDefault="008F0C87" w:rsidP="008C3A5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Липомы (кожные и висцеральные) обычно инкапсулирован</w:t>
      </w:r>
      <w:r w:rsidRPr="008F0C87">
        <w:rPr>
          <w:bCs/>
          <w:sz w:val="24"/>
          <w:szCs w:val="24"/>
          <w:lang w:bidi="ru-RU"/>
        </w:rPr>
        <w:softHyphen/>
        <w:t>ные и мультицентрические, после их удаления рецидивы, как правило, не возникают. Для синдрома МЭН 1 характерны множе</w:t>
      </w:r>
      <w:r w:rsidRPr="008F0C87">
        <w:rPr>
          <w:bCs/>
          <w:sz w:val="24"/>
          <w:szCs w:val="24"/>
          <w:lang w:bidi="ru-RU"/>
        </w:rPr>
        <w:softHyphen/>
        <w:t>ственные лицевые ангиофибромы, в половине случаев возникает 5 ангиофибром и более. Часто появляются коллагеномы. Опухо</w:t>
      </w:r>
      <w:r w:rsidRPr="008F0C87">
        <w:rPr>
          <w:bCs/>
          <w:sz w:val="24"/>
          <w:szCs w:val="24"/>
          <w:lang w:bidi="ru-RU"/>
        </w:rPr>
        <w:softHyphen/>
        <w:t>ли кожных покровов могут быть предикторами развития синдро</w:t>
      </w:r>
      <w:r w:rsidRPr="008F0C87">
        <w:rPr>
          <w:bCs/>
          <w:sz w:val="24"/>
          <w:szCs w:val="24"/>
          <w:lang w:bidi="ru-RU"/>
        </w:rPr>
        <w:softHyphen/>
        <w:t>ма МЭН 1 до формирования развернутой клинической картины заболевания.</w:t>
      </w:r>
    </w:p>
    <w:p w:rsidR="008F0C87" w:rsidRPr="008F0C87" w:rsidRDefault="008F0C87" w:rsidP="008C3A52">
      <w:pPr>
        <w:widowControl/>
        <w:autoSpaceDE/>
        <w:autoSpaceDN/>
        <w:adjustRightInd/>
        <w:ind w:firstLine="567"/>
        <w:jc w:val="both"/>
        <w:outlineLvl w:val="1"/>
        <w:rPr>
          <w:b/>
          <w:bCs/>
          <w:sz w:val="24"/>
          <w:szCs w:val="24"/>
          <w:lang w:bidi="ru-RU"/>
        </w:rPr>
      </w:pPr>
      <w:bookmarkStart w:id="4" w:name="bookmark3595"/>
      <w:r w:rsidRPr="008F0C87">
        <w:rPr>
          <w:b/>
          <w:bCs/>
          <w:sz w:val="24"/>
          <w:szCs w:val="24"/>
          <w:lang w:bidi="ru-RU"/>
        </w:rPr>
        <w:t>Диагностика</w:t>
      </w:r>
      <w:bookmarkEnd w:id="4"/>
    </w:p>
    <w:p w:rsidR="008F0C87" w:rsidRPr="008F0C87" w:rsidRDefault="008F0C87" w:rsidP="008C3A5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План обследования зависит от тех жалоб и клинических прояв</w:t>
      </w:r>
      <w:r w:rsidRPr="008F0C87">
        <w:rPr>
          <w:bCs/>
          <w:sz w:val="24"/>
          <w:szCs w:val="24"/>
          <w:lang w:bidi="ru-RU"/>
        </w:rPr>
        <w:softHyphen/>
        <w:t>лений, которые имеются у пациента. При генетически подтверж</w:t>
      </w:r>
      <w:r w:rsidRPr="008F0C87">
        <w:rPr>
          <w:bCs/>
          <w:sz w:val="24"/>
          <w:szCs w:val="24"/>
          <w:lang w:bidi="ru-RU"/>
        </w:rPr>
        <w:softHyphen/>
        <w:t>денном синдроме МЭН 1 и/или при манифестном поражении двух органов необходимо исследовать другие места, поражающиеся наиболее часто, для раннего выявления и назначения лечения.</w:t>
      </w:r>
    </w:p>
    <w:p w:rsidR="008F0C87" w:rsidRPr="008F0C87" w:rsidRDefault="008F0C87" w:rsidP="008C3A52">
      <w:pPr>
        <w:widowControl/>
        <w:autoSpaceDE/>
        <w:autoSpaceDN/>
        <w:adjustRightInd/>
        <w:ind w:firstLine="567"/>
        <w:jc w:val="both"/>
        <w:outlineLvl w:val="1"/>
        <w:rPr>
          <w:b/>
          <w:bCs/>
          <w:sz w:val="24"/>
          <w:szCs w:val="24"/>
          <w:lang w:bidi="ru-RU"/>
        </w:rPr>
      </w:pPr>
      <w:bookmarkStart w:id="5" w:name="bookmark3597"/>
      <w:r w:rsidRPr="008F0C87">
        <w:rPr>
          <w:b/>
          <w:bCs/>
          <w:sz w:val="24"/>
          <w:szCs w:val="24"/>
          <w:lang w:bidi="ru-RU"/>
        </w:rPr>
        <w:t>Физикальное обследование</w:t>
      </w:r>
      <w:bookmarkEnd w:id="5"/>
    </w:p>
    <w:p w:rsidR="008F0C87" w:rsidRPr="008F0C87" w:rsidRDefault="008F0C87" w:rsidP="008C3A5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Жалобы и анамнез заболевания, данные физикального об</w:t>
      </w:r>
      <w:r w:rsidRPr="008F0C87">
        <w:rPr>
          <w:bCs/>
          <w:sz w:val="24"/>
          <w:szCs w:val="24"/>
          <w:lang w:bidi="ru-RU"/>
        </w:rPr>
        <w:softHyphen/>
        <w:t>следования, как правило, ничем не отличаются от таковых при спорадических формах (см. «Гормонально-неактивные опухоли гипофиза», «Синдром гиперпаратиреоза», «Нейроэндокринные опухоли»). Необходимо уточнить, есть ли у пациента родственни</w:t>
      </w:r>
      <w:r w:rsidRPr="008F0C87">
        <w:rPr>
          <w:bCs/>
          <w:sz w:val="24"/>
          <w:szCs w:val="24"/>
          <w:lang w:bidi="ru-RU"/>
        </w:rPr>
        <w:softHyphen/>
        <w:t>ки с каким-либо из этих эндокринных заболеваний.</w:t>
      </w:r>
    </w:p>
    <w:p w:rsidR="008F0C87" w:rsidRPr="008F0C87" w:rsidRDefault="008F0C87" w:rsidP="008C3A52">
      <w:pPr>
        <w:widowControl/>
        <w:autoSpaceDE/>
        <w:autoSpaceDN/>
        <w:adjustRightInd/>
        <w:ind w:firstLine="567"/>
        <w:jc w:val="both"/>
        <w:outlineLvl w:val="1"/>
        <w:rPr>
          <w:b/>
          <w:bCs/>
          <w:sz w:val="24"/>
          <w:szCs w:val="24"/>
          <w:lang w:bidi="ru-RU"/>
        </w:rPr>
      </w:pPr>
      <w:bookmarkStart w:id="6" w:name="bookmark3599"/>
      <w:r w:rsidRPr="008F0C87">
        <w:rPr>
          <w:b/>
          <w:bCs/>
          <w:sz w:val="24"/>
          <w:szCs w:val="24"/>
          <w:lang w:bidi="ru-RU"/>
        </w:rPr>
        <w:t>Лабораторные исследования</w:t>
      </w:r>
      <w:bookmarkEnd w:id="6"/>
    </w:p>
    <w:p w:rsidR="008F0C87" w:rsidRPr="008F0C87" w:rsidRDefault="008F0C87" w:rsidP="008C3A5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/>
          <w:bCs/>
          <w:sz w:val="24"/>
          <w:szCs w:val="24"/>
          <w:lang w:bidi="ru-RU"/>
        </w:rPr>
        <w:t>Гиперпаратиреоз</w:t>
      </w:r>
    </w:p>
    <w:p w:rsidR="008F0C87" w:rsidRPr="008F0C87" w:rsidRDefault="008F0C87" w:rsidP="008C3A52">
      <w:pPr>
        <w:widowControl/>
        <w:numPr>
          <w:ilvl w:val="0"/>
          <w:numId w:val="26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Концентрация ионизированного кальция и фосфора в сыво</w:t>
      </w:r>
      <w:r w:rsidRPr="008F0C87">
        <w:rPr>
          <w:bCs/>
          <w:sz w:val="24"/>
          <w:szCs w:val="24"/>
          <w:lang w:bidi="ru-RU"/>
        </w:rPr>
        <w:softHyphen/>
        <w:t>ротке крови.</w:t>
      </w:r>
    </w:p>
    <w:p w:rsidR="008F0C87" w:rsidRPr="008F0C87" w:rsidRDefault="008F0C87" w:rsidP="008C3A52">
      <w:pPr>
        <w:widowControl/>
        <w:numPr>
          <w:ilvl w:val="0"/>
          <w:numId w:val="26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Содержание ПТГ в крови.</w:t>
      </w:r>
    </w:p>
    <w:p w:rsidR="008F0C87" w:rsidRPr="008F0C87" w:rsidRDefault="008F0C87" w:rsidP="008C3A5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/>
          <w:bCs/>
          <w:sz w:val="24"/>
          <w:szCs w:val="24"/>
          <w:lang w:bidi="ru-RU"/>
        </w:rPr>
        <w:t>Нейроэндокринные опухоли</w:t>
      </w:r>
    </w:p>
    <w:p w:rsidR="008F0C87" w:rsidRPr="008F0C87" w:rsidRDefault="008F0C87" w:rsidP="008C3A52">
      <w:pPr>
        <w:widowControl/>
        <w:numPr>
          <w:ilvl w:val="0"/>
          <w:numId w:val="26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Концентрация гастрина и инсулина в крови натощак.</w:t>
      </w:r>
    </w:p>
    <w:p w:rsidR="008F0C87" w:rsidRPr="008F0C87" w:rsidRDefault="008F0C87" w:rsidP="008C3A52">
      <w:pPr>
        <w:widowControl/>
        <w:numPr>
          <w:ilvl w:val="0"/>
          <w:numId w:val="26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Содержание хромогранина А и панкреатического полипеп</w:t>
      </w:r>
      <w:r w:rsidRPr="008F0C87">
        <w:rPr>
          <w:bCs/>
          <w:sz w:val="24"/>
          <w:szCs w:val="24"/>
          <w:lang w:bidi="ru-RU"/>
        </w:rPr>
        <w:softHyphen/>
        <w:t>тида в крови.</w:t>
      </w:r>
    </w:p>
    <w:p w:rsidR="008F0C87" w:rsidRPr="008F0C87" w:rsidRDefault="008F0C87" w:rsidP="008C3A5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/>
          <w:bCs/>
          <w:sz w:val="24"/>
          <w:szCs w:val="24"/>
          <w:lang w:bidi="ru-RU"/>
        </w:rPr>
        <w:t>Опухоли гипофиза</w:t>
      </w:r>
    </w:p>
    <w:p w:rsidR="008F0C87" w:rsidRPr="008F0C87" w:rsidRDefault="008F0C87" w:rsidP="008C3A52">
      <w:pPr>
        <w:widowControl/>
        <w:numPr>
          <w:ilvl w:val="0"/>
          <w:numId w:val="26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Содержание пролактина (наиболее часто встречающиеся при синдроме МЭН 1 опухоли гипофиза — пролактиномы).</w:t>
      </w:r>
    </w:p>
    <w:p w:rsidR="008F0C87" w:rsidRPr="008F0C87" w:rsidRDefault="008F0C87" w:rsidP="008C3A52">
      <w:pPr>
        <w:widowControl/>
        <w:numPr>
          <w:ilvl w:val="0"/>
          <w:numId w:val="26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Концентрация других гормонов гипофиза — по показаниям в зависимости от клинической картины заболевания.</w:t>
      </w:r>
    </w:p>
    <w:p w:rsidR="008F0C87" w:rsidRPr="008F0C87" w:rsidRDefault="008F0C87" w:rsidP="008C3A52">
      <w:pPr>
        <w:widowControl/>
        <w:autoSpaceDE/>
        <w:autoSpaceDN/>
        <w:adjustRightInd/>
        <w:ind w:firstLine="567"/>
        <w:jc w:val="both"/>
        <w:outlineLvl w:val="1"/>
        <w:rPr>
          <w:b/>
          <w:bCs/>
          <w:sz w:val="24"/>
          <w:szCs w:val="24"/>
          <w:lang w:bidi="ru-RU"/>
        </w:rPr>
      </w:pPr>
      <w:bookmarkStart w:id="7" w:name="bookmark3601"/>
      <w:r w:rsidRPr="008F0C87">
        <w:rPr>
          <w:b/>
          <w:bCs/>
          <w:sz w:val="24"/>
          <w:szCs w:val="24"/>
          <w:lang w:bidi="ru-RU"/>
        </w:rPr>
        <w:t>Инструментальные исследования</w:t>
      </w:r>
      <w:bookmarkEnd w:id="7"/>
    </w:p>
    <w:p w:rsidR="008F0C87" w:rsidRPr="008F0C87" w:rsidRDefault="008F0C87" w:rsidP="008C3A52">
      <w:pPr>
        <w:widowControl/>
        <w:numPr>
          <w:ilvl w:val="0"/>
          <w:numId w:val="26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УЗИ околощитовидных желез.</w:t>
      </w:r>
    </w:p>
    <w:p w:rsidR="008F0C87" w:rsidRPr="008F0C87" w:rsidRDefault="008F0C87" w:rsidP="008C3A52">
      <w:pPr>
        <w:widowControl/>
        <w:numPr>
          <w:ilvl w:val="0"/>
          <w:numId w:val="26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Сканирование околощитовидных желез с изотопом техне</w:t>
      </w:r>
      <w:r w:rsidRPr="008F0C87">
        <w:rPr>
          <w:bCs/>
          <w:sz w:val="24"/>
          <w:szCs w:val="24"/>
          <w:lang w:bidi="ru-RU"/>
        </w:rPr>
        <w:softHyphen/>
        <w:t>ция (</w:t>
      </w:r>
      <w:r w:rsidRPr="008F0C87">
        <w:rPr>
          <w:bCs/>
          <w:sz w:val="24"/>
          <w:szCs w:val="24"/>
          <w:vertAlign w:val="superscript"/>
          <w:lang w:bidi="ru-RU"/>
        </w:rPr>
        <w:t>99</w:t>
      </w:r>
      <w:r w:rsidRPr="008F0C87">
        <w:rPr>
          <w:bCs/>
          <w:sz w:val="24"/>
          <w:szCs w:val="24"/>
          <w:vertAlign w:val="superscript"/>
          <w:lang w:bidi="en-US"/>
        </w:rPr>
        <w:t>m</w:t>
      </w:r>
      <w:r w:rsidRPr="008F0C87">
        <w:rPr>
          <w:bCs/>
          <w:sz w:val="24"/>
          <w:szCs w:val="24"/>
          <w:lang w:bidi="en-US"/>
        </w:rPr>
        <w:t>Tc</w:t>
      </w:r>
      <w:r w:rsidRPr="008F0C87">
        <w:rPr>
          <w:bCs/>
          <w:sz w:val="24"/>
          <w:szCs w:val="24"/>
          <w:lang w:bidi="ru-RU"/>
        </w:rPr>
        <w:t>).</w:t>
      </w:r>
    </w:p>
    <w:p w:rsidR="008F0C87" w:rsidRPr="008F0C87" w:rsidRDefault="008F0C87" w:rsidP="008C3A52">
      <w:pPr>
        <w:widowControl/>
        <w:numPr>
          <w:ilvl w:val="0"/>
          <w:numId w:val="26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 xml:space="preserve">Сканирование всего тела с </w:t>
      </w:r>
      <w:r w:rsidRPr="008F0C87">
        <w:rPr>
          <w:bCs/>
          <w:sz w:val="24"/>
          <w:szCs w:val="24"/>
          <w:lang w:bidi="en-US"/>
        </w:rPr>
        <w:t>In</w:t>
      </w:r>
      <w:r w:rsidRPr="008F0C87">
        <w:rPr>
          <w:bCs/>
          <w:sz w:val="24"/>
          <w:szCs w:val="24"/>
          <w:lang w:bidi="ru-RU"/>
        </w:rPr>
        <w:t>-</w:t>
      </w:r>
      <w:r w:rsidRPr="008F0C87">
        <w:rPr>
          <w:bCs/>
          <w:sz w:val="24"/>
          <w:szCs w:val="24"/>
          <w:lang w:bidi="en-US"/>
        </w:rPr>
        <w:t>DTPA</w:t>
      </w:r>
      <w:r w:rsidRPr="008F0C87">
        <w:rPr>
          <w:bCs/>
          <w:sz w:val="24"/>
          <w:szCs w:val="24"/>
          <w:lang w:bidi="ru-RU"/>
        </w:rPr>
        <w:t>-октреотидом.</w:t>
      </w:r>
    </w:p>
    <w:p w:rsidR="008F0C87" w:rsidRPr="008F0C87" w:rsidRDefault="008F0C87" w:rsidP="008C3A52">
      <w:pPr>
        <w:widowControl/>
        <w:numPr>
          <w:ilvl w:val="0"/>
          <w:numId w:val="26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УЗИ органов брюшной полости и забрюшинного простран</w:t>
      </w:r>
      <w:r w:rsidRPr="008F0C87">
        <w:rPr>
          <w:bCs/>
          <w:sz w:val="24"/>
          <w:szCs w:val="24"/>
          <w:lang w:bidi="ru-RU"/>
        </w:rPr>
        <w:softHyphen/>
        <w:t>ства.</w:t>
      </w:r>
    </w:p>
    <w:p w:rsidR="008F0C87" w:rsidRPr="008F0C87" w:rsidRDefault="008F0C87" w:rsidP="008C3A52">
      <w:pPr>
        <w:widowControl/>
        <w:numPr>
          <w:ilvl w:val="0"/>
          <w:numId w:val="26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ЭндоУЗИ поджелудочной железы.</w:t>
      </w:r>
    </w:p>
    <w:p w:rsidR="008F0C87" w:rsidRPr="008F0C87" w:rsidRDefault="008F0C87" w:rsidP="008C3A52">
      <w:pPr>
        <w:widowControl/>
        <w:numPr>
          <w:ilvl w:val="0"/>
          <w:numId w:val="26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МРТ головного мозга.</w:t>
      </w:r>
    </w:p>
    <w:p w:rsidR="008F0C87" w:rsidRPr="008F0C87" w:rsidRDefault="008F0C87" w:rsidP="008C3A52">
      <w:pPr>
        <w:widowControl/>
        <w:autoSpaceDE/>
        <w:autoSpaceDN/>
        <w:adjustRightInd/>
        <w:ind w:firstLine="567"/>
        <w:jc w:val="both"/>
        <w:outlineLvl w:val="1"/>
        <w:rPr>
          <w:b/>
          <w:bCs/>
          <w:sz w:val="24"/>
          <w:szCs w:val="24"/>
          <w:lang w:bidi="ru-RU"/>
        </w:rPr>
      </w:pPr>
      <w:bookmarkStart w:id="8" w:name="bookmark3603"/>
      <w:r w:rsidRPr="008F0C87">
        <w:rPr>
          <w:b/>
          <w:bCs/>
          <w:sz w:val="24"/>
          <w:szCs w:val="24"/>
          <w:lang w:bidi="ru-RU"/>
        </w:rPr>
        <w:t>Генетические исследования</w:t>
      </w:r>
      <w:bookmarkEnd w:id="8"/>
    </w:p>
    <w:p w:rsidR="008F0C87" w:rsidRPr="008F0C87" w:rsidRDefault="008F0C87" w:rsidP="008C3A5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Генетическую диагностику для выявления герминальных му</w:t>
      </w:r>
      <w:r w:rsidRPr="008F0C87">
        <w:rPr>
          <w:bCs/>
          <w:sz w:val="24"/>
          <w:szCs w:val="24"/>
          <w:lang w:bidi="ru-RU"/>
        </w:rPr>
        <w:softHyphen/>
        <w:t xml:space="preserve">таций гена </w:t>
      </w:r>
      <w:r w:rsidRPr="008F0C87">
        <w:rPr>
          <w:bCs/>
          <w:i/>
          <w:iCs/>
          <w:sz w:val="24"/>
          <w:szCs w:val="24"/>
          <w:lang w:bidi="en-US"/>
        </w:rPr>
        <w:t>MEN</w:t>
      </w:r>
      <w:r w:rsidRPr="008F0C87">
        <w:rPr>
          <w:bCs/>
          <w:i/>
          <w:iCs/>
          <w:sz w:val="24"/>
          <w:szCs w:val="24"/>
          <w:lang w:bidi="ru-RU"/>
        </w:rPr>
        <w:t>1</w:t>
      </w:r>
      <w:r w:rsidRPr="008F0C87">
        <w:rPr>
          <w:bCs/>
          <w:sz w:val="24"/>
          <w:szCs w:val="24"/>
          <w:lang w:bidi="ru-RU"/>
        </w:rPr>
        <w:t xml:space="preserve"> следует проводить у лиц:</w:t>
      </w:r>
    </w:p>
    <w:p w:rsidR="008F0C87" w:rsidRPr="008F0C87" w:rsidRDefault="008F0C87" w:rsidP="008C3A52">
      <w:pPr>
        <w:widowControl/>
        <w:numPr>
          <w:ilvl w:val="0"/>
          <w:numId w:val="26"/>
        </w:numPr>
        <w:autoSpaceDE/>
        <w:autoSpaceDN/>
        <w:adjustRightInd/>
        <w:ind w:firstLine="426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с двумя и более опухолями, характерными для синдрома МЭН 1;</w:t>
      </w:r>
    </w:p>
    <w:p w:rsidR="008F0C87" w:rsidRPr="008F0C87" w:rsidRDefault="008F0C87" w:rsidP="008C3A52">
      <w:pPr>
        <w:widowControl/>
        <w:numPr>
          <w:ilvl w:val="0"/>
          <w:numId w:val="26"/>
        </w:numPr>
        <w:autoSpaceDE/>
        <w:autoSpaceDN/>
        <w:adjustRightInd/>
        <w:ind w:firstLine="426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множественными опухолями околощитовидных желез (у пациентов моложе 30 лет);</w:t>
      </w:r>
    </w:p>
    <w:p w:rsidR="008F0C87" w:rsidRPr="008F0C87" w:rsidRDefault="008F0C87" w:rsidP="008C3A52">
      <w:pPr>
        <w:widowControl/>
        <w:numPr>
          <w:ilvl w:val="0"/>
          <w:numId w:val="26"/>
        </w:numPr>
        <w:autoSpaceDE/>
        <w:autoSpaceDN/>
        <w:adjustRightInd/>
        <w:ind w:firstLine="426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lastRenderedPageBreak/>
        <w:t>истинным рецидивом первичного гиперпаратиреоза после удачного оперативного лечения;</w:t>
      </w:r>
    </w:p>
    <w:p w:rsidR="008F0C87" w:rsidRPr="008F0C87" w:rsidRDefault="008F0C87" w:rsidP="008C3A52">
      <w:pPr>
        <w:widowControl/>
        <w:numPr>
          <w:ilvl w:val="0"/>
          <w:numId w:val="26"/>
        </w:numPr>
        <w:autoSpaceDE/>
        <w:autoSpaceDN/>
        <w:adjustRightInd/>
        <w:ind w:firstLine="426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гастриномой или множественными панкреатическими опу</w:t>
      </w:r>
      <w:r w:rsidRPr="008F0C87">
        <w:rPr>
          <w:bCs/>
          <w:sz w:val="24"/>
          <w:szCs w:val="24"/>
          <w:lang w:bidi="ru-RU"/>
        </w:rPr>
        <w:softHyphen/>
        <w:t>холями (у пациентов любого возраста);</w:t>
      </w:r>
    </w:p>
    <w:p w:rsidR="008F0C87" w:rsidRPr="008F0C87" w:rsidRDefault="008F0C87" w:rsidP="008C3A52">
      <w:pPr>
        <w:widowControl/>
        <w:numPr>
          <w:ilvl w:val="0"/>
          <w:numId w:val="26"/>
        </w:numPr>
        <w:autoSpaceDE/>
        <w:autoSpaceDN/>
        <w:adjustRightInd/>
        <w:ind w:firstLine="426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семейным изолированным гиперпаратиреозом.</w:t>
      </w:r>
    </w:p>
    <w:p w:rsidR="008F0C87" w:rsidRPr="008F0C87" w:rsidRDefault="008F0C87" w:rsidP="008C3A52">
      <w:pPr>
        <w:widowControl/>
        <w:autoSpaceDE/>
        <w:autoSpaceDN/>
        <w:adjustRightInd/>
        <w:ind w:firstLine="426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Кроме того, генетическое обследование следует проводить у родственников пациента с верифицированной генетической му</w:t>
      </w:r>
      <w:r w:rsidRPr="008F0C87">
        <w:rPr>
          <w:bCs/>
          <w:sz w:val="24"/>
          <w:szCs w:val="24"/>
          <w:lang w:bidi="ru-RU"/>
        </w:rPr>
        <w:softHyphen/>
        <w:t>тацией.</w:t>
      </w:r>
    </w:p>
    <w:p w:rsidR="008F0C87" w:rsidRPr="008F0C87" w:rsidRDefault="008F0C87" w:rsidP="008C3A52">
      <w:pPr>
        <w:widowControl/>
        <w:autoSpaceDE/>
        <w:autoSpaceDN/>
        <w:adjustRightInd/>
        <w:ind w:firstLine="426"/>
        <w:jc w:val="both"/>
        <w:outlineLvl w:val="1"/>
        <w:rPr>
          <w:b/>
          <w:bCs/>
          <w:sz w:val="24"/>
          <w:szCs w:val="24"/>
          <w:lang w:bidi="ru-RU"/>
        </w:rPr>
      </w:pPr>
      <w:bookmarkStart w:id="9" w:name="bookmark3605"/>
      <w:r w:rsidRPr="008F0C87">
        <w:rPr>
          <w:b/>
          <w:bCs/>
          <w:sz w:val="24"/>
          <w:szCs w:val="24"/>
          <w:lang w:bidi="ru-RU"/>
        </w:rPr>
        <w:t>Лечение</w:t>
      </w:r>
      <w:bookmarkEnd w:id="9"/>
    </w:p>
    <w:p w:rsidR="008F0C87" w:rsidRPr="008F0C87" w:rsidRDefault="008F0C87" w:rsidP="008C3A52">
      <w:pPr>
        <w:widowControl/>
        <w:autoSpaceDE/>
        <w:autoSpaceDN/>
        <w:adjustRightInd/>
        <w:ind w:firstLine="426"/>
        <w:jc w:val="both"/>
        <w:outlineLvl w:val="1"/>
        <w:rPr>
          <w:b/>
          <w:bCs/>
          <w:sz w:val="24"/>
          <w:szCs w:val="24"/>
          <w:lang w:bidi="ru-RU"/>
        </w:rPr>
      </w:pPr>
      <w:bookmarkStart w:id="10" w:name="bookmark3607"/>
      <w:r w:rsidRPr="008F0C87">
        <w:rPr>
          <w:b/>
          <w:bCs/>
          <w:sz w:val="24"/>
          <w:szCs w:val="24"/>
          <w:lang w:bidi="ru-RU"/>
        </w:rPr>
        <w:t>Цели</w:t>
      </w:r>
      <w:bookmarkEnd w:id="10"/>
    </w:p>
    <w:p w:rsidR="008F0C87" w:rsidRPr="008F0C87" w:rsidRDefault="008F0C87" w:rsidP="008C3A52">
      <w:pPr>
        <w:widowControl/>
        <w:numPr>
          <w:ilvl w:val="0"/>
          <w:numId w:val="26"/>
        </w:numPr>
        <w:autoSpaceDE/>
        <w:autoSpaceDN/>
        <w:adjustRightInd/>
        <w:ind w:firstLine="426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Ликвидация опухолевых очагов.</w:t>
      </w:r>
    </w:p>
    <w:p w:rsidR="008F0C87" w:rsidRPr="008F0C87" w:rsidRDefault="008F0C87" w:rsidP="008C3A52">
      <w:pPr>
        <w:widowControl/>
        <w:numPr>
          <w:ilvl w:val="0"/>
          <w:numId w:val="26"/>
        </w:numPr>
        <w:autoSpaceDE/>
        <w:autoSpaceDN/>
        <w:adjustRightInd/>
        <w:ind w:firstLine="426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Коррекция гормональных нарушений.</w:t>
      </w:r>
    </w:p>
    <w:p w:rsidR="008F0C87" w:rsidRPr="008F0C87" w:rsidRDefault="008F0C87" w:rsidP="008C3A52">
      <w:pPr>
        <w:widowControl/>
        <w:autoSpaceDE/>
        <w:autoSpaceDN/>
        <w:adjustRightInd/>
        <w:ind w:firstLine="426"/>
        <w:jc w:val="both"/>
        <w:outlineLvl w:val="1"/>
        <w:rPr>
          <w:b/>
          <w:bCs/>
          <w:sz w:val="24"/>
          <w:szCs w:val="24"/>
          <w:lang w:bidi="ru-RU"/>
        </w:rPr>
      </w:pPr>
      <w:bookmarkStart w:id="11" w:name="bookmark3609"/>
      <w:r w:rsidRPr="008F0C87">
        <w:rPr>
          <w:b/>
          <w:bCs/>
          <w:sz w:val="24"/>
          <w:szCs w:val="24"/>
          <w:lang w:bidi="ru-RU"/>
        </w:rPr>
        <w:t>Показания к госпитализации</w:t>
      </w:r>
      <w:bookmarkEnd w:id="11"/>
    </w:p>
    <w:p w:rsidR="008F0C87" w:rsidRPr="008F0C87" w:rsidRDefault="008F0C87" w:rsidP="008C3A52">
      <w:pPr>
        <w:widowControl/>
        <w:numPr>
          <w:ilvl w:val="0"/>
          <w:numId w:val="26"/>
        </w:numPr>
        <w:autoSpaceDE/>
        <w:autoSpaceDN/>
        <w:adjustRightInd/>
        <w:ind w:firstLine="426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Выполнение диагностических мероприятий у пациента в тя</w:t>
      </w:r>
      <w:r w:rsidRPr="008F0C87">
        <w:rPr>
          <w:bCs/>
          <w:sz w:val="24"/>
          <w:szCs w:val="24"/>
          <w:lang w:bidi="ru-RU"/>
        </w:rPr>
        <w:softHyphen/>
        <w:t>желом состоянии.</w:t>
      </w:r>
    </w:p>
    <w:p w:rsidR="008F0C87" w:rsidRPr="008F0C87" w:rsidRDefault="008F0C87" w:rsidP="008C3A52">
      <w:pPr>
        <w:widowControl/>
        <w:numPr>
          <w:ilvl w:val="0"/>
          <w:numId w:val="26"/>
        </w:numPr>
        <w:autoSpaceDE/>
        <w:autoSpaceDN/>
        <w:adjustRightInd/>
        <w:ind w:firstLine="426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Оперативное лечение.</w:t>
      </w:r>
    </w:p>
    <w:p w:rsidR="008F0C87" w:rsidRPr="008F0C87" w:rsidRDefault="008F0C87" w:rsidP="008C3A52">
      <w:pPr>
        <w:widowControl/>
        <w:autoSpaceDE/>
        <w:autoSpaceDN/>
        <w:adjustRightInd/>
        <w:ind w:firstLine="426"/>
        <w:jc w:val="both"/>
        <w:outlineLvl w:val="1"/>
        <w:rPr>
          <w:b/>
          <w:bCs/>
          <w:sz w:val="24"/>
          <w:szCs w:val="24"/>
          <w:lang w:bidi="ru-RU"/>
        </w:rPr>
      </w:pPr>
      <w:bookmarkStart w:id="12" w:name="bookmark3611"/>
      <w:r w:rsidRPr="008F0C87">
        <w:rPr>
          <w:b/>
          <w:bCs/>
          <w:sz w:val="24"/>
          <w:szCs w:val="24"/>
          <w:lang w:bidi="ru-RU"/>
        </w:rPr>
        <w:t>Медикаментозное и хирургическое лечение</w:t>
      </w:r>
      <w:bookmarkEnd w:id="12"/>
    </w:p>
    <w:p w:rsidR="008F0C87" w:rsidRPr="008F0C87" w:rsidRDefault="008F0C87" w:rsidP="008C3A52">
      <w:pPr>
        <w:widowControl/>
        <w:autoSpaceDE/>
        <w:autoSpaceDN/>
        <w:adjustRightInd/>
        <w:ind w:firstLine="426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Зависят от вида опухоли (см. «Гормонально-неактивные опу</w:t>
      </w:r>
      <w:r w:rsidRPr="008F0C87">
        <w:rPr>
          <w:bCs/>
          <w:sz w:val="24"/>
          <w:szCs w:val="24"/>
          <w:lang w:bidi="ru-RU"/>
        </w:rPr>
        <w:softHyphen/>
        <w:t>холи гипофиза», «Синдром гиперпаратиреоза», «Нейроэндо</w:t>
      </w:r>
      <w:r w:rsidRPr="008F0C87">
        <w:rPr>
          <w:bCs/>
          <w:sz w:val="24"/>
          <w:szCs w:val="24"/>
          <w:lang w:bidi="ru-RU"/>
        </w:rPr>
        <w:softHyphen/>
        <w:t>кринные опухоли»).</w:t>
      </w:r>
    </w:p>
    <w:p w:rsidR="008F0C87" w:rsidRPr="008F0C87" w:rsidRDefault="008F0C87" w:rsidP="008C3A52">
      <w:pPr>
        <w:widowControl/>
        <w:autoSpaceDE/>
        <w:autoSpaceDN/>
        <w:adjustRightInd/>
        <w:ind w:firstLine="426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Согласно Международному консенсусу по диагностике и лечению синдрома МЭН 1 одновременно (симультанно) с паратиреоидэктоми</w:t>
      </w:r>
      <w:r w:rsidRPr="008F0C87">
        <w:rPr>
          <w:bCs/>
          <w:sz w:val="24"/>
          <w:szCs w:val="24"/>
          <w:lang w:bidi="ru-RU"/>
        </w:rPr>
        <w:softHyphen/>
        <w:t>ей выполняют предельно субтотальную тимусэктомию. Удаленную ткань околощитовидной железы можно сохранить для возможной последующей подсадки при развитии тяжелого гипопаратиреоза.</w:t>
      </w:r>
    </w:p>
    <w:p w:rsidR="008F0C87" w:rsidRPr="008F0C87" w:rsidRDefault="008F0C87" w:rsidP="008C3A52">
      <w:pPr>
        <w:widowControl/>
        <w:autoSpaceDE/>
        <w:autoSpaceDN/>
        <w:adjustRightInd/>
        <w:ind w:firstLine="426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Нет единого мнения экспертов, каким должен быть первичный метод лечения гастрином при синдроме МЭН 1 — хирургическим или медикаментозным. Хирургическое лечение гастрином при синдроме МЭН 1 редко бывает успешным.</w:t>
      </w:r>
    </w:p>
    <w:p w:rsidR="008F0C87" w:rsidRPr="008F0C87" w:rsidRDefault="008F0C87" w:rsidP="008C3A52">
      <w:pPr>
        <w:widowControl/>
        <w:autoSpaceDE/>
        <w:autoSpaceDN/>
        <w:adjustRightInd/>
        <w:ind w:firstLine="426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Хирургическое лечение показано и обычно эффективно при инсулиномах и других панкреатических НЭО (кроме гастрином). Четких маркеров злокачественности и/или степени риска разви</w:t>
      </w:r>
      <w:r w:rsidRPr="008F0C87">
        <w:rPr>
          <w:bCs/>
          <w:sz w:val="24"/>
          <w:szCs w:val="24"/>
          <w:lang w:bidi="ru-RU"/>
        </w:rPr>
        <w:softHyphen/>
        <w:t>тия рецидива после проведенного оперативного вмешательства не существует.</w:t>
      </w:r>
    </w:p>
    <w:p w:rsidR="008F0C87" w:rsidRPr="008F0C87" w:rsidRDefault="008F0C87" w:rsidP="008C3A52">
      <w:pPr>
        <w:widowControl/>
        <w:autoSpaceDE/>
        <w:autoSpaceDN/>
        <w:adjustRightInd/>
        <w:ind w:firstLine="426"/>
        <w:jc w:val="both"/>
        <w:outlineLvl w:val="1"/>
        <w:rPr>
          <w:b/>
          <w:bCs/>
          <w:sz w:val="24"/>
          <w:szCs w:val="24"/>
          <w:lang w:bidi="ru-RU"/>
        </w:rPr>
      </w:pPr>
      <w:bookmarkStart w:id="13" w:name="bookmark3613"/>
      <w:r w:rsidRPr="008F0C87">
        <w:rPr>
          <w:b/>
          <w:bCs/>
          <w:sz w:val="24"/>
          <w:szCs w:val="24"/>
          <w:lang w:bidi="ru-RU"/>
        </w:rPr>
        <w:t>Дальнейшее ведение</w:t>
      </w:r>
      <w:bookmarkEnd w:id="13"/>
    </w:p>
    <w:p w:rsidR="008F0C87" w:rsidRPr="008F0C87" w:rsidRDefault="008F0C87" w:rsidP="008C3A52">
      <w:pPr>
        <w:widowControl/>
        <w:autoSpaceDE/>
        <w:autoSpaceDN/>
        <w:adjustRightInd/>
        <w:ind w:firstLine="426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Учитывая возможность рецидива опухолей и выявления пора</w:t>
      </w:r>
      <w:r w:rsidRPr="008F0C87">
        <w:rPr>
          <w:bCs/>
          <w:sz w:val="24"/>
          <w:szCs w:val="24"/>
          <w:lang w:bidi="ru-RU"/>
        </w:rPr>
        <w:softHyphen/>
        <w:t>жений других органов в течение жизни, пациенты с синдромом МЭН 1 должны находиться под длительным динамическим на</w:t>
      </w:r>
      <w:r w:rsidRPr="008F0C87">
        <w:rPr>
          <w:bCs/>
          <w:sz w:val="24"/>
          <w:szCs w:val="24"/>
          <w:lang w:bidi="ru-RU"/>
        </w:rPr>
        <w:softHyphen/>
        <w:t>блюдением. Следует проводить такое же обследование, как и при скрининге.</w:t>
      </w:r>
    </w:p>
    <w:p w:rsidR="008F0C87" w:rsidRPr="008F0C87" w:rsidRDefault="008F0C87" w:rsidP="008F0C87">
      <w:pPr>
        <w:widowControl/>
        <w:autoSpaceDE/>
        <w:autoSpaceDN/>
        <w:adjustRightInd/>
        <w:jc w:val="both"/>
        <w:outlineLvl w:val="1"/>
        <w:rPr>
          <w:bCs/>
          <w:sz w:val="24"/>
          <w:szCs w:val="24"/>
          <w:lang w:bidi="ru-RU"/>
        </w:rPr>
      </w:pPr>
    </w:p>
    <w:p w:rsidR="00330439" w:rsidRPr="008C3A52" w:rsidRDefault="00330439" w:rsidP="008F0C87">
      <w:pPr>
        <w:widowControl/>
        <w:autoSpaceDE/>
        <w:autoSpaceDN/>
        <w:adjustRightInd/>
        <w:jc w:val="both"/>
        <w:outlineLvl w:val="1"/>
        <w:rPr>
          <w:bCs/>
          <w:sz w:val="32"/>
          <w:szCs w:val="24"/>
        </w:rPr>
      </w:pPr>
      <w:bookmarkStart w:id="14" w:name="_Toc213118551"/>
      <w:bookmarkStart w:id="15" w:name="_Toc213164098"/>
      <w:bookmarkEnd w:id="2"/>
      <w:bookmarkEnd w:id="3"/>
      <w:r w:rsidRPr="008C3A52">
        <w:rPr>
          <w:bCs/>
          <w:sz w:val="32"/>
          <w:szCs w:val="24"/>
        </w:rPr>
        <w:t xml:space="preserve">План </w:t>
      </w:r>
      <w:r w:rsidRPr="008C3A52">
        <w:rPr>
          <w:bCs/>
          <w:sz w:val="32"/>
          <w:szCs w:val="24"/>
          <w:lang w:val="uz-Cyrl-UZ"/>
        </w:rPr>
        <w:t>4</w:t>
      </w:r>
      <w:r w:rsidRPr="008C3A52">
        <w:rPr>
          <w:bCs/>
          <w:sz w:val="32"/>
          <w:szCs w:val="24"/>
        </w:rPr>
        <w:t xml:space="preserve">. </w:t>
      </w:r>
      <w:r w:rsidR="00B43F0B" w:rsidRPr="008C3A52">
        <w:rPr>
          <w:bCs/>
          <w:sz w:val="32"/>
          <w:szCs w:val="24"/>
        </w:rPr>
        <w:t>Синдром множественных эндокринных неоплазий 2-го типа</w:t>
      </w:r>
    </w:p>
    <w:bookmarkEnd w:id="14"/>
    <w:bookmarkEnd w:id="15"/>
    <w:p w:rsidR="008F0C87" w:rsidRPr="008F0C87" w:rsidRDefault="008F0C87" w:rsidP="008C3A52">
      <w:pPr>
        <w:widowControl/>
        <w:autoSpaceDE/>
        <w:autoSpaceDN/>
        <w:adjustRightInd/>
        <w:ind w:firstLine="567"/>
        <w:outlineLvl w:val="1"/>
        <w:rPr>
          <w:bCs/>
          <w:sz w:val="24"/>
          <w:szCs w:val="24"/>
        </w:rPr>
      </w:pPr>
      <w:r w:rsidRPr="008F0C87">
        <w:rPr>
          <w:bCs/>
          <w:sz w:val="24"/>
          <w:szCs w:val="24"/>
        </w:rPr>
        <w:t>Синонимы: синдром множественных эндокринных опухолей, синдром Сиппла (синдром множественной эндокринной неопла¬зии 2а типа), синдром Горлена (синдром множественной эндо¬кринной неоплазии 2б типа).</w:t>
      </w:r>
    </w:p>
    <w:p w:rsidR="008F0C87" w:rsidRPr="008F0C87" w:rsidRDefault="008F0C87" w:rsidP="008C3A52">
      <w:pPr>
        <w:widowControl/>
        <w:autoSpaceDE/>
        <w:autoSpaceDN/>
        <w:adjustRightInd/>
        <w:ind w:firstLine="567"/>
        <w:outlineLvl w:val="1"/>
        <w:rPr>
          <w:bCs/>
          <w:sz w:val="24"/>
          <w:szCs w:val="24"/>
        </w:rPr>
      </w:pPr>
      <w:r w:rsidRPr="008F0C87">
        <w:rPr>
          <w:bCs/>
          <w:sz w:val="24"/>
          <w:szCs w:val="24"/>
        </w:rPr>
        <w:t>Синдром МЭН объединяет группу заболеваний, характери-зующихся развитием опухоли и/или гиперплазии (диффузные, узелковые) клеток нейроэктодермального происхождения в двух эндокринных органах и более.</w:t>
      </w:r>
    </w:p>
    <w:p w:rsidR="008F0C87" w:rsidRPr="008F0C87" w:rsidRDefault="008F0C87" w:rsidP="008C3A52">
      <w:pPr>
        <w:widowControl/>
        <w:autoSpaceDE/>
        <w:autoSpaceDN/>
        <w:adjustRightInd/>
        <w:ind w:firstLine="567"/>
        <w:outlineLvl w:val="1"/>
        <w:rPr>
          <w:bCs/>
          <w:sz w:val="24"/>
          <w:szCs w:val="24"/>
        </w:rPr>
      </w:pPr>
      <w:r w:rsidRPr="008F0C87">
        <w:rPr>
          <w:bCs/>
          <w:sz w:val="24"/>
          <w:szCs w:val="24"/>
        </w:rPr>
        <w:t xml:space="preserve">Постоянный признак при синдроме МЭН 2 — медуллярный РЩЖ — обнаруживают в 97-100% наблюдений. </w:t>
      </w:r>
    </w:p>
    <w:p w:rsidR="008F0C87" w:rsidRPr="008F0C87" w:rsidRDefault="008F0C87" w:rsidP="008C3A52">
      <w:pPr>
        <w:widowControl/>
        <w:autoSpaceDE/>
        <w:autoSpaceDN/>
        <w:adjustRightInd/>
        <w:ind w:firstLine="567"/>
        <w:outlineLvl w:val="1"/>
        <w:rPr>
          <w:b/>
          <w:bCs/>
          <w:sz w:val="24"/>
          <w:szCs w:val="24"/>
          <w:lang w:bidi="ru-RU"/>
        </w:rPr>
      </w:pPr>
      <w:r w:rsidRPr="008F0C87">
        <w:rPr>
          <w:b/>
          <w:bCs/>
          <w:sz w:val="24"/>
          <w:szCs w:val="24"/>
          <w:lang w:bidi="ru-RU"/>
        </w:rPr>
        <w:t>Сочетание медуллярного РЩЖ, феохромоцитомы и пораже</w:t>
      </w:r>
      <w:r w:rsidRPr="008F0C87">
        <w:rPr>
          <w:b/>
          <w:bCs/>
          <w:sz w:val="24"/>
          <w:szCs w:val="24"/>
          <w:lang w:bidi="ru-RU"/>
        </w:rPr>
        <w:softHyphen/>
        <w:t>ния околощитовидных желез относят к синдрому МЭН 2а (син</w:t>
      </w:r>
      <w:r w:rsidRPr="008F0C87">
        <w:rPr>
          <w:b/>
          <w:bCs/>
          <w:sz w:val="24"/>
          <w:szCs w:val="24"/>
          <w:lang w:bidi="ru-RU"/>
        </w:rPr>
        <w:softHyphen/>
        <w:t>дрому Сиппла).</w:t>
      </w:r>
    </w:p>
    <w:p w:rsidR="008F0C87" w:rsidRPr="008F0C87" w:rsidRDefault="008F0C87" w:rsidP="008C3A52">
      <w:pPr>
        <w:widowControl/>
        <w:autoSpaceDE/>
        <w:autoSpaceDN/>
        <w:adjustRightInd/>
        <w:ind w:firstLine="567"/>
        <w:outlineLvl w:val="1"/>
        <w:rPr>
          <w:b/>
          <w:bCs/>
          <w:sz w:val="24"/>
          <w:szCs w:val="24"/>
          <w:lang w:bidi="ru-RU"/>
        </w:rPr>
      </w:pPr>
      <w:r w:rsidRPr="008F0C87">
        <w:rPr>
          <w:b/>
          <w:bCs/>
          <w:sz w:val="24"/>
          <w:szCs w:val="24"/>
          <w:lang w:bidi="ru-RU"/>
        </w:rPr>
        <w:lastRenderedPageBreak/>
        <w:t>Сочетание медуллярного РЩЖ, феохромоцитомы и множе</w:t>
      </w:r>
      <w:r w:rsidRPr="008F0C87">
        <w:rPr>
          <w:b/>
          <w:bCs/>
          <w:sz w:val="24"/>
          <w:szCs w:val="24"/>
          <w:lang w:bidi="ru-RU"/>
        </w:rPr>
        <w:softHyphen/>
        <w:t>ственных ганглионейром слизистой оболочки ЖКТ относят к синдрому МЭН 2б (синдрому Горлена). У пациентов с синдромом МЭН 2б отмечают марфаноподобную внешность.</w:t>
      </w:r>
    </w:p>
    <w:p w:rsidR="008F0C87" w:rsidRPr="008F0C87" w:rsidRDefault="008F0C87" w:rsidP="008C3A52">
      <w:pPr>
        <w:widowControl/>
        <w:autoSpaceDE/>
        <w:autoSpaceDN/>
        <w:adjustRightInd/>
        <w:ind w:firstLine="567"/>
        <w:outlineLvl w:val="1"/>
        <w:rPr>
          <w:b/>
          <w:bCs/>
          <w:sz w:val="24"/>
          <w:szCs w:val="24"/>
          <w:lang w:bidi="ru-RU"/>
        </w:rPr>
      </w:pPr>
      <w:r w:rsidRPr="008F0C87">
        <w:rPr>
          <w:b/>
          <w:bCs/>
          <w:sz w:val="24"/>
          <w:szCs w:val="24"/>
          <w:lang w:bidi="ru-RU"/>
        </w:rPr>
        <w:t>Редкие варианты МЭН 2а включают семейный изолированный медуллярный РЩЖ, кожные амилоидные лихенификации, аган- глиоз кишки.</w:t>
      </w:r>
    </w:p>
    <w:p w:rsidR="008F0C87" w:rsidRPr="008F0C87" w:rsidRDefault="008F0C87" w:rsidP="008C3A52">
      <w:pPr>
        <w:widowControl/>
        <w:autoSpaceDE/>
        <w:autoSpaceDN/>
        <w:adjustRightInd/>
        <w:ind w:firstLine="567"/>
        <w:outlineLvl w:val="1"/>
        <w:rPr>
          <w:bCs/>
          <w:sz w:val="24"/>
          <w:szCs w:val="24"/>
          <w:lang w:bidi="ru-RU"/>
        </w:rPr>
      </w:pPr>
      <w:bookmarkStart w:id="16" w:name="bookmark3617"/>
      <w:r w:rsidRPr="008F0C87">
        <w:rPr>
          <w:bCs/>
          <w:sz w:val="24"/>
          <w:szCs w:val="24"/>
          <w:lang w:bidi="ru-RU"/>
        </w:rPr>
        <w:t>Скрининг</w:t>
      </w:r>
      <w:bookmarkEnd w:id="16"/>
    </w:p>
    <w:p w:rsidR="008F0C87" w:rsidRPr="008F0C87" w:rsidRDefault="008F0C87" w:rsidP="008C3A52">
      <w:pPr>
        <w:widowControl/>
        <w:autoSpaceDE/>
        <w:autoSpaceDN/>
        <w:adjustRightInd/>
        <w:ind w:firstLine="567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 xml:space="preserve">Генетические исследования. Все спорадические наблюдения медуллярного РЩЖ должны быть проверены на </w:t>
      </w:r>
      <w:r w:rsidRPr="008F0C87">
        <w:rPr>
          <w:bCs/>
          <w:sz w:val="24"/>
          <w:szCs w:val="24"/>
          <w:lang w:bidi="en-US"/>
        </w:rPr>
        <w:t>RET</w:t>
      </w:r>
      <w:r w:rsidRPr="008F0C87">
        <w:rPr>
          <w:bCs/>
          <w:sz w:val="24"/>
          <w:szCs w:val="24"/>
          <w:lang w:bidi="ru-RU"/>
        </w:rPr>
        <w:t>-мутацию. Необходимо проанализировать экзоны 10, 11, 13, 14, 15 и 16. Особенно важно исследовать экзоны 13, 14 и 15, так как мута</w:t>
      </w:r>
      <w:r w:rsidRPr="008F0C87">
        <w:rPr>
          <w:bCs/>
          <w:sz w:val="24"/>
          <w:szCs w:val="24"/>
          <w:lang w:bidi="ru-RU"/>
        </w:rPr>
        <w:softHyphen/>
        <w:t>ции в этих экзонах — наиболее вероятная причина медуллярного РЩЖ с низкой пенетрантностью феохромоцитомы. Если диагно</w:t>
      </w:r>
      <w:r w:rsidRPr="008F0C87">
        <w:rPr>
          <w:bCs/>
          <w:sz w:val="24"/>
          <w:szCs w:val="24"/>
          <w:lang w:bidi="ru-RU"/>
        </w:rPr>
        <w:softHyphen/>
        <w:t xml:space="preserve">стика и в этом случае отрицательна, то должны быть исследованы оставшиеся 15 экзонов </w:t>
      </w:r>
      <w:r w:rsidRPr="008F0C87">
        <w:rPr>
          <w:bCs/>
          <w:sz w:val="24"/>
          <w:szCs w:val="24"/>
          <w:lang w:bidi="en-US"/>
        </w:rPr>
        <w:t>RET</w:t>
      </w:r>
      <w:r w:rsidRPr="008F0C87">
        <w:rPr>
          <w:bCs/>
          <w:sz w:val="24"/>
          <w:szCs w:val="24"/>
        </w:rPr>
        <w:t>.</w:t>
      </w:r>
    </w:p>
    <w:p w:rsidR="008F0C87" w:rsidRPr="008F0C87" w:rsidRDefault="008F0C87" w:rsidP="008C3A52">
      <w:pPr>
        <w:widowControl/>
        <w:autoSpaceDE/>
        <w:autoSpaceDN/>
        <w:adjustRightInd/>
        <w:ind w:firstLine="567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Критерии диагноза семейной изолированной формы медул</w:t>
      </w:r>
      <w:r w:rsidRPr="008F0C87">
        <w:rPr>
          <w:bCs/>
          <w:sz w:val="24"/>
          <w:szCs w:val="24"/>
          <w:lang w:bidi="ru-RU"/>
        </w:rPr>
        <w:softHyphen/>
        <w:t>лярного РЩЖ: более 10 родственников в пределах одной семьи, частое поражение большинства больных в семье старше 50 лет, успешные результаты лечения (особенно в старшей возрастной группе). Ошибочное заключение о наличии изолированного се</w:t>
      </w:r>
      <w:r w:rsidRPr="008F0C87">
        <w:rPr>
          <w:bCs/>
          <w:sz w:val="24"/>
          <w:szCs w:val="24"/>
          <w:lang w:bidi="ru-RU"/>
        </w:rPr>
        <w:softHyphen/>
        <w:t>мейного медуллярного РЩЖ вместо адекватного подозрения на синдром МЭН 2 опасно из-за отсутствия настороженности в от</w:t>
      </w:r>
      <w:r w:rsidRPr="008F0C87">
        <w:rPr>
          <w:bCs/>
          <w:sz w:val="24"/>
          <w:szCs w:val="24"/>
          <w:lang w:bidi="ru-RU"/>
        </w:rPr>
        <w:softHyphen/>
        <w:t>ношении феохромоцитомы.</w:t>
      </w:r>
    </w:p>
    <w:p w:rsidR="008F0C87" w:rsidRPr="008F0C87" w:rsidRDefault="008F0C87" w:rsidP="008C3A52">
      <w:pPr>
        <w:widowControl/>
        <w:autoSpaceDE/>
        <w:autoSpaceDN/>
        <w:adjustRightInd/>
        <w:ind w:firstLine="567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 xml:space="preserve">Неактивные мутации гена </w:t>
      </w:r>
      <w:r w:rsidRPr="008F0C87">
        <w:rPr>
          <w:bCs/>
          <w:sz w:val="24"/>
          <w:szCs w:val="24"/>
          <w:lang w:bidi="en-US"/>
        </w:rPr>
        <w:t>RET</w:t>
      </w:r>
      <w:r w:rsidRPr="008F0C87">
        <w:rPr>
          <w:bCs/>
          <w:sz w:val="24"/>
          <w:szCs w:val="24"/>
        </w:rPr>
        <w:t xml:space="preserve"> </w:t>
      </w:r>
      <w:r w:rsidRPr="008F0C87">
        <w:rPr>
          <w:bCs/>
          <w:sz w:val="24"/>
          <w:szCs w:val="24"/>
          <w:lang w:bidi="ru-RU"/>
        </w:rPr>
        <w:t>ответственны более чем за по</w:t>
      </w:r>
      <w:r w:rsidRPr="008F0C87">
        <w:rPr>
          <w:bCs/>
          <w:sz w:val="24"/>
          <w:szCs w:val="24"/>
          <w:lang w:bidi="ru-RU"/>
        </w:rPr>
        <w:softHyphen/>
        <w:t>ловину наблюдений семейного варианта болезни Гиршпрунга. Редкое сочетание МЭН 2а и болезни Гиршпрунга возникает при мутациях кодонов 609, 618 и 620. Кроме того, болезнь Гиршпрун</w:t>
      </w:r>
      <w:r w:rsidRPr="008F0C87">
        <w:rPr>
          <w:bCs/>
          <w:sz w:val="24"/>
          <w:szCs w:val="24"/>
          <w:lang w:bidi="ru-RU"/>
        </w:rPr>
        <w:softHyphen/>
        <w:t>га может возникнуть при мутации в участках экзона 10, характер</w:t>
      </w:r>
      <w:r w:rsidRPr="008F0C87">
        <w:rPr>
          <w:bCs/>
          <w:sz w:val="24"/>
          <w:szCs w:val="24"/>
          <w:lang w:bidi="ru-RU"/>
        </w:rPr>
        <w:softHyphen/>
        <w:t>ных для семейного изолированного медуллярного РЩЖ. Всем детям с болезнью Гиршпрунга показано исследование герминаль</w:t>
      </w:r>
      <w:r w:rsidRPr="008F0C87">
        <w:rPr>
          <w:bCs/>
          <w:sz w:val="24"/>
          <w:szCs w:val="24"/>
          <w:lang w:bidi="ru-RU"/>
        </w:rPr>
        <w:softHyphen/>
        <w:t xml:space="preserve">ной мутации кодонов 609, 618 и 620 </w:t>
      </w:r>
      <w:r w:rsidRPr="008F0C87">
        <w:rPr>
          <w:bCs/>
          <w:sz w:val="24"/>
          <w:szCs w:val="24"/>
          <w:lang w:bidi="en-US"/>
        </w:rPr>
        <w:t>RET</w:t>
      </w:r>
      <w:r w:rsidRPr="008F0C87">
        <w:rPr>
          <w:bCs/>
          <w:sz w:val="24"/>
          <w:szCs w:val="24"/>
        </w:rPr>
        <w:t>.</w:t>
      </w:r>
    </w:p>
    <w:p w:rsidR="008F0C87" w:rsidRPr="008F0C87" w:rsidRDefault="008F0C87" w:rsidP="008C3A52">
      <w:pPr>
        <w:widowControl/>
        <w:autoSpaceDE/>
        <w:autoSpaceDN/>
        <w:adjustRightInd/>
        <w:ind w:firstLine="567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Дети с ганглионейроматозом кишки должны быть обследова</w:t>
      </w:r>
      <w:r w:rsidRPr="008F0C87">
        <w:rPr>
          <w:bCs/>
          <w:sz w:val="24"/>
          <w:szCs w:val="24"/>
          <w:lang w:bidi="ru-RU"/>
        </w:rPr>
        <w:softHyphen/>
        <w:t>ны на мутацию кодона 918 подобно возникновению данной мута</w:t>
      </w:r>
      <w:r w:rsidRPr="008F0C87">
        <w:rPr>
          <w:bCs/>
          <w:sz w:val="24"/>
          <w:szCs w:val="24"/>
          <w:lang w:bidi="ru-RU"/>
        </w:rPr>
        <w:softHyphen/>
        <w:t>ции при МЭН 2б.</w:t>
      </w:r>
    </w:p>
    <w:p w:rsidR="008F0C87" w:rsidRPr="008F0C87" w:rsidRDefault="008F0C87" w:rsidP="008C3A52">
      <w:pPr>
        <w:widowControl/>
        <w:autoSpaceDE/>
        <w:autoSpaceDN/>
        <w:adjustRightInd/>
        <w:ind w:firstLine="567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Проводят анализы гормонов после установления генетиче</w:t>
      </w:r>
      <w:r w:rsidRPr="008F0C87">
        <w:rPr>
          <w:bCs/>
          <w:sz w:val="24"/>
          <w:szCs w:val="24"/>
          <w:lang w:bidi="ru-RU"/>
        </w:rPr>
        <w:softHyphen/>
        <w:t>ской основы синдрома до появления клинических признаков за</w:t>
      </w:r>
      <w:r w:rsidRPr="008F0C87">
        <w:rPr>
          <w:bCs/>
          <w:sz w:val="24"/>
          <w:szCs w:val="24"/>
          <w:lang w:bidi="ru-RU"/>
        </w:rPr>
        <w:softHyphen/>
        <w:t>болевания.</w:t>
      </w:r>
    </w:p>
    <w:p w:rsidR="008F0C87" w:rsidRPr="008F0C87" w:rsidRDefault="008F0C87" w:rsidP="008C3A52">
      <w:pPr>
        <w:widowControl/>
        <w:autoSpaceDE/>
        <w:autoSpaceDN/>
        <w:adjustRightInd/>
        <w:ind w:firstLine="567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Определяют содержание кальцитонина в сыворотке крови после стимуляции ежегодно в возрасте от 1 до 35 лет, затем 1 раз в 1-2 года.</w:t>
      </w:r>
    </w:p>
    <w:p w:rsidR="008F0C87" w:rsidRPr="008F0C87" w:rsidRDefault="008F0C87" w:rsidP="008C3A52">
      <w:pPr>
        <w:widowControl/>
        <w:autoSpaceDE/>
        <w:autoSpaceDN/>
        <w:adjustRightInd/>
        <w:ind w:firstLine="567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Определяют содержание метанефринов в суточной моче еже</w:t>
      </w:r>
      <w:r w:rsidRPr="008F0C87">
        <w:rPr>
          <w:bCs/>
          <w:sz w:val="24"/>
          <w:szCs w:val="24"/>
          <w:lang w:bidi="ru-RU"/>
        </w:rPr>
        <w:softHyphen/>
        <w:t>годно в возрасте от 5 до 60 лет.</w:t>
      </w:r>
    </w:p>
    <w:p w:rsidR="008F0C87" w:rsidRPr="008F0C87" w:rsidRDefault="008F0C87" w:rsidP="008C3A5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bookmarkStart w:id="17" w:name="bookmark3619"/>
      <w:r w:rsidRPr="008F0C87">
        <w:rPr>
          <w:bCs/>
          <w:sz w:val="24"/>
          <w:szCs w:val="24"/>
          <w:lang w:bidi="ru-RU"/>
        </w:rPr>
        <w:t>Патогенез</w:t>
      </w:r>
      <w:bookmarkEnd w:id="17"/>
    </w:p>
    <w:p w:rsidR="008F0C87" w:rsidRPr="008F0C87" w:rsidRDefault="008F0C87" w:rsidP="008C3A5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Семейная природа заболевания обусловлена аутосомно</w:t>
      </w:r>
      <w:r w:rsidRPr="008F0C87">
        <w:rPr>
          <w:bCs/>
          <w:sz w:val="24"/>
          <w:szCs w:val="24"/>
          <w:lang w:bidi="ru-RU"/>
        </w:rPr>
        <w:softHyphen/>
        <w:t>доминантным типом наследования с высокой генной пенетрант</w:t>
      </w:r>
      <w:r w:rsidRPr="008F0C87">
        <w:rPr>
          <w:bCs/>
          <w:sz w:val="24"/>
          <w:szCs w:val="24"/>
          <w:lang w:bidi="ru-RU"/>
        </w:rPr>
        <w:softHyphen/>
        <w:t xml:space="preserve">ностью. Большинство авторов отмечают при МЭН 2а изменения по типу рекомбинации в хромосоме 10, в участке, расположенном около центромеры, в области локуса </w:t>
      </w:r>
      <w:r w:rsidRPr="008F0C87">
        <w:rPr>
          <w:bCs/>
          <w:sz w:val="24"/>
          <w:szCs w:val="24"/>
        </w:rPr>
        <w:t>10</w:t>
      </w:r>
      <w:r w:rsidRPr="008F0C87">
        <w:rPr>
          <w:bCs/>
          <w:sz w:val="24"/>
          <w:szCs w:val="24"/>
          <w:lang w:bidi="en-US"/>
        </w:rPr>
        <w:t>q</w:t>
      </w:r>
      <w:r w:rsidRPr="008F0C87">
        <w:rPr>
          <w:bCs/>
          <w:sz w:val="24"/>
          <w:szCs w:val="24"/>
        </w:rPr>
        <w:t xml:space="preserve">11,2. </w:t>
      </w:r>
      <w:r w:rsidRPr="008F0C87">
        <w:rPr>
          <w:bCs/>
          <w:sz w:val="24"/>
          <w:szCs w:val="24"/>
          <w:lang w:bidi="ru-RU"/>
        </w:rPr>
        <w:t>Этот участок содер</w:t>
      </w:r>
      <w:r w:rsidRPr="008F0C87">
        <w:rPr>
          <w:bCs/>
          <w:sz w:val="24"/>
          <w:szCs w:val="24"/>
          <w:lang w:bidi="ru-RU"/>
        </w:rPr>
        <w:softHyphen/>
        <w:t xml:space="preserve">жит </w:t>
      </w:r>
      <w:r w:rsidRPr="008F0C87">
        <w:rPr>
          <w:bCs/>
          <w:sz w:val="24"/>
          <w:szCs w:val="24"/>
          <w:lang w:bidi="en-US"/>
        </w:rPr>
        <w:t>RET</w:t>
      </w:r>
      <w:r w:rsidRPr="008F0C87">
        <w:rPr>
          <w:bCs/>
          <w:sz w:val="24"/>
          <w:szCs w:val="24"/>
          <w:lang w:bidi="ru-RU"/>
        </w:rPr>
        <w:t>-протоонкоген, кодирующий клеточно-поверхностный гликопротеин, относящийся к классу рецепторов тирозинкиназы и играющий роль в развитии ганглионарной пластинки и ее про</w:t>
      </w:r>
      <w:r w:rsidRPr="008F0C87">
        <w:rPr>
          <w:bCs/>
          <w:sz w:val="24"/>
          <w:szCs w:val="24"/>
          <w:lang w:bidi="ru-RU"/>
        </w:rPr>
        <w:softHyphen/>
        <w:t>изводных. Парафолликулярные клетки (С-клетки) эмбриологи</w:t>
      </w:r>
      <w:r w:rsidRPr="008F0C87">
        <w:rPr>
          <w:bCs/>
          <w:sz w:val="24"/>
          <w:szCs w:val="24"/>
          <w:lang w:bidi="ru-RU"/>
        </w:rPr>
        <w:softHyphen/>
        <w:t>чески происходят из первичной невральной ткани. Медуллярная часть надпочечников — область развития феохромоцитомы у па</w:t>
      </w:r>
      <w:r w:rsidRPr="008F0C87">
        <w:rPr>
          <w:bCs/>
          <w:sz w:val="24"/>
          <w:szCs w:val="24"/>
          <w:lang w:bidi="ru-RU"/>
        </w:rPr>
        <w:softHyphen/>
        <w:t>циентов с синдромами МЭН 2 также происходит из первичной не</w:t>
      </w:r>
      <w:r w:rsidRPr="008F0C87">
        <w:rPr>
          <w:bCs/>
          <w:sz w:val="24"/>
          <w:szCs w:val="24"/>
          <w:lang w:bidi="ru-RU"/>
        </w:rPr>
        <w:softHyphen/>
        <w:t>вральной ткани и имеет нейроклеточную характеристику.</w:t>
      </w:r>
    </w:p>
    <w:p w:rsidR="008F0C87" w:rsidRPr="008F0C87" w:rsidRDefault="008F0C87" w:rsidP="008C3A5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bookmarkStart w:id="18" w:name="bookmark3621"/>
      <w:r w:rsidRPr="008F0C87">
        <w:rPr>
          <w:bCs/>
          <w:sz w:val="24"/>
          <w:szCs w:val="24"/>
          <w:lang w:bidi="ru-RU"/>
        </w:rPr>
        <w:t>Клиническая картина</w:t>
      </w:r>
      <w:bookmarkEnd w:id="18"/>
    </w:p>
    <w:p w:rsidR="008F0C87" w:rsidRPr="008F0C87" w:rsidRDefault="008F0C87" w:rsidP="008C3A5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lastRenderedPageBreak/>
        <w:t>Часто заболевание начинается с проявлений медуллярного РЩЖ. У больных выявляют многоузловой эутиреоидный зоб, хотя встречают и солитарные узлы. Плотные увеличенные шей</w:t>
      </w:r>
      <w:r w:rsidRPr="008F0C87">
        <w:rPr>
          <w:bCs/>
          <w:sz w:val="24"/>
          <w:szCs w:val="24"/>
          <w:lang w:bidi="ru-RU"/>
        </w:rPr>
        <w:softHyphen/>
        <w:t>ные лимфатические узлы свидетельствуют о метастазах.</w:t>
      </w:r>
    </w:p>
    <w:p w:rsidR="008F0C87" w:rsidRPr="008F0C87" w:rsidRDefault="008F0C87" w:rsidP="008C3A5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Клетки медуллярного РЩЖ, кроме кальцитонина, могут се</w:t>
      </w:r>
      <w:r w:rsidRPr="008F0C87">
        <w:rPr>
          <w:bCs/>
          <w:sz w:val="24"/>
          <w:szCs w:val="24"/>
          <w:lang w:bidi="ru-RU"/>
        </w:rPr>
        <w:softHyphen/>
        <w:t>кретировать кортикотропин (самый частый вариант полигор- мональной продукции), серотонин, вазоактивный кишечный полипептид, меланоцитстимулирующий гормон, соматостатин, в-эндорфин, фактор роста нервов, субстанцию Р, простогланди- ны, хромогранин А.</w:t>
      </w:r>
    </w:p>
    <w:p w:rsidR="008F0C87" w:rsidRPr="008F0C87" w:rsidRDefault="008F0C87" w:rsidP="008C3A5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Особого внимания в отношении медуллярного РЩЖ заслужи</w:t>
      </w:r>
      <w:r w:rsidRPr="008F0C87">
        <w:rPr>
          <w:bCs/>
          <w:sz w:val="24"/>
          <w:szCs w:val="24"/>
          <w:lang w:bidi="ru-RU"/>
        </w:rPr>
        <w:softHyphen/>
        <w:t>вают проявления АКТГ-зависимого гиперкортицизма без визуа</w:t>
      </w:r>
      <w:r w:rsidRPr="008F0C87">
        <w:rPr>
          <w:bCs/>
          <w:sz w:val="24"/>
          <w:szCs w:val="24"/>
          <w:lang w:bidi="ru-RU"/>
        </w:rPr>
        <w:softHyphen/>
        <w:t>лизации опухоли гипофиза в сочетании с узловым зобом, шейной лимфаденопатией. Медуллярный РЩЖ — второй по распро</w:t>
      </w:r>
      <w:r w:rsidRPr="008F0C87">
        <w:rPr>
          <w:bCs/>
          <w:sz w:val="24"/>
          <w:szCs w:val="24"/>
          <w:lang w:bidi="ru-RU"/>
        </w:rPr>
        <w:softHyphen/>
        <w:t>страненности источник эктопированной АКТГ-продукции после овсяноклеточного рака легких.</w:t>
      </w:r>
    </w:p>
    <w:p w:rsidR="008F0C87" w:rsidRPr="008F0C87" w:rsidRDefault="008F0C87" w:rsidP="008C3A5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Приблизительно у 25-30% пациентов с распространенными вариантами медуллярного РЩЖ отмечают выраженную диарею. Гипермоторика ЖКТ может проявляться спастическими болями в животе и карциноидоподобными симптомами. При подозрении на эндокринно-зависимую диарею обязательно исследование на медуллярный РЩЖ.</w:t>
      </w:r>
    </w:p>
    <w:p w:rsidR="008F0C87" w:rsidRPr="008F0C87" w:rsidRDefault="008F0C87" w:rsidP="008C3A5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Отличительные признаки феохромоцитомы при синдроме МЭН 2:</w:t>
      </w:r>
    </w:p>
    <w:p w:rsidR="008F0C87" w:rsidRPr="008F0C87" w:rsidRDefault="008F0C87" w:rsidP="008C3A52">
      <w:pPr>
        <w:widowControl/>
        <w:numPr>
          <w:ilvl w:val="0"/>
          <w:numId w:val="27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локализация в надпочечниках (вненадпочечниковая неха</w:t>
      </w:r>
      <w:r w:rsidRPr="008F0C87">
        <w:rPr>
          <w:bCs/>
          <w:sz w:val="24"/>
          <w:szCs w:val="24"/>
          <w:lang w:bidi="ru-RU"/>
        </w:rPr>
        <w:softHyphen/>
        <w:t>рактерна);</w:t>
      </w:r>
    </w:p>
    <w:p w:rsidR="008F0C87" w:rsidRPr="008F0C87" w:rsidRDefault="008F0C87" w:rsidP="008C3A52">
      <w:pPr>
        <w:widowControl/>
        <w:numPr>
          <w:ilvl w:val="0"/>
          <w:numId w:val="27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мультицентрическое поражение в пределах одного надпо</w:t>
      </w:r>
      <w:r w:rsidRPr="008F0C87">
        <w:rPr>
          <w:bCs/>
          <w:sz w:val="24"/>
          <w:szCs w:val="24"/>
          <w:lang w:bidi="ru-RU"/>
        </w:rPr>
        <w:softHyphen/>
        <w:t>чечника (чаще по сравнению со спорадическими формами);</w:t>
      </w:r>
    </w:p>
    <w:p w:rsidR="008F0C87" w:rsidRPr="008F0C87" w:rsidRDefault="008F0C87" w:rsidP="008C3A52">
      <w:pPr>
        <w:widowControl/>
        <w:numPr>
          <w:ilvl w:val="0"/>
          <w:numId w:val="27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злокачественное поражение (реже, чем при других типах ге</w:t>
      </w:r>
      <w:r w:rsidRPr="008F0C87">
        <w:rPr>
          <w:bCs/>
          <w:sz w:val="24"/>
          <w:szCs w:val="24"/>
          <w:lang w:bidi="ru-RU"/>
        </w:rPr>
        <w:softHyphen/>
        <w:t>нетически детерминированных феохромоцитом);</w:t>
      </w:r>
    </w:p>
    <w:p w:rsidR="008F0C87" w:rsidRPr="008F0C87" w:rsidRDefault="008F0C87" w:rsidP="008C3A52">
      <w:pPr>
        <w:widowControl/>
        <w:numPr>
          <w:ilvl w:val="0"/>
          <w:numId w:val="27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развитие обычно к середине второй или в третьей декаде жизни;</w:t>
      </w:r>
    </w:p>
    <w:p w:rsidR="008F0C87" w:rsidRPr="008F0C87" w:rsidRDefault="008F0C87" w:rsidP="008C3A52">
      <w:pPr>
        <w:pStyle w:val="1f1"/>
        <w:numPr>
          <w:ilvl w:val="0"/>
          <w:numId w:val="27"/>
        </w:numPr>
        <w:tabs>
          <w:tab w:val="left" w:pos="461"/>
        </w:tabs>
        <w:ind w:left="480" w:firstLine="567"/>
        <w:jc w:val="both"/>
        <w:rPr>
          <w:sz w:val="24"/>
          <w:szCs w:val="24"/>
        </w:rPr>
      </w:pPr>
      <w:r w:rsidRPr="008F0C87">
        <w:rPr>
          <w:color w:val="000000"/>
          <w:sz w:val="24"/>
          <w:szCs w:val="24"/>
          <w:lang w:eastAsia="ru-RU" w:bidi="ru-RU"/>
        </w:rPr>
        <w:t>течение заболевания в виде постоянной или пароксизмаль</w:t>
      </w:r>
      <w:r w:rsidRPr="008F0C87">
        <w:rPr>
          <w:color w:val="000000"/>
          <w:sz w:val="24"/>
          <w:szCs w:val="24"/>
          <w:lang w:eastAsia="ru-RU" w:bidi="ru-RU"/>
        </w:rPr>
        <w:softHyphen/>
        <w:t>ной формы АГ.</w:t>
      </w:r>
    </w:p>
    <w:p w:rsidR="008F0C87" w:rsidRPr="008F0C87" w:rsidRDefault="008F0C87" w:rsidP="008C3A52">
      <w:pPr>
        <w:pStyle w:val="1f1"/>
        <w:ind w:firstLine="567"/>
        <w:jc w:val="both"/>
        <w:rPr>
          <w:sz w:val="24"/>
          <w:szCs w:val="24"/>
        </w:rPr>
      </w:pPr>
      <w:r w:rsidRPr="008F0C87">
        <w:rPr>
          <w:color w:val="000000"/>
          <w:sz w:val="24"/>
          <w:szCs w:val="24"/>
          <w:lang w:eastAsia="ru-RU" w:bidi="ru-RU"/>
        </w:rPr>
        <w:t>Изменения околощитовидных желез при синдроме МЭН 2а:</w:t>
      </w:r>
    </w:p>
    <w:p w:rsidR="008F0C87" w:rsidRPr="008F0C87" w:rsidRDefault="008F0C87" w:rsidP="008C3A52">
      <w:pPr>
        <w:pStyle w:val="1f1"/>
        <w:numPr>
          <w:ilvl w:val="0"/>
          <w:numId w:val="27"/>
        </w:numPr>
        <w:tabs>
          <w:tab w:val="left" w:pos="461"/>
        </w:tabs>
        <w:ind w:left="480" w:firstLine="567"/>
        <w:jc w:val="both"/>
        <w:rPr>
          <w:sz w:val="24"/>
          <w:szCs w:val="24"/>
        </w:rPr>
      </w:pPr>
      <w:r w:rsidRPr="008F0C87">
        <w:rPr>
          <w:color w:val="000000"/>
          <w:sz w:val="24"/>
          <w:szCs w:val="24"/>
          <w:lang w:eastAsia="ru-RU" w:bidi="ru-RU"/>
        </w:rPr>
        <w:t>гиперплазия (как правило, всех околощитовидных желез, с меньшей частотой выявляют аденомы);</w:t>
      </w:r>
    </w:p>
    <w:p w:rsidR="008F0C87" w:rsidRPr="008F0C87" w:rsidRDefault="008F0C87" w:rsidP="008C3A52">
      <w:pPr>
        <w:pStyle w:val="1f1"/>
        <w:numPr>
          <w:ilvl w:val="0"/>
          <w:numId w:val="27"/>
        </w:numPr>
        <w:tabs>
          <w:tab w:val="left" w:pos="461"/>
        </w:tabs>
        <w:ind w:left="480" w:firstLine="567"/>
        <w:jc w:val="both"/>
        <w:rPr>
          <w:sz w:val="24"/>
          <w:szCs w:val="24"/>
        </w:rPr>
      </w:pPr>
      <w:r w:rsidRPr="008F0C87">
        <w:rPr>
          <w:color w:val="000000"/>
          <w:sz w:val="24"/>
          <w:szCs w:val="24"/>
          <w:lang w:eastAsia="ru-RU" w:bidi="ru-RU"/>
        </w:rPr>
        <w:t>бессимптомное повышение содержания ионизированного кальция и ПТГ (часто);</w:t>
      </w:r>
    </w:p>
    <w:p w:rsidR="008F0C87" w:rsidRPr="008F0C87" w:rsidRDefault="008F0C87" w:rsidP="008C3A52">
      <w:pPr>
        <w:pStyle w:val="1f1"/>
        <w:numPr>
          <w:ilvl w:val="0"/>
          <w:numId w:val="27"/>
        </w:numPr>
        <w:tabs>
          <w:tab w:val="left" w:pos="461"/>
        </w:tabs>
        <w:ind w:firstLine="567"/>
        <w:jc w:val="both"/>
        <w:rPr>
          <w:sz w:val="24"/>
          <w:szCs w:val="24"/>
        </w:rPr>
      </w:pPr>
      <w:r w:rsidRPr="008F0C87">
        <w:rPr>
          <w:color w:val="000000"/>
          <w:sz w:val="24"/>
          <w:szCs w:val="24"/>
          <w:lang w:eastAsia="ru-RU" w:bidi="ru-RU"/>
        </w:rPr>
        <w:t>наличие камней в мочевыводящей системе (часто);</w:t>
      </w:r>
    </w:p>
    <w:p w:rsidR="008F0C87" w:rsidRPr="008F0C87" w:rsidRDefault="008F0C87" w:rsidP="008C3A52">
      <w:pPr>
        <w:pStyle w:val="1f1"/>
        <w:numPr>
          <w:ilvl w:val="0"/>
          <w:numId w:val="27"/>
        </w:numPr>
        <w:tabs>
          <w:tab w:val="left" w:pos="461"/>
        </w:tabs>
        <w:ind w:firstLine="567"/>
        <w:jc w:val="both"/>
        <w:rPr>
          <w:sz w:val="24"/>
          <w:szCs w:val="24"/>
        </w:rPr>
      </w:pPr>
      <w:r w:rsidRPr="008F0C87">
        <w:rPr>
          <w:color w:val="000000"/>
          <w:sz w:val="24"/>
          <w:szCs w:val="24"/>
          <w:lang w:eastAsia="ru-RU" w:bidi="ru-RU"/>
        </w:rPr>
        <w:t>тяжелые проявления гиперпаратиреоза (довольно редки).</w:t>
      </w:r>
    </w:p>
    <w:p w:rsidR="008F0C87" w:rsidRPr="008F0C87" w:rsidRDefault="008F0C87" w:rsidP="008C3A52">
      <w:pPr>
        <w:pStyle w:val="1f1"/>
        <w:ind w:firstLine="567"/>
        <w:jc w:val="both"/>
        <w:rPr>
          <w:sz w:val="24"/>
          <w:szCs w:val="24"/>
        </w:rPr>
      </w:pPr>
      <w:r w:rsidRPr="008F0C87">
        <w:rPr>
          <w:color w:val="000000"/>
          <w:sz w:val="24"/>
          <w:szCs w:val="24"/>
          <w:lang w:eastAsia="ru-RU" w:bidi="ru-RU"/>
        </w:rPr>
        <w:t>У ряда пациентов существует ассоциация синдрома МЭН 2а с болезнью Гиршпрунга. Клинические проявления — развитие не</w:t>
      </w:r>
      <w:r w:rsidRPr="008F0C87">
        <w:rPr>
          <w:color w:val="000000"/>
          <w:sz w:val="24"/>
          <w:szCs w:val="24"/>
          <w:lang w:eastAsia="ru-RU" w:bidi="ru-RU"/>
        </w:rPr>
        <w:softHyphen/>
        <w:t>проходимости на ранних сроках жизни. Тяжесть клинических проявлений зависит от протяженности аганглионарного участка толстой кишки.</w:t>
      </w:r>
    </w:p>
    <w:p w:rsidR="008F0C87" w:rsidRPr="008F0C87" w:rsidRDefault="008F0C87" w:rsidP="008C3A52">
      <w:pPr>
        <w:pStyle w:val="1f1"/>
        <w:ind w:firstLine="567"/>
        <w:jc w:val="both"/>
        <w:rPr>
          <w:sz w:val="24"/>
          <w:szCs w:val="24"/>
        </w:rPr>
      </w:pPr>
      <w:r w:rsidRPr="008F0C87">
        <w:rPr>
          <w:color w:val="000000"/>
          <w:sz w:val="24"/>
          <w:szCs w:val="24"/>
          <w:lang w:eastAsia="ru-RU" w:bidi="ru-RU"/>
        </w:rPr>
        <w:t>При синдроме МЭН 2б, кроме медуллярного РЩЖ и феохромо</w:t>
      </w:r>
      <w:r w:rsidRPr="008F0C87">
        <w:rPr>
          <w:color w:val="000000"/>
          <w:sz w:val="24"/>
          <w:szCs w:val="24"/>
          <w:lang w:eastAsia="ru-RU" w:bidi="ru-RU"/>
        </w:rPr>
        <w:softHyphen/>
        <w:t>цитом, облигатный патогномоничный внешний признак — мно</w:t>
      </w:r>
      <w:r w:rsidRPr="008F0C87">
        <w:rPr>
          <w:color w:val="000000"/>
          <w:sz w:val="24"/>
          <w:szCs w:val="24"/>
          <w:lang w:eastAsia="ru-RU" w:bidi="ru-RU"/>
        </w:rPr>
        <w:softHyphen/>
        <w:t>жественные ганглионейромы слизистых оболочек губ, полости рта, выявляемые на боковых поверхностях и кончике языка, их диаметр доходит до 1 см. Ганглионейромы можно обнаружить на всем протяжении ЖКТ вплоть до ануса. Характерна различная выраженность марфаноподобной внешности (удлиненные конеч</w:t>
      </w:r>
      <w:r w:rsidRPr="008F0C87">
        <w:rPr>
          <w:color w:val="000000"/>
          <w:sz w:val="24"/>
          <w:szCs w:val="24"/>
          <w:lang w:eastAsia="ru-RU" w:bidi="ru-RU"/>
        </w:rPr>
        <w:softHyphen/>
        <w:t>ности и пальцы, гипермобильность суставов, большие межзубные промежутки, как правило, выявляют пролапс митрального кла</w:t>
      </w:r>
      <w:r w:rsidRPr="008F0C87">
        <w:rPr>
          <w:color w:val="000000"/>
          <w:sz w:val="24"/>
          <w:szCs w:val="24"/>
          <w:lang w:eastAsia="ru-RU" w:bidi="ru-RU"/>
        </w:rPr>
        <w:softHyphen/>
        <w:t>пана).</w:t>
      </w:r>
    </w:p>
    <w:p w:rsidR="008F0C87" w:rsidRPr="008F0C87" w:rsidRDefault="008F0C87" w:rsidP="008C3A52">
      <w:pPr>
        <w:pStyle w:val="3f2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9" w:name="bookmark3623"/>
      <w:r w:rsidRPr="008F0C87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Диагностика</w:t>
      </w:r>
      <w:bookmarkEnd w:id="19"/>
    </w:p>
    <w:p w:rsidR="008F0C87" w:rsidRPr="008F0C87" w:rsidRDefault="008F0C87" w:rsidP="008C3A52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0" w:name="bookmark3625"/>
      <w:r w:rsidRPr="008F0C87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Физикальное обследование</w:t>
      </w:r>
      <w:bookmarkEnd w:id="20"/>
    </w:p>
    <w:p w:rsidR="008F0C87" w:rsidRPr="008F0C87" w:rsidRDefault="008F0C87" w:rsidP="008C3A52">
      <w:pPr>
        <w:pStyle w:val="1f1"/>
        <w:ind w:firstLine="567"/>
        <w:jc w:val="both"/>
        <w:rPr>
          <w:sz w:val="24"/>
          <w:szCs w:val="24"/>
        </w:rPr>
      </w:pPr>
      <w:r w:rsidRPr="008F0C87">
        <w:rPr>
          <w:color w:val="000000"/>
          <w:sz w:val="24"/>
          <w:szCs w:val="24"/>
          <w:lang w:eastAsia="ru-RU" w:bidi="ru-RU"/>
        </w:rPr>
        <w:t>Жалобы и анамнез заболевания, физикальные данные, как пра</w:t>
      </w:r>
      <w:r w:rsidRPr="008F0C87">
        <w:rPr>
          <w:color w:val="000000"/>
          <w:sz w:val="24"/>
          <w:szCs w:val="24"/>
          <w:lang w:eastAsia="ru-RU" w:bidi="ru-RU"/>
        </w:rPr>
        <w:softHyphen/>
        <w:t>вило, не отличаются от таковых при спорадических формах (см. «Феохромоцитома», «Синдром гиперпаратиреоза»). Необходимо уточнить наличие у родственников какого-либо из данных эндо</w:t>
      </w:r>
      <w:r w:rsidRPr="008F0C87">
        <w:rPr>
          <w:color w:val="000000"/>
          <w:sz w:val="24"/>
          <w:szCs w:val="24"/>
          <w:lang w:eastAsia="ru-RU" w:bidi="ru-RU"/>
        </w:rPr>
        <w:softHyphen/>
        <w:t>кринных заболеваний.</w:t>
      </w:r>
    </w:p>
    <w:p w:rsidR="008F0C87" w:rsidRPr="008F0C87" w:rsidRDefault="008F0C87" w:rsidP="008C3A52">
      <w:pPr>
        <w:pStyle w:val="4b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1" w:name="bookmark3627"/>
      <w:r w:rsidRPr="008F0C87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lastRenderedPageBreak/>
        <w:t>Лабораторные исследования</w:t>
      </w:r>
      <w:bookmarkEnd w:id="21"/>
    </w:p>
    <w:p w:rsidR="008F0C87" w:rsidRPr="008F0C87" w:rsidRDefault="008F0C87" w:rsidP="008C3A52">
      <w:pPr>
        <w:pStyle w:val="1f1"/>
        <w:ind w:firstLine="567"/>
        <w:jc w:val="both"/>
        <w:rPr>
          <w:sz w:val="24"/>
          <w:szCs w:val="24"/>
        </w:rPr>
      </w:pPr>
      <w:r w:rsidRPr="008F0C87">
        <w:rPr>
          <w:b/>
          <w:bCs/>
          <w:color w:val="000000"/>
          <w:sz w:val="24"/>
          <w:szCs w:val="24"/>
          <w:lang w:eastAsia="ru-RU" w:bidi="ru-RU"/>
        </w:rPr>
        <w:t>Медуллярный рак щитовидной железы</w:t>
      </w:r>
      <w:r w:rsidRPr="008F0C87">
        <w:rPr>
          <w:color w:val="000000"/>
          <w:sz w:val="24"/>
          <w:szCs w:val="24"/>
          <w:lang w:eastAsia="ru-RU" w:bidi="ru-RU"/>
        </w:rPr>
        <w:t>. Определение ба</w:t>
      </w:r>
      <w:r w:rsidRPr="008F0C87">
        <w:rPr>
          <w:color w:val="000000"/>
          <w:sz w:val="24"/>
          <w:szCs w:val="24"/>
          <w:lang w:eastAsia="ru-RU" w:bidi="ru-RU"/>
        </w:rPr>
        <w:softHyphen/>
        <w:t>зального и стимулированного (после внутривенного введения глюконата кальция) содержания кальцитонина (обязательная диагностическая процедура при подозрении на медуллярный РЩЖ).</w:t>
      </w:r>
    </w:p>
    <w:p w:rsidR="008F0C87" w:rsidRPr="008F0C87" w:rsidRDefault="008F0C87" w:rsidP="008C3A52">
      <w:pPr>
        <w:pStyle w:val="1f1"/>
        <w:ind w:firstLine="567"/>
        <w:jc w:val="both"/>
        <w:rPr>
          <w:sz w:val="24"/>
          <w:szCs w:val="24"/>
        </w:rPr>
      </w:pPr>
      <w:r w:rsidRPr="008F0C87">
        <w:rPr>
          <w:color w:val="000000"/>
          <w:sz w:val="24"/>
          <w:szCs w:val="24"/>
          <w:lang w:eastAsia="ru-RU" w:bidi="ru-RU"/>
        </w:rPr>
        <w:t>Радикальность оперативного вмешательства контролируют по</w:t>
      </w:r>
      <w:r w:rsidRPr="008F0C87">
        <w:rPr>
          <w:color w:val="000000"/>
          <w:sz w:val="24"/>
          <w:szCs w:val="24"/>
          <w:lang w:eastAsia="ru-RU" w:bidi="ru-RU"/>
        </w:rPr>
        <w:softHyphen/>
        <w:t>вторным выполнением провокационного теста в раннем послео</w:t>
      </w:r>
      <w:r w:rsidRPr="008F0C87">
        <w:rPr>
          <w:color w:val="000000"/>
          <w:sz w:val="24"/>
          <w:szCs w:val="24"/>
          <w:lang w:eastAsia="ru-RU" w:bidi="ru-RU"/>
        </w:rPr>
        <w:softHyphen/>
        <w:t>перационном периоде. Положительный результат теста с высокой точностью указывает на резидуальную опухолевую ткань или неу</w:t>
      </w:r>
      <w:r w:rsidRPr="008F0C87">
        <w:rPr>
          <w:color w:val="000000"/>
          <w:sz w:val="24"/>
          <w:szCs w:val="24"/>
          <w:lang w:eastAsia="ru-RU" w:bidi="ru-RU"/>
        </w:rPr>
        <w:softHyphen/>
        <w:t>даленные метастазы медуллярного РЩЖ.</w:t>
      </w:r>
    </w:p>
    <w:p w:rsidR="008F0C87" w:rsidRPr="008F0C87" w:rsidRDefault="008F0C87" w:rsidP="008C3A52">
      <w:pPr>
        <w:pStyle w:val="1f1"/>
        <w:ind w:firstLine="567"/>
        <w:jc w:val="both"/>
        <w:rPr>
          <w:sz w:val="24"/>
          <w:szCs w:val="24"/>
        </w:rPr>
      </w:pPr>
      <w:r w:rsidRPr="008F0C87">
        <w:rPr>
          <w:b/>
          <w:bCs/>
          <w:color w:val="000000"/>
          <w:sz w:val="24"/>
          <w:szCs w:val="24"/>
          <w:lang w:eastAsia="ru-RU" w:bidi="ru-RU"/>
        </w:rPr>
        <w:t>Феохромоцитома</w:t>
      </w:r>
      <w:r w:rsidRPr="008F0C87">
        <w:rPr>
          <w:color w:val="000000"/>
          <w:sz w:val="24"/>
          <w:szCs w:val="24"/>
          <w:lang w:eastAsia="ru-RU" w:bidi="ru-RU"/>
        </w:rPr>
        <w:t>. Определение содержания метилирован</w:t>
      </w:r>
      <w:r w:rsidRPr="008F0C87">
        <w:rPr>
          <w:color w:val="000000"/>
          <w:sz w:val="24"/>
          <w:szCs w:val="24"/>
          <w:lang w:eastAsia="ru-RU" w:bidi="ru-RU"/>
        </w:rPr>
        <w:softHyphen/>
        <w:t>ных производных катехоламинов (метанефрина и норметанеф- рина) в суточной моче.</w:t>
      </w:r>
    </w:p>
    <w:p w:rsidR="008F0C87" w:rsidRPr="008F0C87" w:rsidRDefault="008F0C87" w:rsidP="008C3A52">
      <w:pPr>
        <w:pStyle w:val="1f1"/>
        <w:ind w:firstLine="567"/>
        <w:jc w:val="both"/>
        <w:rPr>
          <w:sz w:val="24"/>
          <w:szCs w:val="24"/>
        </w:rPr>
      </w:pPr>
      <w:r w:rsidRPr="008F0C87">
        <w:rPr>
          <w:b/>
          <w:bCs/>
          <w:color w:val="000000"/>
          <w:sz w:val="24"/>
          <w:szCs w:val="24"/>
          <w:lang w:eastAsia="ru-RU" w:bidi="ru-RU"/>
        </w:rPr>
        <w:t>Гиперпаратиреоз</w:t>
      </w:r>
      <w:r w:rsidRPr="008F0C87">
        <w:rPr>
          <w:color w:val="000000"/>
          <w:sz w:val="24"/>
          <w:szCs w:val="24"/>
          <w:lang w:eastAsia="ru-RU" w:bidi="ru-RU"/>
        </w:rPr>
        <w:t>. Определение содержания ионизированно</w:t>
      </w:r>
      <w:r w:rsidRPr="008F0C87">
        <w:rPr>
          <w:color w:val="000000"/>
          <w:sz w:val="24"/>
          <w:szCs w:val="24"/>
          <w:lang w:eastAsia="ru-RU" w:bidi="ru-RU"/>
        </w:rPr>
        <w:softHyphen/>
        <w:t>го кальция и фосфора в сыворотке крови, уровня ПТГ.</w:t>
      </w:r>
    </w:p>
    <w:p w:rsidR="008F0C87" w:rsidRPr="008F0C87" w:rsidRDefault="008F0C87" w:rsidP="008C3A52">
      <w:pPr>
        <w:widowControl/>
        <w:autoSpaceDE/>
        <w:autoSpaceDN/>
        <w:adjustRightInd/>
        <w:ind w:firstLine="567"/>
        <w:jc w:val="both"/>
        <w:outlineLvl w:val="1"/>
        <w:rPr>
          <w:b/>
          <w:bCs/>
          <w:sz w:val="24"/>
          <w:szCs w:val="24"/>
          <w:lang w:bidi="ru-RU"/>
        </w:rPr>
      </w:pPr>
      <w:bookmarkStart w:id="22" w:name="bookmark3629"/>
      <w:r w:rsidRPr="008F0C87">
        <w:rPr>
          <w:b/>
          <w:bCs/>
          <w:sz w:val="24"/>
          <w:szCs w:val="24"/>
          <w:lang w:bidi="ru-RU"/>
        </w:rPr>
        <w:t>Инструментальные исследования</w:t>
      </w:r>
      <w:bookmarkEnd w:id="22"/>
    </w:p>
    <w:p w:rsidR="008F0C87" w:rsidRPr="008F0C87" w:rsidRDefault="008F0C87" w:rsidP="008C3A5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/>
          <w:bCs/>
          <w:sz w:val="24"/>
          <w:szCs w:val="24"/>
          <w:lang w:bidi="ru-RU"/>
        </w:rPr>
        <w:t>Медуллярный рак щитовидной железы</w:t>
      </w:r>
    </w:p>
    <w:p w:rsidR="008F0C87" w:rsidRPr="008F0C87" w:rsidRDefault="008F0C87" w:rsidP="008C3A52">
      <w:pPr>
        <w:widowControl/>
        <w:numPr>
          <w:ilvl w:val="0"/>
          <w:numId w:val="27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УЗИ железы и регионарных лимфоузлов.</w:t>
      </w:r>
    </w:p>
    <w:p w:rsidR="008F0C87" w:rsidRPr="008F0C87" w:rsidRDefault="008F0C87" w:rsidP="008C3A52">
      <w:pPr>
        <w:widowControl/>
        <w:numPr>
          <w:ilvl w:val="0"/>
          <w:numId w:val="27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ТАБ узла и увеличенных лимфатических узлов под контро</w:t>
      </w:r>
      <w:r w:rsidRPr="008F0C87">
        <w:rPr>
          <w:bCs/>
          <w:sz w:val="24"/>
          <w:szCs w:val="24"/>
          <w:lang w:bidi="ru-RU"/>
        </w:rPr>
        <w:softHyphen/>
        <w:t>лем УЗИ.</w:t>
      </w:r>
    </w:p>
    <w:p w:rsidR="008F0C87" w:rsidRPr="008F0C87" w:rsidRDefault="008F0C87" w:rsidP="008C3A52">
      <w:pPr>
        <w:widowControl/>
        <w:numPr>
          <w:ilvl w:val="0"/>
          <w:numId w:val="27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КТ (спиральная, мультиспиральная) — для определения ме</w:t>
      </w:r>
      <w:r w:rsidRPr="008F0C87">
        <w:rPr>
          <w:bCs/>
          <w:sz w:val="24"/>
          <w:szCs w:val="24"/>
          <w:lang w:bidi="ru-RU"/>
        </w:rPr>
        <w:softHyphen/>
        <w:t>тастатической распространенности медуллярного РЩЖ.</w:t>
      </w:r>
    </w:p>
    <w:p w:rsidR="008F0C87" w:rsidRPr="008F0C87" w:rsidRDefault="008F0C87" w:rsidP="008C3A52">
      <w:pPr>
        <w:widowControl/>
        <w:numPr>
          <w:ilvl w:val="0"/>
          <w:numId w:val="27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ПЭТ с применением в качестве РФП 2-[фтор-18]фтор-2- дезокси^-глюкозы — используют в случае выявления после радикальной операции на ЩЖ и регионарных лим</w:t>
      </w:r>
      <w:r w:rsidRPr="008F0C87">
        <w:rPr>
          <w:bCs/>
          <w:sz w:val="24"/>
          <w:szCs w:val="24"/>
          <w:lang w:bidi="ru-RU"/>
        </w:rPr>
        <w:softHyphen/>
        <w:t>фатических коллекторах повышенного уровня стимулиро</w:t>
      </w:r>
      <w:r w:rsidRPr="008F0C87">
        <w:rPr>
          <w:bCs/>
          <w:sz w:val="24"/>
          <w:szCs w:val="24"/>
          <w:lang w:bidi="ru-RU"/>
        </w:rPr>
        <w:softHyphen/>
        <w:t>ванного кальцитонина, при этом УЗИ и мультиспиральная КТ не выявляют патологического очага.</w:t>
      </w:r>
    </w:p>
    <w:p w:rsidR="008F0C87" w:rsidRPr="008F0C87" w:rsidRDefault="008F0C87" w:rsidP="008C3A52">
      <w:pPr>
        <w:widowControl/>
        <w:numPr>
          <w:ilvl w:val="0"/>
          <w:numId w:val="27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 xml:space="preserve">Сцинтиграфия с метайодбензилгуанидином, меченным </w:t>
      </w:r>
      <w:r w:rsidRPr="008F0C87">
        <w:rPr>
          <w:bCs/>
          <w:sz w:val="24"/>
          <w:szCs w:val="24"/>
          <w:vertAlign w:val="superscript"/>
          <w:lang w:bidi="ru-RU"/>
        </w:rPr>
        <w:t>123</w:t>
      </w:r>
      <w:r w:rsidRPr="008F0C87">
        <w:rPr>
          <w:bCs/>
          <w:sz w:val="24"/>
          <w:szCs w:val="24"/>
          <w:lang w:bidi="en-US"/>
        </w:rPr>
        <w:t>I</w:t>
      </w:r>
      <w:r w:rsidRPr="008F0C87">
        <w:rPr>
          <w:bCs/>
          <w:sz w:val="24"/>
          <w:szCs w:val="24"/>
          <w:lang w:bidi="ru-RU"/>
        </w:rPr>
        <w:t>.</w:t>
      </w:r>
    </w:p>
    <w:p w:rsidR="008F0C87" w:rsidRPr="008F0C87" w:rsidRDefault="008F0C87" w:rsidP="008C3A5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/>
          <w:bCs/>
          <w:sz w:val="24"/>
          <w:szCs w:val="24"/>
          <w:lang w:bidi="ru-RU"/>
        </w:rPr>
        <w:t>Феохромоцитома</w:t>
      </w:r>
      <w:r w:rsidRPr="008F0C87">
        <w:rPr>
          <w:bCs/>
          <w:sz w:val="24"/>
          <w:szCs w:val="24"/>
          <w:lang w:bidi="ru-RU"/>
        </w:rPr>
        <w:t>. КТ/МРТ органов забрюшинного про</w:t>
      </w:r>
      <w:r w:rsidRPr="008F0C87">
        <w:rPr>
          <w:bCs/>
          <w:sz w:val="24"/>
          <w:szCs w:val="24"/>
          <w:lang w:bidi="ru-RU"/>
        </w:rPr>
        <w:softHyphen/>
        <w:t>странства.</w:t>
      </w:r>
    </w:p>
    <w:p w:rsidR="008F0C87" w:rsidRPr="008F0C87" w:rsidRDefault="008F0C87" w:rsidP="008C3A5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/>
          <w:bCs/>
          <w:sz w:val="24"/>
          <w:szCs w:val="24"/>
          <w:lang w:bidi="ru-RU"/>
        </w:rPr>
        <w:t>Гиперпаратиреоз</w:t>
      </w:r>
    </w:p>
    <w:p w:rsidR="008F0C87" w:rsidRPr="008F0C87" w:rsidRDefault="008F0C87" w:rsidP="008C3A52">
      <w:pPr>
        <w:widowControl/>
        <w:numPr>
          <w:ilvl w:val="0"/>
          <w:numId w:val="27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УЗИ околощитовидных желез.</w:t>
      </w:r>
    </w:p>
    <w:p w:rsidR="008F0C87" w:rsidRPr="008F0C87" w:rsidRDefault="008F0C87" w:rsidP="008C3A52">
      <w:pPr>
        <w:widowControl/>
        <w:numPr>
          <w:ilvl w:val="0"/>
          <w:numId w:val="27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 xml:space="preserve">Сцинтиграфия околощитовидных желез с </w:t>
      </w:r>
      <w:r w:rsidRPr="008F0C87">
        <w:rPr>
          <w:bCs/>
          <w:sz w:val="24"/>
          <w:szCs w:val="24"/>
          <w:lang w:bidi="en-US"/>
        </w:rPr>
        <w:t>MIBI</w:t>
      </w:r>
      <w:r w:rsidRPr="008F0C87">
        <w:rPr>
          <w:bCs/>
          <w:sz w:val="24"/>
          <w:szCs w:val="24"/>
          <w:lang w:bidi="ru-RU"/>
        </w:rPr>
        <w:t>.</w:t>
      </w:r>
    </w:p>
    <w:p w:rsidR="008F0C87" w:rsidRPr="008F0C87" w:rsidRDefault="008F0C87" w:rsidP="008C3A52">
      <w:pPr>
        <w:widowControl/>
        <w:autoSpaceDE/>
        <w:autoSpaceDN/>
        <w:adjustRightInd/>
        <w:ind w:firstLine="567"/>
        <w:jc w:val="both"/>
        <w:outlineLvl w:val="1"/>
        <w:rPr>
          <w:b/>
          <w:bCs/>
          <w:sz w:val="24"/>
          <w:szCs w:val="24"/>
          <w:lang w:bidi="ru-RU"/>
        </w:rPr>
      </w:pPr>
      <w:bookmarkStart w:id="23" w:name="bookmark3631"/>
      <w:r w:rsidRPr="008F0C87">
        <w:rPr>
          <w:b/>
          <w:bCs/>
          <w:sz w:val="24"/>
          <w:szCs w:val="24"/>
          <w:lang w:bidi="ru-RU"/>
        </w:rPr>
        <w:t>Дифференциальная диагностика</w:t>
      </w:r>
      <w:bookmarkEnd w:id="23"/>
    </w:p>
    <w:p w:rsidR="008F0C87" w:rsidRPr="008F0C87" w:rsidRDefault="008F0C87" w:rsidP="008C3A5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Повышенное содержание кальцитонина выявляют при МРЛ, карциноидных опухолях, РМЖ. В то же время признак будет яв</w:t>
      </w:r>
      <w:r w:rsidRPr="008F0C87">
        <w:rPr>
          <w:bCs/>
          <w:sz w:val="24"/>
          <w:szCs w:val="24"/>
          <w:lang w:bidi="ru-RU"/>
        </w:rPr>
        <w:softHyphen/>
        <w:t>ляться специфическим для медуллярного РЩЖ при наличии в семье пациента с синдромом МЭН 2.</w:t>
      </w:r>
    </w:p>
    <w:p w:rsidR="008F0C87" w:rsidRPr="008F0C87" w:rsidRDefault="008F0C87" w:rsidP="008C3A52">
      <w:pPr>
        <w:widowControl/>
        <w:autoSpaceDE/>
        <w:autoSpaceDN/>
        <w:adjustRightInd/>
        <w:ind w:firstLine="567"/>
        <w:jc w:val="both"/>
        <w:outlineLvl w:val="1"/>
        <w:rPr>
          <w:b/>
          <w:bCs/>
          <w:sz w:val="24"/>
          <w:szCs w:val="24"/>
          <w:lang w:bidi="ru-RU"/>
        </w:rPr>
      </w:pPr>
      <w:bookmarkStart w:id="24" w:name="bookmark3633"/>
      <w:r w:rsidRPr="008F0C87">
        <w:rPr>
          <w:b/>
          <w:bCs/>
          <w:sz w:val="24"/>
          <w:szCs w:val="24"/>
          <w:lang w:bidi="ru-RU"/>
        </w:rPr>
        <w:t>Лечение</w:t>
      </w:r>
      <w:bookmarkEnd w:id="24"/>
    </w:p>
    <w:p w:rsidR="008F0C87" w:rsidRPr="008F0C87" w:rsidRDefault="008F0C87" w:rsidP="008C3A52">
      <w:pPr>
        <w:widowControl/>
        <w:autoSpaceDE/>
        <w:autoSpaceDN/>
        <w:adjustRightInd/>
        <w:ind w:firstLine="567"/>
        <w:jc w:val="both"/>
        <w:outlineLvl w:val="1"/>
        <w:rPr>
          <w:b/>
          <w:bCs/>
          <w:sz w:val="24"/>
          <w:szCs w:val="24"/>
          <w:lang w:bidi="ru-RU"/>
        </w:rPr>
      </w:pPr>
      <w:bookmarkStart w:id="25" w:name="bookmark3635"/>
      <w:r w:rsidRPr="008F0C87">
        <w:rPr>
          <w:b/>
          <w:bCs/>
          <w:sz w:val="24"/>
          <w:szCs w:val="24"/>
          <w:lang w:bidi="ru-RU"/>
        </w:rPr>
        <w:t>Цели</w:t>
      </w:r>
      <w:bookmarkEnd w:id="25"/>
    </w:p>
    <w:p w:rsidR="008F0C87" w:rsidRPr="008F0C87" w:rsidRDefault="008F0C87" w:rsidP="008C3A52">
      <w:pPr>
        <w:widowControl/>
        <w:numPr>
          <w:ilvl w:val="0"/>
          <w:numId w:val="27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Ликвидация опухолевых очагов.</w:t>
      </w:r>
    </w:p>
    <w:p w:rsidR="008F0C87" w:rsidRPr="008F0C87" w:rsidRDefault="008F0C87" w:rsidP="008C3A52">
      <w:pPr>
        <w:widowControl/>
        <w:numPr>
          <w:ilvl w:val="0"/>
          <w:numId w:val="27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Коррекция гормональных нарушений.</w:t>
      </w:r>
    </w:p>
    <w:p w:rsidR="008F0C87" w:rsidRPr="008F0C87" w:rsidRDefault="008F0C87" w:rsidP="008C3A52">
      <w:pPr>
        <w:widowControl/>
        <w:autoSpaceDE/>
        <w:autoSpaceDN/>
        <w:adjustRightInd/>
        <w:ind w:firstLine="567"/>
        <w:jc w:val="both"/>
        <w:outlineLvl w:val="1"/>
        <w:rPr>
          <w:b/>
          <w:bCs/>
          <w:sz w:val="24"/>
          <w:szCs w:val="24"/>
          <w:lang w:bidi="ru-RU"/>
        </w:rPr>
      </w:pPr>
      <w:bookmarkStart w:id="26" w:name="bookmark3637"/>
      <w:r w:rsidRPr="008F0C87">
        <w:rPr>
          <w:b/>
          <w:bCs/>
          <w:sz w:val="24"/>
          <w:szCs w:val="24"/>
          <w:lang w:bidi="ru-RU"/>
        </w:rPr>
        <w:t>Показания к госпитализации</w:t>
      </w:r>
      <w:bookmarkEnd w:id="26"/>
    </w:p>
    <w:p w:rsidR="008F0C87" w:rsidRPr="008F0C87" w:rsidRDefault="008F0C87" w:rsidP="008C3A52">
      <w:pPr>
        <w:widowControl/>
        <w:numPr>
          <w:ilvl w:val="0"/>
          <w:numId w:val="27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Диагностические мероприятия у пациента с тяжелым со</w:t>
      </w:r>
      <w:r w:rsidRPr="008F0C87">
        <w:rPr>
          <w:bCs/>
          <w:sz w:val="24"/>
          <w:szCs w:val="24"/>
          <w:lang w:bidi="ru-RU"/>
        </w:rPr>
        <w:softHyphen/>
        <w:t>стоянием.</w:t>
      </w:r>
    </w:p>
    <w:p w:rsidR="008F0C87" w:rsidRPr="008F0C87" w:rsidRDefault="008F0C87" w:rsidP="008C3A52">
      <w:pPr>
        <w:widowControl/>
        <w:numPr>
          <w:ilvl w:val="0"/>
          <w:numId w:val="27"/>
        </w:numPr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Оперативное лечение.</w:t>
      </w:r>
    </w:p>
    <w:p w:rsidR="008F0C87" w:rsidRPr="008F0C87" w:rsidRDefault="008F0C87" w:rsidP="008C3A52">
      <w:pPr>
        <w:widowControl/>
        <w:autoSpaceDE/>
        <w:autoSpaceDN/>
        <w:adjustRightInd/>
        <w:ind w:firstLine="567"/>
        <w:jc w:val="both"/>
        <w:outlineLvl w:val="1"/>
        <w:rPr>
          <w:b/>
          <w:bCs/>
          <w:sz w:val="24"/>
          <w:szCs w:val="24"/>
          <w:lang w:bidi="ru-RU"/>
        </w:rPr>
      </w:pPr>
      <w:bookmarkStart w:id="27" w:name="bookmark3639"/>
      <w:r w:rsidRPr="008F0C87">
        <w:rPr>
          <w:b/>
          <w:bCs/>
          <w:sz w:val="24"/>
          <w:szCs w:val="24"/>
          <w:lang w:bidi="ru-RU"/>
        </w:rPr>
        <w:t>Медикаментозное лечение</w:t>
      </w:r>
      <w:bookmarkEnd w:id="27"/>
    </w:p>
    <w:p w:rsidR="008F0C87" w:rsidRPr="008F0C87" w:rsidRDefault="008F0C87" w:rsidP="008C3A5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Симптоматическое, патогенетического медикаментозного ле</w:t>
      </w:r>
      <w:r w:rsidRPr="008F0C87">
        <w:rPr>
          <w:bCs/>
          <w:sz w:val="24"/>
          <w:szCs w:val="24"/>
          <w:lang w:bidi="ru-RU"/>
        </w:rPr>
        <w:softHyphen/>
        <w:t>чения не существует.</w:t>
      </w:r>
    </w:p>
    <w:p w:rsidR="008F0C87" w:rsidRPr="008F0C87" w:rsidRDefault="008F0C87" w:rsidP="008C3A52">
      <w:pPr>
        <w:widowControl/>
        <w:autoSpaceDE/>
        <w:autoSpaceDN/>
        <w:adjustRightInd/>
        <w:ind w:firstLine="567"/>
        <w:jc w:val="both"/>
        <w:outlineLvl w:val="1"/>
        <w:rPr>
          <w:b/>
          <w:bCs/>
          <w:sz w:val="24"/>
          <w:szCs w:val="24"/>
          <w:lang w:bidi="ru-RU"/>
        </w:rPr>
      </w:pPr>
      <w:bookmarkStart w:id="28" w:name="bookmark3641"/>
      <w:r w:rsidRPr="008F0C87">
        <w:rPr>
          <w:b/>
          <w:bCs/>
          <w:sz w:val="24"/>
          <w:szCs w:val="24"/>
          <w:lang w:bidi="ru-RU"/>
        </w:rPr>
        <w:t>Хирургическое лечение</w:t>
      </w:r>
      <w:bookmarkEnd w:id="28"/>
    </w:p>
    <w:p w:rsidR="008F0C87" w:rsidRPr="008F0C87" w:rsidRDefault="008F0C87" w:rsidP="008C3A52">
      <w:pPr>
        <w:widowControl/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/>
          <w:bCs/>
          <w:sz w:val="24"/>
          <w:szCs w:val="24"/>
          <w:lang w:bidi="ru-RU"/>
        </w:rPr>
        <w:t>Медуллярный рак щитовидной железы</w:t>
      </w:r>
      <w:r w:rsidRPr="008F0C87">
        <w:rPr>
          <w:bCs/>
          <w:sz w:val="24"/>
          <w:szCs w:val="24"/>
          <w:lang w:bidi="ru-RU"/>
        </w:rPr>
        <w:t>. Профилактику и лечение манифестных форм медуллярного РЩЖ осуществляют только оперативным путем.</w:t>
      </w:r>
    </w:p>
    <w:p w:rsidR="008F0C87" w:rsidRPr="008F0C87" w:rsidRDefault="008F0C87" w:rsidP="008C3A52">
      <w:pPr>
        <w:widowControl/>
        <w:tabs>
          <w:tab w:val="left" w:pos="851"/>
        </w:tabs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lastRenderedPageBreak/>
        <w:t>Если у пациентов с клинически выявленным медуллярным РЩЖ обнаружен повышенный уровень базального и стимулиро</w:t>
      </w:r>
      <w:r w:rsidRPr="008F0C87">
        <w:rPr>
          <w:bCs/>
          <w:sz w:val="24"/>
          <w:szCs w:val="24"/>
          <w:lang w:bidi="ru-RU"/>
        </w:rPr>
        <w:softHyphen/>
        <w:t>ванного кальцитонина, минимальный объем оперативного вме</w:t>
      </w:r>
      <w:r w:rsidRPr="008F0C87">
        <w:rPr>
          <w:bCs/>
          <w:sz w:val="24"/>
          <w:szCs w:val="24"/>
          <w:lang w:bidi="ru-RU"/>
        </w:rPr>
        <w:softHyphen/>
        <w:t>шательства — тотальная тиреоидэктомия с удалением клетчатки и лимфоузлов центральной паратрахеальной зоны.</w:t>
      </w:r>
    </w:p>
    <w:p w:rsidR="008F0C87" w:rsidRPr="008F0C87" w:rsidRDefault="008F0C87" w:rsidP="008C3A52">
      <w:pPr>
        <w:widowControl/>
        <w:tabs>
          <w:tab w:val="left" w:pos="851"/>
        </w:tabs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Более агрессивный объем операции выполняют при четких данных о вовлечении в процесс лимфатических узлов бокового</w:t>
      </w:r>
      <w:r w:rsidRPr="008F0C87">
        <w:rPr>
          <w:color w:val="000000"/>
          <w:sz w:val="24"/>
          <w:szCs w:val="24"/>
          <w:lang w:bidi="ru-RU"/>
        </w:rPr>
        <w:t xml:space="preserve"> </w:t>
      </w:r>
      <w:r w:rsidRPr="008F0C87">
        <w:rPr>
          <w:bCs/>
          <w:sz w:val="24"/>
          <w:szCs w:val="24"/>
          <w:lang w:bidi="ru-RU"/>
        </w:rPr>
        <w:t>треугольника шеи (футлярно-фасциальное удаление клетчатки и лимфоузлов бокового треугольника шеи).</w:t>
      </w:r>
    </w:p>
    <w:p w:rsidR="008F0C87" w:rsidRPr="008F0C87" w:rsidRDefault="008F0C87" w:rsidP="008C3A52">
      <w:pPr>
        <w:widowControl/>
        <w:tabs>
          <w:tab w:val="left" w:pos="851"/>
        </w:tabs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Если уровень базального и стимулированного кальцитони</w:t>
      </w:r>
      <w:r w:rsidRPr="008F0C87">
        <w:rPr>
          <w:bCs/>
          <w:sz w:val="24"/>
          <w:szCs w:val="24"/>
          <w:lang w:bidi="ru-RU"/>
        </w:rPr>
        <w:softHyphen/>
        <w:t>на остается высоким после первичной операции на ЩЖ, крайне важно установить локализацию местных или отдаленных мета</w:t>
      </w:r>
      <w:r w:rsidRPr="008F0C87">
        <w:rPr>
          <w:bCs/>
          <w:sz w:val="24"/>
          <w:szCs w:val="24"/>
          <w:lang w:bidi="ru-RU"/>
        </w:rPr>
        <w:softHyphen/>
        <w:t>стазов. При подозрении на метастатическое поражение регионар</w:t>
      </w:r>
      <w:r w:rsidRPr="008F0C87">
        <w:rPr>
          <w:bCs/>
          <w:sz w:val="24"/>
          <w:szCs w:val="24"/>
          <w:lang w:bidi="ru-RU"/>
        </w:rPr>
        <w:softHyphen/>
        <w:t>ных шейных или средостенных лимфоузлов показана повторная операция.</w:t>
      </w:r>
    </w:p>
    <w:p w:rsidR="008F0C87" w:rsidRPr="008F0C87" w:rsidRDefault="008F0C87" w:rsidP="008C3A52">
      <w:pPr>
        <w:widowControl/>
        <w:tabs>
          <w:tab w:val="left" w:pos="851"/>
        </w:tabs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Показания к операции в области средостения противоречивы вследствие большого количества осложнений и малого — излече</w:t>
      </w:r>
      <w:r w:rsidRPr="008F0C87">
        <w:rPr>
          <w:bCs/>
          <w:sz w:val="24"/>
          <w:szCs w:val="24"/>
          <w:lang w:bidi="ru-RU"/>
        </w:rPr>
        <w:softHyphen/>
        <w:t>ния.</w:t>
      </w:r>
    </w:p>
    <w:p w:rsidR="008F0C87" w:rsidRPr="008F0C87" w:rsidRDefault="008F0C87" w:rsidP="008C3A52">
      <w:pPr>
        <w:widowControl/>
        <w:tabs>
          <w:tab w:val="left" w:pos="851"/>
        </w:tabs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При отдаленных метастазах оперативное лечение не показано. Исключением служат наблюдения, когда развивается гормональ</w:t>
      </w:r>
      <w:r w:rsidRPr="008F0C87">
        <w:rPr>
          <w:bCs/>
          <w:sz w:val="24"/>
          <w:szCs w:val="24"/>
          <w:lang w:bidi="ru-RU"/>
        </w:rPr>
        <w:softHyphen/>
        <w:t>нозависимая диарея и удаление опухолевой ткани нивелирует эту симптоматику.</w:t>
      </w:r>
    </w:p>
    <w:p w:rsidR="008F0C87" w:rsidRPr="008F0C87" w:rsidRDefault="008F0C87" w:rsidP="008C3A52">
      <w:pPr>
        <w:widowControl/>
        <w:tabs>
          <w:tab w:val="left" w:pos="851"/>
        </w:tabs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Стандартные схемы химиотерапии нерезультативны при ме</w:t>
      </w:r>
      <w:r w:rsidRPr="008F0C87">
        <w:rPr>
          <w:bCs/>
          <w:sz w:val="24"/>
          <w:szCs w:val="24"/>
          <w:lang w:bidi="ru-RU"/>
        </w:rPr>
        <w:softHyphen/>
        <w:t>тастатическом поражении медуллярного РЩЖ. Опухоли нечув</w:t>
      </w:r>
      <w:r w:rsidRPr="008F0C87">
        <w:rPr>
          <w:bCs/>
          <w:sz w:val="24"/>
          <w:szCs w:val="24"/>
          <w:lang w:bidi="ru-RU"/>
        </w:rPr>
        <w:softHyphen/>
        <w:t>ствительны к лучевой терапии и гипертермии.</w:t>
      </w:r>
    </w:p>
    <w:p w:rsidR="008F0C87" w:rsidRPr="008F0C87" w:rsidRDefault="008F0C87" w:rsidP="008C3A52">
      <w:pPr>
        <w:widowControl/>
        <w:tabs>
          <w:tab w:val="left" w:pos="851"/>
        </w:tabs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Часть пациентов с существенным метастатическим поражени</w:t>
      </w:r>
      <w:r w:rsidRPr="008F0C87">
        <w:rPr>
          <w:bCs/>
          <w:sz w:val="24"/>
          <w:szCs w:val="24"/>
          <w:lang w:bidi="ru-RU"/>
        </w:rPr>
        <w:softHyphen/>
        <w:t>ем медуллярного РЩЖ могут иметь бессимптомное течение бо</w:t>
      </w:r>
      <w:r w:rsidRPr="008F0C87">
        <w:rPr>
          <w:bCs/>
          <w:sz w:val="24"/>
          <w:szCs w:val="24"/>
          <w:lang w:bidi="ru-RU"/>
        </w:rPr>
        <w:softHyphen/>
        <w:t>лезни и прожить много лет.</w:t>
      </w:r>
    </w:p>
    <w:p w:rsidR="008F0C87" w:rsidRPr="008F0C87" w:rsidRDefault="008F0C87" w:rsidP="008C3A52">
      <w:pPr>
        <w:widowControl/>
        <w:tabs>
          <w:tab w:val="left" w:pos="851"/>
        </w:tabs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 xml:space="preserve">Неоднозначны данные о лечении метастазов медуллярного РЩЖ с помощью метайодбензилгуанидина, меченного </w:t>
      </w:r>
      <w:r w:rsidRPr="008F0C87">
        <w:rPr>
          <w:bCs/>
          <w:sz w:val="24"/>
          <w:szCs w:val="24"/>
          <w:vertAlign w:val="superscript"/>
          <w:lang w:bidi="ru-RU"/>
        </w:rPr>
        <w:t>131</w:t>
      </w:r>
      <w:r w:rsidRPr="008F0C87">
        <w:rPr>
          <w:bCs/>
          <w:sz w:val="24"/>
          <w:szCs w:val="24"/>
          <w:lang w:bidi="en-US"/>
        </w:rPr>
        <w:t>I</w:t>
      </w:r>
      <w:r w:rsidRPr="008F0C87">
        <w:rPr>
          <w:bCs/>
          <w:sz w:val="24"/>
          <w:szCs w:val="24"/>
          <w:lang w:bidi="ru-RU"/>
        </w:rPr>
        <w:t>.</w:t>
      </w:r>
    </w:p>
    <w:p w:rsidR="008F0C87" w:rsidRPr="008F0C87" w:rsidRDefault="008F0C87" w:rsidP="008C3A52">
      <w:pPr>
        <w:widowControl/>
        <w:tabs>
          <w:tab w:val="left" w:pos="851"/>
        </w:tabs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Выявление МЭН 2-носительства — показание к профилакти</w:t>
      </w:r>
      <w:r w:rsidRPr="008F0C87">
        <w:rPr>
          <w:bCs/>
          <w:sz w:val="24"/>
          <w:szCs w:val="24"/>
          <w:lang w:bidi="ru-RU"/>
        </w:rPr>
        <w:softHyphen/>
        <w:t>ческой тиреоидэктомии.</w:t>
      </w:r>
    </w:p>
    <w:p w:rsidR="008F0C87" w:rsidRPr="008F0C87" w:rsidRDefault="008F0C87" w:rsidP="008C3A52">
      <w:pPr>
        <w:widowControl/>
        <w:tabs>
          <w:tab w:val="left" w:pos="851"/>
        </w:tabs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 xml:space="preserve">Дети с МЭН 2б и мутацией в кодонах 883, 918 и 922 отнесены к </w:t>
      </w:r>
      <w:r w:rsidRPr="008F0C87">
        <w:rPr>
          <w:bCs/>
          <w:sz w:val="24"/>
          <w:szCs w:val="24"/>
          <w:lang w:bidi="en-US"/>
        </w:rPr>
        <w:t>III</w:t>
      </w:r>
      <w:r w:rsidRPr="008F0C87">
        <w:rPr>
          <w:bCs/>
          <w:sz w:val="24"/>
          <w:szCs w:val="24"/>
          <w:lang w:bidi="ru-RU"/>
        </w:rPr>
        <w:t xml:space="preserve"> (наибольшей) степени риска агрессивности медуллярного РЩЖ. Таким пациентам превентивную тиреоидэктомию необхо</w:t>
      </w:r>
      <w:r w:rsidRPr="008F0C87">
        <w:rPr>
          <w:bCs/>
          <w:sz w:val="24"/>
          <w:szCs w:val="24"/>
          <w:lang w:bidi="ru-RU"/>
        </w:rPr>
        <w:softHyphen/>
        <w:t>димо провести в течение первых 6 мес жизни, предпочтительно в течение первого месяца. Операция должна включать превентив</w:t>
      </w:r>
      <w:r w:rsidRPr="008F0C87">
        <w:rPr>
          <w:bCs/>
          <w:sz w:val="24"/>
          <w:szCs w:val="24"/>
          <w:lang w:bidi="ru-RU"/>
        </w:rPr>
        <w:softHyphen/>
        <w:t>ное удаление клетчатки и лимфоузлов центральной зоны. При выявлении метастазирования в центральной зоне необходимо выполнить расширенную лимфаденэктомию в боковых треуголь</w:t>
      </w:r>
      <w:r w:rsidRPr="008F0C87">
        <w:rPr>
          <w:bCs/>
          <w:sz w:val="24"/>
          <w:szCs w:val="24"/>
          <w:lang w:bidi="ru-RU"/>
        </w:rPr>
        <w:softHyphen/>
        <w:t>никах шеи.</w:t>
      </w:r>
    </w:p>
    <w:p w:rsidR="008F0C87" w:rsidRPr="008F0C87" w:rsidRDefault="008F0C87" w:rsidP="008C3A52">
      <w:pPr>
        <w:widowControl/>
        <w:tabs>
          <w:tab w:val="left" w:pos="851"/>
        </w:tabs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 xml:space="preserve">Детей с мутацией </w:t>
      </w:r>
      <w:r w:rsidRPr="008F0C87">
        <w:rPr>
          <w:bCs/>
          <w:sz w:val="24"/>
          <w:szCs w:val="24"/>
          <w:lang w:bidi="en-US"/>
        </w:rPr>
        <w:t>RET</w:t>
      </w:r>
      <w:r w:rsidRPr="008F0C87">
        <w:rPr>
          <w:bCs/>
          <w:sz w:val="24"/>
          <w:szCs w:val="24"/>
          <w:lang w:bidi="ru-RU"/>
        </w:rPr>
        <w:t xml:space="preserve"> в кодонах 611, 618, 620 и 634 отно</w:t>
      </w:r>
      <w:r w:rsidRPr="008F0C87">
        <w:rPr>
          <w:bCs/>
          <w:sz w:val="24"/>
          <w:szCs w:val="24"/>
          <w:lang w:bidi="ru-RU"/>
        </w:rPr>
        <w:softHyphen/>
        <w:t xml:space="preserve">сят к </w:t>
      </w:r>
      <w:r w:rsidRPr="008F0C87">
        <w:rPr>
          <w:bCs/>
          <w:sz w:val="24"/>
          <w:szCs w:val="24"/>
          <w:lang w:bidi="en-US"/>
        </w:rPr>
        <w:t>II</w:t>
      </w:r>
      <w:r w:rsidRPr="008F0C87">
        <w:rPr>
          <w:bCs/>
          <w:sz w:val="24"/>
          <w:szCs w:val="24"/>
          <w:lang w:bidi="ru-RU"/>
        </w:rPr>
        <w:t xml:space="preserve"> степени риска агрессивности медуллярного РЩЖ. Пре</w:t>
      </w:r>
      <w:r w:rsidRPr="008F0C87">
        <w:rPr>
          <w:bCs/>
          <w:sz w:val="24"/>
          <w:szCs w:val="24"/>
          <w:lang w:bidi="ru-RU"/>
        </w:rPr>
        <w:softHyphen/>
        <w:t>вентивная тиреоидэктомия в данной группе детей показана до наступления 5-летнего возраста. Обязательный объем опера</w:t>
      </w:r>
      <w:r w:rsidRPr="008F0C87">
        <w:rPr>
          <w:bCs/>
          <w:sz w:val="24"/>
          <w:szCs w:val="24"/>
          <w:lang w:bidi="ru-RU"/>
        </w:rPr>
        <w:softHyphen/>
        <w:t>ции — тотальная тиреоидэктомия. Единого мнения о необходи</w:t>
      </w:r>
      <w:r w:rsidRPr="008F0C87">
        <w:rPr>
          <w:bCs/>
          <w:sz w:val="24"/>
          <w:szCs w:val="24"/>
          <w:lang w:bidi="ru-RU"/>
        </w:rPr>
        <w:softHyphen/>
        <w:t>мости превентивной центральной лимфаденэктомии при МЭН 2а нет. Для удаления остаточной тиреоидной ткани у тиреоидэкто- мированных детей применяют РЙТ.</w:t>
      </w:r>
    </w:p>
    <w:p w:rsidR="008F0C87" w:rsidRPr="008F0C87" w:rsidRDefault="008F0C87" w:rsidP="008C3A52">
      <w:pPr>
        <w:widowControl/>
        <w:tabs>
          <w:tab w:val="left" w:pos="851"/>
        </w:tabs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 xml:space="preserve">Детей с мутацией </w:t>
      </w:r>
      <w:r w:rsidRPr="008F0C87">
        <w:rPr>
          <w:bCs/>
          <w:sz w:val="24"/>
          <w:szCs w:val="24"/>
          <w:lang w:bidi="en-US"/>
        </w:rPr>
        <w:t>RET</w:t>
      </w:r>
      <w:r w:rsidRPr="008F0C87">
        <w:rPr>
          <w:bCs/>
          <w:sz w:val="24"/>
          <w:szCs w:val="24"/>
          <w:lang w:bidi="ru-RU"/>
        </w:rPr>
        <w:t xml:space="preserve"> в кодонах 609, 768, 790, 791, 804 и 891 относят к </w:t>
      </w:r>
      <w:r w:rsidRPr="008F0C87">
        <w:rPr>
          <w:bCs/>
          <w:sz w:val="24"/>
          <w:szCs w:val="24"/>
          <w:lang w:bidi="en-US"/>
        </w:rPr>
        <w:t>I</w:t>
      </w:r>
      <w:r w:rsidRPr="008F0C87">
        <w:rPr>
          <w:bCs/>
          <w:sz w:val="24"/>
          <w:szCs w:val="24"/>
          <w:lang w:bidi="ru-RU"/>
        </w:rPr>
        <w:t xml:space="preserve"> (наиболее мягкой) степени риска агрессивности медул</w:t>
      </w:r>
      <w:r w:rsidRPr="008F0C87">
        <w:rPr>
          <w:bCs/>
          <w:sz w:val="24"/>
          <w:szCs w:val="24"/>
          <w:lang w:bidi="ru-RU"/>
        </w:rPr>
        <w:softHyphen/>
        <w:t>лярного РЩЖ. Этим больным также показана тотальная тиреоид</w:t>
      </w:r>
      <w:r w:rsidRPr="008F0C87">
        <w:rPr>
          <w:bCs/>
          <w:sz w:val="24"/>
          <w:szCs w:val="24"/>
          <w:lang w:bidi="ru-RU"/>
        </w:rPr>
        <w:softHyphen/>
        <w:t>эктомия. В этой группе опухоли растут медленнее по сравнению с другими, проявления развиваются в более позднем возрасте. Воз</w:t>
      </w:r>
      <w:r w:rsidRPr="008F0C87">
        <w:rPr>
          <w:bCs/>
          <w:sz w:val="24"/>
          <w:szCs w:val="24"/>
          <w:lang w:bidi="ru-RU"/>
        </w:rPr>
        <w:softHyphen/>
        <w:t>можна превентивная тиреоидэктомия до 5-летнего возраста, дру</w:t>
      </w:r>
      <w:r w:rsidRPr="008F0C87">
        <w:rPr>
          <w:color w:val="000000"/>
          <w:sz w:val="24"/>
          <w:szCs w:val="24"/>
          <w:lang w:bidi="ru-RU"/>
        </w:rPr>
        <w:t xml:space="preserve"> </w:t>
      </w:r>
      <w:r w:rsidRPr="008F0C87">
        <w:rPr>
          <w:bCs/>
          <w:sz w:val="24"/>
          <w:szCs w:val="24"/>
          <w:lang w:bidi="ru-RU"/>
        </w:rPr>
        <w:t>гие авторы считают достаточным 10-летний порог оперативного лечения. В группе первой (невысокой) степени риска возможна тиреоидэктомия после виража уровня кальцитонина.</w:t>
      </w:r>
    </w:p>
    <w:p w:rsidR="008F0C87" w:rsidRPr="008F0C87" w:rsidRDefault="008F0C87" w:rsidP="008C3A52">
      <w:pPr>
        <w:widowControl/>
        <w:tabs>
          <w:tab w:val="left" w:pos="851"/>
        </w:tabs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/>
          <w:bCs/>
          <w:sz w:val="24"/>
          <w:szCs w:val="24"/>
          <w:lang w:bidi="ru-RU"/>
        </w:rPr>
        <w:t>Феохромоцитома</w:t>
      </w:r>
      <w:r w:rsidRPr="008F0C87">
        <w:rPr>
          <w:bCs/>
          <w:sz w:val="24"/>
          <w:szCs w:val="24"/>
          <w:lang w:bidi="ru-RU"/>
        </w:rPr>
        <w:t>. При сочетании медуллярного РЩЖ и фе</w:t>
      </w:r>
      <w:r w:rsidRPr="008F0C87">
        <w:rPr>
          <w:bCs/>
          <w:sz w:val="24"/>
          <w:szCs w:val="24"/>
          <w:lang w:bidi="ru-RU"/>
        </w:rPr>
        <w:softHyphen/>
        <w:t>охромоцитомы предпочтительнее начинать операцию с удаления последней. Объем операции — адреналэктомия при односто</w:t>
      </w:r>
      <w:r w:rsidRPr="008F0C87">
        <w:rPr>
          <w:bCs/>
          <w:sz w:val="24"/>
          <w:szCs w:val="24"/>
          <w:lang w:bidi="ru-RU"/>
        </w:rPr>
        <w:softHyphen/>
        <w:t>роннем и тотальная адреналэктомия при двустороннем пораже</w:t>
      </w:r>
      <w:r w:rsidRPr="008F0C87">
        <w:rPr>
          <w:bCs/>
          <w:sz w:val="24"/>
          <w:szCs w:val="24"/>
          <w:lang w:bidi="ru-RU"/>
        </w:rPr>
        <w:softHyphen/>
        <w:t xml:space="preserve">нии </w:t>
      </w:r>
      <w:r w:rsidRPr="008F0C87">
        <w:rPr>
          <w:bCs/>
          <w:sz w:val="24"/>
          <w:szCs w:val="24"/>
          <w:lang w:bidi="ru-RU"/>
        </w:rPr>
        <w:lastRenderedPageBreak/>
        <w:t>— наиболее целесообразен при семейной форме заболевания. Неизбежность оставления ткани мозгового слоя надпочечника при органосохраняющих операциях обусловлена конгруэнт</w:t>
      </w:r>
      <w:r w:rsidRPr="008F0C87">
        <w:rPr>
          <w:bCs/>
          <w:sz w:val="24"/>
          <w:szCs w:val="24"/>
          <w:lang w:bidi="ru-RU"/>
        </w:rPr>
        <w:softHyphen/>
        <w:t>ностью расположения мозгового и коркового вещества надпо</w:t>
      </w:r>
      <w:r w:rsidRPr="008F0C87">
        <w:rPr>
          <w:bCs/>
          <w:sz w:val="24"/>
          <w:szCs w:val="24"/>
          <w:lang w:bidi="ru-RU"/>
        </w:rPr>
        <w:softHyphen/>
        <w:t>чечников. Высокая фенотипическая пенетрантность тотального поражения мозгового слоя надпочечников у пациентов с синдро</w:t>
      </w:r>
      <w:r w:rsidRPr="008F0C87">
        <w:rPr>
          <w:bCs/>
          <w:sz w:val="24"/>
          <w:szCs w:val="24"/>
          <w:lang w:bidi="ru-RU"/>
        </w:rPr>
        <w:softHyphen/>
        <w:t>мами МЭН 2 — причина неизбежного рецидива феохромоцитомы в оставленной части надпочечника.</w:t>
      </w:r>
    </w:p>
    <w:p w:rsidR="008F0C87" w:rsidRPr="008F0C87" w:rsidRDefault="008F0C87" w:rsidP="008C3A52">
      <w:pPr>
        <w:widowControl/>
        <w:tabs>
          <w:tab w:val="left" w:pos="851"/>
        </w:tabs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Превентивное удаление обоих надпочечников при синдромах МЭН 2 не применяют.</w:t>
      </w:r>
    </w:p>
    <w:p w:rsidR="008F0C87" w:rsidRPr="008F0C87" w:rsidRDefault="008F0C87" w:rsidP="008C3A52">
      <w:pPr>
        <w:widowControl/>
        <w:tabs>
          <w:tab w:val="left" w:pos="851"/>
        </w:tabs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/>
          <w:bCs/>
          <w:sz w:val="24"/>
          <w:szCs w:val="24"/>
          <w:lang w:bidi="ru-RU"/>
        </w:rPr>
        <w:t>Гиперпаратиреоз</w:t>
      </w:r>
      <w:r w:rsidRPr="008F0C87">
        <w:rPr>
          <w:bCs/>
          <w:sz w:val="24"/>
          <w:szCs w:val="24"/>
          <w:lang w:bidi="ru-RU"/>
        </w:rPr>
        <w:t>. Увеличение всех 4 желез отмечают не всег</w:t>
      </w:r>
      <w:r w:rsidRPr="008F0C87">
        <w:rPr>
          <w:bCs/>
          <w:sz w:val="24"/>
          <w:szCs w:val="24"/>
          <w:lang w:bidi="ru-RU"/>
        </w:rPr>
        <w:softHyphen/>
        <w:t>да, однако обязательная процедура — их полноценная ревизия. В зависимости от степени поражения проводят резекцию увели</w:t>
      </w:r>
      <w:r w:rsidRPr="008F0C87">
        <w:rPr>
          <w:bCs/>
          <w:sz w:val="24"/>
          <w:szCs w:val="24"/>
          <w:lang w:bidi="ru-RU"/>
        </w:rPr>
        <w:softHyphen/>
        <w:t>ченных желез, субтотальную паратиреоидэктомию, тотальную паратиреоидэктомию с аутотрансплантацией, учитывая высокую вероятность рецидива гиперпаратиреоза. При выполнении опера</w:t>
      </w:r>
      <w:r w:rsidRPr="008F0C87">
        <w:rPr>
          <w:bCs/>
          <w:sz w:val="24"/>
          <w:szCs w:val="24"/>
          <w:lang w:bidi="ru-RU"/>
        </w:rPr>
        <w:softHyphen/>
        <w:t>ции на ЩЖ у пациентов с нормокальциемией можно столкнуться с увеличенными околощитовидными железами; их удаление воз</w:t>
      </w:r>
      <w:r w:rsidRPr="008F0C87">
        <w:rPr>
          <w:bCs/>
          <w:sz w:val="24"/>
          <w:szCs w:val="24"/>
          <w:lang w:bidi="ru-RU"/>
        </w:rPr>
        <w:softHyphen/>
        <w:t>можно при биохимических данных о гиперпаратиреозе.</w:t>
      </w:r>
    </w:p>
    <w:p w:rsidR="008F0C87" w:rsidRPr="008F0C87" w:rsidRDefault="008F0C87" w:rsidP="008C3A52">
      <w:pPr>
        <w:widowControl/>
        <w:tabs>
          <w:tab w:val="left" w:pos="851"/>
        </w:tabs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  <w:r w:rsidRPr="008F0C87">
        <w:rPr>
          <w:bCs/>
          <w:sz w:val="24"/>
          <w:szCs w:val="24"/>
          <w:lang w:bidi="ru-RU"/>
        </w:rPr>
        <w:t>Вопрос о превентивной паратиреоидэктомии при тиреоид</w:t>
      </w:r>
      <w:r w:rsidRPr="008F0C87">
        <w:rPr>
          <w:bCs/>
          <w:sz w:val="24"/>
          <w:szCs w:val="24"/>
          <w:lang w:bidi="ru-RU"/>
        </w:rPr>
        <w:softHyphen/>
        <w:t>эктомии решают отрицательно на основании незначительной распространенности и небольшой клинической агрессивности ги</w:t>
      </w:r>
      <w:r w:rsidRPr="008F0C87">
        <w:rPr>
          <w:bCs/>
          <w:sz w:val="24"/>
          <w:szCs w:val="24"/>
          <w:lang w:bidi="ru-RU"/>
        </w:rPr>
        <w:softHyphen/>
        <w:t>перпаратиреоза при МЭН 2.</w:t>
      </w:r>
    </w:p>
    <w:p w:rsidR="008F0C87" w:rsidRPr="008F0C87" w:rsidRDefault="008F0C87" w:rsidP="008C3A52">
      <w:pPr>
        <w:widowControl/>
        <w:tabs>
          <w:tab w:val="left" w:pos="851"/>
        </w:tabs>
        <w:autoSpaceDE/>
        <w:autoSpaceDN/>
        <w:adjustRightInd/>
        <w:ind w:firstLine="567"/>
        <w:jc w:val="both"/>
        <w:outlineLvl w:val="1"/>
        <w:rPr>
          <w:b/>
          <w:bCs/>
          <w:sz w:val="24"/>
          <w:szCs w:val="24"/>
          <w:lang w:bidi="ru-RU"/>
        </w:rPr>
      </w:pPr>
      <w:bookmarkStart w:id="29" w:name="bookmark3643"/>
      <w:r w:rsidRPr="008F0C87">
        <w:rPr>
          <w:b/>
          <w:bCs/>
          <w:sz w:val="24"/>
          <w:szCs w:val="24"/>
          <w:lang w:bidi="ru-RU"/>
        </w:rPr>
        <w:t>Дальнейшее ведение</w:t>
      </w:r>
      <w:bookmarkEnd w:id="29"/>
    </w:p>
    <w:p w:rsidR="008F0C87" w:rsidRPr="008F0C87" w:rsidRDefault="008F0C87" w:rsidP="008C3A52">
      <w:pPr>
        <w:widowControl/>
        <w:tabs>
          <w:tab w:val="left" w:pos="851"/>
        </w:tabs>
        <w:autoSpaceDE/>
        <w:autoSpaceDN/>
        <w:adjustRightInd/>
        <w:ind w:firstLine="567"/>
        <w:jc w:val="both"/>
        <w:outlineLvl w:val="1"/>
        <w:rPr>
          <w:sz w:val="24"/>
          <w:szCs w:val="24"/>
          <w:lang w:val="en-US"/>
        </w:rPr>
      </w:pPr>
      <w:r w:rsidRPr="007B1B53">
        <w:rPr>
          <w:sz w:val="24"/>
          <w:szCs w:val="24"/>
        </w:rPr>
        <w:t>Учитывая возможность рецидивирования опухолей, злока</w:t>
      </w:r>
      <w:r w:rsidRPr="007B1B53">
        <w:rPr>
          <w:sz w:val="24"/>
          <w:szCs w:val="24"/>
        </w:rPr>
        <w:softHyphen/>
        <w:t>чественного течения медуллярного РЩЖ и феохромоцитом, пациенты до конца жизни должны быть под динамическим наблю</w:t>
      </w:r>
      <w:r w:rsidRPr="007B1B53">
        <w:rPr>
          <w:sz w:val="24"/>
          <w:szCs w:val="24"/>
        </w:rPr>
        <w:softHyphen/>
        <w:t xml:space="preserve">дением. </w:t>
      </w:r>
      <w:r w:rsidRPr="008F0C87">
        <w:rPr>
          <w:sz w:val="24"/>
          <w:szCs w:val="24"/>
          <w:lang w:val="en-US"/>
        </w:rPr>
        <w:t>Необходимо ежегодно проводить исследования, включа</w:t>
      </w:r>
      <w:r w:rsidRPr="008F0C87">
        <w:rPr>
          <w:sz w:val="24"/>
          <w:szCs w:val="24"/>
          <w:lang w:val="en-US"/>
        </w:rPr>
        <w:softHyphen/>
        <w:t>ющие определение содержания:</w:t>
      </w:r>
    </w:p>
    <w:p w:rsidR="008F0C87" w:rsidRPr="007B1B53" w:rsidRDefault="008F0C87" w:rsidP="008C3A52">
      <w:pPr>
        <w:widowControl/>
        <w:numPr>
          <w:ilvl w:val="0"/>
          <w:numId w:val="28"/>
        </w:numPr>
        <w:tabs>
          <w:tab w:val="left" w:pos="851"/>
        </w:tabs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7B1B53">
        <w:rPr>
          <w:sz w:val="24"/>
          <w:szCs w:val="24"/>
        </w:rPr>
        <w:t>кальцитонина в сыворотке крови после стимуляции глюко</w:t>
      </w:r>
      <w:r w:rsidRPr="007B1B53">
        <w:rPr>
          <w:sz w:val="24"/>
          <w:szCs w:val="24"/>
        </w:rPr>
        <w:softHyphen/>
        <w:t>натом кальция;</w:t>
      </w:r>
    </w:p>
    <w:p w:rsidR="008F0C87" w:rsidRPr="008F0C87" w:rsidRDefault="008F0C87" w:rsidP="008C3A52">
      <w:pPr>
        <w:widowControl/>
        <w:numPr>
          <w:ilvl w:val="0"/>
          <w:numId w:val="28"/>
        </w:numPr>
        <w:tabs>
          <w:tab w:val="left" w:pos="851"/>
        </w:tabs>
        <w:autoSpaceDE/>
        <w:autoSpaceDN/>
        <w:adjustRightInd/>
        <w:ind w:firstLine="567"/>
        <w:jc w:val="both"/>
        <w:outlineLvl w:val="1"/>
        <w:rPr>
          <w:sz w:val="24"/>
          <w:szCs w:val="24"/>
          <w:lang w:val="en-US"/>
        </w:rPr>
      </w:pPr>
      <w:r w:rsidRPr="008F0C87">
        <w:rPr>
          <w:sz w:val="24"/>
          <w:szCs w:val="24"/>
          <w:lang w:val="en-US"/>
        </w:rPr>
        <w:t>метанефринов в суточной моче;</w:t>
      </w:r>
    </w:p>
    <w:p w:rsidR="008F0C87" w:rsidRPr="007B1B53" w:rsidRDefault="008F0C87" w:rsidP="008C3A52">
      <w:pPr>
        <w:widowControl/>
        <w:numPr>
          <w:ilvl w:val="0"/>
          <w:numId w:val="28"/>
        </w:numPr>
        <w:tabs>
          <w:tab w:val="left" w:pos="851"/>
        </w:tabs>
        <w:autoSpaceDE/>
        <w:autoSpaceDN/>
        <w:adjustRightInd/>
        <w:ind w:firstLine="567"/>
        <w:jc w:val="both"/>
        <w:outlineLvl w:val="1"/>
        <w:rPr>
          <w:sz w:val="24"/>
          <w:szCs w:val="24"/>
        </w:rPr>
      </w:pPr>
      <w:r w:rsidRPr="007B1B53">
        <w:rPr>
          <w:sz w:val="24"/>
          <w:szCs w:val="24"/>
        </w:rPr>
        <w:t>ионизированного кальция и ПТГ в сыворотке крови (для пациентов с синдромом МЭН 2а).</w:t>
      </w:r>
    </w:p>
    <w:p w:rsidR="008F0C87" w:rsidRPr="008F0C87" w:rsidRDefault="008F0C87" w:rsidP="008C3A52">
      <w:pPr>
        <w:widowControl/>
        <w:tabs>
          <w:tab w:val="left" w:pos="851"/>
        </w:tabs>
        <w:autoSpaceDE/>
        <w:autoSpaceDN/>
        <w:adjustRightInd/>
        <w:ind w:firstLine="567"/>
        <w:jc w:val="both"/>
        <w:outlineLvl w:val="1"/>
        <w:rPr>
          <w:bCs/>
          <w:sz w:val="24"/>
          <w:szCs w:val="24"/>
          <w:lang w:bidi="ru-RU"/>
        </w:rPr>
      </w:pPr>
    </w:p>
    <w:p w:rsidR="005D1C1F" w:rsidRPr="008F0C87" w:rsidRDefault="005D1C1F" w:rsidP="008F0C87">
      <w:pPr>
        <w:widowControl/>
        <w:autoSpaceDE/>
        <w:autoSpaceDN/>
        <w:adjustRightInd/>
        <w:rPr>
          <w:sz w:val="24"/>
          <w:szCs w:val="24"/>
        </w:rPr>
      </w:pPr>
      <w:r w:rsidRPr="008F0C87">
        <w:rPr>
          <w:b/>
          <w:bCs/>
          <w:sz w:val="24"/>
          <w:szCs w:val="24"/>
        </w:rPr>
        <w:t xml:space="preserve">Литература </w:t>
      </w:r>
    </w:p>
    <w:p w:rsidR="00E74942" w:rsidRPr="008F0C87" w:rsidRDefault="00DB3110" w:rsidP="008F0C87">
      <w:pPr>
        <w:pStyle w:val="af8"/>
        <w:numPr>
          <w:ilvl w:val="0"/>
          <w:numId w:val="14"/>
        </w:numPr>
        <w:rPr>
          <w:sz w:val="24"/>
          <w:szCs w:val="24"/>
        </w:rPr>
      </w:pPr>
      <w:r w:rsidRPr="008F0C87">
        <w:rPr>
          <w:sz w:val="24"/>
          <w:szCs w:val="24"/>
          <w:lang w:val="en-US"/>
        </w:rPr>
        <w:t xml:space="preserve">American Joint Committee on Cancer. In OH Beahrs, MH Myers (eds), Manual for Staging of Cancer. Philadelphia: Lippincott, 1983. </w:t>
      </w:r>
    </w:p>
    <w:p w:rsidR="00E74942" w:rsidRPr="008F0C87" w:rsidRDefault="00DB3110" w:rsidP="008F0C87">
      <w:pPr>
        <w:pStyle w:val="af8"/>
        <w:numPr>
          <w:ilvl w:val="0"/>
          <w:numId w:val="14"/>
        </w:numPr>
        <w:rPr>
          <w:sz w:val="24"/>
          <w:szCs w:val="24"/>
        </w:rPr>
      </w:pPr>
      <w:r w:rsidRPr="008F0C87">
        <w:rPr>
          <w:sz w:val="24"/>
          <w:szCs w:val="24"/>
          <w:lang w:val="en-US"/>
        </w:rPr>
        <w:t xml:space="preserve">Boring CC, et al. Cancer statistics, 1991. CA 41:19, 1991. </w:t>
      </w:r>
    </w:p>
    <w:p w:rsidR="00E74942" w:rsidRPr="008F0C87" w:rsidRDefault="00DB3110" w:rsidP="008F0C87">
      <w:pPr>
        <w:pStyle w:val="af8"/>
        <w:numPr>
          <w:ilvl w:val="0"/>
          <w:numId w:val="14"/>
        </w:numPr>
        <w:rPr>
          <w:sz w:val="24"/>
          <w:szCs w:val="24"/>
        </w:rPr>
      </w:pPr>
      <w:r w:rsidRPr="008F0C87">
        <w:rPr>
          <w:sz w:val="24"/>
          <w:szCs w:val="24"/>
          <w:lang w:val="en-US"/>
        </w:rPr>
        <w:t xml:space="preserve">Catalona WJ, Avioli LV. Diagnosis, staging, and surgical treatment of prostatic carcinoma. Arch Intern Med 147:361, 1987. </w:t>
      </w:r>
    </w:p>
    <w:p w:rsidR="00E74942" w:rsidRPr="008F0C87" w:rsidRDefault="00DB3110" w:rsidP="008F0C87">
      <w:pPr>
        <w:pStyle w:val="af8"/>
        <w:numPr>
          <w:ilvl w:val="0"/>
          <w:numId w:val="14"/>
        </w:numPr>
        <w:rPr>
          <w:sz w:val="24"/>
          <w:szCs w:val="24"/>
        </w:rPr>
      </w:pPr>
      <w:r w:rsidRPr="008F0C87">
        <w:rPr>
          <w:sz w:val="24"/>
          <w:szCs w:val="24"/>
          <w:lang w:val="en-US"/>
        </w:rPr>
        <w:t xml:space="preserve">Chadwick DJ, et al. Pilot study of screening for prostate cancer in general practice. Lancet 338:613, 1991. </w:t>
      </w:r>
    </w:p>
    <w:p w:rsidR="00E74942" w:rsidRPr="008F0C87" w:rsidRDefault="00DB3110" w:rsidP="008F0C87">
      <w:pPr>
        <w:pStyle w:val="af8"/>
        <w:numPr>
          <w:ilvl w:val="0"/>
          <w:numId w:val="14"/>
        </w:numPr>
        <w:rPr>
          <w:sz w:val="24"/>
          <w:szCs w:val="24"/>
        </w:rPr>
      </w:pPr>
      <w:r w:rsidRPr="008F0C87">
        <w:rPr>
          <w:sz w:val="24"/>
          <w:szCs w:val="24"/>
          <w:lang w:val="en-US"/>
        </w:rPr>
        <w:t xml:space="preserve">Cooner WH, et al. Clinical application of transrectal ultrasonography and prostate specific antigen in the search for prostate cancer. J Urol 139:758, 1988. </w:t>
      </w:r>
    </w:p>
    <w:p w:rsidR="00E74942" w:rsidRPr="008F0C87" w:rsidRDefault="00DB3110" w:rsidP="008F0C87">
      <w:pPr>
        <w:pStyle w:val="af8"/>
        <w:numPr>
          <w:ilvl w:val="0"/>
          <w:numId w:val="14"/>
        </w:numPr>
        <w:rPr>
          <w:sz w:val="24"/>
          <w:szCs w:val="24"/>
        </w:rPr>
      </w:pPr>
      <w:r w:rsidRPr="008F0C87">
        <w:rPr>
          <w:sz w:val="24"/>
          <w:szCs w:val="24"/>
          <w:lang w:val="en-US"/>
        </w:rPr>
        <w:t xml:space="preserve">Crawford ED. Hormonal therapy of prostatic carcinoma: Defining the challenge. Cancer 66:1035, 1990. </w:t>
      </w:r>
    </w:p>
    <w:p w:rsidR="00E74942" w:rsidRPr="008F0C87" w:rsidRDefault="00DB3110" w:rsidP="008F0C87">
      <w:pPr>
        <w:pStyle w:val="af8"/>
        <w:numPr>
          <w:ilvl w:val="0"/>
          <w:numId w:val="14"/>
        </w:numPr>
        <w:rPr>
          <w:sz w:val="24"/>
          <w:szCs w:val="24"/>
        </w:rPr>
      </w:pPr>
      <w:r w:rsidRPr="008F0C87">
        <w:rPr>
          <w:sz w:val="24"/>
          <w:szCs w:val="24"/>
        </w:rPr>
        <w:t>Дедов И.И., Мельниченко Г.А., Фадеев В.В. «Эндокринология». Учебник. –М.: «Медицина», 2000. Стр. 632.</w:t>
      </w:r>
    </w:p>
    <w:p w:rsidR="00E74942" w:rsidRPr="008F0C87" w:rsidRDefault="00DB3110" w:rsidP="008F0C87">
      <w:pPr>
        <w:pStyle w:val="af8"/>
        <w:numPr>
          <w:ilvl w:val="0"/>
          <w:numId w:val="14"/>
        </w:numPr>
        <w:rPr>
          <w:sz w:val="24"/>
          <w:szCs w:val="24"/>
        </w:rPr>
      </w:pPr>
      <w:r w:rsidRPr="008F0C87">
        <w:rPr>
          <w:sz w:val="24"/>
          <w:szCs w:val="24"/>
        </w:rPr>
        <w:t>Гарднер Д., Шобек Д. Базисная и клиническая эндокринология / под ред. Г. А. Мельниченко. — М.: 2015. — Стр. 169.</w:t>
      </w:r>
    </w:p>
    <w:p w:rsidR="006D0C8C" w:rsidRPr="007B1B53" w:rsidRDefault="00DB3110" w:rsidP="00D66EDC">
      <w:pPr>
        <w:pStyle w:val="af8"/>
        <w:widowControl/>
        <w:numPr>
          <w:ilvl w:val="0"/>
          <w:numId w:val="14"/>
        </w:numPr>
        <w:autoSpaceDE/>
        <w:autoSpaceDN/>
        <w:adjustRightInd/>
        <w:jc w:val="both"/>
        <w:rPr>
          <w:sz w:val="24"/>
          <w:szCs w:val="24"/>
        </w:rPr>
      </w:pPr>
      <w:r w:rsidRPr="007B1B53">
        <w:rPr>
          <w:sz w:val="24"/>
          <w:szCs w:val="24"/>
        </w:rPr>
        <w:t xml:space="preserve">Дедов И. И., Мельниченко Г. А. Эндокринология. Национальное руководство. Краткое издание. — 2-е изд., перераб. и доп. — М.: ГЭОТАР-Медиа, 2018. — Стр. 832. </w:t>
      </w:r>
      <w:bookmarkStart w:id="30" w:name="_GoBack"/>
      <w:bookmarkEnd w:id="30"/>
    </w:p>
    <w:sectPr w:rsidR="006D0C8C" w:rsidRPr="007B1B53" w:rsidSect="006D0C8C">
      <w:headerReference w:type="default" r:id="rId12"/>
      <w:headerReference w:type="first" r:id="rId13"/>
      <w:pgSz w:w="11906" w:h="16838" w:code="9"/>
      <w:pgMar w:top="2591" w:right="851" w:bottom="1559" w:left="1134" w:header="142" w:footer="115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078D" w:rsidRDefault="002E078D" w:rsidP="001E7D29">
      <w:r>
        <w:separator/>
      </w:r>
    </w:p>
  </w:endnote>
  <w:endnote w:type="continuationSeparator" w:id="0">
    <w:p w:rsidR="002E078D" w:rsidRDefault="002E078D" w:rsidP="001E7D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2FF" w:usb1="0000FCFF" w:usb2="00000001" w:usb3="00000000" w:csb0="0000019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078D" w:rsidRDefault="002E078D" w:rsidP="001E7D29">
      <w:r>
        <w:separator/>
      </w:r>
    </w:p>
  </w:footnote>
  <w:footnote w:type="continuationSeparator" w:id="0">
    <w:p w:rsidR="002E078D" w:rsidRDefault="002E078D" w:rsidP="001E7D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4F42" w:rsidRDefault="00FE777E" w:rsidP="005F25B0">
    <w:pPr>
      <w:pStyle w:val="afff1"/>
    </w:pPr>
    <w:r w:rsidRPr="00FE777E">
      <w:rPr>
        <w:noProof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74BFE3E3" wp14:editId="0096759A">
              <wp:simplePos x="0" y="0"/>
              <wp:positionH relativeFrom="column">
                <wp:posOffset>-554355</wp:posOffset>
              </wp:positionH>
              <wp:positionV relativeFrom="paragraph">
                <wp:posOffset>563880</wp:posOffset>
              </wp:positionV>
              <wp:extent cx="2833370" cy="722630"/>
              <wp:effectExtent l="19050" t="19050" r="24130" b="20320"/>
              <wp:wrapTight wrapText="bothSides">
                <wp:wrapPolygon edited="0">
                  <wp:start x="-145" y="-569"/>
                  <wp:lineTo x="-145" y="21638"/>
                  <wp:lineTo x="21639" y="21638"/>
                  <wp:lineTo x="21639" y="-569"/>
                  <wp:lineTo x="-145" y="-569"/>
                </wp:wrapPolygon>
              </wp:wrapTight>
              <wp:docPr id="2" name="Фигура 61">
                <a:extLst xmlns:a="http://schemas.openxmlformats.org/drawingml/2006/main">
                  <a:ext uri="{C183D7F6-B498-43B3-948B-1728B52AA6E4}">
                    <adec:decorative xmlns:adec="http://schemas.microsoft.com/office/drawing/2017/decorative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xmlns:w16se="http://schemas.microsoft.com/office/word/2015/wordml/symex" xmlns:cx="http://schemas.microsoft.com/office/drawing/2014/chartex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833370" cy="722630"/>
                      </a:xfrm>
                      <a:prstGeom prst="rect">
                        <a:avLst/>
                      </a:prstGeom>
                      <a:ln w="38100">
                        <a:solidFill>
                          <a:schemeClr val="bg1"/>
                        </a:solidFill>
                        <a:miter lim="400000"/>
                      </a:ln>
                      <a:extLst>
                        <a:ext uri="{C572A759-6A51-4108-AA02-DFA0A04FC94B}">
                          <ma14:wrappingTextBoxFlag xmlns="" xmlns:w="http://schemas.openxmlformats.org/wordprocessingml/2006/main" xmlns:o="urn:schemas-microsoft-com:office:office" xmlns:v="urn:schemas-microsoft-com:vml" xmlns:w10="urn:schemas-microsoft-com:office:word" xmlns:ma14="http://schemas.microsoft.com/office/mac/drawingml/2011/main" xmlns:lc="http://schemas.openxmlformats.org/drawingml/2006/lockedCanvas" xmlns:p="http://schemas.openxmlformats.org/presentation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 val="1"/>
                        </a:ext>
                      </a:extLst>
                    </wps:spPr>
                    <wps:txbx>
                      <w:txbxContent>
                        <w:p w:rsidR="00FE777E" w:rsidRPr="00FA3FA4" w:rsidRDefault="006F36A7" w:rsidP="00FA3FA4">
                          <w:pPr>
                            <w:pStyle w:val="afffff4"/>
                            <w:shd w:val="clear" w:color="auto" w:fill="44546A"/>
                            <w:jc w:val="center"/>
                            <w:rPr>
                              <w:color w:val="FFFFFF"/>
                              <w:sz w:val="21"/>
                              <w:lang w:val="en-US"/>
                            </w:rPr>
                          </w:pPr>
                          <w:r w:rsidRPr="00FA3FA4">
                            <w:rPr>
                              <w:b/>
                              <w:color w:val="FFFFFF"/>
                              <w:sz w:val="26"/>
                              <w:szCs w:val="26"/>
                            </w:rPr>
                            <w:t>АНДИЖАНСКИЙ ГОСУДАРСТВЕННЫЙ МЕДИЦИНСКИЙ ИНСТИТУТ</w:t>
                          </w:r>
                        </w:p>
                      </w:txbxContent>
                    </wps:txbx>
                    <wps:bodyPr wrap="square" lIns="19050" tIns="19050" rIns="19050" bIns="19050" anchor="ctr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BFE3E3" id="Фигура 61" o:spid="_x0000_s1026" style="position:absolute;margin-left:-43.65pt;margin-top:44.4pt;width:223.1pt;height:56.9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ghqQwIAADUEAAAOAAAAZHJzL2Uyb0RvYy54bWysU02u0zAQ3iNxB8v7NL9t06rpU9pShITg&#10;SQ8O4DpOa8mxg+02rRASEhdhwQGQ2LDmBH03Yuz2lQJvhcjC8djjmfm+b2Zys28E2jFtuJIFjnsR&#10;RkxSVXG5LvDbN8sgx8hYIisilGQFPjCDb6ZPn0y6dswStVGiYhpBEGnGXVvgjbXtOAwN3bCGmJ5q&#10;mYTLWumGWDD1Oqw06SB6I8IkigZhp3TVakWZMXC6OF3iqY9f14za13VtmEWiwFCb9av268qt4XRC&#10;xmtN2g2n5zLIP1TREC4h6SXUgliCtpr/FarhVCujatujqglVXXPKPAZAE0d/oLnbkJZ5LECOaS80&#10;mf8Xlr7a3WrEqwInGEnSgETHL8fvx2/3n+4/Hr/++DyIPS62ty+NdQhhd0L2fh7n6WK4HASzbJQH&#10;WTpLg1GWz4J4mOSzflKWg2fZB8dw6F/592HXmrFP6iTy27v2VoOTswxsXY59rRv3B37Q3ot1uIjl&#10;8lM4TPI0TYegKYW7YZIMUq8m5Hp43WpjnzPVILcpsIZm8FjIDko5lfXg4pIJiboCp3kcRd7NKMGr&#10;JRfCXfqGZHOh0Y5AK63W8RnYb14Nt9DNgjcFziL3nZ2EdDEe5bA/TMphfxQMyn4cZHGUB2UZJcFi&#10;WUZllC3no2z2KIcnqhxpdr/an/lbqeoAcnbQzwU277ZEM4zECwkNE4+ivhuAa0NfG6trg0i6UTAm&#10;1GrPhVTl1qqae9pc0lMmkNYZ0Jte5PMcuea/tr3Xr2mf/gQAAP//AwBQSwMEFAAGAAgAAAAhAD/G&#10;7TPhAAAACgEAAA8AAABkcnMvZG93bnJldi54bWxMj8tOwzAQRfdI/IM1SOxah6QtIcSpeKgSXbBo&#10;4QPceEjS2uModtrw9wwrWI7m6N5zy/XkrDjjEDpPCu7mCQik2puOGgWfH5tZDiJETUZbT6jgGwOs&#10;q+urUhfGX2iH531sBIdQKLSCNsa+kDLULTod5r5H4t+XH5yOfA6NNIO+cLizMk2SlXS6I25odY8v&#10;Ldan/egUNG+v77u4fD7W1pyOmdsuus24UOr2Znp6BBFxin8w/OqzOlTsdPAjmSCsgll+nzGqIM95&#10;AgPZMn8AcVCQJukKZFXK/xOqHwAAAP//AwBQSwECLQAUAAYACAAAACEAtoM4kv4AAADhAQAAEwAA&#10;AAAAAAAAAAAAAAAAAAAAW0NvbnRlbnRfVHlwZXNdLnhtbFBLAQItABQABgAIAAAAIQA4/SH/1gAA&#10;AJQBAAALAAAAAAAAAAAAAAAAAC8BAABfcmVscy8ucmVsc1BLAQItABQABgAIAAAAIQCA7ghqQwIA&#10;ADUEAAAOAAAAAAAAAAAAAAAAAC4CAABkcnMvZTJvRG9jLnhtbFBLAQItABQABgAIAAAAIQA/xu0z&#10;4QAAAAoBAAAPAAAAAAAAAAAAAAAAAJ0EAABkcnMvZG93bnJldi54bWxQSwUGAAAAAAQABADzAAAA&#10;qwUAAAAA&#10;" filled="f" strokecolor="white [3212]" strokeweight="3pt">
              <v:stroke miterlimit="4"/>
              <v:textbox inset="1.5pt,1.5pt,1.5pt,1.5pt">
                <w:txbxContent>
                  <w:p w:rsidR="00FE777E" w:rsidRPr="00FA3FA4" w:rsidRDefault="006F36A7" w:rsidP="00FA3FA4">
                    <w:pPr>
                      <w:pStyle w:val="afffff4"/>
                      <w:shd w:val="clear" w:color="auto" w:fill="44546A"/>
                      <w:jc w:val="center"/>
                      <w:rPr>
                        <w:color w:val="FFFFFF"/>
                        <w:sz w:val="21"/>
                        <w:lang w:val="en-US"/>
                      </w:rPr>
                    </w:pPr>
                    <w:r w:rsidRPr="00FA3FA4">
                      <w:rPr>
                        <w:b/>
                        <w:color w:val="FFFFFF"/>
                        <w:sz w:val="26"/>
                        <w:szCs w:val="26"/>
                      </w:rPr>
                      <w:t>АНДИЖАНСКИЙ ГОСУДАРСТВЕННЫЙ МЕДИЦИНСКИЙ ИНСТИТУТ</w:t>
                    </w:r>
                  </w:p>
                </w:txbxContent>
              </v:textbox>
              <w10:wrap type="tight"/>
            </v:rect>
          </w:pict>
        </mc:Fallback>
      </mc:AlternateContent>
    </w:r>
    <w:r w:rsidRPr="00FE777E">
      <w:rPr>
        <w:noProof/>
      </w:rPr>
      <w:drawing>
        <wp:anchor distT="0" distB="0" distL="114300" distR="114300" simplePos="0" relativeHeight="251666432" behindDoc="1" locked="0" layoutInCell="1" allowOverlap="1" wp14:anchorId="272A4B6C" wp14:editId="1C9C23BD">
          <wp:simplePos x="0" y="0"/>
          <wp:positionH relativeFrom="margin">
            <wp:posOffset>4912721</wp:posOffset>
          </wp:positionH>
          <wp:positionV relativeFrom="paragraph">
            <wp:posOffset>82018</wp:posOffset>
          </wp:positionV>
          <wp:extent cx="1266825" cy="1243330"/>
          <wp:effectExtent l="0" t="0" r="9525" b="0"/>
          <wp:wrapTight wrapText="bothSides">
            <wp:wrapPolygon edited="0">
              <wp:start x="8445" y="0"/>
              <wp:lineTo x="6821" y="331"/>
              <wp:lineTo x="1624" y="4302"/>
              <wp:lineTo x="0" y="9598"/>
              <wp:lineTo x="1624" y="15886"/>
              <wp:lineTo x="1624" y="17540"/>
              <wp:lineTo x="5847" y="21181"/>
              <wp:lineTo x="7795" y="21181"/>
              <wp:lineTo x="14292" y="21181"/>
              <wp:lineTo x="16241" y="21181"/>
              <wp:lineTo x="20788" y="17540"/>
              <wp:lineTo x="21438" y="9928"/>
              <wp:lineTo x="20463" y="4633"/>
              <wp:lineTo x="15591" y="662"/>
              <wp:lineTo x="13642" y="0"/>
              <wp:lineTo x="8445" y="0"/>
            </wp:wrapPolygon>
          </wp:wrapTight>
          <wp:docPr id="36" name="Рисунок 36" descr="C:\Users\User\Desktop\Без-имени-1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Без-имени-1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1243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E4F42" w:rsidRPr="00084752"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3E98740C" wp14:editId="79A8CA45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556500" cy="10865485"/>
              <wp:effectExtent l="0" t="0" r="2540" b="14605"/>
              <wp:wrapNone/>
              <wp:docPr id="29" name="Группа 29">
                <a:extLst xmlns:a="http://schemas.openxmlformats.org/drawingml/2006/main">
                  <a:ext uri="{C183D7F6-B498-43B3-948B-1728B52AA6E4}">
                    <adec:decorative xmlns:adec="http://schemas.microsoft.com/office/drawing/2017/decorative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xmlns:w16se="http://schemas.microsoft.com/office/word/2015/wordml/symex" xmlns:cx="http://schemas.microsoft.com/office/drawing/2014/chartex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6500" cy="10865485"/>
                        <a:chOff x="0" y="0"/>
                        <a:chExt cx="7556858" cy="10865783"/>
                      </a:xfrm>
                    </wpg:grpSpPr>
                    <wps:wsp>
                      <wps:cNvPr id="8" name="Полилиния: Фигура 8"/>
                      <wps:cNvSpPr/>
                      <wps:spPr>
                        <a:xfrm>
                          <a:off x="4120179" y="0"/>
                          <a:ext cx="3436679" cy="896497"/>
                        </a:xfrm>
                        <a:custGeom>
                          <a:avLst/>
                          <a:gdLst>
                            <a:gd name="connsiteX0" fmla="*/ 3429208 w 3436678"/>
                            <a:gd name="connsiteY0" fmla="*/ 12451 h 896496"/>
                            <a:gd name="connsiteX1" fmla="*/ 3429208 w 3436678"/>
                            <a:gd name="connsiteY1" fmla="*/ 889026 h 896496"/>
                            <a:gd name="connsiteX2" fmla="*/ 497239 w 3436678"/>
                            <a:gd name="connsiteY2" fmla="*/ 889026 h 896496"/>
                            <a:gd name="connsiteX3" fmla="*/ 12452 w 3436678"/>
                            <a:gd name="connsiteY3" fmla="*/ 12451 h 89649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3436678" h="896496">
                              <a:moveTo>
                                <a:pt x="3429208" y="12451"/>
                              </a:moveTo>
                              <a:lnTo>
                                <a:pt x="3429208" y="889026"/>
                              </a:lnTo>
                              <a:lnTo>
                                <a:pt x="497239" y="889026"/>
                              </a:lnTo>
                              <a:lnTo>
                                <a:pt x="12452" y="12451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Полилиния: Фигура 9"/>
                      <wps:cNvSpPr/>
                      <wps:spPr>
                        <a:xfrm>
                          <a:off x="0" y="656216"/>
                          <a:ext cx="3519690" cy="896497"/>
                        </a:xfrm>
                        <a:custGeom>
                          <a:avLst/>
                          <a:gdLst>
                            <a:gd name="connsiteX0" fmla="*/ 12452 w 3519690"/>
                            <a:gd name="connsiteY0" fmla="*/ 890686 h 896496"/>
                            <a:gd name="connsiteX1" fmla="*/ 12452 w 3519690"/>
                            <a:gd name="connsiteY1" fmla="*/ 12451 h 896496"/>
                            <a:gd name="connsiteX2" fmla="*/ 3030752 w 3519690"/>
                            <a:gd name="connsiteY2" fmla="*/ 12451 h 896496"/>
                            <a:gd name="connsiteX3" fmla="*/ 3515540 w 3519690"/>
                            <a:gd name="connsiteY3" fmla="*/ 890686 h 89649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3519690" h="896496">
                              <a:moveTo>
                                <a:pt x="12452" y="890686"/>
                              </a:moveTo>
                              <a:lnTo>
                                <a:pt x="12452" y="12451"/>
                              </a:lnTo>
                              <a:lnTo>
                                <a:pt x="3030752" y="12451"/>
                              </a:lnTo>
                              <a:lnTo>
                                <a:pt x="3515540" y="890686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Полилиния: Фигура 12"/>
                      <wps:cNvSpPr/>
                      <wps:spPr>
                        <a:xfrm>
                          <a:off x="3399416" y="9886277"/>
                          <a:ext cx="912495" cy="979170"/>
                        </a:xfrm>
                        <a:custGeom>
                          <a:avLst/>
                          <a:gdLst>
                            <a:gd name="connsiteX0" fmla="*/ 12452 w 913127"/>
                            <a:gd name="connsiteY0" fmla="*/ 981997 h 979505"/>
                            <a:gd name="connsiteX1" fmla="*/ 575270 w 913127"/>
                            <a:gd name="connsiteY1" fmla="*/ 12451 h 979505"/>
                            <a:gd name="connsiteX2" fmla="*/ 905656 w 913127"/>
                            <a:gd name="connsiteY2" fmla="*/ 12451 h 979505"/>
                            <a:gd name="connsiteX3" fmla="*/ 342838 w 913127"/>
                            <a:gd name="connsiteY3" fmla="*/ 981997 h 97950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913127" h="979505">
                              <a:moveTo>
                                <a:pt x="12452" y="981997"/>
                              </a:moveTo>
                              <a:lnTo>
                                <a:pt x="575270" y="12451"/>
                              </a:lnTo>
                              <a:lnTo>
                                <a:pt x="905656" y="12451"/>
                              </a:lnTo>
                              <a:lnTo>
                                <a:pt x="342838" y="981997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Полилиния: Фигура 13"/>
                      <wps:cNvSpPr/>
                      <wps:spPr>
                        <a:xfrm>
                          <a:off x="2829261" y="9886277"/>
                          <a:ext cx="913127" cy="979506"/>
                        </a:xfrm>
                        <a:custGeom>
                          <a:avLst/>
                          <a:gdLst>
                            <a:gd name="connsiteX0" fmla="*/ 12452 w 913127"/>
                            <a:gd name="connsiteY0" fmla="*/ 981997 h 979505"/>
                            <a:gd name="connsiteX1" fmla="*/ 570289 w 913127"/>
                            <a:gd name="connsiteY1" fmla="*/ 12451 h 979505"/>
                            <a:gd name="connsiteX2" fmla="*/ 900675 w 913127"/>
                            <a:gd name="connsiteY2" fmla="*/ 12451 h 979505"/>
                            <a:gd name="connsiteX3" fmla="*/ 342838 w 913127"/>
                            <a:gd name="connsiteY3" fmla="*/ 981997 h 97950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913127" h="979505">
                              <a:moveTo>
                                <a:pt x="12452" y="981997"/>
                              </a:moveTo>
                              <a:lnTo>
                                <a:pt x="570289" y="12451"/>
                              </a:lnTo>
                              <a:lnTo>
                                <a:pt x="900675" y="12451"/>
                              </a:lnTo>
                              <a:lnTo>
                                <a:pt x="342838" y="981997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Полилиния: фигура 14"/>
                      <wps:cNvSpPr/>
                      <wps:spPr>
                        <a:xfrm>
                          <a:off x="4034118" y="9886277"/>
                          <a:ext cx="3519690" cy="896497"/>
                        </a:xfrm>
                        <a:custGeom>
                          <a:avLst/>
                          <a:gdLst>
                            <a:gd name="connsiteX0" fmla="*/ 3515540 w 3519690"/>
                            <a:gd name="connsiteY0" fmla="*/ 889026 h 896496"/>
                            <a:gd name="connsiteX1" fmla="*/ 3515540 w 3519690"/>
                            <a:gd name="connsiteY1" fmla="*/ 12451 h 896496"/>
                            <a:gd name="connsiteX2" fmla="*/ 497239 w 3519690"/>
                            <a:gd name="connsiteY2" fmla="*/ 12451 h 896496"/>
                            <a:gd name="connsiteX3" fmla="*/ 12452 w 3519690"/>
                            <a:gd name="connsiteY3" fmla="*/ 889026 h 89649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3519690" h="896496">
                              <a:moveTo>
                                <a:pt x="3515540" y="889026"/>
                              </a:moveTo>
                              <a:lnTo>
                                <a:pt x="3515540" y="12451"/>
                              </a:lnTo>
                              <a:lnTo>
                                <a:pt x="497239" y="12451"/>
                              </a:lnTo>
                              <a:lnTo>
                                <a:pt x="12452" y="889026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txbx>
                        <w:txbxContent>
                          <w:p w:rsidR="002273DF" w:rsidRDefault="002273DF" w:rsidP="002273DF">
                            <w:pPr>
                              <w:jc w:val="center"/>
                            </w:pPr>
                            <w:r w:rsidRPr="002273DF">
                              <w:t>Лектор: Айсачева Мафтунабону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Полилиния: Фигура 8"/>
                      <wps:cNvSpPr/>
                      <wps:spPr>
                        <a:xfrm>
                          <a:off x="2872292" y="0"/>
                          <a:ext cx="1217295" cy="1542415"/>
                        </a:xfrm>
                        <a:custGeom>
                          <a:avLst/>
                          <a:gdLst>
                            <a:gd name="connsiteX0" fmla="*/ 0 w 1217675"/>
                            <a:gd name="connsiteY0" fmla="*/ 0 h 1542668"/>
                            <a:gd name="connsiteX1" fmla="*/ 330287 w 1217675"/>
                            <a:gd name="connsiteY1" fmla="*/ 0 h 1542668"/>
                            <a:gd name="connsiteX2" fmla="*/ 1217675 w 1217675"/>
                            <a:gd name="connsiteY2" fmla="*/ 1542668 h 1542668"/>
                            <a:gd name="connsiteX3" fmla="*/ 888533 w 1217675"/>
                            <a:gd name="connsiteY3" fmla="*/ 1542668 h 1542668"/>
                            <a:gd name="connsiteX4" fmla="*/ 0 w 1217675"/>
                            <a:gd name="connsiteY4" fmla="*/ 0 h 154266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217675" h="1542668">
                              <a:moveTo>
                                <a:pt x="0" y="0"/>
                              </a:moveTo>
                              <a:lnTo>
                                <a:pt x="330287" y="0"/>
                              </a:lnTo>
                              <a:lnTo>
                                <a:pt x="1217675" y="1542668"/>
                              </a:lnTo>
                              <a:lnTo>
                                <a:pt x="888533" y="15426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Полилиния: Фигура 7"/>
                      <wps:cNvSpPr/>
                      <wps:spPr>
                        <a:xfrm>
                          <a:off x="3474720" y="0"/>
                          <a:ext cx="1225138" cy="1542664"/>
                        </a:xfrm>
                        <a:custGeom>
                          <a:avLst/>
                          <a:gdLst>
                            <a:gd name="connsiteX0" fmla="*/ 0 w 1225138"/>
                            <a:gd name="connsiteY0" fmla="*/ 0 h 1542664"/>
                            <a:gd name="connsiteX1" fmla="*/ 330265 w 1225138"/>
                            <a:gd name="connsiteY1" fmla="*/ 0 h 1542664"/>
                            <a:gd name="connsiteX2" fmla="*/ 1225138 w 1225138"/>
                            <a:gd name="connsiteY2" fmla="*/ 1542664 h 1542664"/>
                            <a:gd name="connsiteX3" fmla="*/ 895208 w 1225138"/>
                            <a:gd name="connsiteY3" fmla="*/ 1542664 h 1542664"/>
                            <a:gd name="connsiteX4" fmla="*/ 0 w 1225138"/>
                            <a:gd name="connsiteY4" fmla="*/ 0 h 154266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225138" h="1542664">
                              <a:moveTo>
                                <a:pt x="0" y="0"/>
                              </a:moveTo>
                              <a:lnTo>
                                <a:pt x="330265" y="0"/>
                              </a:lnTo>
                              <a:lnTo>
                                <a:pt x="1225138" y="1542664"/>
                              </a:lnTo>
                              <a:lnTo>
                                <a:pt x="895208" y="154266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100000</wp14:pctWidth>
              </wp14:sizeRelH>
              <wp14:sizeRelV relativeFrom="page">
                <wp14:pctHeight>101600</wp14:pctHeight>
              </wp14:sizeRelV>
            </wp:anchor>
          </w:drawing>
        </mc:Choice>
        <mc:Fallback>
          <w:pict>
            <v:group w14:anchorId="3E98740C" id="Группа 29" o:spid="_x0000_s1027" style="position:absolute;margin-left:0;margin-top:0;width:595pt;height:855.55pt;z-index:-251657216;mso-width-percent:1000;mso-height-percent:1016;mso-position-horizontal:center;mso-position-horizontal-relative:page;mso-position-vertical:center;mso-position-vertical-relative:page;mso-width-percent:1000;mso-height-percent:1016" coordsize="75568,1086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DV/PQgAACo1AAAOAAAAZHJzL2Uyb0RvYy54bWzsW9uK3EYQfQ/kH4QeA+vR/TJ416zt2ASM&#10;Y7BD7EetRnMBjaRI2p1xQsDgvOchH5A85AMCeQmEJOAv2P2jnK7unmnNTVp7fIkzLDuSRl1d1VXV&#10;dbqqe27emk9T7SIpq0meHevmDUPXkizOB5NsdKx/9eTeUaBrVR1lgyjNs+RYf55U+q2TTz+5OSv6&#10;iZWP83SQlBo6yar+rDjWx3Vd9Hu9Kh4n06i6kRdJhpfDvJxGNR7LUW9QRjP0Pk17lmF4vVleDooy&#10;j5Oqwrd3+Uv9hPofDpO4/nI4rJJaS491yFbTZ0mfZ+yzd3Iz6o/KqBhPYiFG9BpSTKNJBqaLru5G&#10;daSdl5O1rqaTuMyrfFjfiPNpLx8OJ3FCY8BoTGNlNPfL/LygsYz6s1GxUBNUu6Kn1+42fnjxqNQm&#10;g2PdCnUti6aw0eVPVy+uXl7+g7/fNHzNxpXM6wdVLe74yL67Ywb2Xf+ed3TbCYMjx75tH4VOcPvI&#10;9K3gtmudnnqfO98zDfeW9L1ZMeoTU2Yiur1fFo+LRyXasS9G/Ilxmg/LKbtCS9qcTPZ8YTLIo8X4&#10;0nddzzVg2RjvTCPwXCdwuVXjMUy/RhiPP1dIAxf+uSD1A1uIy1mTsAuBZgVctFpaoXozKzweR0VC&#10;xq24QsgKEEcY4efLvy//vPyD/v+6/OPqx752+Suef796efUChgmYqEwmaHOhv6pfQZUblOeY8C8f&#10;Jl5Xoe3YnsdeMT0EoeeEfkMLUT8+r+r7SU7GiC7gB3zWDIRHjAZC5jjPsmpSJ09hj+E0xUT6rKfZ&#10;jhVaRqDNcMcYkdyYKKtEz1Qi03JcUxtrJI7H7blG8dR8HTYqURCEhuW18rEUPtCOZYfto1FpOrKx&#10;FTZMAVY7l1WSps4w70bSSNFY2i2eZ8JwuNMiFqgNmuNFXrHpoloRHiEfYR8+lUHFHKyFGGpWic1r&#10;EUN5KrF1LWLoRCWWU5rEhkZwFcMvgQ4MF1LChVrXgAulrgEXzrjHFVHNtMZGy2612bEufVgbi7ni&#10;keqm+UXyJKeGNdOhcHqShHxZjGDZLs22tefeIghkM3ktqHvuhNR7h9bkS2uiyB7jNK8Sblk2SIrW&#10;i4EzfSmTv8rTyeDeJE3ZSAmjkztpqV1E0GI9l2ZqtEozprbQtVwEmAgIP0yjmnSW5awnCiVFWdV3&#10;o2rMeyJ6boEpoknJhUvhdQjIMsKxu7N88BzoVeYc1qsivjdBTw+iqn4UlQg/CClYm9Rf4mOY5pAD&#10;ZqI7XRvn5bebvmftEdjxVtdmWBcc69U351GZ6Fr6RYaQH5qOg25renBc38JDqb45U99k59M7OZSD&#10;2QDp6Ja1r1N5Oyzz6ddYwpwyrngVZTF4Y9bV8ET+cKfGM15hERQnp6d0j8UDbPQge1zErHNyPIz8&#10;yfzrqCw0pk4YBBj5MJcwE/Vl5IZNWQPellFm+el5nQ8nLKyThrlexQMgj+PMW8e+5QKkDftC5h2d&#10;sQ+6Q0DwXM8yBZTI1YPtmqEX4v3bgb5FEBdsyNfXYKwBfAAkL2hHJBXEOnJZJWlCxQZAfqpCmG3Y&#10;hs8RafdgVCKKfK3oqmIYDOK6jsGAbzcblWiDzg7IVyfP9ox8cq7sRr4l2HCzCBzbBnzL5uQsorXE&#10;JnnlqCd8cCuSrbTmrsRBkmbVSucH4GsA4gH45ILinQOfiaDZLet79QvaXgf7bDsMHcAeQ8AwCDzL&#10;p+SOEnJKoEPMu5CtzVgDPzR9ucyX2be6/pNLCCWvWIOzRvJH0xvRPDRt0xKc1ygaABgGZhj6AA0I&#10;4xoilV8jaaR+LoDJZ5ixm8smANzNRMWy0EChwWtlopJQRGsdiYpkSBsCm6XKu0eikmzQ1wH89g5+&#10;wh4s6xMuwxbOS1DjAEXeLqYa8+IW7ON+2xHOuP91bMz9aF0SiZD7gr4ojpOsPuR9LCM85H3tBW2Z&#10;jIrUTVSeTcSzbvCnoel10M8KUHv0EPi3ox/hkkQ/16AEEQH0v4R+hhWwguRuzHhT9DM8321lckC/&#10;RunxYyl6viX0Y37bEdBCbPX5WKViHtOqaiWVk7gm8kRaRR3Q71D1xBpNpiwfbNXTdHah39UPyy0/&#10;JH/OteDPMWzHNLGluA3+ZJHtLdU/O1fzWHVb7hd23CxT8awzH5VIZme7txhVRFtu/e2uTao03bio&#10;CR0lEUBaaZstRWOVZIPKDjng3nNAaZC2rT+17kj7yy1poPDejuCmbP21IyH5EnW8cZtwX2nge9j6&#10;q+dnczowQWusw2bgR7cZiGph16TweidhrMC3kBXSrBDnv+R2oGnh6JIshpquYzkmFSD3lQ+yGiXj&#10;wZayW8K6ioQGaodMCs/bdmamUQa1bSyo/XYWKgh2YNFEMxK+nUeDiA+hfTBNSAtc225npNIIXbUz&#10;woprsdzoYJNm84ZNDjC7CrOtB4OgTSxHF6eKaEULNe7neI6cXQyj5dTZVKnFNIMQcqtjWcddSSRp&#10;RjWaygbyKgu/fFJTfrqcsRiWbCevvH0QMO+mjqWUiAdbmzellV3tC70/8CLu4TAOO+T0zvckrc4n&#10;UV/9QhsdnY/j2I7v0LEpOQOXm5GmZbmmLY/k0kSS8WEvBVke7DmPawEwSbHpjIwKpgyAPVYklcPY&#10;wkKlWQLwVhYNLOUKaufRIOKKXODiVk4qmAY4skendlsGo9LwWOa0M2oiaqvCms0lAEvPOBxxbRz0&#10;ed8ALGbwAoCdjQdkm5C2C4A9XvaVWC3RT14lAAu2iCnCC3eWiLl3KwAsnUl2K6+8+6a08t0BgP+n&#10;p2HpdyH4QQ4t2cSPh9gvftRnAuzlT5xO/gUAAP//AwBQSwMEFAAGAAgAAAAhALvrlofcAAAABwEA&#10;AA8AAABkcnMvZG93bnJldi54bWxMj81OwzAQhO9IvIO1SNyoYyT+0jhVhdobEmqKqLi58TaOiNch&#10;dtrw9my5wGW1o1nNflMsJt+JIw6xDaRBzTIQSHWwLTUa3rbrm0cQMRmypguEGr4xwqK8vChMbsOJ&#10;NnisUiM4hGJuNLiU+lzKWDv0Js5Cj8TeIQzeJJZDI+1gThzuO3mbZffSm5b4gzM9PjusP6vRa1i+&#10;V+Nq/LL0sVrXr9u7za56cTutr6+m5RxEwin9HcMZn9GhZKZ9GMlG0WngIul3nj31lLHe8/aglAJZ&#10;FvI/f/kDAAD//wMAUEsBAi0AFAAGAAgAAAAhALaDOJL+AAAA4QEAABMAAAAAAAAAAAAAAAAAAAAA&#10;AFtDb250ZW50X1R5cGVzXS54bWxQSwECLQAUAAYACAAAACEAOP0h/9YAAACUAQAACwAAAAAAAAAA&#10;AAAAAAAvAQAAX3JlbHMvLnJlbHNQSwECLQAUAAYACAAAACEA5vA1fz0IAAAqNQAADgAAAAAAAAAA&#10;AAAAAAAuAgAAZHJzL2Uyb0RvYy54bWxQSwECLQAUAAYACAAAACEAu+uWh9wAAAAHAQAADwAAAAAA&#10;AAAAAAAAAACXCgAAZHJzL2Rvd25yZXYueG1sUEsFBgAAAAAEAAQA8wAAAKALAAAAAA==&#10;">
              <v:shape id="Полилиния: Фигура 8" o:spid="_x0000_s1028" style="position:absolute;left:41201;width:34367;height:8964;visibility:visible;mso-wrap-style:square;v-text-anchor:middle" coordsize="3436678,8964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3+SL0A&#10;AADaAAAADwAAAGRycy9kb3ducmV2LnhtbERPy4rCMBTdD/gP4QpuBk0VRrQaRQSl2/EBLi/J7QOb&#10;m9JEW//eLASXh/Neb3tbiye1vnKsYDpJQBBrZyouFFzOh/EChA/IBmvHpOBFHrabwc8aU+M6/qfn&#10;KRQihrBPUUEZQpNK6XVJFv3ENcSRy11rMUTYFtK02MVwW8tZksylxYpjQ4kN7UvS99PDKjh2v/k9&#10;84frX3btMr3Uy9sxN0qNhv1uBSJQH77ijzszCuLWeCXeALl5A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Oe3+SL0AAADaAAAADwAAAAAAAAAAAAAAAACYAgAAZHJzL2Rvd25yZXYu&#10;eG1sUEsFBgAAAAAEAAQA9QAAAIIDAAAAAA==&#10;" path="m3429208,12451r,876575l497239,889026,12452,12451r3416756,xe" fillcolor="#373545 [3215]" stroked="f">
                <v:stroke joinstyle="miter"/>
                <v:path arrowok="t" o:connecttype="custom" o:connectlocs="3429209,12451;3429209,889027;497239,889027;12452,12451" o:connectangles="0,0,0,0"/>
              </v:shape>
              <v:shape id="Полилиния: Фигура 9" o:spid="_x0000_s1029" style="position:absolute;top:6562;width:35196;height:8965;visibility:visible;mso-wrap-style:square;v-text-anchor:middle" coordsize="3519690,8964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3+78MA&#10;AADaAAAADwAAAGRycy9kb3ducmV2LnhtbESPQYvCMBSE74L/ITzBi2i6gotWo4gg6MHDqojHR/Ns&#10;q81LabJt9debhQWPw8x8wyxWrSlETZXLLSv4GkUgiBOrc04VnE/b4RSE88gaC8uk4EkOVstuZ4Gx&#10;tg3/UH30qQgQdjEqyLwvYyldkpFBN7IlcfButjLog6xSqStsAtwUchxF39JgzmEhw5I2GSWP468J&#10;lKbdpoP6Wu4v4/OuOT3vk8fhpVS/167nIDy1/hP+b++0ghn8XQk3QC7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R3+78MAAADaAAAADwAAAAAAAAAAAAAAAACYAgAAZHJzL2Rv&#10;d25yZXYueG1sUEsFBgAAAAAEAAQA9QAAAIgDAAAAAA==&#10;" path="m12452,890686r,-878235l3030752,12451r484788,878235l12452,890686xe" fillcolor="#373545 [3215]" stroked="f">
                <v:stroke joinstyle="miter"/>
                <v:path arrowok="t" o:connecttype="custom" o:connectlocs="12452,890687;12452,12451;3030752,12451;3515540,890687" o:connectangles="0,0,0,0"/>
              </v:shape>
              <v:shape id="Полилиния: Фигура 12" o:spid="_x0000_s1030" style="position:absolute;left:33994;top:98862;width:9125;height:9792;visibility:visible;mso-wrap-style:square;v-text-anchor:middle" coordsize="913127,9795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vnF8IA&#10;AADbAAAADwAAAGRycy9kb3ducmV2LnhtbESPQYvCMBCF74L/IYzgRTTVw7JUo4iieBFWLXgdk7Et&#10;NpPSpFr//WZB2NsM771v3ixWna3EkxpfOlYwnSQgiLUzJecKsstu/A3CB2SDlWNS8CYPq2W/t8DU&#10;uBef6HkOuYgQ9ikqKEKoUym9Lsiin7iaOGp311gMcW1yaRp8Rbit5CxJvqTFkuOFAmvaFKQf59Yq&#10;GN0e7+tetrrd+GNEbLPtj86UGg669RxEoC78mz/pg4n1Z/D3SxxAL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+C+cXwgAAANsAAAAPAAAAAAAAAAAAAAAAAJgCAABkcnMvZG93&#10;bnJldi54bWxQSwUGAAAAAAQABAD1AAAAhwMAAAAA&#10;" path="m12452,981997l575270,12451r330386,l342838,981997r-330386,xe" fillcolor="#58b6c0 [3205]" stroked="f">
                <v:stroke joinstyle="miter"/>
                <v:path arrowok="t" o:connecttype="custom" o:connectlocs="12443,981661;574872,12447;905029,12447;342601,981661" o:connectangles="0,0,0,0"/>
              </v:shape>
              <v:shape id="Полилиния: Фигура 13" o:spid="_x0000_s1031" style="position:absolute;left:28292;top:98862;width:9131;height:9795;visibility:visible;mso-wrap-style:square;v-text-anchor:middle" coordsize="913127,9795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UdCjMQA&#10;AADbAAAADwAAAGRycy9kb3ducmV2LnhtbESPzWrDMBCE74W8g9hALyWR00IJTpQQbFp6KbSJIdeN&#10;tLFNrJWx5J+8fVUo9LbLzHw7u91PthEDdb52rGC1TEAQa2dqLhUUp7fFGoQPyAYbx6TgTh72u9nD&#10;FlPjRv6m4RhKESHsU1RQhdCmUnpdkUW/dC1x1K6usxji2pXSdDhGuG3kc5K8Sos1xwsVtpRVpG/H&#10;3ip4utzu53fZ6z7znxGRF/mXLpR6nE+HDYhAU/g3/6U/TKz/Ar+/xAHk7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FHQozEAAAA2wAAAA8AAAAAAAAAAAAAAAAAmAIAAGRycy9k&#10;b3ducmV2LnhtbFBLBQYAAAAABAAEAPUAAACJAwAAAAA=&#10;" path="m12452,981997l570289,12451r330386,l342838,981997r-330386,xe" fillcolor="#58b6c0 [3205]" stroked="f">
                <v:stroke joinstyle="miter"/>
                <v:path arrowok="t" o:connecttype="custom" o:connectlocs="12452,981998;570289,12451;900675,12451;342838,981998" o:connectangles="0,0,0,0"/>
              </v:shape>
              <v:shape id="Полилиния: фигура 14" o:spid="_x0000_s1032" style="position:absolute;left:40341;top:98862;width:35197;height:8965;visibility:visible;mso-wrap-style:square;v-text-anchor:middle" coordsize="3519690,896496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H8DcEA&#10;AADbAAAADwAAAGRycy9kb3ducmV2LnhtbERPTWvCQBC9F/wPywje6kYtpURXUUugUHpo0oPHYXfM&#10;BrOzIbtN4r/vFgq9zeN9zu4wuVYM1IfGs4LVMgNBrL1puFbwVRWPLyBCRDbYeiYFdwpw2M8edpgb&#10;P/InDWWsRQrhkKMCG2OXSxm0JYdh6TvixF197zAm2NfS9DimcNfKdZY9S4cNpwaLHZ0t6Vv57RQc&#10;3zN9GSq+nezmdfqwfrMuNCu1mE/HLYhIU/wX/7nfTJr/BL+/pAPk/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Ax/A3BAAAA2wAAAA8AAAAAAAAAAAAAAAAAmAIAAGRycy9kb3du&#10;cmV2LnhtbFBLBQYAAAAABAAEAPUAAACGAwAAAAA=&#10;" adj="-11796480,,5400" path="m3515540,889026r,-876575l497239,12451,12452,889026r3503088,xe" fillcolor="#373545 [3215]" stroked="f">
                <v:stroke joinstyle="miter"/>
                <v:formulas/>
                <v:path arrowok="t" o:connecttype="custom" o:connectlocs="3515540,889027;3515540,12451;497239,12451;12452,889027" o:connectangles="0,0,0,0" textboxrect="0,0,3519690,896496"/>
                <v:textbox>
                  <w:txbxContent>
                    <w:p w:rsidR="002273DF" w:rsidRDefault="002273DF" w:rsidP="002273DF">
                      <w:pPr>
                        <w:jc w:val="center"/>
                      </w:pPr>
                      <w:r w:rsidRPr="002273DF">
                        <w:t>Лектор: Айсачева Мафтунабону</w:t>
                      </w:r>
                    </w:p>
                  </w:txbxContent>
                </v:textbox>
              </v:shape>
              <v:shape id="Полилиния: Фигура 8" o:spid="_x0000_s1033" style="position:absolute;left:28722;width:12173;height:15424;visibility:visible;mso-wrap-style:square;v-text-anchor:middle" coordsize="1217675,1542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ZTw8UA&#10;AADbAAAADwAAAGRycy9kb3ducmV2LnhtbESPQWvCQBSE7wX/w/IKvRTdNIcq0VWKILQKgtGDx0f2&#10;maTNexuyq8b+erdQ8DjMzDfMbNFzoy7U+dqJgbdRAoqkcLaW0sBhvxpOQPmAYrFxQgZu5GExHzzN&#10;MLPuKju65KFUESI+QwNVCG2mtS8qYvQj15JE7+Q6xhBlV2rb4TXCudFpkrxrxlriQoUtLSsqfvIz&#10;Gyh4sz1vXpf8e+M1TvJj+r3+So15ee4/pqAC9eER/m9/WgPpGP6+xB+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NlPDxQAAANsAAAAPAAAAAAAAAAAAAAAAAJgCAABkcnMv&#10;ZG93bnJldi54bWxQSwUGAAAAAAQABAD1AAAAigMAAAAA&#10;" path="m,l330287,r887388,1542668l888533,1542668,,xe" fillcolor="#58b6c0 [3205]" stroked="f">
                <v:stroke joinstyle="miter"/>
                <v:path arrowok="t" o:connecttype="custom" o:connectlocs="0,0;330184,0;1217295,1542415;888256,1542415;0,0" o:connectangles="0,0,0,0,0"/>
              </v:shape>
              <v:shape id="Полилиния: Фигура 7" o:spid="_x0000_s1034" style="position:absolute;left:34747;width:12251;height:15426;visibility:visible;mso-wrap-style:square;v-text-anchor:middle" coordsize="1225138,15426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tq9MIA&#10;AADbAAAADwAAAGRycy9kb3ducmV2LnhtbERPy2qDQBTdF/IPww10E+IYFyVYJ6EUBLElpbab7i7O&#10;9UGcO+JM1P59ZlHo8nDe2Xk1g5hpcr1lBYcoBkFcW91zq+D7K98fQTiPrHGwTAp+ycH5tHnIMNV2&#10;4U+aK9+KEMIuRQWd92Mqpas7MugiOxIHrrGTQR/g1Eo94RLCzSCTOH6SBnsODR2O9NpRfa1uRsHH&#10;T182c1m+vddjPq9U7EyyXJR63K4vzyA8rf5f/OcutIIkjA1fwg+Qp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C2r0wgAAANsAAAAPAAAAAAAAAAAAAAAAAJgCAABkcnMvZG93&#10;bnJldi54bWxQSwUGAAAAAAQABAD1AAAAhwMAAAAA&#10;" path="m,l330265,r894873,1542664l895208,1542664,,xe" fillcolor="#58b6c0 [3205]" stroked="f">
                <v:stroke joinstyle="miter"/>
                <v:path arrowok="t" o:connecttype="custom" o:connectlocs="0,0;330265,0;1225138,1542664;895208,1542664;0,0" o:connectangles="0,0,0,0,0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25B0" w:rsidRDefault="00FE777E">
    <w:pPr>
      <w:pStyle w:val="afff1"/>
    </w:pPr>
    <w:r w:rsidRPr="00FE777E">
      <w:rPr>
        <w:b/>
        <w:noProof/>
        <w:sz w:val="28"/>
        <w:szCs w:val="28"/>
      </w:rPr>
      <w:drawing>
        <wp:anchor distT="0" distB="0" distL="114300" distR="114300" simplePos="0" relativeHeight="251663360" behindDoc="1" locked="0" layoutInCell="1" allowOverlap="1" wp14:anchorId="43E87FA0" wp14:editId="4974EDF9">
          <wp:simplePos x="0" y="0"/>
          <wp:positionH relativeFrom="margin">
            <wp:align>right</wp:align>
          </wp:positionH>
          <wp:positionV relativeFrom="paragraph">
            <wp:posOffset>89192</wp:posOffset>
          </wp:positionV>
          <wp:extent cx="1266825" cy="1243330"/>
          <wp:effectExtent l="0" t="0" r="9525" b="0"/>
          <wp:wrapTight wrapText="bothSides">
            <wp:wrapPolygon edited="0">
              <wp:start x="8445" y="0"/>
              <wp:lineTo x="6821" y="331"/>
              <wp:lineTo x="1624" y="4302"/>
              <wp:lineTo x="0" y="9598"/>
              <wp:lineTo x="1624" y="15886"/>
              <wp:lineTo x="1624" y="17540"/>
              <wp:lineTo x="5847" y="21181"/>
              <wp:lineTo x="7795" y="21181"/>
              <wp:lineTo x="14292" y="21181"/>
              <wp:lineTo x="16241" y="21181"/>
              <wp:lineTo x="20788" y="17540"/>
              <wp:lineTo x="21438" y="9928"/>
              <wp:lineTo x="20463" y="4633"/>
              <wp:lineTo x="15591" y="662"/>
              <wp:lineTo x="13642" y="0"/>
              <wp:lineTo x="8445" y="0"/>
            </wp:wrapPolygon>
          </wp:wrapTight>
          <wp:docPr id="37" name="Рисунок 37" descr="C:\Users\User\Desktop\Без-имени-1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Без-имени-1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1243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F76DA"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25DA42EC" wp14:editId="41462CEE">
              <wp:simplePos x="0" y="0"/>
              <wp:positionH relativeFrom="column">
                <wp:posOffset>-554973</wp:posOffset>
              </wp:positionH>
              <wp:positionV relativeFrom="paragraph">
                <wp:posOffset>571500</wp:posOffset>
              </wp:positionV>
              <wp:extent cx="2833370" cy="722630"/>
              <wp:effectExtent l="19050" t="19050" r="24130" b="20320"/>
              <wp:wrapTight wrapText="bothSides">
                <wp:wrapPolygon edited="0">
                  <wp:start x="-145" y="-569"/>
                  <wp:lineTo x="-145" y="21638"/>
                  <wp:lineTo x="21639" y="21638"/>
                  <wp:lineTo x="21639" y="-569"/>
                  <wp:lineTo x="-145" y="-569"/>
                </wp:wrapPolygon>
              </wp:wrapTight>
              <wp:docPr id="21" name="Фигура 61">
                <a:extLst xmlns:a="http://schemas.openxmlformats.org/drawingml/2006/main">
                  <a:ext uri="{C183D7F6-B498-43B3-948B-1728B52AA6E4}">
                    <adec:decorative xmlns:adec="http://schemas.microsoft.com/office/drawing/2017/decorative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xmlns:w16se="http://schemas.microsoft.com/office/word/2015/wordml/symex" xmlns:cx="http://schemas.microsoft.com/office/drawing/2014/chartex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833370" cy="722630"/>
                      </a:xfrm>
                      <a:prstGeom prst="rect">
                        <a:avLst/>
                      </a:prstGeom>
                      <a:ln w="38100">
                        <a:solidFill>
                          <a:schemeClr val="bg1"/>
                        </a:solidFill>
                        <a:miter lim="400000"/>
                      </a:ln>
                      <a:extLst>
                        <a:ext uri="{C572A759-6A51-4108-AA02-DFA0A04FC94B}">
                          <ma14:wrappingTextBoxFlag xmlns="" xmlns:w="http://schemas.openxmlformats.org/wordprocessingml/2006/main" xmlns:o="urn:schemas-microsoft-com:office:office" xmlns:v="urn:schemas-microsoft-com:vml" xmlns:w10="urn:schemas-microsoft-com:office:word" xmlns:ma14="http://schemas.microsoft.com/office/mac/drawingml/2011/main" xmlns:lc="http://schemas.openxmlformats.org/drawingml/2006/lockedCanvas" xmlns:p="http://schemas.openxmlformats.org/presentation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 val="1"/>
                        </a:ext>
                      </a:extLst>
                    </wps:spPr>
                    <wps:txbx>
                      <w:txbxContent>
                        <w:p w:rsidR="00FE777E" w:rsidRPr="00FA3FA4" w:rsidRDefault="006F36A7" w:rsidP="00FA3FA4">
                          <w:pPr>
                            <w:pStyle w:val="afffff4"/>
                            <w:shd w:val="clear" w:color="auto" w:fill="44546A"/>
                            <w:jc w:val="center"/>
                            <w:rPr>
                              <w:color w:val="FFFFFF"/>
                              <w:sz w:val="21"/>
                              <w:lang w:val="en-US"/>
                            </w:rPr>
                          </w:pPr>
                          <w:r w:rsidRPr="00FA3FA4">
                            <w:rPr>
                              <w:b/>
                              <w:color w:val="FFFFFF"/>
                              <w:sz w:val="26"/>
                              <w:szCs w:val="26"/>
                            </w:rPr>
                            <w:t>АНДИЖАНСКИЙ ГОСУДАРСТВЕННЫЙ МЕДИЦИНСКИЙ ИНСТИТУТ</w:t>
                          </w:r>
                        </w:p>
                      </w:txbxContent>
                    </wps:txbx>
                    <wps:bodyPr wrap="square" lIns="19050" tIns="19050" rIns="19050" bIns="19050" anchor="ctr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5DA42EC" id="_x0000_s1035" style="position:absolute;margin-left:-43.7pt;margin-top:45pt;width:223.1pt;height:56.9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gQDRgIAAD0EAAAOAAAAZHJzL2Uyb0RvYy54bWysU82O0zAQviPxDpbvaX7bplXTVdpShIRg&#10;pYUHcB2nteTYwXabrhAS0r4IBx4AiQtnnqD7RozdbrfAnhA5OB57PDPf981MrvaNQDumDVeywHEv&#10;wohJqiou1wV+/24Z5BgZS2RFhJKswLfM4Kvp82eTrh2zRG2UqJhGEESacdcWeGNtOw5DQzesIaan&#10;Wibhsla6IRZMvQ4rTTqI3ogwiaJB2CldtVpRZgycLo6XeOrj1zWj9m1dG2aRKDDUZv2q/bpyazid&#10;kPFak3bD6akM8g9VNIRLSHoOtSCWoK3mf4VqONXKqNr2qGpCVdecMo8B0MTRH2huNqRlHguQY9oz&#10;Teb/haVvdtca8arASYyRJA1odPh6+HH4fn93//nw7eeXQeyBsb19bayDCLsjtI/zOE8Xw+UgmGWj&#10;PMjSWRqMsnwWxMMkn/WTshy8yD45ikP/yr8Pu9aMfVankd/etNcanJxlYOty7GvduD8QhPZerduz&#10;Wi4/hcMkT9N0CKJSuBsmySD1ckKuh9etNvYlUw1ymwJr6AaPheyglGNZDy4umZCoK3Cax1Hk3YwS&#10;vFpyIdyl70g2FxrtCPTSah2fgP3m1XAL7Sx4U+Asct/JSUgX40kO+8OkHPZHwaDsx0EWR3lQllES&#10;LJZlVEbZcj7KZk9yeKTKkWb3q/1RQpfNnaxUdQuydtDXBTYftkQzjMQrCY0Tj6K+G4RLQ18aq0uD&#10;SLpRMC7Uak+JVOXWqpp79h4zgcLOgB71Wp/myQ3Bpe29Hqd++gsAAP//AwBQSwMEFAAGAAgAAAAh&#10;ANWfDDrgAAAACgEAAA8AAABkcnMvZG93bnJldi54bWxMj8tOwzAQRfdI/IM1SOxahyaFNMSpeKgS&#10;LFi08AFuPE3S2uModtrw9wwrWI7m6t5zyvXkrDjjEDpPCu7mCQik2puOGgVfn5tZDiJETUZbT6jg&#10;GwOsq+urUhfGX2iL511sBJdQKLSCNsa+kDLULTod5r5H4t/BD05HPodGmkFfuNxZuUiSe+l0R7zQ&#10;6h5fWqxPu9EpaN5eP7Zx+XysrTkdU/eedZsxU+r2Znp6BBFxin9h+MVndKiYae9HMkFYBbP8IeOo&#10;glXCThxIlzm77BUskjQHWZXyv0L1AwAA//8DAFBLAQItABQABgAIAAAAIQC2gziS/gAAAOEBAAAT&#10;AAAAAAAAAAAAAAAAAAAAAABbQ29udGVudF9UeXBlc10ueG1sUEsBAi0AFAAGAAgAAAAhADj9If/W&#10;AAAAlAEAAAsAAAAAAAAAAAAAAAAALwEAAF9yZWxzLy5yZWxzUEsBAi0AFAAGAAgAAAAhAHHCBANG&#10;AgAAPQQAAA4AAAAAAAAAAAAAAAAALgIAAGRycy9lMm9Eb2MueG1sUEsBAi0AFAAGAAgAAAAhANWf&#10;DDrgAAAACgEAAA8AAAAAAAAAAAAAAAAAoAQAAGRycy9kb3ducmV2LnhtbFBLBQYAAAAABAAEAPMA&#10;AACtBQAAAAA=&#10;" filled="f" strokecolor="white [3212]" strokeweight="3pt">
              <v:stroke miterlimit="4"/>
              <v:textbox inset="1.5pt,1.5pt,1.5pt,1.5pt">
                <w:txbxContent>
                  <w:p w:rsidR="00FE777E" w:rsidRPr="00FA3FA4" w:rsidRDefault="006F36A7" w:rsidP="00FA3FA4">
                    <w:pPr>
                      <w:pStyle w:val="afffff4"/>
                      <w:shd w:val="clear" w:color="auto" w:fill="44546A"/>
                      <w:jc w:val="center"/>
                      <w:rPr>
                        <w:color w:val="FFFFFF"/>
                        <w:sz w:val="21"/>
                        <w:lang w:val="en-US"/>
                      </w:rPr>
                    </w:pPr>
                    <w:r w:rsidRPr="00FA3FA4">
                      <w:rPr>
                        <w:b/>
                        <w:color w:val="FFFFFF"/>
                        <w:sz w:val="26"/>
                        <w:szCs w:val="26"/>
                      </w:rPr>
                      <w:t>АНДИЖАНСКИЙ ГОСУДАРСТВЕННЫЙ МЕДИЦИНСКИЙ ИНСТИТУТ</w:t>
                    </w:r>
                  </w:p>
                </w:txbxContent>
              </v:textbox>
              <w10:wrap type="tight"/>
            </v:rect>
          </w:pict>
        </mc:Fallback>
      </mc:AlternateContent>
    </w:r>
    <w:r w:rsidR="005F25B0" w:rsidRPr="00084752"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53E599E5" wp14:editId="2A4DC607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556500" cy="10865485"/>
              <wp:effectExtent l="0" t="0" r="2540" b="14605"/>
              <wp:wrapNone/>
              <wp:docPr id="22" name="Группа 22">
                <a:extLst xmlns:a="http://schemas.openxmlformats.org/drawingml/2006/main">
                  <a:ext uri="{C183D7F6-B498-43B3-948B-1728B52AA6E4}">
                    <adec:decorative xmlns:adec="http://schemas.microsoft.com/office/drawing/2017/decorative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xmlns:w16se="http://schemas.microsoft.com/office/word/2015/wordml/symex" xmlns:cx="http://schemas.microsoft.com/office/drawing/2014/chartex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6500" cy="10865485"/>
                        <a:chOff x="0" y="0"/>
                        <a:chExt cx="7556858" cy="10865783"/>
                      </a:xfrm>
                    </wpg:grpSpPr>
                    <wps:wsp>
                      <wps:cNvPr id="23" name="Полилиния: Фигура 23"/>
                      <wps:cNvSpPr/>
                      <wps:spPr>
                        <a:xfrm>
                          <a:off x="4120179" y="0"/>
                          <a:ext cx="3436679" cy="896497"/>
                        </a:xfrm>
                        <a:custGeom>
                          <a:avLst/>
                          <a:gdLst>
                            <a:gd name="connsiteX0" fmla="*/ 3429208 w 3436678"/>
                            <a:gd name="connsiteY0" fmla="*/ 12451 h 896496"/>
                            <a:gd name="connsiteX1" fmla="*/ 3429208 w 3436678"/>
                            <a:gd name="connsiteY1" fmla="*/ 889026 h 896496"/>
                            <a:gd name="connsiteX2" fmla="*/ 497239 w 3436678"/>
                            <a:gd name="connsiteY2" fmla="*/ 889026 h 896496"/>
                            <a:gd name="connsiteX3" fmla="*/ 12452 w 3436678"/>
                            <a:gd name="connsiteY3" fmla="*/ 12451 h 89649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3436678" h="896496">
                              <a:moveTo>
                                <a:pt x="3429208" y="12451"/>
                              </a:moveTo>
                              <a:lnTo>
                                <a:pt x="3429208" y="889026"/>
                              </a:lnTo>
                              <a:lnTo>
                                <a:pt x="497239" y="889026"/>
                              </a:lnTo>
                              <a:lnTo>
                                <a:pt x="12452" y="12451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Полилиния: Форма 24"/>
                      <wps:cNvSpPr/>
                      <wps:spPr>
                        <a:xfrm>
                          <a:off x="0" y="656216"/>
                          <a:ext cx="3519690" cy="896497"/>
                        </a:xfrm>
                        <a:custGeom>
                          <a:avLst/>
                          <a:gdLst>
                            <a:gd name="connsiteX0" fmla="*/ 12452 w 3519690"/>
                            <a:gd name="connsiteY0" fmla="*/ 890686 h 896496"/>
                            <a:gd name="connsiteX1" fmla="*/ 12452 w 3519690"/>
                            <a:gd name="connsiteY1" fmla="*/ 12451 h 896496"/>
                            <a:gd name="connsiteX2" fmla="*/ 3030752 w 3519690"/>
                            <a:gd name="connsiteY2" fmla="*/ 12451 h 896496"/>
                            <a:gd name="connsiteX3" fmla="*/ 3515540 w 3519690"/>
                            <a:gd name="connsiteY3" fmla="*/ 890686 h 89649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3519690" h="896496">
                              <a:moveTo>
                                <a:pt x="12452" y="890686"/>
                              </a:moveTo>
                              <a:lnTo>
                                <a:pt x="12452" y="12451"/>
                              </a:lnTo>
                              <a:lnTo>
                                <a:pt x="3030752" y="12451"/>
                              </a:lnTo>
                              <a:lnTo>
                                <a:pt x="3515540" y="890686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" name="Полилиния: Форма 25"/>
                      <wps:cNvSpPr/>
                      <wps:spPr>
                        <a:xfrm>
                          <a:off x="3399416" y="9886277"/>
                          <a:ext cx="912495" cy="979170"/>
                        </a:xfrm>
                        <a:custGeom>
                          <a:avLst/>
                          <a:gdLst>
                            <a:gd name="connsiteX0" fmla="*/ 12452 w 913127"/>
                            <a:gd name="connsiteY0" fmla="*/ 981997 h 979505"/>
                            <a:gd name="connsiteX1" fmla="*/ 575270 w 913127"/>
                            <a:gd name="connsiteY1" fmla="*/ 12451 h 979505"/>
                            <a:gd name="connsiteX2" fmla="*/ 905656 w 913127"/>
                            <a:gd name="connsiteY2" fmla="*/ 12451 h 979505"/>
                            <a:gd name="connsiteX3" fmla="*/ 342838 w 913127"/>
                            <a:gd name="connsiteY3" fmla="*/ 981997 h 97950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913127" h="979505">
                              <a:moveTo>
                                <a:pt x="12452" y="981997"/>
                              </a:moveTo>
                              <a:lnTo>
                                <a:pt x="575270" y="12451"/>
                              </a:lnTo>
                              <a:lnTo>
                                <a:pt x="905656" y="12451"/>
                              </a:lnTo>
                              <a:lnTo>
                                <a:pt x="342838" y="981997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Полилиния: Форма 26"/>
                      <wps:cNvSpPr/>
                      <wps:spPr>
                        <a:xfrm>
                          <a:off x="2829261" y="9886277"/>
                          <a:ext cx="913127" cy="979506"/>
                        </a:xfrm>
                        <a:custGeom>
                          <a:avLst/>
                          <a:gdLst>
                            <a:gd name="connsiteX0" fmla="*/ 12452 w 913127"/>
                            <a:gd name="connsiteY0" fmla="*/ 981997 h 979505"/>
                            <a:gd name="connsiteX1" fmla="*/ 570289 w 913127"/>
                            <a:gd name="connsiteY1" fmla="*/ 12451 h 979505"/>
                            <a:gd name="connsiteX2" fmla="*/ 900675 w 913127"/>
                            <a:gd name="connsiteY2" fmla="*/ 12451 h 979505"/>
                            <a:gd name="connsiteX3" fmla="*/ 342838 w 913127"/>
                            <a:gd name="connsiteY3" fmla="*/ 981997 h 97950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913127" h="979505">
                              <a:moveTo>
                                <a:pt x="12452" y="981997"/>
                              </a:moveTo>
                              <a:lnTo>
                                <a:pt x="570289" y="12451"/>
                              </a:lnTo>
                              <a:lnTo>
                                <a:pt x="900675" y="12451"/>
                              </a:lnTo>
                              <a:lnTo>
                                <a:pt x="342838" y="981997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Полилиния: Форма 30"/>
                      <wps:cNvSpPr/>
                      <wps:spPr>
                        <a:xfrm>
                          <a:off x="4034118" y="9886277"/>
                          <a:ext cx="3519690" cy="896497"/>
                        </a:xfrm>
                        <a:custGeom>
                          <a:avLst/>
                          <a:gdLst>
                            <a:gd name="connsiteX0" fmla="*/ 3515540 w 3519690"/>
                            <a:gd name="connsiteY0" fmla="*/ 889026 h 896496"/>
                            <a:gd name="connsiteX1" fmla="*/ 3515540 w 3519690"/>
                            <a:gd name="connsiteY1" fmla="*/ 12451 h 896496"/>
                            <a:gd name="connsiteX2" fmla="*/ 497239 w 3519690"/>
                            <a:gd name="connsiteY2" fmla="*/ 12451 h 896496"/>
                            <a:gd name="connsiteX3" fmla="*/ 12452 w 3519690"/>
                            <a:gd name="connsiteY3" fmla="*/ 889026 h 89649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3519690" h="896496">
                              <a:moveTo>
                                <a:pt x="3515540" y="889026"/>
                              </a:moveTo>
                              <a:lnTo>
                                <a:pt x="3515540" y="12451"/>
                              </a:lnTo>
                              <a:lnTo>
                                <a:pt x="497239" y="12451"/>
                              </a:lnTo>
                              <a:lnTo>
                                <a:pt x="12452" y="889026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txbx>
                        <w:txbxContent>
                          <w:p w:rsidR="002273DF" w:rsidRDefault="002273DF" w:rsidP="002273DF">
                            <w:pPr>
                              <w:jc w:val="center"/>
                            </w:pPr>
                            <w:r w:rsidRPr="002273DF">
                              <w:t>Лектор: Айсачева Мафтунабону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Полилиния: Фигура 8"/>
                      <wps:cNvSpPr/>
                      <wps:spPr>
                        <a:xfrm>
                          <a:off x="2872292" y="0"/>
                          <a:ext cx="1217295" cy="1542415"/>
                        </a:xfrm>
                        <a:custGeom>
                          <a:avLst/>
                          <a:gdLst>
                            <a:gd name="connsiteX0" fmla="*/ 0 w 1217675"/>
                            <a:gd name="connsiteY0" fmla="*/ 0 h 1542668"/>
                            <a:gd name="connsiteX1" fmla="*/ 330287 w 1217675"/>
                            <a:gd name="connsiteY1" fmla="*/ 0 h 1542668"/>
                            <a:gd name="connsiteX2" fmla="*/ 1217675 w 1217675"/>
                            <a:gd name="connsiteY2" fmla="*/ 1542668 h 1542668"/>
                            <a:gd name="connsiteX3" fmla="*/ 888533 w 1217675"/>
                            <a:gd name="connsiteY3" fmla="*/ 1542668 h 1542668"/>
                            <a:gd name="connsiteX4" fmla="*/ 0 w 1217675"/>
                            <a:gd name="connsiteY4" fmla="*/ 0 h 154266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217675" h="1542668">
                              <a:moveTo>
                                <a:pt x="0" y="0"/>
                              </a:moveTo>
                              <a:lnTo>
                                <a:pt x="330287" y="0"/>
                              </a:lnTo>
                              <a:lnTo>
                                <a:pt x="1217675" y="1542668"/>
                              </a:lnTo>
                              <a:lnTo>
                                <a:pt x="888533" y="15426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Полилиния: фигура 7"/>
                      <wps:cNvSpPr/>
                      <wps:spPr>
                        <a:xfrm>
                          <a:off x="3474720" y="0"/>
                          <a:ext cx="1225138" cy="1542664"/>
                        </a:xfrm>
                        <a:custGeom>
                          <a:avLst/>
                          <a:gdLst>
                            <a:gd name="connsiteX0" fmla="*/ 0 w 1225138"/>
                            <a:gd name="connsiteY0" fmla="*/ 0 h 1542664"/>
                            <a:gd name="connsiteX1" fmla="*/ 330265 w 1225138"/>
                            <a:gd name="connsiteY1" fmla="*/ 0 h 1542664"/>
                            <a:gd name="connsiteX2" fmla="*/ 1225138 w 1225138"/>
                            <a:gd name="connsiteY2" fmla="*/ 1542664 h 1542664"/>
                            <a:gd name="connsiteX3" fmla="*/ 895208 w 1225138"/>
                            <a:gd name="connsiteY3" fmla="*/ 1542664 h 1542664"/>
                            <a:gd name="connsiteX4" fmla="*/ 0 w 1225138"/>
                            <a:gd name="connsiteY4" fmla="*/ 0 h 154266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225138" h="1542664">
                              <a:moveTo>
                                <a:pt x="0" y="0"/>
                              </a:moveTo>
                              <a:lnTo>
                                <a:pt x="330265" y="0"/>
                              </a:lnTo>
                              <a:lnTo>
                                <a:pt x="1225138" y="1542664"/>
                              </a:lnTo>
                              <a:lnTo>
                                <a:pt x="895208" y="154266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100000</wp14:pctWidth>
              </wp14:sizeRelH>
              <wp14:sizeRelV relativeFrom="page">
                <wp14:pctHeight>101600</wp14:pctHeight>
              </wp14:sizeRelV>
            </wp:anchor>
          </w:drawing>
        </mc:Choice>
        <mc:Fallback>
          <w:pict>
            <v:group w14:anchorId="53E599E5" id="Группа 22" o:spid="_x0000_s1036" style="position:absolute;margin-left:0;margin-top:0;width:595pt;height:855.55pt;z-index:-251655168;mso-width-percent:1000;mso-height-percent:1016;mso-position-horizontal:center;mso-position-horizontal-relative:page;mso-position-vertical:center;mso-position-vertical-relative:page;mso-width-percent:1000;mso-height-percent:1016" coordsize="75568,1086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EY9RQgAACQ1AAAOAAAAZHJzL2Uyb0RvYy54bWzsW8uK3EYU3QfyD0LLwLj1fjSeMTPj2ASM&#10;bbCD7aVGrX6AWlIkzXQ7IWBw9lnkA5JFPiCQjSGJA/mCmT/KqVsqdalf0tjtR5xmmJbUqlu36r5O&#10;3VvVN2/Np7FyEeXFJE0OVf2GpipREqaDSTI6VL9+fOfAU5WiDJJBEKdJdKg+jwr11tHnn92cZf3I&#10;SMdpPIhyBZ0kRX+WHarjssz6vV4RjqNpUNxIsyjBy2GaT4MSj/moN8iDGXqfxj1D05zeLM0HWZ6G&#10;UVHg29v8pXpE/Q+HUVg+GA6LqFTiQxVjK+kzp88z9tk7uhn0R3mQjSdhNYzgDUYxDSYJmNZd3Q7K&#10;QDnPJytdTSdhnhbpsLwRptNeOhxOwojmgNno2tJs7ubpeUZzGfVno6wWE0S7JKc37ja8f/EwVyaD&#10;Q9UwVCUJptDR5U9XL65eXv6Nv98UfM3mFc3Le0VZ3fGZfXeqe+Zt945zcGL53oFlnpgHvuWdHOiu&#10;4Z3YxvGx86X1PZNwb0Hfm2WjPjFlKqLbu3n2KHuYox37YsSfGKf5MJ+yK6SkzEllz2uVYTxKiC9d&#10;23ZsDZoN8U7XPMe2PJtrNRxD9SuE4fhLidSzYZ81qeuZ1XA5axpsPaBZBhMtFloo3k4Lj8ZBFpFy&#10;Cy4QrgWz1sLPl68v/7h8Rf9/Xb66+rGvXP6K59+vXl69YJqhwbJRQZ61BIt+AWGuEZ+lw8JcX1VW&#10;hWhapuOwV0wSnu9YvtuQQ9APz4vybpSSOoILWAL3m0FlE6NBZTphmiTFpIyeQiPDaQxX+qKnmJbh&#10;G5qnzHDHGHlcPytEz2Qi3bBsXRkrNBxnA8VT/U3YyESe52uG08oHvlFPB9IxTL99NjJNRzZQfs2G&#10;CcBo57JM0pQZPG8klBSMhd7CeVIpDndKwEK1Rl6epQVzGFmLsAjxCP1wZwYVM7AWYohZJtavRQzh&#10;ycTGtYghE5lYODUNGxLBtZp+DnxgyBATMpSqAmTIVQXIcMYtLgtKJjU2W3arzA5VYcPKuPIVh0Q3&#10;TS+ixyk1LJkMK6OnkZAtVzNYtIuTTe25tVQEopm4ZtQ9N0LqvUNrsqWVoYgewzgtIq5ZNkmK1/XE&#10;mbwk5y/SeDK4M4ljNlNC6eg0zpWLAFIs50JNjVZxwsTm24aNABMA44dxUJLMkpT1RKEky4vydlCM&#10;eU9EzzUwRTTJ+eBiWB1Csohw7O4sHTwHfuUpB/YiC+9M0NO9oCgfBjnCD0IKViflA3wM4xTjgJro&#10;TlXGaf7tuu9Ze4R2vFWVGVYGh2rxzXmQR6oSf5Ug6Pu6ZaHbkh4s2zXwkMtvzuQ3yfn0NIVw4A0Y&#10;Hd2y9mUsbod5On2CRcwx44pXQRKCN7yuhCXyh9MSz3iFZVAYHR/TPZYP0NG95FEWss7J8DDzx/Mn&#10;QZ4pTJxQCFDyfiqAJuiLyA2dsga8LaNM0uPzMh1OWFgnCXO5Vg8APYbN7wP9rBb0ew3k+5Nhn8Ws&#10;ozP2QXYICI7tGHoFJWL9YNq67/h4/26grw7iFRuy9e3AB0ByvHZEkkGsI5dlkiZUMKRYRnEZwkzN&#10;1FyOSNsnIxNR5GtFVxnDoBDbtjQGfNvZyERrZLZHvjJ6tmPkE76yHfkWYMPVUuHYJuBbNCdjqVoL&#10;bBJXjnqVDW5EsqXW3JQ4SJJXLXW+B74GIO6BTywo3j/wYW1UJd/r074a+Ci57Qx8pun7FjCPwZ/v&#10;eY7hUmZH+Tjlzz6czmcLM9bA9XVXrPFF8i0v/sT6QUoqVjGDrVNE5ke+jVDu66ZuVJxXKBppn+/p&#10;vu8CMTAYW6sy+RWSRt5nA5VcBhjbuaxDv+1MZCDzNdQZnFYmMgmFs9aZyDCGnMEzWZ68fSYyyRp5&#10;7ZFv58hX6YOlfJXJsFXzAtE4OpG1V67GrLgF+LjddsQybn8dG3M7Wh2JgMdd4V4QhlFS7pM+lg7u&#10;k772erbIRCv4EoVnwFM37KPcrTP2GR7Kjg7C/mbsI1QS2Gdr1D/C538J+zTDY7XI7YjxttinOa7d&#10;ymSPfY2q46dS73xH2MfstiOc+djnc7FGhR/TmmopixOoVqWItIbaY9++4IkVmkhYPtqCp4mVQyfs&#10;Q8PrFDwtzbR0HXubm7BPFNfeUd2zcxVPzhY7bpLJYNaZj0wkErPtW4synC22/LbXJGWablzkXI7y&#10;B8Cs0M2GYrFMskZk+/Rv5+mfUEjblp9cb6R95ZYMsLLejsgmbfm1wyDZEnW8dntwVxngB9jyK+dn&#10;czoqUR9/2G8CflKbgCZi9VZMXByBoZMk10gIXQMpIXlFdfJLbAPqBg4tiTqobluGpVPtcVfJICtP&#10;Mh5sHbshrMtIqKFsyEbhOJvOyjQqoKaJ1bTbzkIGwQ4smmhGg2/n0SDiU2ifTBPSPNs02xnJNJWs&#10;2hlhf7kuTnfQSbN5Qyd7mF2G2dYDQZAmlqP1aSLawocYd3MsR3gXw2jhOuuKtHAzDELscixKuEtZ&#10;JHlUo6loIK6i5sudmpLThcdiWqKduPL2nsesmzoWo0Q82Ni8OVrR1a7Q+yOv3+4P4bDDTe99L9JE&#10;CN+Mv1c/LI6g/vML7XF0BmDTci06LiU8cLEPqRuGrZviMC45kogPO6nG8mDPeVwLgGkU687GyGDK&#10;ANhhFVIxjQ0sZJoFAG9k0cBSLqB2Hg0iLsgaFzdyksHUw1E9Oq3bMhmZhscyq51RE1FbBdZsLgBY&#10;WMb+aGvjgM+HBuDKg2sAttYejG1C2jYAdnjNV2C1QD9xFQBcsUVMqaxwa32YW7cEwMKYRLfiyrtv&#10;jla82wPw//QULP0iBD/FoSVb9bMh9lsf+ZkAe/HjpqN/AQAA//8DAFBLAwQUAAYACAAAACEAu+uW&#10;h9wAAAAHAQAADwAAAGRycy9kb3ducmV2LnhtbEyPzU7DMBCE70i8g7VI3KhjJP7SOFWF2hsSaoqo&#10;uLnxNo6I1yF22vD2bLnAZbWjWc1+Uywm34kjDrENpEHNMhBIdbAtNRretuubRxAxGbKmC4QavjHC&#10;ory8KExuw4k2eKxSIziEYm40uJT6XMpYO/QmzkKPxN4hDN4klkMj7WBOHO47eZtl99KblviDMz0+&#10;O6w/q9FrWL5X42r8svSxWtev27vNrnpxO62vr6blHETCKf0dwxmf0aFkpn0YyUbRaeAi6XeePfWU&#10;sd7z9qCUAlkW8j9/+QMAAP//AwBQSwECLQAUAAYACAAAACEAtoM4kv4AAADhAQAAEwAAAAAAAAAA&#10;AAAAAAAAAAAAW0NvbnRlbnRfVHlwZXNdLnhtbFBLAQItABQABgAIAAAAIQA4/SH/1gAAAJQBAAAL&#10;AAAAAAAAAAAAAAAAAC8BAABfcmVscy8ucmVsc1BLAQItABQABgAIAAAAIQAsUEY9RQgAACQ1AAAO&#10;AAAAAAAAAAAAAAAAAC4CAABkcnMvZTJvRG9jLnhtbFBLAQItABQABgAIAAAAIQC765aH3AAAAAcB&#10;AAAPAAAAAAAAAAAAAAAAAJ8KAABkcnMvZG93bnJldi54bWxQSwUGAAAAAAQABADzAAAAqAsAAAAA&#10;">
              <v:shape id="Полилиния: Фигура 23" o:spid="_x0000_s1037" style="position:absolute;left:41201;width:34367;height:8964;visibility:visible;mso-wrap-style:square;v-text-anchor:middle" coordsize="3436678,8964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q3kMIA&#10;AADbAAAADwAAAGRycy9kb3ducmV2LnhtbESPS4sCMRCE7wv+h9ALXpY1o7KyzhpFBGWuvsBjk/Q8&#10;cNIZJtEZ/70RhD0WVfUVtVj1thZ3an3lWMF4lIAg1s5UXCg4HbffvyB8QDZYOyYFD/KwWg4+Fpga&#10;1/Ge7odQiAhhn6KCMoQmldLrkiz6kWuIo5e71mKIsi2kabGLcFvLSZLMpMWK40KJDW1K0tfDzSrY&#10;dV/5NfPb80927jI91/PLLjdKDT/79R+IQH34D7/bmVEwmcLrS/wBcvk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WreQwgAAANsAAAAPAAAAAAAAAAAAAAAAAJgCAABkcnMvZG93&#10;bnJldi54bWxQSwUGAAAAAAQABAD1AAAAhwMAAAAA&#10;" path="m3429208,12451r,876575l497239,889026,12452,12451r3416756,xe" fillcolor="#373545 [3215]" stroked="f">
                <v:stroke joinstyle="miter"/>
                <v:path arrowok="t" o:connecttype="custom" o:connectlocs="3429209,12451;3429209,889027;497239,889027;12452,12451" o:connectangles="0,0,0,0"/>
              </v:shape>
              <v:shape id="Полилиния: Форма 24" o:spid="_x0000_s1038" style="position:absolute;top:6562;width:35196;height:8965;visibility:visible;mso-wrap-style:square;v-text-anchor:middle" coordsize="3519690,8964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oeOcQA&#10;AADbAAAADwAAAGRycy9kb3ducmV2LnhtbESPQYvCMBSE7wv+h/AEL4umW1yRahQRBD14WBXx+Gie&#10;bbV5KU22rf56s7DgcZiZb5j5sjOlaKh2hWUFX6MIBHFqdcGZgtNxM5yCcB5ZY2mZFDzIwXLR+5hj&#10;om3LP9QcfCYChF2CCnLvq0RKl+Zk0I1sRRy8q60N+iDrTOoa2wA3pYyjaCINFhwWcqxonVN6P/ya&#10;QGm7TfbZXKrdOT5t2+Pj9n3fP5Ua9LvVDISnzr/D/+2tVhCP4e9L+AFy8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pqHjnEAAAA2wAAAA8AAAAAAAAAAAAAAAAAmAIAAGRycy9k&#10;b3ducmV2LnhtbFBLBQYAAAAABAAEAPUAAACJAwAAAAA=&#10;" path="m12452,890686r,-878235l3030752,12451r484788,878235l12452,890686xe" fillcolor="#373545 [3215]" stroked="f">
                <v:stroke joinstyle="miter"/>
                <v:path arrowok="t" o:connecttype="custom" o:connectlocs="12452,890687;12452,12451;3030752,12451;3515540,890687" o:connectangles="0,0,0,0"/>
              </v:shape>
              <v:shape id="Полилиния: Форма 25" o:spid="_x0000_s1039" style="position:absolute;left:33994;top:98862;width:9125;height:9792;visibility:visible;mso-wrap-style:square;v-text-anchor:middle" coordsize="913127,9795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4613sMA&#10;AADbAAAADwAAAGRycy9kb3ducmV2LnhtbESPT4vCMBTE78J+h/AW9iKarqBINYoou+xF8E/B6zN5&#10;tsXmpTSp1m+/EQSPw8z8hpkvO1uJGzW+dKzge5iAINbOlJwryI4/gykIH5ANVo5JwYM8LBcfvTmm&#10;xt15T7dDyEWEsE9RQRFCnUrpdUEW/dDVxNG7uMZiiLLJpWnwHuG2kqMkmUiLJceFAmtaF6Svh9Yq&#10;6J+vj9OvbHW79tuI2GSbnc6U+vrsVjMQgbrwDr/af0bBaAzPL/EHyM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4613sMAAADbAAAADwAAAAAAAAAAAAAAAACYAgAAZHJzL2Rv&#10;d25yZXYueG1sUEsFBgAAAAAEAAQA9QAAAIgDAAAAAA==&#10;" path="m12452,981997l575270,12451r330386,l342838,981997r-330386,xe" fillcolor="#58b6c0 [3205]" stroked="f">
                <v:stroke joinstyle="miter"/>
                <v:path arrowok="t" o:connecttype="custom" o:connectlocs="12443,981661;574872,12447;905029,12447;342601,981661" o:connectangles="0,0,0,0"/>
              </v:shape>
              <v:shape id="Полилиния: Форма 26" o:spid="_x0000_s1040" style="position:absolute;left:28292;top:98862;width:9131;height:9795;visibility:visible;mso-wrap-style:square;v-text-anchor:middle" coordsize="913127,9795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1wrqcEA&#10;AADbAAAADwAAAGRycy9kb3ducmV2LnhtbESPQYvCMBSE7wv+h/AEL4umepClGkUUxYuwasHrM3m2&#10;xealNKnWf28WhD0OM/MNM192thIPanzpWMF4lIAg1s6UnCvIztvhDwgfkA1WjknBizwsF72vOabG&#10;PflIj1PIRYSwT1FBEUKdSul1QRb9yNXE0bu5xmKIssmlafAZ4baSkySZSoslx4UCa1oXpO+n1ir4&#10;vt5fl51sdbv2h4jYZJtfnSk16HerGYhAXfgPf9p7o2Ayhb8v8QfIxR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9cK6nBAAAA2wAAAA8AAAAAAAAAAAAAAAAAmAIAAGRycy9kb3du&#10;cmV2LnhtbFBLBQYAAAAABAAEAPUAAACGAwAAAAA=&#10;" path="m12452,981997l570289,12451r330386,l342838,981997r-330386,xe" fillcolor="#58b6c0 [3205]" stroked="f">
                <v:stroke joinstyle="miter"/>
                <v:path arrowok="t" o:connecttype="custom" o:connectlocs="12452,981998;570289,12451;900675,12451;342838,981998" o:connectangles="0,0,0,0"/>
              </v:shape>
              <v:shape id="Полилиния: Форма 30" o:spid="_x0000_s1041" style="position:absolute;left:40341;top:98862;width:35197;height:8965;visibility:visible;mso-wrap-style:square;v-text-anchor:middle" coordsize="3519690,896496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+mbr8A&#10;AADbAAAADwAAAGRycy9kb3ducmV2LnhtbERPy4rCMBTdD/gP4QruxlQLw1CN4gNBkFn4WLi8JNem&#10;2NyUJtb692Yx4PJw3vNl72rRURsqzwom4wwEsfam4lLB5bz7/gURIrLB2jMpeFGA5WLwNcfC+Ccf&#10;qTvFUqQQDgUqsDE2hZRBW3IYxr4hTtzNtw5jgm0pTYvPFO5qOc2yH+mw4tRgsaGNJX0/PZyC1SHT&#10;1+7M97XNt/2f9fl0p1mp0bBfzUBE6uNH/O/eGwV5Wp++pB8gF2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0v6ZuvwAAANsAAAAPAAAAAAAAAAAAAAAAAJgCAABkcnMvZG93bnJl&#10;di54bWxQSwUGAAAAAAQABAD1AAAAhAMAAAAA&#10;" adj="-11796480,,5400" path="m3515540,889026r,-876575l497239,12451,12452,889026r3503088,xe" fillcolor="#373545 [3215]" stroked="f">
                <v:stroke joinstyle="miter"/>
                <v:formulas/>
                <v:path arrowok="t" o:connecttype="custom" o:connectlocs="3515540,889027;3515540,12451;497239,12451;12452,889027" o:connectangles="0,0,0,0" textboxrect="0,0,3519690,896496"/>
                <v:textbox>
                  <w:txbxContent>
                    <w:p w:rsidR="002273DF" w:rsidRDefault="002273DF" w:rsidP="002273DF">
                      <w:pPr>
                        <w:jc w:val="center"/>
                      </w:pPr>
                      <w:r w:rsidRPr="002273DF">
                        <w:t>Лектор: Айсачева Мафтунабону</w:t>
                      </w:r>
                    </w:p>
                  </w:txbxContent>
                </v:textbox>
              </v:shape>
              <v:shape id="Полилиния: Фигура 8" o:spid="_x0000_s1042" style="position:absolute;left:28722;width:12173;height:15424;visibility:visible;mso-wrap-style:square;v-text-anchor:middle" coordsize="1217675,1542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r48cUA&#10;AADbAAAADwAAAGRycy9kb3ducmV2LnhtbESPQWvCQBSE7wX/w/KEXopujCASXaUIglUQTHvo8ZF9&#10;TdLmvQ3ZVaO/3i0Uehxm5htmue65URfqfO3EwGScgCIpnK2lNPDxvh3NQfmAYrFxQgZu5GG9Gjwt&#10;MbPuKie65KFUESI+QwNVCG2mtS8qYvRj15JE78t1jCHKrtS2w2uEc6PTJJlpxlriQoUtbSoqfvIz&#10;Gyj4cDwfXjZ8v/Ee5/ln+r1/S415HvavC1CB+vAf/mvvrIHpBH6/xB+gV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SvjxxQAAANsAAAAPAAAAAAAAAAAAAAAAAJgCAABkcnMv&#10;ZG93bnJldi54bWxQSwUGAAAAAAQABAD1AAAAigMAAAAA&#10;" path="m,l330287,r887388,1542668l888533,1542668,,xe" fillcolor="#58b6c0 [3205]" stroked="f">
                <v:stroke joinstyle="miter"/>
                <v:path arrowok="t" o:connecttype="custom" o:connectlocs="0,0;330184,0;1217295,1542415;888256,1542415;0,0" o:connectangles="0,0,0,0,0"/>
              </v:shape>
              <v:shape id="Полилиния: фигура 7" o:spid="_x0000_s1043" style="position:absolute;left:34747;width:12251;height:15426;visibility:visible;mso-wrap-style:square;v-text-anchor:middle" coordsize="1225138,15426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rLw8QA&#10;AADbAAAADwAAAGRycy9kb3ducmV2LnhtbESPT4vCMBTE74LfITzBi6ypXRDpGkUEQeqy4p/L3h7N&#10;sy3bvJQmtvXbmwXB4zAzv2GW695UoqXGlZYVzKYRCOLM6pJzBdfL7mMBwnlkjZVlUvAgB+vVcLDE&#10;RNuOT9SefS4ChF2CCgrv60RKlxVk0E1tTRy8m20M+iCbXOoGuwA3lYyjaC4NlhwWCqxpW1D2d74b&#10;BcffMr21aXr4zupd29N+YuLuR6nxqN98gfDU+3f41d5rBZ8x/H8JP0Cu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86y8PEAAAA2wAAAA8AAAAAAAAAAAAAAAAAmAIAAGRycy9k&#10;b3ducmV2LnhtbFBLBQYAAAAABAAEAPUAAACJAwAAAAA=&#10;" path="m,l330265,r894873,1542664l895208,1542664,,xe" fillcolor="#58b6c0 [3205]" stroked="f">
                <v:stroke joinstyle="miter"/>
                <v:path arrowok="t" o:connecttype="custom" o:connectlocs="0,0;330265,0;1225138,1542664;895208,1542664;0,0" o:connectangles="0,0,0,0,0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E48C5E2A"/>
    <w:lvl w:ilvl="0">
      <w:start w:val="1"/>
      <w:numFmt w:val="decimal"/>
      <w:pStyle w:val="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933AA1FC"/>
    <w:lvl w:ilvl="0">
      <w:start w:val="1"/>
      <w:numFmt w:val="decimal"/>
      <w:pStyle w:val="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5C26B77C"/>
    <w:lvl w:ilvl="0">
      <w:start w:val="1"/>
      <w:numFmt w:val="lowerLetter"/>
      <w:pStyle w:val="3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 w15:restartNumberingAfterBreak="0">
    <w:nsid w:val="FFFFFF80"/>
    <w:multiLevelType w:val="singleLevel"/>
    <w:tmpl w:val="6314739A"/>
    <w:lvl w:ilvl="0">
      <w:start w:val="1"/>
      <w:numFmt w:val="bullet"/>
      <w:pStyle w:val="50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4" w15:restartNumberingAfterBreak="0">
    <w:nsid w:val="FFFFFF81"/>
    <w:multiLevelType w:val="singleLevel"/>
    <w:tmpl w:val="55DEA4B6"/>
    <w:lvl w:ilvl="0">
      <w:start w:val="1"/>
      <w:numFmt w:val="bullet"/>
      <w:pStyle w:val="40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760AC8EA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8A38F804"/>
    <w:lvl w:ilvl="0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9"/>
    <w:multiLevelType w:val="singleLevel"/>
    <w:tmpl w:val="0C6E2CD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084C061E"/>
    <w:multiLevelType w:val="hybridMultilevel"/>
    <w:tmpl w:val="DDBAB88E"/>
    <w:lvl w:ilvl="0" w:tplc="D076FD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9CA63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5EB2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4A40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AA211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95E33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8E6EF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AFAB9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082F8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17890B8C"/>
    <w:multiLevelType w:val="hybridMultilevel"/>
    <w:tmpl w:val="749E56B8"/>
    <w:lvl w:ilvl="0" w:tplc="55B223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1F66B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B0C3F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DA6CE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13E96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208FD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D42EA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41445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242BF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1C2615A1"/>
    <w:multiLevelType w:val="multilevel"/>
    <w:tmpl w:val="D960B738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F5F32D2"/>
    <w:multiLevelType w:val="hybridMultilevel"/>
    <w:tmpl w:val="DFBCE4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240394"/>
    <w:multiLevelType w:val="hybridMultilevel"/>
    <w:tmpl w:val="033A049A"/>
    <w:lvl w:ilvl="0" w:tplc="DD3E2C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6FA86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AD88D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00827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9DA13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1D420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D140F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FBA1F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6488F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2E8675C5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33202067"/>
    <w:multiLevelType w:val="hybridMultilevel"/>
    <w:tmpl w:val="70D051C4"/>
    <w:lvl w:ilvl="0" w:tplc="2E00FC7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116D5F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4449EC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17E980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7789D8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1B049D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640069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46ABE6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7CE5F7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FA412F"/>
    <w:multiLevelType w:val="multilevel"/>
    <w:tmpl w:val="B168653C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74E6086"/>
    <w:multiLevelType w:val="hybridMultilevel"/>
    <w:tmpl w:val="9E6CFB0E"/>
    <w:lvl w:ilvl="0" w:tplc="F25C78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8223E3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FAC2F8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4AE16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62D75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C923B8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58C6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AA324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6AABE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0856772"/>
    <w:multiLevelType w:val="multilevel"/>
    <w:tmpl w:val="4E88364C"/>
    <w:lvl w:ilvl="0">
      <w:start w:val="1"/>
      <w:numFmt w:val="upperRoman"/>
      <w:pStyle w:val="a0"/>
      <w:lvlText w:val="%1."/>
      <w:lvlJc w:val="right"/>
      <w:pPr>
        <w:ind w:left="173" w:hanging="173"/>
      </w:pPr>
      <w:rPr>
        <w:rFonts w:asciiTheme="minorHAnsi" w:hAnsiTheme="minorHAnsi" w:hint="default"/>
        <w:b/>
        <w:i w:val="0"/>
        <w:sz w:val="24"/>
      </w:rPr>
    </w:lvl>
    <w:lvl w:ilvl="1">
      <w:start w:val="1"/>
      <w:numFmt w:val="lowerLetter"/>
      <w:pStyle w:val="20"/>
      <w:lvlText w:val="%2)"/>
      <w:lvlJc w:val="left"/>
      <w:pPr>
        <w:ind w:left="720" w:hanging="588"/>
      </w:pPr>
      <w:rPr>
        <w:rFonts w:asciiTheme="minorHAnsi" w:hAnsiTheme="minorHAnsi" w:hint="default"/>
        <w:b w:val="0"/>
        <w:i w:val="0"/>
        <w:sz w:val="24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18" w15:restartNumberingAfterBreak="0">
    <w:nsid w:val="44176042"/>
    <w:multiLevelType w:val="hybridMultilevel"/>
    <w:tmpl w:val="30BE3BA8"/>
    <w:lvl w:ilvl="0" w:tplc="E422B2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D227C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DF2CE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8C2A4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E6460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2D04C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0A873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D7CB4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EC8E7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 w15:restartNumberingAfterBreak="0">
    <w:nsid w:val="45F20E54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469E646F"/>
    <w:multiLevelType w:val="hybridMultilevel"/>
    <w:tmpl w:val="6BC27868"/>
    <w:lvl w:ilvl="0" w:tplc="89BA1C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7E08F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39260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144A6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E40C8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582CE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1BA8A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3508A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39882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 w15:restartNumberingAfterBreak="0">
    <w:nsid w:val="5DE67920"/>
    <w:multiLevelType w:val="hybridMultilevel"/>
    <w:tmpl w:val="411E7B96"/>
    <w:lvl w:ilvl="0" w:tplc="AA7AB0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09E6F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99E86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E0C39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2CC92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4E280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A188D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82AAF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5029D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 w15:restartNumberingAfterBreak="0">
    <w:nsid w:val="60C52790"/>
    <w:multiLevelType w:val="hybridMultilevel"/>
    <w:tmpl w:val="09C05FAE"/>
    <w:lvl w:ilvl="0" w:tplc="124C67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08636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C0CD4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89C8F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DEAE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F5443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3266A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5F6F6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1B250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 w15:restartNumberingAfterBreak="0">
    <w:nsid w:val="62DB3915"/>
    <w:multiLevelType w:val="hybridMultilevel"/>
    <w:tmpl w:val="2354C824"/>
    <w:lvl w:ilvl="0" w:tplc="A634C6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C6A55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1D022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B6626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9185A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91867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BCEAA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7382B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09C6E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 w15:restartNumberingAfterBreak="0">
    <w:nsid w:val="66563EAE"/>
    <w:multiLevelType w:val="hybridMultilevel"/>
    <w:tmpl w:val="92E87160"/>
    <w:lvl w:ilvl="0" w:tplc="FD263D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4809A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760E9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DBE22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20A92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64AAF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BE8BC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1B088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03AD1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5" w15:restartNumberingAfterBreak="0">
    <w:nsid w:val="68C10718"/>
    <w:multiLevelType w:val="multilevel"/>
    <w:tmpl w:val="04090023"/>
    <w:styleLink w:val="a1"/>
    <w:lvl w:ilvl="0">
      <w:start w:val="1"/>
      <w:numFmt w:val="upperRoman"/>
      <w:lvlText w:val="Статья %1."/>
      <w:lvlJc w:val="left"/>
      <w:pPr>
        <w:ind w:left="0" w:firstLine="0"/>
      </w:pPr>
      <w:rPr>
        <w:rFonts w:ascii="Times New Roman" w:hAnsi="Times New Roman" w:cs="Times New Roman"/>
      </w:rPr>
    </w:lvl>
    <w:lvl w:ilvl="1">
      <w:start w:val="1"/>
      <w:numFmt w:val="decimalZero"/>
      <w:isLgl/>
      <w:lvlText w:val="Раздел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6" w15:restartNumberingAfterBreak="0">
    <w:nsid w:val="69702B56"/>
    <w:multiLevelType w:val="multilevel"/>
    <w:tmpl w:val="9648B0DA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DCD25EA"/>
    <w:multiLevelType w:val="hybridMultilevel"/>
    <w:tmpl w:val="5FEA0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4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17"/>
  </w:num>
  <w:num w:numId="10">
    <w:abstractNumId w:val="13"/>
  </w:num>
  <w:num w:numId="11">
    <w:abstractNumId w:val="19"/>
  </w:num>
  <w:num w:numId="12">
    <w:abstractNumId w:val="25"/>
  </w:num>
  <w:num w:numId="13">
    <w:abstractNumId w:val="27"/>
  </w:num>
  <w:num w:numId="14">
    <w:abstractNumId w:val="11"/>
  </w:num>
  <w:num w:numId="15">
    <w:abstractNumId w:val="14"/>
  </w:num>
  <w:num w:numId="16">
    <w:abstractNumId w:val="8"/>
  </w:num>
  <w:num w:numId="17">
    <w:abstractNumId w:val="24"/>
  </w:num>
  <w:num w:numId="18">
    <w:abstractNumId w:val="12"/>
  </w:num>
  <w:num w:numId="19">
    <w:abstractNumId w:val="22"/>
  </w:num>
  <w:num w:numId="20">
    <w:abstractNumId w:val="18"/>
  </w:num>
  <w:num w:numId="21">
    <w:abstractNumId w:val="16"/>
  </w:num>
  <w:num w:numId="22">
    <w:abstractNumId w:val="21"/>
  </w:num>
  <w:num w:numId="23">
    <w:abstractNumId w:val="20"/>
  </w:num>
  <w:num w:numId="24">
    <w:abstractNumId w:val="9"/>
  </w:num>
  <w:num w:numId="25">
    <w:abstractNumId w:val="23"/>
  </w:num>
  <w:num w:numId="26">
    <w:abstractNumId w:val="26"/>
  </w:num>
  <w:num w:numId="27">
    <w:abstractNumId w:val="10"/>
  </w:num>
  <w:num w:numId="28">
    <w:abstractNumId w:val="15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4"/>
  <w:removePersonalInformation/>
  <w:removeDateAndTime/>
  <w:attachedTemplate r:id="rId1"/>
  <w:stylePaneFormatFilter w:val="7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1" w:alternateStyleNames="0"/>
  <w:stylePaneSortMethod w:val="0000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77E"/>
    <w:rsid w:val="0000418E"/>
    <w:rsid w:val="00016839"/>
    <w:rsid w:val="00042528"/>
    <w:rsid w:val="00042FB3"/>
    <w:rsid w:val="00057671"/>
    <w:rsid w:val="00084752"/>
    <w:rsid w:val="00086540"/>
    <w:rsid w:val="000D445D"/>
    <w:rsid w:val="000E0B00"/>
    <w:rsid w:val="000E16FF"/>
    <w:rsid w:val="000E46E6"/>
    <w:rsid w:val="000F4987"/>
    <w:rsid w:val="000F65EC"/>
    <w:rsid w:val="00103670"/>
    <w:rsid w:val="0010487E"/>
    <w:rsid w:val="00110BBD"/>
    <w:rsid w:val="001112C7"/>
    <w:rsid w:val="0011573E"/>
    <w:rsid w:val="00125E33"/>
    <w:rsid w:val="0012634B"/>
    <w:rsid w:val="001269DE"/>
    <w:rsid w:val="001351F7"/>
    <w:rsid w:val="00140DAE"/>
    <w:rsid w:val="0015180F"/>
    <w:rsid w:val="00156128"/>
    <w:rsid w:val="001574C3"/>
    <w:rsid w:val="001746FC"/>
    <w:rsid w:val="00193653"/>
    <w:rsid w:val="001A6AC0"/>
    <w:rsid w:val="001A76E2"/>
    <w:rsid w:val="001B0576"/>
    <w:rsid w:val="001C329C"/>
    <w:rsid w:val="001D1758"/>
    <w:rsid w:val="001E7D29"/>
    <w:rsid w:val="002142C8"/>
    <w:rsid w:val="00215269"/>
    <w:rsid w:val="00222713"/>
    <w:rsid w:val="0022366B"/>
    <w:rsid w:val="002273DF"/>
    <w:rsid w:val="00230B3D"/>
    <w:rsid w:val="002404F5"/>
    <w:rsid w:val="0025449B"/>
    <w:rsid w:val="00275260"/>
    <w:rsid w:val="00276FA1"/>
    <w:rsid w:val="00280C04"/>
    <w:rsid w:val="00285B87"/>
    <w:rsid w:val="00291B4A"/>
    <w:rsid w:val="002C3D7E"/>
    <w:rsid w:val="002D0AAD"/>
    <w:rsid w:val="002E078D"/>
    <w:rsid w:val="002E4F42"/>
    <w:rsid w:val="002F234B"/>
    <w:rsid w:val="002F76DA"/>
    <w:rsid w:val="00303179"/>
    <w:rsid w:val="0032131A"/>
    <w:rsid w:val="00327191"/>
    <w:rsid w:val="00330439"/>
    <w:rsid w:val="003310BF"/>
    <w:rsid w:val="00333DF8"/>
    <w:rsid w:val="003377F9"/>
    <w:rsid w:val="00352B99"/>
    <w:rsid w:val="00357641"/>
    <w:rsid w:val="003603AA"/>
    <w:rsid w:val="00360B6E"/>
    <w:rsid w:val="00361DEE"/>
    <w:rsid w:val="00394EF4"/>
    <w:rsid w:val="003A1CB3"/>
    <w:rsid w:val="003B7F92"/>
    <w:rsid w:val="003D1740"/>
    <w:rsid w:val="003E5EB5"/>
    <w:rsid w:val="00410612"/>
    <w:rsid w:val="00411F8B"/>
    <w:rsid w:val="004203B0"/>
    <w:rsid w:val="004230D9"/>
    <w:rsid w:val="00450670"/>
    <w:rsid w:val="00451440"/>
    <w:rsid w:val="004527B8"/>
    <w:rsid w:val="004701E1"/>
    <w:rsid w:val="004724BD"/>
    <w:rsid w:val="00477352"/>
    <w:rsid w:val="00491C23"/>
    <w:rsid w:val="004B5C09"/>
    <w:rsid w:val="004C733F"/>
    <w:rsid w:val="004D454D"/>
    <w:rsid w:val="004E227E"/>
    <w:rsid w:val="004F7FED"/>
    <w:rsid w:val="00500DD1"/>
    <w:rsid w:val="00507378"/>
    <w:rsid w:val="00521AE3"/>
    <w:rsid w:val="00535B54"/>
    <w:rsid w:val="00554276"/>
    <w:rsid w:val="0056094A"/>
    <w:rsid w:val="00564D17"/>
    <w:rsid w:val="00570173"/>
    <w:rsid w:val="005762AB"/>
    <w:rsid w:val="00587101"/>
    <w:rsid w:val="005A72D4"/>
    <w:rsid w:val="005B3A9C"/>
    <w:rsid w:val="005D1C1F"/>
    <w:rsid w:val="005D3902"/>
    <w:rsid w:val="005E0ED9"/>
    <w:rsid w:val="005E2C92"/>
    <w:rsid w:val="005F25B0"/>
    <w:rsid w:val="00616B41"/>
    <w:rsid w:val="00620AE8"/>
    <w:rsid w:val="00622B83"/>
    <w:rsid w:val="0062682A"/>
    <w:rsid w:val="0064628C"/>
    <w:rsid w:val="0065214E"/>
    <w:rsid w:val="00655EE2"/>
    <w:rsid w:val="00680296"/>
    <w:rsid w:val="00683EA4"/>
    <w:rsid w:val="006853BC"/>
    <w:rsid w:val="00687389"/>
    <w:rsid w:val="006928C1"/>
    <w:rsid w:val="006D0C8C"/>
    <w:rsid w:val="006D5463"/>
    <w:rsid w:val="006E015E"/>
    <w:rsid w:val="006F03D4"/>
    <w:rsid w:val="006F36A7"/>
    <w:rsid w:val="00700B1F"/>
    <w:rsid w:val="0072228D"/>
    <w:rsid w:val="007257E9"/>
    <w:rsid w:val="00740105"/>
    <w:rsid w:val="00744B1E"/>
    <w:rsid w:val="00756AD4"/>
    <w:rsid w:val="00756D9C"/>
    <w:rsid w:val="007619BD"/>
    <w:rsid w:val="00771C24"/>
    <w:rsid w:val="00781863"/>
    <w:rsid w:val="00792701"/>
    <w:rsid w:val="007B1B53"/>
    <w:rsid w:val="007D0BC1"/>
    <w:rsid w:val="007D5836"/>
    <w:rsid w:val="007F34A4"/>
    <w:rsid w:val="00800BDB"/>
    <w:rsid w:val="00815563"/>
    <w:rsid w:val="008240DA"/>
    <w:rsid w:val="008429E5"/>
    <w:rsid w:val="00867EA4"/>
    <w:rsid w:val="0088077C"/>
    <w:rsid w:val="00880C14"/>
    <w:rsid w:val="00890EFA"/>
    <w:rsid w:val="00897D88"/>
    <w:rsid w:val="008A0319"/>
    <w:rsid w:val="008A059E"/>
    <w:rsid w:val="008C3A52"/>
    <w:rsid w:val="008D0732"/>
    <w:rsid w:val="008D43E9"/>
    <w:rsid w:val="008E3C0E"/>
    <w:rsid w:val="008E421A"/>
    <w:rsid w:val="008E476B"/>
    <w:rsid w:val="008F0672"/>
    <w:rsid w:val="008F0C87"/>
    <w:rsid w:val="008F0F63"/>
    <w:rsid w:val="00927C63"/>
    <w:rsid w:val="00932F50"/>
    <w:rsid w:val="0093563E"/>
    <w:rsid w:val="0094637B"/>
    <w:rsid w:val="00955A78"/>
    <w:rsid w:val="00956233"/>
    <w:rsid w:val="009602EE"/>
    <w:rsid w:val="00970C93"/>
    <w:rsid w:val="009921B8"/>
    <w:rsid w:val="0099313D"/>
    <w:rsid w:val="009D4984"/>
    <w:rsid w:val="009D6901"/>
    <w:rsid w:val="009F4E19"/>
    <w:rsid w:val="009F7D3C"/>
    <w:rsid w:val="00A02E28"/>
    <w:rsid w:val="00A07662"/>
    <w:rsid w:val="00A1006B"/>
    <w:rsid w:val="00A207BA"/>
    <w:rsid w:val="00A21B71"/>
    <w:rsid w:val="00A25111"/>
    <w:rsid w:val="00A3439E"/>
    <w:rsid w:val="00A37F9E"/>
    <w:rsid w:val="00A40085"/>
    <w:rsid w:val="00A426DC"/>
    <w:rsid w:val="00A47DF6"/>
    <w:rsid w:val="00A60E11"/>
    <w:rsid w:val="00A63D35"/>
    <w:rsid w:val="00A9231C"/>
    <w:rsid w:val="00AA2532"/>
    <w:rsid w:val="00AA4144"/>
    <w:rsid w:val="00AA46B7"/>
    <w:rsid w:val="00AB33D5"/>
    <w:rsid w:val="00AC72FB"/>
    <w:rsid w:val="00AD589B"/>
    <w:rsid w:val="00AE1F88"/>
    <w:rsid w:val="00AE361F"/>
    <w:rsid w:val="00AE5370"/>
    <w:rsid w:val="00B247A9"/>
    <w:rsid w:val="00B435B5"/>
    <w:rsid w:val="00B43F0B"/>
    <w:rsid w:val="00B50C2F"/>
    <w:rsid w:val="00B54E12"/>
    <w:rsid w:val="00B565D8"/>
    <w:rsid w:val="00B5779A"/>
    <w:rsid w:val="00B60818"/>
    <w:rsid w:val="00B64D24"/>
    <w:rsid w:val="00B7147D"/>
    <w:rsid w:val="00B75CFC"/>
    <w:rsid w:val="00B853F9"/>
    <w:rsid w:val="00B92231"/>
    <w:rsid w:val="00B9319F"/>
    <w:rsid w:val="00BA2CE6"/>
    <w:rsid w:val="00BB018B"/>
    <w:rsid w:val="00BD1747"/>
    <w:rsid w:val="00BD1B3B"/>
    <w:rsid w:val="00BD2B06"/>
    <w:rsid w:val="00BE367F"/>
    <w:rsid w:val="00BF01F4"/>
    <w:rsid w:val="00BF363B"/>
    <w:rsid w:val="00BF49DD"/>
    <w:rsid w:val="00C05872"/>
    <w:rsid w:val="00C078AF"/>
    <w:rsid w:val="00C14973"/>
    <w:rsid w:val="00C1643D"/>
    <w:rsid w:val="00C16505"/>
    <w:rsid w:val="00C261A9"/>
    <w:rsid w:val="00C37607"/>
    <w:rsid w:val="00C42793"/>
    <w:rsid w:val="00C46B07"/>
    <w:rsid w:val="00C47362"/>
    <w:rsid w:val="00C601ED"/>
    <w:rsid w:val="00C63F12"/>
    <w:rsid w:val="00C916B2"/>
    <w:rsid w:val="00CA3D88"/>
    <w:rsid w:val="00CA4B57"/>
    <w:rsid w:val="00CD246E"/>
    <w:rsid w:val="00CE4271"/>
    <w:rsid w:val="00CE5A5C"/>
    <w:rsid w:val="00CF0EC4"/>
    <w:rsid w:val="00CF2DF9"/>
    <w:rsid w:val="00D14CC6"/>
    <w:rsid w:val="00D21E3F"/>
    <w:rsid w:val="00D31AB7"/>
    <w:rsid w:val="00D50D23"/>
    <w:rsid w:val="00D512BB"/>
    <w:rsid w:val="00D53571"/>
    <w:rsid w:val="00D92FF2"/>
    <w:rsid w:val="00DA3B1A"/>
    <w:rsid w:val="00DB3110"/>
    <w:rsid w:val="00DC6078"/>
    <w:rsid w:val="00DC79AD"/>
    <w:rsid w:val="00DD2075"/>
    <w:rsid w:val="00DD6D8B"/>
    <w:rsid w:val="00DE700F"/>
    <w:rsid w:val="00DF2868"/>
    <w:rsid w:val="00E25736"/>
    <w:rsid w:val="00E3437B"/>
    <w:rsid w:val="00E553ED"/>
    <w:rsid w:val="00E557A0"/>
    <w:rsid w:val="00E74942"/>
    <w:rsid w:val="00E907BC"/>
    <w:rsid w:val="00EA3AA9"/>
    <w:rsid w:val="00EE4283"/>
    <w:rsid w:val="00EF6435"/>
    <w:rsid w:val="00F062BA"/>
    <w:rsid w:val="00F10F6B"/>
    <w:rsid w:val="00F12121"/>
    <w:rsid w:val="00F23697"/>
    <w:rsid w:val="00F34140"/>
    <w:rsid w:val="00F36BB7"/>
    <w:rsid w:val="00F414E4"/>
    <w:rsid w:val="00F41B1F"/>
    <w:rsid w:val="00F50B79"/>
    <w:rsid w:val="00F86699"/>
    <w:rsid w:val="00F87EAA"/>
    <w:rsid w:val="00F92B25"/>
    <w:rsid w:val="00F93D79"/>
    <w:rsid w:val="00FA08A0"/>
    <w:rsid w:val="00FA3FA4"/>
    <w:rsid w:val="00FB3809"/>
    <w:rsid w:val="00FD6CAB"/>
    <w:rsid w:val="00FE4063"/>
    <w:rsid w:val="00FE6B6C"/>
    <w:rsid w:val="00FE7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  <w:ind w:left="173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3" w:qFormat="1"/>
    <w:lsdException w:name="List Number" w:uiPriority="12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12" w:unhideWhenUsed="1" w:qFormat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iPriority="10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FE777E"/>
    <w:pPr>
      <w:widowControl w:val="0"/>
      <w:autoSpaceDE w:val="0"/>
      <w:autoSpaceDN w:val="0"/>
      <w:adjustRightInd w:val="0"/>
      <w:spacing w:after="0" w:line="240" w:lineRule="auto"/>
      <w:ind w:left="0"/>
    </w:pPr>
    <w:rPr>
      <w:rFonts w:ascii="Times New Roman" w:hAnsi="Times New Roman"/>
      <w:sz w:val="20"/>
      <w:szCs w:val="20"/>
      <w:lang w:eastAsia="ru-RU"/>
    </w:rPr>
  </w:style>
  <w:style w:type="paragraph" w:styleId="1">
    <w:name w:val="heading 1"/>
    <w:basedOn w:val="a2"/>
    <w:link w:val="10"/>
    <w:uiPriority w:val="9"/>
    <w:qFormat/>
    <w:rsid w:val="005F25B0"/>
    <w:pPr>
      <w:keepNext/>
      <w:spacing w:before="480" w:after="60"/>
      <w:contextualSpacing/>
      <w:jc w:val="center"/>
      <w:outlineLvl w:val="0"/>
    </w:pPr>
    <w:rPr>
      <w:rFonts w:asciiTheme="majorHAnsi" w:hAnsiTheme="majorHAnsi" w:cs="Arial"/>
      <w:b/>
      <w:bCs/>
      <w:kern w:val="32"/>
      <w:sz w:val="32"/>
      <w:szCs w:val="32"/>
    </w:rPr>
  </w:style>
  <w:style w:type="paragraph" w:styleId="21">
    <w:name w:val="heading 2"/>
    <w:basedOn w:val="a2"/>
    <w:link w:val="22"/>
    <w:uiPriority w:val="9"/>
    <w:unhideWhenUsed/>
    <w:qFormat/>
    <w:rsid w:val="004230D9"/>
    <w:pPr>
      <w:keepNext/>
      <w:spacing w:before="240" w:after="60"/>
      <w:contextualSpacing/>
      <w:outlineLvl w:val="1"/>
    </w:pPr>
    <w:rPr>
      <w:rFonts w:ascii="Arial" w:hAnsi="Arial" w:cs="Arial"/>
      <w:b/>
      <w:bCs/>
      <w:iCs/>
      <w:szCs w:val="28"/>
    </w:rPr>
  </w:style>
  <w:style w:type="paragraph" w:styleId="31">
    <w:name w:val="heading 3"/>
    <w:basedOn w:val="a2"/>
    <w:uiPriority w:val="9"/>
    <w:semiHidden/>
    <w:unhideWhenUsed/>
    <w:qFormat/>
    <w:rsid w:val="004230D9"/>
    <w:pPr>
      <w:keepNext/>
      <w:spacing w:before="240" w:after="60"/>
      <w:contextualSpacing/>
      <w:outlineLvl w:val="2"/>
    </w:pPr>
    <w:rPr>
      <w:rFonts w:ascii="Arial" w:hAnsi="Arial" w:cs="Arial"/>
      <w:b/>
      <w:bCs/>
      <w:szCs w:val="26"/>
    </w:rPr>
  </w:style>
  <w:style w:type="paragraph" w:styleId="41">
    <w:name w:val="heading 4"/>
    <w:basedOn w:val="a2"/>
    <w:link w:val="42"/>
    <w:uiPriority w:val="9"/>
    <w:semiHidden/>
    <w:unhideWhenUsed/>
    <w:qFormat/>
    <w:rsid w:val="004230D9"/>
    <w:pPr>
      <w:keepNext/>
      <w:keepLines/>
      <w:spacing w:before="40"/>
      <w:contextualSpacing/>
      <w:outlineLvl w:val="3"/>
    </w:pPr>
    <w:rPr>
      <w:rFonts w:ascii="Arial" w:eastAsiaTheme="majorEastAsia" w:hAnsi="Arial" w:cs="Arial"/>
      <w:i/>
      <w:iCs/>
      <w:color w:val="276E8B" w:themeColor="accent1" w:themeShade="BF"/>
    </w:rPr>
  </w:style>
  <w:style w:type="paragraph" w:styleId="51">
    <w:name w:val="heading 5"/>
    <w:basedOn w:val="a2"/>
    <w:link w:val="52"/>
    <w:uiPriority w:val="9"/>
    <w:semiHidden/>
    <w:unhideWhenUsed/>
    <w:qFormat/>
    <w:rsid w:val="004230D9"/>
    <w:pPr>
      <w:keepNext/>
      <w:keepLines/>
      <w:spacing w:before="40"/>
      <w:contextualSpacing/>
      <w:outlineLvl w:val="4"/>
    </w:pPr>
    <w:rPr>
      <w:rFonts w:ascii="Arial" w:eastAsiaTheme="majorEastAsia" w:hAnsi="Arial" w:cs="Arial"/>
      <w:color w:val="276E8B" w:themeColor="accent1" w:themeShade="BF"/>
    </w:rPr>
  </w:style>
  <w:style w:type="paragraph" w:styleId="6">
    <w:name w:val="heading 6"/>
    <w:basedOn w:val="a2"/>
    <w:link w:val="60"/>
    <w:uiPriority w:val="9"/>
    <w:semiHidden/>
    <w:unhideWhenUsed/>
    <w:qFormat/>
    <w:rsid w:val="004230D9"/>
    <w:pPr>
      <w:keepNext/>
      <w:keepLines/>
      <w:spacing w:before="40"/>
      <w:contextualSpacing/>
      <w:outlineLvl w:val="5"/>
    </w:pPr>
    <w:rPr>
      <w:rFonts w:ascii="Arial" w:eastAsiaTheme="majorEastAsia" w:hAnsi="Arial" w:cs="Arial"/>
      <w:color w:val="1A495C" w:themeColor="accent1" w:themeShade="7F"/>
    </w:rPr>
  </w:style>
  <w:style w:type="paragraph" w:styleId="7">
    <w:name w:val="heading 7"/>
    <w:basedOn w:val="a2"/>
    <w:link w:val="70"/>
    <w:uiPriority w:val="9"/>
    <w:semiHidden/>
    <w:unhideWhenUsed/>
    <w:qFormat/>
    <w:rsid w:val="004230D9"/>
    <w:pPr>
      <w:keepNext/>
      <w:keepLines/>
      <w:spacing w:before="40"/>
      <w:contextualSpacing/>
      <w:outlineLvl w:val="6"/>
    </w:pPr>
    <w:rPr>
      <w:rFonts w:ascii="Arial" w:eastAsiaTheme="majorEastAsia" w:hAnsi="Arial" w:cs="Arial"/>
      <w:i/>
      <w:iCs/>
      <w:color w:val="1A495C" w:themeColor="accent1" w:themeShade="7F"/>
    </w:rPr>
  </w:style>
  <w:style w:type="paragraph" w:styleId="8">
    <w:name w:val="heading 8"/>
    <w:basedOn w:val="a2"/>
    <w:link w:val="80"/>
    <w:uiPriority w:val="9"/>
    <w:semiHidden/>
    <w:unhideWhenUsed/>
    <w:qFormat/>
    <w:rsid w:val="004230D9"/>
    <w:pPr>
      <w:keepNext/>
      <w:keepLines/>
      <w:spacing w:before="40"/>
      <w:contextualSpacing/>
      <w:outlineLvl w:val="7"/>
    </w:pPr>
    <w:rPr>
      <w:rFonts w:ascii="Arial" w:eastAsiaTheme="majorEastAsia" w:hAnsi="Arial" w:cs="Arial"/>
      <w:color w:val="272727" w:themeColor="text1" w:themeTint="D8"/>
      <w:sz w:val="22"/>
      <w:szCs w:val="21"/>
    </w:rPr>
  </w:style>
  <w:style w:type="paragraph" w:styleId="9">
    <w:name w:val="heading 9"/>
    <w:basedOn w:val="a2"/>
    <w:link w:val="90"/>
    <w:uiPriority w:val="9"/>
    <w:semiHidden/>
    <w:unhideWhenUsed/>
    <w:qFormat/>
    <w:rsid w:val="004230D9"/>
    <w:pPr>
      <w:keepNext/>
      <w:keepLines/>
      <w:spacing w:before="40"/>
      <w:contextualSpacing/>
      <w:outlineLvl w:val="8"/>
    </w:pPr>
    <w:rPr>
      <w:rFonts w:ascii="Arial" w:eastAsiaTheme="majorEastAsia" w:hAnsi="Arial" w:cs="Arial"/>
      <w:i/>
      <w:iCs/>
      <w:color w:val="272727" w:themeColor="text1" w:themeTint="D8"/>
      <w:sz w:val="22"/>
      <w:szCs w:val="21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0">
    <w:name w:val="List Number"/>
    <w:basedOn w:val="a2"/>
    <w:uiPriority w:val="12"/>
    <w:qFormat/>
    <w:rsid w:val="002F76DA"/>
    <w:pPr>
      <w:numPr>
        <w:numId w:val="9"/>
      </w:numPr>
    </w:pPr>
    <w:rPr>
      <w:b/>
    </w:rPr>
  </w:style>
  <w:style w:type="character" w:styleId="a6">
    <w:name w:val="Placeholder Text"/>
    <w:basedOn w:val="a3"/>
    <w:uiPriority w:val="99"/>
    <w:semiHidden/>
    <w:rsid w:val="004230D9"/>
    <w:rPr>
      <w:rFonts w:ascii="Times New Roman" w:hAnsi="Times New Roman" w:cs="Times New Roman"/>
      <w:color w:val="595959" w:themeColor="text1" w:themeTint="A6"/>
    </w:rPr>
  </w:style>
  <w:style w:type="paragraph" w:styleId="a7">
    <w:name w:val="Date"/>
    <w:basedOn w:val="a2"/>
    <w:next w:val="a2"/>
    <w:link w:val="a8"/>
    <w:uiPriority w:val="10"/>
    <w:qFormat/>
    <w:rsid w:val="004230D9"/>
    <w:pPr>
      <w:spacing w:after="480"/>
      <w:jc w:val="center"/>
    </w:pPr>
  </w:style>
  <w:style w:type="paragraph" w:styleId="a9">
    <w:name w:val="Balloon Text"/>
    <w:basedOn w:val="a2"/>
    <w:link w:val="aa"/>
    <w:uiPriority w:val="99"/>
    <w:semiHidden/>
    <w:unhideWhenUsed/>
    <w:rsid w:val="004230D9"/>
    <w:rPr>
      <w:rFonts w:ascii="Tahoma" w:hAnsi="Tahoma" w:cs="Tahoma"/>
      <w:sz w:val="22"/>
      <w:szCs w:val="16"/>
    </w:rPr>
  </w:style>
  <w:style w:type="character" w:customStyle="1" w:styleId="aa">
    <w:name w:val="Текст выноски Знак"/>
    <w:basedOn w:val="a3"/>
    <w:link w:val="a9"/>
    <w:uiPriority w:val="99"/>
    <w:semiHidden/>
    <w:rsid w:val="004230D9"/>
    <w:rPr>
      <w:rFonts w:ascii="Tahoma" w:hAnsi="Tahoma" w:cs="Tahoma"/>
      <w:sz w:val="22"/>
      <w:szCs w:val="16"/>
    </w:rPr>
  </w:style>
  <w:style w:type="paragraph" w:styleId="a">
    <w:name w:val="List Bullet"/>
    <w:basedOn w:val="a2"/>
    <w:uiPriority w:val="13"/>
    <w:qFormat/>
    <w:rsid w:val="004230D9"/>
    <w:pPr>
      <w:numPr>
        <w:numId w:val="1"/>
      </w:numPr>
      <w:contextualSpacing/>
    </w:pPr>
    <w:rPr>
      <w:b/>
    </w:rPr>
  </w:style>
  <w:style w:type="character" w:customStyle="1" w:styleId="42">
    <w:name w:val="Заголовок 4 Знак"/>
    <w:basedOn w:val="a3"/>
    <w:link w:val="41"/>
    <w:uiPriority w:val="9"/>
    <w:semiHidden/>
    <w:rsid w:val="004230D9"/>
    <w:rPr>
      <w:rFonts w:ascii="Arial" w:eastAsiaTheme="majorEastAsia" w:hAnsi="Arial" w:cs="Arial"/>
      <w:i/>
      <w:iCs/>
      <w:color w:val="276E8B" w:themeColor="accent1" w:themeShade="BF"/>
    </w:rPr>
  </w:style>
  <w:style w:type="character" w:styleId="ab">
    <w:name w:val="Emphasis"/>
    <w:basedOn w:val="a3"/>
    <w:uiPriority w:val="20"/>
    <w:qFormat/>
    <w:rsid w:val="005F25B0"/>
    <w:rPr>
      <w:rFonts w:asciiTheme="minorHAnsi" w:hAnsiTheme="minorHAnsi" w:cs="Times New Roman"/>
      <w:b/>
      <w:i w:val="0"/>
      <w:iCs/>
      <w:color w:val="FFFFFF" w:themeColor="background1"/>
    </w:rPr>
  </w:style>
  <w:style w:type="character" w:customStyle="1" w:styleId="52">
    <w:name w:val="Заголовок 5 Знак"/>
    <w:basedOn w:val="a3"/>
    <w:link w:val="51"/>
    <w:uiPriority w:val="9"/>
    <w:semiHidden/>
    <w:rsid w:val="004230D9"/>
    <w:rPr>
      <w:rFonts w:ascii="Arial" w:eastAsiaTheme="majorEastAsia" w:hAnsi="Arial" w:cs="Arial"/>
      <w:color w:val="276E8B" w:themeColor="accent1" w:themeShade="BF"/>
    </w:rPr>
  </w:style>
  <w:style w:type="character" w:customStyle="1" w:styleId="60">
    <w:name w:val="Заголовок 6 Знак"/>
    <w:basedOn w:val="a3"/>
    <w:link w:val="6"/>
    <w:uiPriority w:val="9"/>
    <w:semiHidden/>
    <w:rsid w:val="004230D9"/>
    <w:rPr>
      <w:rFonts w:ascii="Arial" w:eastAsiaTheme="majorEastAsia" w:hAnsi="Arial" w:cs="Arial"/>
      <w:color w:val="1A495C" w:themeColor="accent1" w:themeShade="7F"/>
    </w:rPr>
  </w:style>
  <w:style w:type="character" w:customStyle="1" w:styleId="70">
    <w:name w:val="Заголовок 7 Знак"/>
    <w:basedOn w:val="a3"/>
    <w:link w:val="7"/>
    <w:uiPriority w:val="9"/>
    <w:semiHidden/>
    <w:rsid w:val="004230D9"/>
    <w:rPr>
      <w:rFonts w:ascii="Arial" w:eastAsiaTheme="majorEastAsia" w:hAnsi="Arial" w:cs="Arial"/>
      <w:i/>
      <w:iCs/>
      <w:color w:val="1A495C" w:themeColor="accent1" w:themeShade="7F"/>
    </w:rPr>
  </w:style>
  <w:style w:type="character" w:customStyle="1" w:styleId="80">
    <w:name w:val="Заголовок 8 Знак"/>
    <w:basedOn w:val="a3"/>
    <w:link w:val="8"/>
    <w:uiPriority w:val="9"/>
    <w:semiHidden/>
    <w:rsid w:val="004230D9"/>
    <w:rPr>
      <w:rFonts w:ascii="Arial" w:eastAsiaTheme="majorEastAsia" w:hAnsi="Arial" w:cs="Arial"/>
      <w:color w:val="272727" w:themeColor="text1" w:themeTint="D8"/>
      <w:sz w:val="22"/>
      <w:szCs w:val="21"/>
    </w:rPr>
  </w:style>
  <w:style w:type="character" w:customStyle="1" w:styleId="90">
    <w:name w:val="Заголовок 9 Знак"/>
    <w:basedOn w:val="a3"/>
    <w:link w:val="9"/>
    <w:uiPriority w:val="9"/>
    <w:semiHidden/>
    <w:rsid w:val="004230D9"/>
    <w:rPr>
      <w:rFonts w:ascii="Arial" w:eastAsiaTheme="majorEastAsia" w:hAnsi="Arial" w:cs="Arial"/>
      <w:i/>
      <w:iCs/>
      <w:color w:val="272727" w:themeColor="text1" w:themeTint="D8"/>
      <w:sz w:val="22"/>
      <w:szCs w:val="21"/>
    </w:rPr>
  </w:style>
  <w:style w:type="paragraph" w:styleId="ac">
    <w:name w:val="Title"/>
    <w:basedOn w:val="a2"/>
    <w:link w:val="ad"/>
    <w:uiPriority w:val="10"/>
    <w:semiHidden/>
    <w:unhideWhenUsed/>
    <w:qFormat/>
    <w:rsid w:val="004230D9"/>
    <w:pPr>
      <w:contextualSpacing/>
    </w:pPr>
    <w:rPr>
      <w:rFonts w:ascii="Arial" w:eastAsiaTheme="majorEastAsia" w:hAnsi="Arial" w:cs="Arial"/>
      <w:spacing w:val="-10"/>
      <w:kern w:val="28"/>
      <w:sz w:val="56"/>
      <w:szCs w:val="56"/>
    </w:rPr>
  </w:style>
  <w:style w:type="character" w:customStyle="1" w:styleId="ad">
    <w:name w:val="Название Знак"/>
    <w:basedOn w:val="a3"/>
    <w:link w:val="ac"/>
    <w:uiPriority w:val="10"/>
    <w:semiHidden/>
    <w:rsid w:val="004230D9"/>
    <w:rPr>
      <w:rFonts w:ascii="Arial" w:eastAsiaTheme="majorEastAsia" w:hAnsi="Arial" w:cs="Arial"/>
      <w:spacing w:val="-10"/>
      <w:kern w:val="28"/>
      <w:sz w:val="56"/>
      <w:szCs w:val="56"/>
    </w:rPr>
  </w:style>
  <w:style w:type="paragraph" w:styleId="ae">
    <w:name w:val="Subtitle"/>
    <w:basedOn w:val="a2"/>
    <w:link w:val="af"/>
    <w:uiPriority w:val="11"/>
    <w:semiHidden/>
    <w:unhideWhenUsed/>
    <w:qFormat/>
    <w:rsid w:val="004230D9"/>
    <w:pPr>
      <w:numPr>
        <w:ilvl w:val="1"/>
      </w:numPr>
      <w:spacing w:after="160"/>
      <w:ind w:left="187"/>
      <w:contextualSpacing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af">
    <w:name w:val="Подзаголовок Знак"/>
    <w:basedOn w:val="a3"/>
    <w:link w:val="ae"/>
    <w:uiPriority w:val="11"/>
    <w:semiHidden/>
    <w:rsid w:val="004230D9"/>
    <w:rPr>
      <w:rFonts w:ascii="Times New Roman" w:eastAsiaTheme="minorEastAsia" w:hAnsi="Times New Roman" w:cs="Times New Roman"/>
      <w:color w:val="5A5A5A" w:themeColor="text1" w:themeTint="A5"/>
      <w:spacing w:val="15"/>
      <w:sz w:val="22"/>
      <w:szCs w:val="22"/>
    </w:rPr>
  </w:style>
  <w:style w:type="character" w:styleId="af0">
    <w:name w:val="Subtle Emphasis"/>
    <w:basedOn w:val="a3"/>
    <w:uiPriority w:val="19"/>
    <w:semiHidden/>
    <w:unhideWhenUsed/>
    <w:qFormat/>
    <w:rsid w:val="004230D9"/>
    <w:rPr>
      <w:rFonts w:ascii="Times New Roman" w:hAnsi="Times New Roman" w:cs="Times New Roman"/>
      <w:i/>
      <w:iCs/>
      <w:color w:val="404040" w:themeColor="text1" w:themeTint="BF"/>
    </w:rPr>
  </w:style>
  <w:style w:type="character" w:styleId="af1">
    <w:name w:val="Intense Emphasis"/>
    <w:basedOn w:val="a3"/>
    <w:uiPriority w:val="21"/>
    <w:semiHidden/>
    <w:unhideWhenUsed/>
    <w:qFormat/>
    <w:rsid w:val="004230D9"/>
    <w:rPr>
      <w:rFonts w:ascii="Times New Roman" w:hAnsi="Times New Roman" w:cs="Times New Roman"/>
      <w:i/>
      <w:iCs/>
      <w:color w:val="276E8B" w:themeColor="accent1" w:themeShade="BF"/>
    </w:rPr>
  </w:style>
  <w:style w:type="character" w:styleId="af2">
    <w:name w:val="Strong"/>
    <w:basedOn w:val="a3"/>
    <w:uiPriority w:val="22"/>
    <w:semiHidden/>
    <w:unhideWhenUsed/>
    <w:qFormat/>
    <w:rsid w:val="004230D9"/>
    <w:rPr>
      <w:rFonts w:ascii="Times New Roman" w:hAnsi="Times New Roman" w:cs="Times New Roman"/>
      <w:b/>
      <w:bCs/>
    </w:rPr>
  </w:style>
  <w:style w:type="paragraph" w:styleId="23">
    <w:name w:val="Quote"/>
    <w:basedOn w:val="a2"/>
    <w:link w:val="24"/>
    <w:uiPriority w:val="29"/>
    <w:semiHidden/>
    <w:unhideWhenUsed/>
    <w:qFormat/>
    <w:rsid w:val="004230D9"/>
    <w:pPr>
      <w:spacing w:before="200" w:after="160"/>
      <w:jc w:val="center"/>
    </w:pPr>
    <w:rPr>
      <w:i/>
      <w:iCs/>
      <w:color w:val="404040" w:themeColor="text1" w:themeTint="BF"/>
    </w:rPr>
  </w:style>
  <w:style w:type="character" w:customStyle="1" w:styleId="24">
    <w:name w:val="Цитата 2 Знак"/>
    <w:basedOn w:val="a3"/>
    <w:link w:val="23"/>
    <w:uiPriority w:val="29"/>
    <w:semiHidden/>
    <w:rsid w:val="004230D9"/>
    <w:rPr>
      <w:rFonts w:ascii="Times New Roman" w:hAnsi="Times New Roman" w:cs="Times New Roman"/>
      <w:i/>
      <w:iCs/>
      <w:color w:val="404040" w:themeColor="text1" w:themeTint="BF"/>
    </w:rPr>
  </w:style>
  <w:style w:type="paragraph" w:styleId="af3">
    <w:name w:val="Intense Quote"/>
    <w:basedOn w:val="a2"/>
    <w:next w:val="a2"/>
    <w:link w:val="af4"/>
    <w:uiPriority w:val="30"/>
    <w:semiHidden/>
    <w:unhideWhenUsed/>
    <w:qFormat/>
    <w:rsid w:val="004230D9"/>
    <w:pPr>
      <w:pBdr>
        <w:top w:val="single" w:sz="4" w:space="10" w:color="3494BA" w:themeColor="accent1"/>
        <w:bottom w:val="single" w:sz="4" w:space="10" w:color="3494BA" w:themeColor="accent1"/>
      </w:pBdr>
      <w:spacing w:before="360" w:after="360"/>
      <w:jc w:val="center"/>
    </w:pPr>
    <w:rPr>
      <w:i/>
      <w:iCs/>
      <w:color w:val="276E8B" w:themeColor="accent1" w:themeShade="BF"/>
    </w:rPr>
  </w:style>
  <w:style w:type="character" w:customStyle="1" w:styleId="af4">
    <w:name w:val="Выделенная цитата Знак"/>
    <w:basedOn w:val="a3"/>
    <w:link w:val="af3"/>
    <w:uiPriority w:val="30"/>
    <w:semiHidden/>
    <w:rsid w:val="004230D9"/>
    <w:rPr>
      <w:rFonts w:ascii="Times New Roman" w:hAnsi="Times New Roman" w:cs="Times New Roman"/>
      <w:i/>
      <w:iCs/>
      <w:color w:val="276E8B" w:themeColor="accent1" w:themeShade="BF"/>
    </w:rPr>
  </w:style>
  <w:style w:type="character" w:styleId="af5">
    <w:name w:val="Subtle Reference"/>
    <w:basedOn w:val="a3"/>
    <w:uiPriority w:val="31"/>
    <w:semiHidden/>
    <w:unhideWhenUsed/>
    <w:qFormat/>
    <w:rsid w:val="004230D9"/>
    <w:rPr>
      <w:rFonts w:ascii="Times New Roman" w:hAnsi="Times New Roman" w:cs="Times New Roman"/>
      <w:caps w:val="0"/>
      <w:smallCaps/>
      <w:color w:val="5A5A5A" w:themeColor="text1" w:themeTint="A5"/>
    </w:rPr>
  </w:style>
  <w:style w:type="character" w:styleId="af6">
    <w:name w:val="Intense Reference"/>
    <w:basedOn w:val="a3"/>
    <w:uiPriority w:val="32"/>
    <w:semiHidden/>
    <w:unhideWhenUsed/>
    <w:qFormat/>
    <w:rsid w:val="004230D9"/>
    <w:rPr>
      <w:rFonts w:ascii="Times New Roman" w:hAnsi="Times New Roman" w:cs="Times New Roman"/>
      <w:b/>
      <w:bCs/>
      <w:caps w:val="0"/>
      <w:smallCaps/>
      <w:color w:val="276E8B" w:themeColor="accent1" w:themeShade="BF"/>
      <w:spacing w:val="0"/>
    </w:rPr>
  </w:style>
  <w:style w:type="character" w:styleId="af7">
    <w:name w:val="Book Title"/>
    <w:basedOn w:val="a3"/>
    <w:uiPriority w:val="33"/>
    <w:semiHidden/>
    <w:unhideWhenUsed/>
    <w:qFormat/>
    <w:rsid w:val="004230D9"/>
    <w:rPr>
      <w:rFonts w:ascii="Times New Roman" w:hAnsi="Times New Roman" w:cs="Times New Roman"/>
      <w:b/>
      <w:bCs/>
      <w:i/>
      <w:iCs/>
      <w:spacing w:val="0"/>
    </w:rPr>
  </w:style>
  <w:style w:type="paragraph" w:styleId="af8">
    <w:name w:val="List Paragraph"/>
    <w:basedOn w:val="a2"/>
    <w:uiPriority w:val="34"/>
    <w:unhideWhenUsed/>
    <w:qFormat/>
    <w:rsid w:val="004230D9"/>
    <w:pPr>
      <w:ind w:left="720"/>
      <w:contextualSpacing/>
    </w:pPr>
  </w:style>
  <w:style w:type="paragraph" w:styleId="af9">
    <w:name w:val="caption"/>
    <w:basedOn w:val="a2"/>
    <w:next w:val="a2"/>
    <w:uiPriority w:val="35"/>
    <w:semiHidden/>
    <w:unhideWhenUsed/>
    <w:qFormat/>
    <w:rsid w:val="004230D9"/>
    <w:rPr>
      <w:i/>
      <w:iCs/>
      <w:color w:val="373545" w:themeColor="text2"/>
      <w:sz w:val="22"/>
      <w:szCs w:val="18"/>
    </w:rPr>
  </w:style>
  <w:style w:type="paragraph" w:styleId="afa">
    <w:name w:val="Bibliography"/>
    <w:basedOn w:val="a2"/>
    <w:next w:val="a2"/>
    <w:uiPriority w:val="37"/>
    <w:semiHidden/>
    <w:unhideWhenUsed/>
    <w:rsid w:val="004230D9"/>
  </w:style>
  <w:style w:type="paragraph" w:styleId="11">
    <w:name w:val="toc 1"/>
    <w:basedOn w:val="a2"/>
    <w:next w:val="a2"/>
    <w:autoRedefine/>
    <w:uiPriority w:val="39"/>
    <w:unhideWhenUsed/>
    <w:rsid w:val="004230D9"/>
    <w:pPr>
      <w:spacing w:after="100"/>
    </w:pPr>
  </w:style>
  <w:style w:type="paragraph" w:styleId="91">
    <w:name w:val="toc 9"/>
    <w:basedOn w:val="a2"/>
    <w:next w:val="a2"/>
    <w:autoRedefine/>
    <w:uiPriority w:val="39"/>
    <w:unhideWhenUsed/>
    <w:rsid w:val="004230D9"/>
    <w:pPr>
      <w:spacing w:after="100"/>
      <w:ind w:left="1920"/>
    </w:pPr>
  </w:style>
  <w:style w:type="paragraph" w:styleId="afb">
    <w:name w:val="TOC Heading"/>
    <w:basedOn w:val="1"/>
    <w:next w:val="1"/>
    <w:link w:val="afc"/>
    <w:uiPriority w:val="39"/>
    <w:unhideWhenUsed/>
    <w:qFormat/>
    <w:rsid w:val="004230D9"/>
    <w:pPr>
      <w:framePr w:wrap="around" w:vAnchor="text" w:hAnchor="text" w:y="1"/>
    </w:pPr>
    <w:rPr>
      <w:rFonts w:eastAsiaTheme="majorEastAsia"/>
      <w:bCs w:val="0"/>
    </w:rPr>
  </w:style>
  <w:style w:type="paragraph" w:styleId="afd">
    <w:name w:val="Block Text"/>
    <w:basedOn w:val="a2"/>
    <w:uiPriority w:val="99"/>
    <w:semiHidden/>
    <w:unhideWhenUsed/>
    <w:rsid w:val="004230D9"/>
    <w:pPr>
      <w:pBdr>
        <w:top w:val="single" w:sz="2" w:space="10" w:color="276E8B" w:themeColor="accent1" w:themeShade="BF"/>
        <w:left w:val="single" w:sz="2" w:space="10" w:color="276E8B" w:themeColor="accent1" w:themeShade="BF"/>
        <w:bottom w:val="single" w:sz="2" w:space="10" w:color="276E8B" w:themeColor="accent1" w:themeShade="BF"/>
        <w:right w:val="single" w:sz="2" w:space="10" w:color="276E8B" w:themeColor="accent1" w:themeShade="BF"/>
      </w:pBdr>
      <w:ind w:left="1152" w:right="1152"/>
    </w:pPr>
    <w:rPr>
      <w:rFonts w:eastAsiaTheme="minorEastAsia"/>
      <w:i/>
      <w:iCs/>
      <w:color w:val="276E8B" w:themeColor="accent1" w:themeShade="BF"/>
    </w:rPr>
  </w:style>
  <w:style w:type="paragraph" w:styleId="afe">
    <w:name w:val="Body Text"/>
    <w:basedOn w:val="a2"/>
    <w:link w:val="aff"/>
    <w:uiPriority w:val="99"/>
    <w:semiHidden/>
    <w:unhideWhenUsed/>
    <w:rsid w:val="004230D9"/>
    <w:pPr>
      <w:spacing w:after="120"/>
    </w:pPr>
  </w:style>
  <w:style w:type="character" w:customStyle="1" w:styleId="aff">
    <w:name w:val="Основной текст Знак"/>
    <w:basedOn w:val="a3"/>
    <w:link w:val="afe"/>
    <w:uiPriority w:val="99"/>
    <w:semiHidden/>
    <w:rsid w:val="004230D9"/>
    <w:rPr>
      <w:rFonts w:ascii="Times New Roman" w:hAnsi="Times New Roman" w:cs="Times New Roman"/>
    </w:rPr>
  </w:style>
  <w:style w:type="paragraph" w:styleId="25">
    <w:name w:val="Body Text 2"/>
    <w:basedOn w:val="a2"/>
    <w:link w:val="26"/>
    <w:uiPriority w:val="99"/>
    <w:semiHidden/>
    <w:unhideWhenUsed/>
    <w:rsid w:val="004230D9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uiPriority w:val="99"/>
    <w:semiHidden/>
    <w:rsid w:val="004230D9"/>
    <w:rPr>
      <w:rFonts w:ascii="Times New Roman" w:hAnsi="Times New Roman" w:cs="Times New Roman"/>
    </w:rPr>
  </w:style>
  <w:style w:type="paragraph" w:styleId="32">
    <w:name w:val="Body Text 3"/>
    <w:basedOn w:val="a2"/>
    <w:link w:val="33"/>
    <w:uiPriority w:val="99"/>
    <w:semiHidden/>
    <w:unhideWhenUsed/>
    <w:rsid w:val="004230D9"/>
    <w:pPr>
      <w:spacing w:after="120"/>
    </w:pPr>
    <w:rPr>
      <w:sz w:val="22"/>
      <w:szCs w:val="16"/>
    </w:rPr>
  </w:style>
  <w:style w:type="character" w:customStyle="1" w:styleId="33">
    <w:name w:val="Основной текст 3 Знак"/>
    <w:basedOn w:val="a3"/>
    <w:link w:val="32"/>
    <w:uiPriority w:val="99"/>
    <w:semiHidden/>
    <w:rsid w:val="004230D9"/>
    <w:rPr>
      <w:rFonts w:ascii="Times New Roman" w:hAnsi="Times New Roman" w:cs="Times New Roman"/>
      <w:sz w:val="22"/>
      <w:szCs w:val="16"/>
    </w:rPr>
  </w:style>
  <w:style w:type="paragraph" w:styleId="34">
    <w:name w:val="Body Text Indent 3"/>
    <w:basedOn w:val="a2"/>
    <w:link w:val="35"/>
    <w:uiPriority w:val="99"/>
    <w:semiHidden/>
    <w:unhideWhenUsed/>
    <w:rsid w:val="004230D9"/>
    <w:pPr>
      <w:spacing w:after="120"/>
      <w:ind w:left="283"/>
    </w:pPr>
    <w:rPr>
      <w:sz w:val="22"/>
      <w:szCs w:val="16"/>
    </w:rPr>
  </w:style>
  <w:style w:type="character" w:customStyle="1" w:styleId="35">
    <w:name w:val="Основной текст с отступом 3 Знак"/>
    <w:basedOn w:val="a3"/>
    <w:link w:val="34"/>
    <w:uiPriority w:val="99"/>
    <w:semiHidden/>
    <w:rsid w:val="004230D9"/>
    <w:rPr>
      <w:rFonts w:ascii="Times New Roman" w:hAnsi="Times New Roman" w:cs="Times New Roman"/>
      <w:sz w:val="22"/>
      <w:szCs w:val="16"/>
    </w:rPr>
  </w:style>
  <w:style w:type="character" w:styleId="aff0">
    <w:name w:val="annotation reference"/>
    <w:basedOn w:val="a3"/>
    <w:uiPriority w:val="99"/>
    <w:semiHidden/>
    <w:unhideWhenUsed/>
    <w:rsid w:val="004230D9"/>
    <w:rPr>
      <w:rFonts w:ascii="Times New Roman" w:hAnsi="Times New Roman" w:cs="Times New Roman"/>
      <w:szCs w:val="16"/>
    </w:rPr>
  </w:style>
  <w:style w:type="paragraph" w:styleId="aff1">
    <w:name w:val="annotation text"/>
    <w:basedOn w:val="a2"/>
    <w:link w:val="aff2"/>
    <w:uiPriority w:val="99"/>
    <w:semiHidden/>
    <w:unhideWhenUsed/>
    <w:rsid w:val="004230D9"/>
    <w:rPr>
      <w:sz w:val="22"/>
    </w:rPr>
  </w:style>
  <w:style w:type="character" w:customStyle="1" w:styleId="aff2">
    <w:name w:val="Текст примечания Знак"/>
    <w:basedOn w:val="a3"/>
    <w:link w:val="aff1"/>
    <w:uiPriority w:val="99"/>
    <w:semiHidden/>
    <w:rsid w:val="004230D9"/>
    <w:rPr>
      <w:rFonts w:ascii="Times New Roman" w:hAnsi="Times New Roman" w:cs="Times New Roman"/>
      <w:sz w:val="22"/>
      <w:szCs w:val="20"/>
    </w:rPr>
  </w:style>
  <w:style w:type="paragraph" w:styleId="aff3">
    <w:name w:val="annotation subject"/>
    <w:basedOn w:val="aff1"/>
    <w:next w:val="aff1"/>
    <w:link w:val="aff4"/>
    <w:uiPriority w:val="99"/>
    <w:semiHidden/>
    <w:unhideWhenUsed/>
    <w:rsid w:val="004230D9"/>
    <w:rPr>
      <w:b/>
      <w:bCs/>
    </w:rPr>
  </w:style>
  <w:style w:type="character" w:customStyle="1" w:styleId="aff4">
    <w:name w:val="Тема примечания Знак"/>
    <w:basedOn w:val="aff2"/>
    <w:link w:val="aff3"/>
    <w:uiPriority w:val="99"/>
    <w:semiHidden/>
    <w:rsid w:val="004230D9"/>
    <w:rPr>
      <w:rFonts w:ascii="Times New Roman" w:hAnsi="Times New Roman" w:cs="Times New Roman"/>
      <w:b/>
      <w:bCs/>
      <w:sz w:val="22"/>
      <w:szCs w:val="20"/>
    </w:rPr>
  </w:style>
  <w:style w:type="paragraph" w:styleId="aff5">
    <w:name w:val="Document Map"/>
    <w:basedOn w:val="a2"/>
    <w:link w:val="aff6"/>
    <w:uiPriority w:val="99"/>
    <w:semiHidden/>
    <w:unhideWhenUsed/>
    <w:rsid w:val="004230D9"/>
    <w:rPr>
      <w:rFonts w:ascii="Segoe UI" w:hAnsi="Segoe UI" w:cs="Segoe UI"/>
      <w:sz w:val="22"/>
      <w:szCs w:val="16"/>
    </w:rPr>
  </w:style>
  <w:style w:type="character" w:customStyle="1" w:styleId="aff6">
    <w:name w:val="Схема документа Знак"/>
    <w:basedOn w:val="a3"/>
    <w:link w:val="aff5"/>
    <w:uiPriority w:val="99"/>
    <w:semiHidden/>
    <w:rsid w:val="004230D9"/>
    <w:rPr>
      <w:rFonts w:ascii="Segoe UI" w:hAnsi="Segoe UI" w:cs="Segoe UI"/>
      <w:sz w:val="22"/>
      <w:szCs w:val="16"/>
    </w:rPr>
  </w:style>
  <w:style w:type="character" w:styleId="aff7">
    <w:name w:val="endnote reference"/>
    <w:basedOn w:val="a3"/>
    <w:uiPriority w:val="99"/>
    <w:semiHidden/>
    <w:unhideWhenUsed/>
    <w:rsid w:val="004230D9"/>
    <w:rPr>
      <w:rFonts w:ascii="Times New Roman" w:hAnsi="Times New Roman" w:cs="Times New Roman"/>
      <w:vertAlign w:val="superscript"/>
    </w:rPr>
  </w:style>
  <w:style w:type="paragraph" w:styleId="aff8">
    <w:name w:val="endnote text"/>
    <w:basedOn w:val="a2"/>
    <w:link w:val="aff9"/>
    <w:uiPriority w:val="99"/>
    <w:semiHidden/>
    <w:unhideWhenUsed/>
    <w:rsid w:val="004230D9"/>
    <w:rPr>
      <w:sz w:val="22"/>
    </w:rPr>
  </w:style>
  <w:style w:type="character" w:customStyle="1" w:styleId="aff9">
    <w:name w:val="Текст концевой сноски Знак"/>
    <w:basedOn w:val="a3"/>
    <w:link w:val="aff8"/>
    <w:uiPriority w:val="99"/>
    <w:semiHidden/>
    <w:rsid w:val="004230D9"/>
    <w:rPr>
      <w:rFonts w:ascii="Times New Roman" w:hAnsi="Times New Roman" w:cs="Times New Roman"/>
      <w:sz w:val="22"/>
      <w:szCs w:val="20"/>
    </w:rPr>
  </w:style>
  <w:style w:type="paragraph" w:styleId="27">
    <w:name w:val="envelope return"/>
    <w:basedOn w:val="a2"/>
    <w:uiPriority w:val="99"/>
    <w:semiHidden/>
    <w:unhideWhenUsed/>
    <w:rsid w:val="004230D9"/>
    <w:rPr>
      <w:rFonts w:ascii="Arial" w:eastAsiaTheme="majorEastAsia" w:hAnsi="Arial" w:cs="Arial"/>
      <w:sz w:val="22"/>
    </w:rPr>
  </w:style>
  <w:style w:type="paragraph" w:styleId="affa">
    <w:name w:val="envelope address"/>
    <w:basedOn w:val="a2"/>
    <w:uiPriority w:val="99"/>
    <w:semiHidden/>
    <w:unhideWhenUsed/>
    <w:rsid w:val="004230D9"/>
    <w:pPr>
      <w:framePr w:w="7920" w:h="1980" w:hRule="exact" w:hSpace="180" w:wrap="auto" w:hAnchor="page" w:xAlign="center" w:yAlign="bottom"/>
      <w:ind w:left="2880"/>
    </w:pPr>
    <w:rPr>
      <w:rFonts w:ascii="Arial" w:eastAsiaTheme="majorEastAsia" w:hAnsi="Arial" w:cs="Arial"/>
    </w:rPr>
  </w:style>
  <w:style w:type="character" w:styleId="affb">
    <w:name w:val="FollowedHyperlink"/>
    <w:basedOn w:val="a3"/>
    <w:uiPriority w:val="99"/>
    <w:semiHidden/>
    <w:unhideWhenUsed/>
    <w:rsid w:val="004230D9"/>
    <w:rPr>
      <w:rFonts w:ascii="Times New Roman" w:hAnsi="Times New Roman" w:cs="Times New Roman"/>
      <w:color w:val="9F6715" w:themeColor="followedHyperlink"/>
      <w:u w:val="single"/>
    </w:rPr>
  </w:style>
  <w:style w:type="paragraph" w:styleId="affc">
    <w:name w:val="footer"/>
    <w:basedOn w:val="a2"/>
    <w:link w:val="affd"/>
    <w:uiPriority w:val="99"/>
    <w:rsid w:val="004230D9"/>
  </w:style>
  <w:style w:type="character" w:customStyle="1" w:styleId="affd">
    <w:name w:val="Нижний колонтитул Знак"/>
    <w:basedOn w:val="a3"/>
    <w:link w:val="affc"/>
    <w:uiPriority w:val="99"/>
    <w:rsid w:val="004701E1"/>
  </w:style>
  <w:style w:type="character" w:styleId="affe">
    <w:name w:val="footnote reference"/>
    <w:basedOn w:val="a3"/>
    <w:uiPriority w:val="99"/>
    <w:semiHidden/>
    <w:unhideWhenUsed/>
    <w:rsid w:val="004230D9"/>
    <w:rPr>
      <w:rFonts w:ascii="Times New Roman" w:hAnsi="Times New Roman" w:cs="Times New Roman"/>
      <w:vertAlign w:val="superscript"/>
    </w:rPr>
  </w:style>
  <w:style w:type="paragraph" w:styleId="afff">
    <w:name w:val="footnote text"/>
    <w:basedOn w:val="a2"/>
    <w:link w:val="afff0"/>
    <w:uiPriority w:val="99"/>
    <w:semiHidden/>
    <w:unhideWhenUsed/>
    <w:rsid w:val="004230D9"/>
    <w:rPr>
      <w:sz w:val="22"/>
    </w:rPr>
  </w:style>
  <w:style w:type="character" w:customStyle="1" w:styleId="afff0">
    <w:name w:val="Текст сноски Знак"/>
    <w:basedOn w:val="a3"/>
    <w:link w:val="afff"/>
    <w:uiPriority w:val="99"/>
    <w:semiHidden/>
    <w:rsid w:val="004230D9"/>
    <w:rPr>
      <w:rFonts w:ascii="Times New Roman" w:hAnsi="Times New Roman" w:cs="Times New Roman"/>
      <w:sz w:val="22"/>
      <w:szCs w:val="20"/>
    </w:rPr>
  </w:style>
  <w:style w:type="character" w:customStyle="1" w:styleId="Hashtag">
    <w:name w:val="Hashtag"/>
    <w:basedOn w:val="a3"/>
    <w:uiPriority w:val="99"/>
    <w:semiHidden/>
    <w:unhideWhenUsed/>
    <w:rsid w:val="004230D9"/>
    <w:rPr>
      <w:rFonts w:ascii="Times New Roman" w:hAnsi="Times New Roman" w:cs="Times New Roman"/>
      <w:color w:val="2B579A"/>
      <w:shd w:val="clear" w:color="auto" w:fill="E6E6E6"/>
    </w:rPr>
  </w:style>
  <w:style w:type="paragraph" w:styleId="afff1">
    <w:name w:val="header"/>
    <w:basedOn w:val="a2"/>
    <w:link w:val="afff2"/>
    <w:uiPriority w:val="99"/>
    <w:unhideWhenUsed/>
    <w:rsid w:val="00222713"/>
    <w:rPr>
      <w:sz w:val="16"/>
    </w:rPr>
  </w:style>
  <w:style w:type="character" w:customStyle="1" w:styleId="afff2">
    <w:name w:val="Верхний колонтитул Знак"/>
    <w:basedOn w:val="a3"/>
    <w:link w:val="afff1"/>
    <w:uiPriority w:val="99"/>
    <w:rsid w:val="00222713"/>
    <w:rPr>
      <w:sz w:val="16"/>
    </w:rPr>
  </w:style>
  <w:style w:type="character" w:styleId="HTML">
    <w:name w:val="HTML Acronym"/>
    <w:basedOn w:val="a3"/>
    <w:uiPriority w:val="99"/>
    <w:semiHidden/>
    <w:unhideWhenUsed/>
    <w:rsid w:val="004230D9"/>
    <w:rPr>
      <w:rFonts w:ascii="Times New Roman" w:hAnsi="Times New Roman" w:cs="Times New Roman"/>
    </w:rPr>
  </w:style>
  <w:style w:type="paragraph" w:styleId="HTML0">
    <w:name w:val="HTML Address"/>
    <w:basedOn w:val="a2"/>
    <w:link w:val="HTML1"/>
    <w:uiPriority w:val="99"/>
    <w:semiHidden/>
    <w:unhideWhenUsed/>
    <w:rsid w:val="004230D9"/>
    <w:rPr>
      <w:i/>
      <w:iCs/>
    </w:rPr>
  </w:style>
  <w:style w:type="character" w:customStyle="1" w:styleId="HTML1">
    <w:name w:val="Адрес HTML Знак"/>
    <w:basedOn w:val="a3"/>
    <w:link w:val="HTML0"/>
    <w:uiPriority w:val="99"/>
    <w:semiHidden/>
    <w:rsid w:val="004230D9"/>
    <w:rPr>
      <w:rFonts w:ascii="Times New Roman" w:hAnsi="Times New Roman" w:cs="Times New Roman"/>
      <w:i/>
      <w:iCs/>
    </w:rPr>
  </w:style>
  <w:style w:type="character" w:styleId="HTML2">
    <w:name w:val="HTML Cite"/>
    <w:basedOn w:val="a3"/>
    <w:uiPriority w:val="99"/>
    <w:semiHidden/>
    <w:unhideWhenUsed/>
    <w:rsid w:val="004230D9"/>
    <w:rPr>
      <w:rFonts w:ascii="Times New Roman" w:hAnsi="Times New Roman" w:cs="Times New Roman"/>
      <w:i/>
      <w:iCs/>
    </w:rPr>
  </w:style>
  <w:style w:type="character" w:styleId="HTML3">
    <w:name w:val="HTML Code"/>
    <w:basedOn w:val="a3"/>
    <w:uiPriority w:val="99"/>
    <w:semiHidden/>
    <w:unhideWhenUsed/>
    <w:rsid w:val="004230D9"/>
    <w:rPr>
      <w:rFonts w:ascii="Consolas" w:hAnsi="Consolas" w:cs="Times New Roman"/>
      <w:szCs w:val="20"/>
    </w:rPr>
  </w:style>
  <w:style w:type="character" w:styleId="HTML4">
    <w:name w:val="HTML Definition"/>
    <w:basedOn w:val="a3"/>
    <w:uiPriority w:val="99"/>
    <w:semiHidden/>
    <w:unhideWhenUsed/>
    <w:rsid w:val="004230D9"/>
    <w:rPr>
      <w:rFonts w:ascii="Times New Roman" w:hAnsi="Times New Roman" w:cs="Times New Roman"/>
      <w:i/>
      <w:iCs/>
    </w:rPr>
  </w:style>
  <w:style w:type="character" w:styleId="HTML5">
    <w:name w:val="HTML Keyboard"/>
    <w:basedOn w:val="a3"/>
    <w:uiPriority w:val="99"/>
    <w:semiHidden/>
    <w:unhideWhenUsed/>
    <w:rsid w:val="004230D9"/>
    <w:rPr>
      <w:rFonts w:ascii="Consolas" w:hAnsi="Consolas" w:cs="Times New Roman"/>
      <w:szCs w:val="20"/>
    </w:rPr>
  </w:style>
  <w:style w:type="paragraph" w:styleId="HTML6">
    <w:name w:val="HTML Preformatted"/>
    <w:basedOn w:val="a2"/>
    <w:link w:val="HTML7"/>
    <w:uiPriority w:val="99"/>
    <w:semiHidden/>
    <w:unhideWhenUsed/>
    <w:rsid w:val="004230D9"/>
    <w:rPr>
      <w:rFonts w:ascii="Consolas" w:hAnsi="Consolas"/>
      <w:sz w:val="22"/>
    </w:rPr>
  </w:style>
  <w:style w:type="character" w:customStyle="1" w:styleId="HTML7">
    <w:name w:val="Стандартный HTML Знак"/>
    <w:basedOn w:val="a3"/>
    <w:link w:val="HTML6"/>
    <w:uiPriority w:val="99"/>
    <w:semiHidden/>
    <w:rsid w:val="004230D9"/>
    <w:rPr>
      <w:rFonts w:ascii="Consolas" w:hAnsi="Consolas" w:cs="Times New Roman"/>
      <w:sz w:val="22"/>
      <w:szCs w:val="20"/>
    </w:rPr>
  </w:style>
  <w:style w:type="character" w:styleId="HTML8">
    <w:name w:val="HTML Typewriter"/>
    <w:basedOn w:val="a3"/>
    <w:uiPriority w:val="99"/>
    <w:semiHidden/>
    <w:unhideWhenUsed/>
    <w:rsid w:val="004230D9"/>
    <w:rPr>
      <w:rFonts w:ascii="Consolas" w:hAnsi="Consolas" w:cs="Times New Roman"/>
      <w:szCs w:val="20"/>
    </w:rPr>
  </w:style>
  <w:style w:type="character" w:styleId="HTML9">
    <w:name w:val="HTML Variable"/>
    <w:basedOn w:val="a3"/>
    <w:uiPriority w:val="99"/>
    <w:semiHidden/>
    <w:unhideWhenUsed/>
    <w:rsid w:val="004230D9"/>
    <w:rPr>
      <w:rFonts w:ascii="Times New Roman" w:hAnsi="Times New Roman" w:cs="Times New Roman"/>
      <w:i/>
      <w:iCs/>
    </w:rPr>
  </w:style>
  <w:style w:type="character" w:styleId="afff3">
    <w:name w:val="Hyperlink"/>
    <w:basedOn w:val="a3"/>
    <w:uiPriority w:val="99"/>
    <w:unhideWhenUsed/>
    <w:rsid w:val="004230D9"/>
    <w:rPr>
      <w:rFonts w:ascii="Times New Roman" w:hAnsi="Times New Roman" w:cs="Times New Roman"/>
      <w:color w:val="6B9F25" w:themeColor="hyperlink"/>
      <w:u w:val="single"/>
    </w:rPr>
  </w:style>
  <w:style w:type="paragraph" w:styleId="12">
    <w:name w:val="index 1"/>
    <w:basedOn w:val="a2"/>
    <w:next w:val="a2"/>
    <w:autoRedefine/>
    <w:uiPriority w:val="99"/>
    <w:semiHidden/>
    <w:unhideWhenUsed/>
    <w:rsid w:val="004230D9"/>
    <w:pPr>
      <w:ind w:left="240" w:hanging="240"/>
    </w:pPr>
  </w:style>
  <w:style w:type="paragraph" w:styleId="afff4">
    <w:name w:val="index heading"/>
    <w:basedOn w:val="a2"/>
    <w:next w:val="12"/>
    <w:uiPriority w:val="99"/>
    <w:semiHidden/>
    <w:unhideWhenUsed/>
    <w:rsid w:val="004230D9"/>
    <w:rPr>
      <w:rFonts w:ascii="Arial" w:eastAsiaTheme="majorEastAsia" w:hAnsi="Arial" w:cs="Arial"/>
      <w:b/>
      <w:bCs/>
    </w:rPr>
  </w:style>
  <w:style w:type="character" w:styleId="afff5">
    <w:name w:val="line number"/>
    <w:basedOn w:val="a3"/>
    <w:uiPriority w:val="99"/>
    <w:semiHidden/>
    <w:unhideWhenUsed/>
    <w:rsid w:val="004230D9"/>
    <w:rPr>
      <w:rFonts w:ascii="Times New Roman" w:hAnsi="Times New Roman" w:cs="Times New Roman"/>
    </w:rPr>
  </w:style>
  <w:style w:type="paragraph" w:styleId="afff6">
    <w:name w:val="macro"/>
    <w:link w:val="afff7"/>
    <w:uiPriority w:val="99"/>
    <w:semiHidden/>
    <w:unhideWhenUsed/>
    <w:rsid w:val="004230D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2"/>
      <w:szCs w:val="20"/>
    </w:rPr>
  </w:style>
  <w:style w:type="character" w:customStyle="1" w:styleId="afff7">
    <w:name w:val="Текст макроса Знак"/>
    <w:basedOn w:val="a3"/>
    <w:link w:val="afff6"/>
    <w:uiPriority w:val="99"/>
    <w:semiHidden/>
    <w:rsid w:val="004230D9"/>
    <w:rPr>
      <w:rFonts w:ascii="Consolas" w:hAnsi="Consolas" w:cs="Times New Roman"/>
      <w:sz w:val="22"/>
      <w:szCs w:val="20"/>
    </w:rPr>
  </w:style>
  <w:style w:type="character" w:customStyle="1" w:styleId="Mention">
    <w:name w:val="Mention"/>
    <w:basedOn w:val="a3"/>
    <w:uiPriority w:val="99"/>
    <w:semiHidden/>
    <w:unhideWhenUsed/>
    <w:rsid w:val="004230D9"/>
    <w:rPr>
      <w:rFonts w:ascii="Times New Roman" w:hAnsi="Times New Roman" w:cs="Times New Roman"/>
      <w:color w:val="2B579A"/>
      <w:shd w:val="clear" w:color="auto" w:fill="E6E6E6"/>
    </w:rPr>
  </w:style>
  <w:style w:type="paragraph" w:styleId="afff8">
    <w:name w:val="Message Header"/>
    <w:basedOn w:val="a2"/>
    <w:link w:val="afff9"/>
    <w:uiPriority w:val="99"/>
    <w:semiHidden/>
    <w:unhideWhenUsed/>
    <w:rsid w:val="004230D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eastAsiaTheme="majorEastAsia" w:hAnsi="Arial" w:cs="Arial"/>
    </w:rPr>
  </w:style>
  <w:style w:type="character" w:customStyle="1" w:styleId="afff9">
    <w:name w:val="Шапка Знак"/>
    <w:basedOn w:val="a3"/>
    <w:link w:val="afff8"/>
    <w:uiPriority w:val="99"/>
    <w:semiHidden/>
    <w:rsid w:val="004230D9"/>
    <w:rPr>
      <w:rFonts w:ascii="Arial" w:eastAsiaTheme="majorEastAsia" w:hAnsi="Arial" w:cs="Arial"/>
      <w:shd w:val="pct20" w:color="auto" w:fill="auto"/>
    </w:rPr>
  </w:style>
  <w:style w:type="paragraph" w:styleId="afffa">
    <w:name w:val="Note Heading"/>
    <w:basedOn w:val="a2"/>
    <w:next w:val="a2"/>
    <w:link w:val="afffb"/>
    <w:uiPriority w:val="99"/>
    <w:semiHidden/>
    <w:unhideWhenUsed/>
    <w:rsid w:val="004230D9"/>
  </w:style>
  <w:style w:type="character" w:customStyle="1" w:styleId="afffb">
    <w:name w:val="Заголовок записки Знак"/>
    <w:basedOn w:val="a3"/>
    <w:link w:val="afffa"/>
    <w:uiPriority w:val="99"/>
    <w:semiHidden/>
    <w:rsid w:val="004230D9"/>
    <w:rPr>
      <w:rFonts w:ascii="Times New Roman" w:hAnsi="Times New Roman" w:cs="Times New Roman"/>
    </w:rPr>
  </w:style>
  <w:style w:type="paragraph" w:styleId="afffc">
    <w:name w:val="Plain Text"/>
    <w:basedOn w:val="a2"/>
    <w:link w:val="afffd"/>
    <w:uiPriority w:val="99"/>
    <w:semiHidden/>
    <w:unhideWhenUsed/>
    <w:rsid w:val="004230D9"/>
    <w:rPr>
      <w:rFonts w:ascii="Consolas" w:hAnsi="Consolas"/>
      <w:sz w:val="22"/>
      <w:szCs w:val="21"/>
    </w:rPr>
  </w:style>
  <w:style w:type="character" w:customStyle="1" w:styleId="afffd">
    <w:name w:val="Текст Знак"/>
    <w:basedOn w:val="a3"/>
    <w:link w:val="afffc"/>
    <w:uiPriority w:val="99"/>
    <w:semiHidden/>
    <w:rsid w:val="004230D9"/>
    <w:rPr>
      <w:rFonts w:ascii="Consolas" w:hAnsi="Consolas" w:cs="Times New Roman"/>
      <w:sz w:val="22"/>
      <w:szCs w:val="21"/>
    </w:rPr>
  </w:style>
  <w:style w:type="paragraph" w:styleId="afffe">
    <w:name w:val="Salutation"/>
    <w:basedOn w:val="a2"/>
    <w:next w:val="a2"/>
    <w:link w:val="affff"/>
    <w:uiPriority w:val="99"/>
    <w:semiHidden/>
    <w:unhideWhenUsed/>
    <w:rsid w:val="004230D9"/>
  </w:style>
  <w:style w:type="character" w:customStyle="1" w:styleId="affff">
    <w:name w:val="Приветствие Знак"/>
    <w:basedOn w:val="a3"/>
    <w:link w:val="afffe"/>
    <w:uiPriority w:val="99"/>
    <w:semiHidden/>
    <w:rsid w:val="004230D9"/>
    <w:rPr>
      <w:rFonts w:ascii="Times New Roman" w:hAnsi="Times New Roman" w:cs="Times New Roman"/>
    </w:rPr>
  </w:style>
  <w:style w:type="paragraph" w:styleId="affff0">
    <w:name w:val="Signature"/>
    <w:basedOn w:val="a2"/>
    <w:link w:val="affff1"/>
    <w:uiPriority w:val="99"/>
    <w:semiHidden/>
    <w:unhideWhenUsed/>
    <w:rsid w:val="004230D9"/>
    <w:pPr>
      <w:ind w:left="4252"/>
    </w:pPr>
  </w:style>
  <w:style w:type="character" w:customStyle="1" w:styleId="affff1">
    <w:name w:val="Подпись Знак"/>
    <w:basedOn w:val="a3"/>
    <w:link w:val="affff0"/>
    <w:uiPriority w:val="99"/>
    <w:semiHidden/>
    <w:rsid w:val="004230D9"/>
    <w:rPr>
      <w:rFonts w:ascii="Times New Roman" w:hAnsi="Times New Roman" w:cs="Times New Roman"/>
    </w:rPr>
  </w:style>
  <w:style w:type="character" w:customStyle="1" w:styleId="SmartHyperlink">
    <w:name w:val="Smart Hyperlink"/>
    <w:basedOn w:val="a3"/>
    <w:uiPriority w:val="99"/>
    <w:semiHidden/>
    <w:unhideWhenUsed/>
    <w:rsid w:val="004230D9"/>
    <w:rPr>
      <w:rFonts w:ascii="Times New Roman" w:hAnsi="Times New Roman" w:cs="Times New Roman"/>
      <w:u w:val="dotted"/>
    </w:rPr>
  </w:style>
  <w:style w:type="character" w:customStyle="1" w:styleId="UnresolvedMention">
    <w:name w:val="Unresolved Mention"/>
    <w:basedOn w:val="a3"/>
    <w:uiPriority w:val="99"/>
    <w:semiHidden/>
    <w:unhideWhenUsed/>
    <w:rsid w:val="004230D9"/>
    <w:rPr>
      <w:rFonts w:ascii="Times New Roman" w:hAnsi="Times New Roman" w:cs="Times New Roman"/>
      <w:color w:val="595959" w:themeColor="text1" w:themeTint="A6"/>
      <w:shd w:val="clear" w:color="auto" w:fill="E6E6E6"/>
    </w:rPr>
  </w:style>
  <w:style w:type="paragraph" w:styleId="20">
    <w:name w:val="List Number 2"/>
    <w:basedOn w:val="a2"/>
    <w:uiPriority w:val="12"/>
    <w:unhideWhenUsed/>
    <w:qFormat/>
    <w:rsid w:val="002E4F42"/>
    <w:pPr>
      <w:numPr>
        <w:ilvl w:val="1"/>
        <w:numId w:val="9"/>
      </w:numPr>
    </w:pPr>
  </w:style>
  <w:style w:type="numbering" w:styleId="111111">
    <w:name w:val="Outline List 2"/>
    <w:basedOn w:val="a5"/>
    <w:uiPriority w:val="99"/>
    <w:semiHidden/>
    <w:unhideWhenUsed/>
    <w:rsid w:val="004230D9"/>
    <w:pPr>
      <w:numPr>
        <w:numId w:val="10"/>
      </w:numPr>
    </w:pPr>
  </w:style>
  <w:style w:type="numbering" w:styleId="1ai">
    <w:name w:val="Outline List 1"/>
    <w:basedOn w:val="a5"/>
    <w:uiPriority w:val="99"/>
    <w:semiHidden/>
    <w:unhideWhenUsed/>
    <w:rsid w:val="004230D9"/>
    <w:pPr>
      <w:numPr>
        <w:numId w:val="11"/>
      </w:numPr>
    </w:pPr>
  </w:style>
  <w:style w:type="numbering" w:styleId="a1">
    <w:name w:val="Outline List 3"/>
    <w:basedOn w:val="a5"/>
    <w:uiPriority w:val="99"/>
    <w:semiHidden/>
    <w:unhideWhenUsed/>
    <w:rsid w:val="004230D9"/>
    <w:pPr>
      <w:numPr>
        <w:numId w:val="12"/>
      </w:numPr>
    </w:pPr>
  </w:style>
  <w:style w:type="paragraph" w:styleId="affff2">
    <w:name w:val="Body Text First Indent"/>
    <w:basedOn w:val="afe"/>
    <w:link w:val="affff3"/>
    <w:uiPriority w:val="99"/>
    <w:semiHidden/>
    <w:unhideWhenUsed/>
    <w:rsid w:val="004230D9"/>
    <w:pPr>
      <w:spacing w:after="200"/>
      <w:ind w:firstLine="360"/>
    </w:pPr>
  </w:style>
  <w:style w:type="character" w:customStyle="1" w:styleId="affff3">
    <w:name w:val="Красная строка Знак"/>
    <w:basedOn w:val="aff"/>
    <w:link w:val="affff2"/>
    <w:uiPriority w:val="99"/>
    <w:semiHidden/>
    <w:rsid w:val="004230D9"/>
    <w:rPr>
      <w:rFonts w:ascii="Times New Roman" w:hAnsi="Times New Roman" w:cs="Times New Roman"/>
    </w:rPr>
  </w:style>
  <w:style w:type="paragraph" w:styleId="affff4">
    <w:name w:val="Body Text Indent"/>
    <w:basedOn w:val="a2"/>
    <w:link w:val="affff5"/>
    <w:uiPriority w:val="99"/>
    <w:semiHidden/>
    <w:unhideWhenUsed/>
    <w:rsid w:val="004230D9"/>
    <w:pPr>
      <w:spacing w:after="120"/>
      <w:ind w:left="360"/>
    </w:pPr>
  </w:style>
  <w:style w:type="character" w:customStyle="1" w:styleId="affff5">
    <w:name w:val="Основной текст с отступом Знак"/>
    <w:basedOn w:val="a3"/>
    <w:link w:val="affff4"/>
    <w:uiPriority w:val="99"/>
    <w:semiHidden/>
    <w:rsid w:val="004230D9"/>
    <w:rPr>
      <w:rFonts w:ascii="Times New Roman" w:hAnsi="Times New Roman" w:cs="Times New Roman"/>
    </w:rPr>
  </w:style>
  <w:style w:type="paragraph" w:styleId="28">
    <w:name w:val="Body Text First Indent 2"/>
    <w:basedOn w:val="affff4"/>
    <w:link w:val="29"/>
    <w:uiPriority w:val="99"/>
    <w:semiHidden/>
    <w:unhideWhenUsed/>
    <w:rsid w:val="004230D9"/>
    <w:pPr>
      <w:spacing w:after="200"/>
      <w:ind w:firstLine="360"/>
    </w:pPr>
  </w:style>
  <w:style w:type="character" w:customStyle="1" w:styleId="29">
    <w:name w:val="Красная строка 2 Знак"/>
    <w:basedOn w:val="affff5"/>
    <w:link w:val="28"/>
    <w:uiPriority w:val="99"/>
    <w:semiHidden/>
    <w:rsid w:val="004230D9"/>
    <w:rPr>
      <w:rFonts w:ascii="Times New Roman" w:hAnsi="Times New Roman" w:cs="Times New Roman"/>
    </w:rPr>
  </w:style>
  <w:style w:type="paragraph" w:styleId="2a">
    <w:name w:val="Body Text Indent 2"/>
    <w:basedOn w:val="a2"/>
    <w:link w:val="2b"/>
    <w:uiPriority w:val="99"/>
    <w:semiHidden/>
    <w:unhideWhenUsed/>
    <w:rsid w:val="004230D9"/>
    <w:pPr>
      <w:spacing w:after="120" w:line="480" w:lineRule="auto"/>
      <w:ind w:left="360"/>
    </w:pPr>
  </w:style>
  <w:style w:type="character" w:customStyle="1" w:styleId="2b">
    <w:name w:val="Основной текст с отступом 2 Знак"/>
    <w:basedOn w:val="a3"/>
    <w:link w:val="2a"/>
    <w:uiPriority w:val="99"/>
    <w:semiHidden/>
    <w:rsid w:val="004230D9"/>
    <w:rPr>
      <w:rFonts w:ascii="Times New Roman" w:hAnsi="Times New Roman" w:cs="Times New Roman"/>
    </w:rPr>
  </w:style>
  <w:style w:type="paragraph" w:styleId="affff6">
    <w:name w:val="Closing"/>
    <w:basedOn w:val="a2"/>
    <w:link w:val="affff7"/>
    <w:uiPriority w:val="99"/>
    <w:semiHidden/>
    <w:unhideWhenUsed/>
    <w:rsid w:val="004230D9"/>
    <w:pPr>
      <w:ind w:left="4320"/>
    </w:pPr>
  </w:style>
  <w:style w:type="character" w:customStyle="1" w:styleId="affff7">
    <w:name w:val="Прощание Знак"/>
    <w:basedOn w:val="a3"/>
    <w:link w:val="affff6"/>
    <w:uiPriority w:val="99"/>
    <w:semiHidden/>
    <w:rsid w:val="004230D9"/>
    <w:rPr>
      <w:rFonts w:ascii="Times New Roman" w:hAnsi="Times New Roman" w:cs="Times New Roman"/>
    </w:rPr>
  </w:style>
  <w:style w:type="table" w:styleId="affff8">
    <w:name w:val="Colorful Grid"/>
    <w:basedOn w:val="a4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">
    <w:name w:val="Colorful Grid Accent 1"/>
    <w:basedOn w:val="a4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4EAF3" w:themeFill="accent1" w:themeFillTint="33"/>
    </w:tcPr>
    <w:tblStylePr w:type="firstRow">
      <w:rPr>
        <w:b/>
        <w:bCs/>
      </w:rPr>
      <w:tblPr/>
      <w:tcPr>
        <w:shd w:val="clear" w:color="auto" w:fill="A9D5E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9D5E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76E8B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76E8B" w:themeFill="accent1" w:themeFillShade="BF"/>
      </w:tcPr>
    </w:tblStylePr>
    <w:tblStylePr w:type="band1Vert">
      <w:tblPr/>
      <w:tcPr>
        <w:shd w:val="clear" w:color="auto" w:fill="94CBE1" w:themeFill="accent1" w:themeFillTint="7F"/>
      </w:tcPr>
    </w:tblStylePr>
    <w:tblStylePr w:type="band1Horz">
      <w:tblPr/>
      <w:tcPr>
        <w:shd w:val="clear" w:color="auto" w:fill="94CBE1" w:themeFill="accent1" w:themeFillTint="7F"/>
      </w:tcPr>
    </w:tblStylePr>
  </w:style>
  <w:style w:type="table" w:styleId="-2">
    <w:name w:val="Colorful Grid Accent 2"/>
    <w:basedOn w:val="a4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F0F2" w:themeFill="accent2" w:themeFillTint="33"/>
    </w:tcPr>
    <w:tblStylePr w:type="firstRow">
      <w:rPr>
        <w:b/>
        <w:bCs/>
      </w:rPr>
      <w:tblPr/>
      <w:tcPr>
        <w:shd w:val="clear" w:color="auto" w:fill="BCE1E5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CE1E5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398E98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398E98" w:themeFill="accent2" w:themeFillShade="BF"/>
      </w:tcPr>
    </w:tblStylePr>
    <w:tblStylePr w:type="band1Vert">
      <w:tblPr/>
      <w:tcPr>
        <w:shd w:val="clear" w:color="auto" w:fill="ABDADF" w:themeFill="accent2" w:themeFillTint="7F"/>
      </w:tcPr>
    </w:tblStylePr>
    <w:tblStylePr w:type="band1Horz">
      <w:tblPr/>
      <w:tcPr>
        <w:shd w:val="clear" w:color="auto" w:fill="ABDADF" w:themeFill="accent2" w:themeFillTint="7F"/>
      </w:tcPr>
    </w:tblStylePr>
  </w:style>
  <w:style w:type="table" w:styleId="-3">
    <w:name w:val="Colorful Grid Accent 3"/>
    <w:basedOn w:val="a4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3F1ED" w:themeFill="accent3" w:themeFillTint="33"/>
    </w:tcPr>
    <w:tblStylePr w:type="firstRow">
      <w:rPr>
        <w:b/>
        <w:bCs/>
      </w:rPr>
      <w:tblPr/>
      <w:tcPr>
        <w:shd w:val="clear" w:color="auto" w:fill="C7E4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7E4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4A9A8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4A9A82" w:themeFill="accent3" w:themeFillShade="BF"/>
      </w:tcPr>
    </w:tblStylePr>
    <w:tblStylePr w:type="band1Vert">
      <w:tblPr/>
      <w:tcPr>
        <w:shd w:val="clear" w:color="auto" w:fill="BADED3" w:themeFill="accent3" w:themeFillTint="7F"/>
      </w:tcPr>
    </w:tblStylePr>
    <w:tblStylePr w:type="band1Horz">
      <w:tblPr/>
      <w:tcPr>
        <w:shd w:val="clear" w:color="auto" w:fill="BADED3" w:themeFill="accent3" w:themeFillTint="7F"/>
      </w:tcPr>
    </w:tblStylePr>
  </w:style>
  <w:style w:type="table" w:styleId="-4">
    <w:name w:val="Colorful Grid Accent 4"/>
    <w:basedOn w:val="a4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4E7E8" w:themeFill="accent4" w:themeFillTint="33"/>
    </w:tcPr>
    <w:tblStylePr w:type="firstRow">
      <w:rPr>
        <w:b/>
        <w:bCs/>
      </w:rPr>
      <w:tblPr/>
      <w:tcPr>
        <w:shd w:val="clear" w:color="auto" w:fill="C9D0D1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9D0D1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A696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A696A" w:themeFill="accent4" w:themeFillShade="BF"/>
      </w:tcPr>
    </w:tblStylePr>
    <w:tblStylePr w:type="band1Vert">
      <w:tblPr/>
      <w:tcPr>
        <w:shd w:val="clear" w:color="auto" w:fill="BCC5C6" w:themeFill="accent4" w:themeFillTint="7F"/>
      </w:tcPr>
    </w:tblStylePr>
    <w:tblStylePr w:type="band1Horz">
      <w:tblPr/>
      <w:tcPr>
        <w:shd w:val="clear" w:color="auto" w:fill="BCC5C6" w:themeFill="accent4" w:themeFillTint="7F"/>
      </w:tcPr>
    </w:tblStylePr>
  </w:style>
  <w:style w:type="table" w:styleId="-5">
    <w:name w:val="Colorful Grid Accent 5"/>
    <w:basedOn w:val="a4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6EEF0" w:themeFill="accent5" w:themeFillTint="33"/>
    </w:tcPr>
    <w:tblStylePr w:type="firstRow">
      <w:rPr>
        <w:b/>
        <w:bCs/>
      </w:rPr>
      <w:tblPr/>
      <w:tcPr>
        <w:shd w:val="clear" w:color="auto" w:fill="CDDDE1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DDDE1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578793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578793" w:themeFill="accent5" w:themeFillShade="BF"/>
      </w:tcPr>
    </w:tblStylePr>
    <w:tblStylePr w:type="band1Vert">
      <w:tblPr/>
      <w:tcPr>
        <w:shd w:val="clear" w:color="auto" w:fill="C1D5DA" w:themeFill="accent5" w:themeFillTint="7F"/>
      </w:tcPr>
    </w:tblStylePr>
    <w:tblStylePr w:type="band1Horz">
      <w:tblPr/>
      <w:tcPr>
        <w:shd w:val="clear" w:color="auto" w:fill="C1D5DA" w:themeFill="accent5" w:themeFillTint="7F"/>
      </w:tcPr>
    </w:tblStylePr>
  </w:style>
  <w:style w:type="table" w:styleId="-6">
    <w:name w:val="Colorful Grid Accent 6"/>
    <w:basedOn w:val="a4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0E6F6" w:themeFill="accent6" w:themeFillTint="33"/>
    </w:tcPr>
    <w:tblStylePr w:type="firstRow">
      <w:rPr>
        <w:b/>
        <w:bCs/>
      </w:rPr>
      <w:tblPr/>
      <w:tcPr>
        <w:shd w:val="clear" w:color="auto" w:fill="A3CEED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3CEED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1C6194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1C6194" w:themeFill="accent6" w:themeFillShade="BF"/>
      </w:tcPr>
    </w:tblStylePr>
    <w:tblStylePr w:type="band1Vert">
      <w:tblPr/>
      <w:tcPr>
        <w:shd w:val="clear" w:color="auto" w:fill="8CC2E9" w:themeFill="accent6" w:themeFillTint="7F"/>
      </w:tcPr>
    </w:tblStylePr>
    <w:tblStylePr w:type="band1Horz">
      <w:tblPr/>
      <w:tcPr>
        <w:shd w:val="clear" w:color="auto" w:fill="8CC2E9" w:themeFill="accent6" w:themeFillTint="7F"/>
      </w:tcPr>
    </w:tblStylePr>
  </w:style>
  <w:style w:type="table" w:styleId="affff9">
    <w:name w:val="Colorful List"/>
    <w:basedOn w:val="a4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98A2" w:themeFill="accent2" w:themeFillShade="CC"/>
      </w:tcPr>
    </w:tblStylePr>
    <w:tblStylePr w:type="lastRow">
      <w:rPr>
        <w:b/>
        <w:bCs/>
        <w:color w:val="3D98A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0">
    <w:name w:val="Colorful List Accent 1"/>
    <w:basedOn w:val="a4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AF4F9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98A2" w:themeFill="accent2" w:themeFillShade="CC"/>
      </w:tcPr>
    </w:tblStylePr>
    <w:tblStylePr w:type="lastRow">
      <w:rPr>
        <w:b/>
        <w:bCs/>
        <w:color w:val="3D98A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E5F0" w:themeFill="accent1" w:themeFillTint="3F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styleId="-20">
    <w:name w:val="Colorful List Accent 2"/>
    <w:basedOn w:val="a4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7F8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98A2" w:themeFill="accent2" w:themeFillShade="CC"/>
      </w:tcPr>
    </w:tblStylePr>
    <w:tblStylePr w:type="lastRow">
      <w:rPr>
        <w:b/>
        <w:bCs/>
        <w:color w:val="3D98A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ECEF" w:themeFill="accent2" w:themeFillTint="3F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styleId="-30">
    <w:name w:val="Colorful List Accent 3"/>
    <w:basedOn w:val="a4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1F8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17072" w:themeFill="accent4" w:themeFillShade="CC"/>
      </w:tcPr>
    </w:tblStylePr>
    <w:tblStylePr w:type="lastRow">
      <w:rPr>
        <w:b/>
        <w:bCs/>
        <w:color w:val="61707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CEEE9" w:themeFill="accent3" w:themeFillTint="3F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styleId="-40">
    <w:name w:val="Colorful List Accent 4"/>
    <w:basedOn w:val="a4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1F3F3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FA58B" w:themeFill="accent3" w:themeFillShade="CC"/>
      </w:tcPr>
    </w:tblStylePr>
    <w:tblStylePr w:type="lastRow">
      <w:rPr>
        <w:b/>
        <w:bCs/>
        <w:color w:val="4FA58B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2E3" w:themeFill="accent4" w:themeFillTint="3F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styleId="-50">
    <w:name w:val="Colorful List Accent 5"/>
    <w:basedOn w:val="a4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F6F7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E689E" w:themeFill="accent6" w:themeFillShade="CC"/>
      </w:tcPr>
    </w:tblStylePr>
    <w:tblStylePr w:type="lastRow">
      <w:rPr>
        <w:b/>
        <w:bCs/>
        <w:color w:val="1E689E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EAED" w:themeFill="accent5" w:themeFillTint="3F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styleId="-60">
    <w:name w:val="Colorful List Accent 6"/>
    <w:basedOn w:val="a4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8F2FA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D909D" w:themeFill="accent5" w:themeFillShade="CC"/>
      </w:tcPr>
    </w:tblStylePr>
    <w:tblStylePr w:type="lastRow">
      <w:rPr>
        <w:b/>
        <w:bCs/>
        <w:color w:val="5D909D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5E0F4" w:themeFill="accent6" w:themeFillTint="3F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styleId="affffa">
    <w:name w:val="Colorful Shading"/>
    <w:basedOn w:val="a4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58B6C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8B6C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1">
    <w:name w:val="Colorful Shading Accent 1"/>
    <w:basedOn w:val="a4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58B6C0" w:themeColor="accent2"/>
        <w:left w:val="single" w:sz="4" w:space="0" w:color="3494BA" w:themeColor="accent1"/>
        <w:bottom w:val="single" w:sz="4" w:space="0" w:color="3494BA" w:themeColor="accent1"/>
        <w:right w:val="single" w:sz="4" w:space="0" w:color="3494BA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4F9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8B6C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F586F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F586F" w:themeColor="accent1" w:themeShade="99"/>
          <w:insideV w:val="nil"/>
        </w:tcBorders>
        <w:shd w:val="clear" w:color="auto" w:fill="1F586F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F586F" w:themeFill="accent1" w:themeFillShade="99"/>
      </w:tcPr>
    </w:tblStylePr>
    <w:tblStylePr w:type="band1Vert">
      <w:tblPr/>
      <w:tcPr>
        <w:shd w:val="clear" w:color="auto" w:fill="A9D5E7" w:themeFill="accent1" w:themeFillTint="66"/>
      </w:tcPr>
    </w:tblStylePr>
    <w:tblStylePr w:type="band1Horz">
      <w:tblPr/>
      <w:tcPr>
        <w:shd w:val="clear" w:color="auto" w:fill="94CBE1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1">
    <w:name w:val="Colorful Shading Accent 2"/>
    <w:basedOn w:val="a4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58B6C0" w:themeColor="accent2"/>
        <w:left w:val="single" w:sz="4" w:space="0" w:color="58B6C0" w:themeColor="accent2"/>
        <w:bottom w:val="single" w:sz="4" w:space="0" w:color="58B6C0" w:themeColor="accent2"/>
        <w:right w:val="single" w:sz="4" w:space="0" w:color="58B6C0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7F8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8B6C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7279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7279" w:themeColor="accent2" w:themeShade="99"/>
          <w:insideV w:val="nil"/>
        </w:tcBorders>
        <w:shd w:val="clear" w:color="auto" w:fill="2E7279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279" w:themeFill="accent2" w:themeFillShade="99"/>
      </w:tcPr>
    </w:tblStylePr>
    <w:tblStylePr w:type="band1Vert">
      <w:tblPr/>
      <w:tcPr>
        <w:shd w:val="clear" w:color="auto" w:fill="BCE1E5" w:themeFill="accent2" w:themeFillTint="66"/>
      </w:tcPr>
    </w:tblStylePr>
    <w:tblStylePr w:type="band1Horz">
      <w:tblPr/>
      <w:tcPr>
        <w:shd w:val="clear" w:color="auto" w:fill="ABDADF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1">
    <w:name w:val="Colorful Shading Accent 3"/>
    <w:basedOn w:val="a4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A8C8E" w:themeColor="accent4"/>
        <w:left w:val="single" w:sz="4" w:space="0" w:color="75BDA7" w:themeColor="accent3"/>
        <w:bottom w:val="single" w:sz="4" w:space="0" w:color="75BDA7" w:themeColor="accent3"/>
        <w:right w:val="single" w:sz="4" w:space="0" w:color="75BDA7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1F8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A8C8E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B7C68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B7C68" w:themeColor="accent3" w:themeShade="99"/>
          <w:insideV w:val="nil"/>
        </w:tcBorders>
        <w:shd w:val="clear" w:color="auto" w:fill="3B7C68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B7C68" w:themeFill="accent3" w:themeFillShade="99"/>
      </w:tcPr>
    </w:tblStylePr>
    <w:tblStylePr w:type="band1Vert">
      <w:tblPr/>
      <w:tcPr>
        <w:shd w:val="clear" w:color="auto" w:fill="C7E4DB" w:themeFill="accent3" w:themeFillTint="66"/>
      </w:tcPr>
    </w:tblStylePr>
    <w:tblStylePr w:type="band1Horz">
      <w:tblPr/>
      <w:tcPr>
        <w:shd w:val="clear" w:color="auto" w:fill="BADED3" w:themeFill="accent3" w:themeFillTint="7F"/>
      </w:tcPr>
    </w:tblStylePr>
  </w:style>
  <w:style w:type="table" w:styleId="-41">
    <w:name w:val="Colorful Shading Accent 4"/>
    <w:basedOn w:val="a4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5BDA7" w:themeColor="accent3"/>
        <w:left w:val="single" w:sz="4" w:space="0" w:color="7A8C8E" w:themeColor="accent4"/>
        <w:bottom w:val="single" w:sz="4" w:space="0" w:color="7A8C8E" w:themeColor="accent4"/>
        <w:right w:val="single" w:sz="4" w:space="0" w:color="7A8C8E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1F3F3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5BDA7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85455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85455" w:themeColor="accent4" w:themeShade="99"/>
          <w:insideV w:val="nil"/>
        </w:tcBorders>
        <w:shd w:val="clear" w:color="auto" w:fill="485455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85455" w:themeFill="accent4" w:themeFillShade="99"/>
      </w:tcPr>
    </w:tblStylePr>
    <w:tblStylePr w:type="band1Vert">
      <w:tblPr/>
      <w:tcPr>
        <w:shd w:val="clear" w:color="auto" w:fill="C9D0D1" w:themeFill="accent4" w:themeFillTint="66"/>
      </w:tcPr>
    </w:tblStylePr>
    <w:tblStylePr w:type="band1Horz">
      <w:tblPr/>
      <w:tcPr>
        <w:shd w:val="clear" w:color="auto" w:fill="BCC5C6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1">
    <w:name w:val="Colorful Shading Accent 5"/>
    <w:basedOn w:val="a4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2683C6" w:themeColor="accent6"/>
        <w:left w:val="single" w:sz="4" w:space="0" w:color="84ACB6" w:themeColor="accent5"/>
        <w:bottom w:val="single" w:sz="4" w:space="0" w:color="84ACB6" w:themeColor="accent5"/>
        <w:right w:val="single" w:sz="4" w:space="0" w:color="84ACB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F6F7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2683C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66C76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66C76" w:themeColor="accent5" w:themeShade="99"/>
          <w:insideV w:val="nil"/>
        </w:tcBorders>
        <w:shd w:val="clear" w:color="auto" w:fill="466C76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66C76" w:themeFill="accent5" w:themeFillShade="99"/>
      </w:tcPr>
    </w:tblStylePr>
    <w:tblStylePr w:type="band1Vert">
      <w:tblPr/>
      <w:tcPr>
        <w:shd w:val="clear" w:color="auto" w:fill="CDDDE1" w:themeFill="accent5" w:themeFillTint="66"/>
      </w:tcPr>
    </w:tblStylePr>
    <w:tblStylePr w:type="band1Horz">
      <w:tblPr/>
      <w:tcPr>
        <w:shd w:val="clear" w:color="auto" w:fill="C1D5DA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1">
    <w:name w:val="Colorful Shading Accent 6"/>
    <w:basedOn w:val="a4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4ACB6" w:themeColor="accent5"/>
        <w:left w:val="single" w:sz="4" w:space="0" w:color="2683C6" w:themeColor="accent6"/>
        <w:bottom w:val="single" w:sz="4" w:space="0" w:color="2683C6" w:themeColor="accent6"/>
        <w:right w:val="single" w:sz="4" w:space="0" w:color="2683C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F2FA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4ACB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64E76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64E76" w:themeColor="accent6" w:themeShade="99"/>
          <w:insideV w:val="nil"/>
        </w:tcBorders>
        <w:shd w:val="clear" w:color="auto" w:fill="164E76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64E76" w:themeFill="accent6" w:themeFillShade="99"/>
      </w:tcPr>
    </w:tblStylePr>
    <w:tblStylePr w:type="band1Vert">
      <w:tblPr/>
      <w:tcPr>
        <w:shd w:val="clear" w:color="auto" w:fill="A3CEED" w:themeFill="accent6" w:themeFillTint="66"/>
      </w:tcPr>
    </w:tblStylePr>
    <w:tblStylePr w:type="band1Horz">
      <w:tblPr/>
      <w:tcPr>
        <w:shd w:val="clear" w:color="auto" w:fill="8CC2E9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ffb">
    <w:name w:val="Dark List"/>
    <w:basedOn w:val="a4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4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3494BA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A495C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76E8B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76E8B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E8B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E8B" w:themeFill="accent1" w:themeFillShade="BF"/>
      </w:tcPr>
    </w:tblStylePr>
  </w:style>
  <w:style w:type="table" w:styleId="-22">
    <w:name w:val="Dark List Accent 2"/>
    <w:basedOn w:val="a4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58B6C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5E65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8E98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8E98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8E98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8E98" w:themeFill="accent2" w:themeFillShade="BF"/>
      </w:tcPr>
    </w:tblStylePr>
  </w:style>
  <w:style w:type="table" w:styleId="-32">
    <w:name w:val="Dark List Accent 3"/>
    <w:basedOn w:val="a4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5BDA7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16756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A9A8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A9A8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A9A8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A9A82" w:themeFill="accent3" w:themeFillShade="BF"/>
      </w:tcPr>
    </w:tblStylePr>
  </w:style>
  <w:style w:type="table" w:styleId="-42">
    <w:name w:val="Dark List Accent 4"/>
    <w:basedOn w:val="a4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A8C8E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C4546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A696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A696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696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696A" w:themeFill="accent4" w:themeFillShade="BF"/>
      </w:tcPr>
    </w:tblStylePr>
  </w:style>
  <w:style w:type="table" w:styleId="-52">
    <w:name w:val="Dark List Accent 5"/>
    <w:basedOn w:val="a4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4ACB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A5A62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78793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78793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78793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78793" w:themeFill="accent5" w:themeFillShade="BF"/>
      </w:tcPr>
    </w:tblStylePr>
  </w:style>
  <w:style w:type="table" w:styleId="-62">
    <w:name w:val="Dark List Accent 6"/>
    <w:basedOn w:val="a4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683C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34162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C6194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C6194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C6194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C6194" w:themeFill="accent6" w:themeFillShade="BF"/>
      </w:tcPr>
    </w:tblStylePr>
  </w:style>
  <w:style w:type="paragraph" w:styleId="affffc">
    <w:name w:val="E-mail Signature"/>
    <w:basedOn w:val="a2"/>
    <w:link w:val="affffd"/>
    <w:uiPriority w:val="99"/>
    <w:semiHidden/>
    <w:unhideWhenUsed/>
    <w:rsid w:val="004230D9"/>
  </w:style>
  <w:style w:type="character" w:customStyle="1" w:styleId="affffd">
    <w:name w:val="Электронная подпись Знак"/>
    <w:basedOn w:val="a3"/>
    <w:link w:val="affffc"/>
    <w:uiPriority w:val="99"/>
    <w:semiHidden/>
    <w:rsid w:val="004230D9"/>
    <w:rPr>
      <w:rFonts w:ascii="Times New Roman" w:hAnsi="Times New Roman" w:cs="Times New Roman"/>
    </w:rPr>
  </w:style>
  <w:style w:type="table" w:customStyle="1" w:styleId="-110">
    <w:name w:val="Таблица-сетка 1 светлая1"/>
    <w:basedOn w:val="a4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11">
    <w:name w:val="Таблица-сетка 1 светлая — акцент 11"/>
    <w:basedOn w:val="a4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9D5E7" w:themeColor="accent1" w:themeTint="66"/>
        <w:left w:val="single" w:sz="4" w:space="0" w:color="A9D5E7" w:themeColor="accent1" w:themeTint="66"/>
        <w:bottom w:val="single" w:sz="4" w:space="0" w:color="A9D5E7" w:themeColor="accent1" w:themeTint="66"/>
        <w:right w:val="single" w:sz="4" w:space="0" w:color="A9D5E7" w:themeColor="accent1" w:themeTint="66"/>
        <w:insideH w:val="single" w:sz="4" w:space="0" w:color="A9D5E7" w:themeColor="accent1" w:themeTint="66"/>
        <w:insideV w:val="single" w:sz="4" w:space="0" w:color="A9D5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7FC0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FC0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21">
    <w:name w:val="Таблица-сетка 1 светлая — акцент 21"/>
    <w:basedOn w:val="a4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CE1E5" w:themeColor="accent2" w:themeTint="66"/>
        <w:left w:val="single" w:sz="4" w:space="0" w:color="BCE1E5" w:themeColor="accent2" w:themeTint="66"/>
        <w:bottom w:val="single" w:sz="4" w:space="0" w:color="BCE1E5" w:themeColor="accent2" w:themeTint="66"/>
        <w:right w:val="single" w:sz="4" w:space="0" w:color="BCE1E5" w:themeColor="accent2" w:themeTint="66"/>
        <w:insideH w:val="single" w:sz="4" w:space="0" w:color="BCE1E5" w:themeColor="accent2" w:themeTint="66"/>
        <w:insideV w:val="single" w:sz="4" w:space="0" w:color="BCE1E5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9AD3D9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AD3D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31">
    <w:name w:val="Таблица-сетка 1 светлая — акцент 31"/>
    <w:basedOn w:val="a4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C7E4DB" w:themeColor="accent3" w:themeTint="66"/>
        <w:left w:val="single" w:sz="4" w:space="0" w:color="C7E4DB" w:themeColor="accent3" w:themeTint="66"/>
        <w:bottom w:val="single" w:sz="4" w:space="0" w:color="C7E4DB" w:themeColor="accent3" w:themeTint="66"/>
        <w:right w:val="single" w:sz="4" w:space="0" w:color="C7E4DB" w:themeColor="accent3" w:themeTint="66"/>
        <w:insideH w:val="single" w:sz="4" w:space="0" w:color="C7E4DB" w:themeColor="accent3" w:themeTint="66"/>
        <w:insideV w:val="single" w:sz="4" w:space="0" w:color="C7E4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ACD7CA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CD7CA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41">
    <w:name w:val="Таблица-сетка 1 светлая — акцент 41"/>
    <w:basedOn w:val="a4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C9D0D1" w:themeColor="accent4" w:themeTint="66"/>
        <w:left w:val="single" w:sz="4" w:space="0" w:color="C9D0D1" w:themeColor="accent4" w:themeTint="66"/>
        <w:bottom w:val="single" w:sz="4" w:space="0" w:color="C9D0D1" w:themeColor="accent4" w:themeTint="66"/>
        <w:right w:val="single" w:sz="4" w:space="0" w:color="C9D0D1" w:themeColor="accent4" w:themeTint="66"/>
        <w:insideH w:val="single" w:sz="4" w:space="0" w:color="C9D0D1" w:themeColor="accent4" w:themeTint="66"/>
        <w:insideV w:val="single" w:sz="4" w:space="0" w:color="C9D0D1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AFB9BB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FB9B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51">
    <w:name w:val="Таблица-сетка 1 светлая — акцент 51"/>
    <w:basedOn w:val="a4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CDDDE1" w:themeColor="accent5" w:themeTint="66"/>
        <w:left w:val="single" w:sz="4" w:space="0" w:color="CDDDE1" w:themeColor="accent5" w:themeTint="66"/>
        <w:bottom w:val="single" w:sz="4" w:space="0" w:color="CDDDE1" w:themeColor="accent5" w:themeTint="66"/>
        <w:right w:val="single" w:sz="4" w:space="0" w:color="CDDDE1" w:themeColor="accent5" w:themeTint="66"/>
        <w:insideH w:val="single" w:sz="4" w:space="0" w:color="CDDDE1" w:themeColor="accent5" w:themeTint="66"/>
        <w:insideV w:val="single" w:sz="4" w:space="0" w:color="CDDDE1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B5CDD3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5CDD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61">
    <w:name w:val="Таблица-сетка 1 светлая — акцент 61"/>
    <w:basedOn w:val="a4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3CEED" w:themeColor="accent6" w:themeTint="66"/>
        <w:left w:val="single" w:sz="4" w:space="0" w:color="A3CEED" w:themeColor="accent6" w:themeTint="66"/>
        <w:bottom w:val="single" w:sz="4" w:space="0" w:color="A3CEED" w:themeColor="accent6" w:themeTint="66"/>
        <w:right w:val="single" w:sz="4" w:space="0" w:color="A3CEED" w:themeColor="accent6" w:themeTint="66"/>
        <w:insideH w:val="single" w:sz="4" w:space="0" w:color="A3CEED" w:themeColor="accent6" w:themeTint="66"/>
        <w:insideV w:val="single" w:sz="4" w:space="0" w:color="A3CEED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74B5E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4B5E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210">
    <w:name w:val="Таблица-сетка 21"/>
    <w:basedOn w:val="a4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211">
    <w:name w:val="Таблица-сетка 2 — акцент 11"/>
    <w:basedOn w:val="a4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7FC0DB" w:themeColor="accent1" w:themeTint="99"/>
        <w:bottom w:val="single" w:sz="2" w:space="0" w:color="7FC0DB" w:themeColor="accent1" w:themeTint="99"/>
        <w:insideH w:val="single" w:sz="2" w:space="0" w:color="7FC0DB" w:themeColor="accent1" w:themeTint="99"/>
        <w:insideV w:val="single" w:sz="2" w:space="0" w:color="7FC0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FC0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FC0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customStyle="1" w:styleId="-221">
    <w:name w:val="Таблица-сетка 2 — акцент 21"/>
    <w:basedOn w:val="a4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9AD3D9" w:themeColor="accent2" w:themeTint="99"/>
        <w:bottom w:val="single" w:sz="2" w:space="0" w:color="9AD3D9" w:themeColor="accent2" w:themeTint="99"/>
        <w:insideH w:val="single" w:sz="2" w:space="0" w:color="9AD3D9" w:themeColor="accent2" w:themeTint="99"/>
        <w:insideV w:val="single" w:sz="2" w:space="0" w:color="9AD3D9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AD3D9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AD3D9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customStyle="1" w:styleId="-231">
    <w:name w:val="Таблица-сетка 2 — акцент 31"/>
    <w:basedOn w:val="a4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ACD7CA" w:themeColor="accent3" w:themeTint="99"/>
        <w:bottom w:val="single" w:sz="2" w:space="0" w:color="ACD7CA" w:themeColor="accent3" w:themeTint="99"/>
        <w:insideH w:val="single" w:sz="2" w:space="0" w:color="ACD7CA" w:themeColor="accent3" w:themeTint="99"/>
        <w:insideV w:val="single" w:sz="2" w:space="0" w:color="ACD7CA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CD7CA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CD7CA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customStyle="1" w:styleId="-241">
    <w:name w:val="Таблица-сетка 2 — акцент 41"/>
    <w:basedOn w:val="a4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AFB9BB" w:themeColor="accent4" w:themeTint="99"/>
        <w:bottom w:val="single" w:sz="2" w:space="0" w:color="AFB9BB" w:themeColor="accent4" w:themeTint="99"/>
        <w:insideH w:val="single" w:sz="2" w:space="0" w:color="AFB9BB" w:themeColor="accent4" w:themeTint="99"/>
        <w:insideV w:val="single" w:sz="2" w:space="0" w:color="AFB9BB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FB9BB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FB9BB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customStyle="1" w:styleId="-251">
    <w:name w:val="Таблица-сетка 2 — акцент 51"/>
    <w:basedOn w:val="a4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B5CDD3" w:themeColor="accent5" w:themeTint="99"/>
        <w:bottom w:val="single" w:sz="2" w:space="0" w:color="B5CDD3" w:themeColor="accent5" w:themeTint="99"/>
        <w:insideH w:val="single" w:sz="2" w:space="0" w:color="B5CDD3" w:themeColor="accent5" w:themeTint="99"/>
        <w:insideV w:val="single" w:sz="2" w:space="0" w:color="B5CDD3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5CDD3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5CDD3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customStyle="1" w:styleId="-261">
    <w:name w:val="Таблица-сетка 2 — акцент 61"/>
    <w:basedOn w:val="a4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74B5E4" w:themeColor="accent6" w:themeTint="99"/>
        <w:bottom w:val="single" w:sz="2" w:space="0" w:color="74B5E4" w:themeColor="accent6" w:themeTint="99"/>
        <w:insideH w:val="single" w:sz="2" w:space="0" w:color="74B5E4" w:themeColor="accent6" w:themeTint="99"/>
        <w:insideV w:val="single" w:sz="2" w:space="0" w:color="74B5E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4B5E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4B5E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customStyle="1" w:styleId="-310">
    <w:name w:val="Таблица-сетка 31"/>
    <w:basedOn w:val="a4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-311">
    <w:name w:val="Таблица-сетка 3 — акцент 11"/>
    <w:basedOn w:val="a4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  <w:insideV w:val="single" w:sz="4" w:space="0" w:color="7FC0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  <w:tblStylePr w:type="neCell">
      <w:tblPr/>
      <w:tcPr>
        <w:tcBorders>
          <w:bottom w:val="single" w:sz="4" w:space="0" w:color="7FC0DB" w:themeColor="accent1" w:themeTint="99"/>
        </w:tcBorders>
      </w:tcPr>
    </w:tblStylePr>
    <w:tblStylePr w:type="nwCell">
      <w:tblPr/>
      <w:tcPr>
        <w:tcBorders>
          <w:bottom w:val="single" w:sz="4" w:space="0" w:color="7FC0DB" w:themeColor="accent1" w:themeTint="99"/>
        </w:tcBorders>
      </w:tcPr>
    </w:tblStylePr>
    <w:tblStylePr w:type="seCell">
      <w:tblPr/>
      <w:tcPr>
        <w:tcBorders>
          <w:top w:val="single" w:sz="4" w:space="0" w:color="7FC0DB" w:themeColor="accent1" w:themeTint="99"/>
        </w:tcBorders>
      </w:tcPr>
    </w:tblStylePr>
    <w:tblStylePr w:type="swCell">
      <w:tblPr/>
      <w:tcPr>
        <w:tcBorders>
          <w:top w:val="single" w:sz="4" w:space="0" w:color="7FC0DB" w:themeColor="accent1" w:themeTint="99"/>
        </w:tcBorders>
      </w:tcPr>
    </w:tblStylePr>
  </w:style>
  <w:style w:type="table" w:customStyle="1" w:styleId="-321">
    <w:name w:val="Таблица-сетка 3 — акцент 21"/>
    <w:basedOn w:val="a4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AD3D9" w:themeColor="accent2" w:themeTint="99"/>
        <w:left w:val="single" w:sz="4" w:space="0" w:color="9AD3D9" w:themeColor="accent2" w:themeTint="99"/>
        <w:bottom w:val="single" w:sz="4" w:space="0" w:color="9AD3D9" w:themeColor="accent2" w:themeTint="99"/>
        <w:right w:val="single" w:sz="4" w:space="0" w:color="9AD3D9" w:themeColor="accent2" w:themeTint="99"/>
        <w:insideH w:val="single" w:sz="4" w:space="0" w:color="9AD3D9" w:themeColor="accent2" w:themeTint="99"/>
        <w:insideV w:val="single" w:sz="4" w:space="0" w:color="9AD3D9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  <w:tblStylePr w:type="neCell">
      <w:tblPr/>
      <w:tcPr>
        <w:tcBorders>
          <w:bottom w:val="single" w:sz="4" w:space="0" w:color="9AD3D9" w:themeColor="accent2" w:themeTint="99"/>
        </w:tcBorders>
      </w:tcPr>
    </w:tblStylePr>
    <w:tblStylePr w:type="nwCell">
      <w:tblPr/>
      <w:tcPr>
        <w:tcBorders>
          <w:bottom w:val="single" w:sz="4" w:space="0" w:color="9AD3D9" w:themeColor="accent2" w:themeTint="99"/>
        </w:tcBorders>
      </w:tcPr>
    </w:tblStylePr>
    <w:tblStylePr w:type="seCell">
      <w:tblPr/>
      <w:tcPr>
        <w:tcBorders>
          <w:top w:val="single" w:sz="4" w:space="0" w:color="9AD3D9" w:themeColor="accent2" w:themeTint="99"/>
        </w:tcBorders>
      </w:tcPr>
    </w:tblStylePr>
    <w:tblStylePr w:type="swCell">
      <w:tblPr/>
      <w:tcPr>
        <w:tcBorders>
          <w:top w:val="single" w:sz="4" w:space="0" w:color="9AD3D9" w:themeColor="accent2" w:themeTint="99"/>
        </w:tcBorders>
      </w:tcPr>
    </w:tblStylePr>
  </w:style>
  <w:style w:type="table" w:customStyle="1" w:styleId="-331">
    <w:name w:val="Таблица-сетка 3 — акцент 31"/>
    <w:basedOn w:val="a4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CD7CA" w:themeColor="accent3" w:themeTint="99"/>
        <w:left w:val="single" w:sz="4" w:space="0" w:color="ACD7CA" w:themeColor="accent3" w:themeTint="99"/>
        <w:bottom w:val="single" w:sz="4" w:space="0" w:color="ACD7CA" w:themeColor="accent3" w:themeTint="99"/>
        <w:right w:val="single" w:sz="4" w:space="0" w:color="ACD7CA" w:themeColor="accent3" w:themeTint="99"/>
        <w:insideH w:val="single" w:sz="4" w:space="0" w:color="ACD7CA" w:themeColor="accent3" w:themeTint="99"/>
        <w:insideV w:val="single" w:sz="4" w:space="0" w:color="ACD7CA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  <w:tblStylePr w:type="neCell">
      <w:tblPr/>
      <w:tcPr>
        <w:tcBorders>
          <w:bottom w:val="single" w:sz="4" w:space="0" w:color="ACD7CA" w:themeColor="accent3" w:themeTint="99"/>
        </w:tcBorders>
      </w:tcPr>
    </w:tblStylePr>
    <w:tblStylePr w:type="nwCell">
      <w:tblPr/>
      <w:tcPr>
        <w:tcBorders>
          <w:bottom w:val="single" w:sz="4" w:space="0" w:color="ACD7CA" w:themeColor="accent3" w:themeTint="99"/>
        </w:tcBorders>
      </w:tcPr>
    </w:tblStylePr>
    <w:tblStylePr w:type="seCell">
      <w:tblPr/>
      <w:tcPr>
        <w:tcBorders>
          <w:top w:val="single" w:sz="4" w:space="0" w:color="ACD7CA" w:themeColor="accent3" w:themeTint="99"/>
        </w:tcBorders>
      </w:tcPr>
    </w:tblStylePr>
    <w:tblStylePr w:type="swCell">
      <w:tblPr/>
      <w:tcPr>
        <w:tcBorders>
          <w:top w:val="single" w:sz="4" w:space="0" w:color="ACD7CA" w:themeColor="accent3" w:themeTint="99"/>
        </w:tcBorders>
      </w:tcPr>
    </w:tblStylePr>
  </w:style>
  <w:style w:type="table" w:customStyle="1" w:styleId="-341">
    <w:name w:val="Таблица-сетка 3 — акцент 41"/>
    <w:basedOn w:val="a4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FB9BB" w:themeColor="accent4" w:themeTint="99"/>
        <w:left w:val="single" w:sz="4" w:space="0" w:color="AFB9BB" w:themeColor="accent4" w:themeTint="99"/>
        <w:bottom w:val="single" w:sz="4" w:space="0" w:color="AFB9BB" w:themeColor="accent4" w:themeTint="99"/>
        <w:right w:val="single" w:sz="4" w:space="0" w:color="AFB9BB" w:themeColor="accent4" w:themeTint="99"/>
        <w:insideH w:val="single" w:sz="4" w:space="0" w:color="AFB9BB" w:themeColor="accent4" w:themeTint="99"/>
        <w:insideV w:val="single" w:sz="4" w:space="0" w:color="AFB9BB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  <w:tblStylePr w:type="neCell">
      <w:tblPr/>
      <w:tcPr>
        <w:tcBorders>
          <w:bottom w:val="single" w:sz="4" w:space="0" w:color="AFB9BB" w:themeColor="accent4" w:themeTint="99"/>
        </w:tcBorders>
      </w:tcPr>
    </w:tblStylePr>
    <w:tblStylePr w:type="nwCell">
      <w:tblPr/>
      <w:tcPr>
        <w:tcBorders>
          <w:bottom w:val="single" w:sz="4" w:space="0" w:color="AFB9BB" w:themeColor="accent4" w:themeTint="99"/>
        </w:tcBorders>
      </w:tcPr>
    </w:tblStylePr>
    <w:tblStylePr w:type="seCell">
      <w:tblPr/>
      <w:tcPr>
        <w:tcBorders>
          <w:top w:val="single" w:sz="4" w:space="0" w:color="AFB9BB" w:themeColor="accent4" w:themeTint="99"/>
        </w:tcBorders>
      </w:tcPr>
    </w:tblStylePr>
    <w:tblStylePr w:type="swCell">
      <w:tblPr/>
      <w:tcPr>
        <w:tcBorders>
          <w:top w:val="single" w:sz="4" w:space="0" w:color="AFB9BB" w:themeColor="accent4" w:themeTint="99"/>
        </w:tcBorders>
      </w:tcPr>
    </w:tblStylePr>
  </w:style>
  <w:style w:type="table" w:customStyle="1" w:styleId="-351">
    <w:name w:val="Таблица-сетка 3 — акцент 51"/>
    <w:basedOn w:val="a4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  <w:insideV w:val="single" w:sz="4" w:space="0" w:color="B5CDD3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  <w:tblStylePr w:type="neCell">
      <w:tblPr/>
      <w:tcPr>
        <w:tcBorders>
          <w:bottom w:val="single" w:sz="4" w:space="0" w:color="B5CDD3" w:themeColor="accent5" w:themeTint="99"/>
        </w:tcBorders>
      </w:tcPr>
    </w:tblStylePr>
    <w:tblStylePr w:type="nwCell">
      <w:tblPr/>
      <w:tcPr>
        <w:tcBorders>
          <w:bottom w:val="single" w:sz="4" w:space="0" w:color="B5CDD3" w:themeColor="accent5" w:themeTint="99"/>
        </w:tcBorders>
      </w:tcPr>
    </w:tblStylePr>
    <w:tblStylePr w:type="seCell">
      <w:tblPr/>
      <w:tcPr>
        <w:tcBorders>
          <w:top w:val="single" w:sz="4" w:space="0" w:color="B5CDD3" w:themeColor="accent5" w:themeTint="99"/>
        </w:tcBorders>
      </w:tcPr>
    </w:tblStylePr>
    <w:tblStylePr w:type="swCell">
      <w:tblPr/>
      <w:tcPr>
        <w:tcBorders>
          <w:top w:val="single" w:sz="4" w:space="0" w:color="B5CDD3" w:themeColor="accent5" w:themeTint="99"/>
        </w:tcBorders>
      </w:tcPr>
    </w:tblStylePr>
  </w:style>
  <w:style w:type="table" w:customStyle="1" w:styleId="-361">
    <w:name w:val="Таблица-сетка 3 — акцент 61"/>
    <w:basedOn w:val="a4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4B5E4" w:themeColor="accent6" w:themeTint="99"/>
        <w:left w:val="single" w:sz="4" w:space="0" w:color="74B5E4" w:themeColor="accent6" w:themeTint="99"/>
        <w:bottom w:val="single" w:sz="4" w:space="0" w:color="74B5E4" w:themeColor="accent6" w:themeTint="99"/>
        <w:right w:val="single" w:sz="4" w:space="0" w:color="74B5E4" w:themeColor="accent6" w:themeTint="99"/>
        <w:insideH w:val="single" w:sz="4" w:space="0" w:color="74B5E4" w:themeColor="accent6" w:themeTint="99"/>
        <w:insideV w:val="single" w:sz="4" w:space="0" w:color="74B5E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  <w:tblStylePr w:type="neCell">
      <w:tblPr/>
      <w:tcPr>
        <w:tcBorders>
          <w:bottom w:val="single" w:sz="4" w:space="0" w:color="74B5E4" w:themeColor="accent6" w:themeTint="99"/>
        </w:tcBorders>
      </w:tcPr>
    </w:tblStylePr>
    <w:tblStylePr w:type="nwCell">
      <w:tblPr/>
      <w:tcPr>
        <w:tcBorders>
          <w:bottom w:val="single" w:sz="4" w:space="0" w:color="74B5E4" w:themeColor="accent6" w:themeTint="99"/>
        </w:tcBorders>
      </w:tcPr>
    </w:tblStylePr>
    <w:tblStylePr w:type="seCell">
      <w:tblPr/>
      <w:tcPr>
        <w:tcBorders>
          <w:top w:val="single" w:sz="4" w:space="0" w:color="74B5E4" w:themeColor="accent6" w:themeTint="99"/>
        </w:tcBorders>
      </w:tcPr>
    </w:tblStylePr>
    <w:tblStylePr w:type="swCell">
      <w:tblPr/>
      <w:tcPr>
        <w:tcBorders>
          <w:top w:val="single" w:sz="4" w:space="0" w:color="74B5E4" w:themeColor="accent6" w:themeTint="99"/>
        </w:tcBorders>
      </w:tcPr>
    </w:tblStylePr>
  </w:style>
  <w:style w:type="table" w:customStyle="1" w:styleId="-410">
    <w:name w:val="Таблица-сетка 41"/>
    <w:basedOn w:val="a4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411">
    <w:name w:val="Таблица-сетка 4 — акцент 11"/>
    <w:basedOn w:val="a4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  <w:insideV w:val="single" w:sz="4" w:space="0" w:color="7FC0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494BA" w:themeColor="accent1"/>
          <w:left w:val="single" w:sz="4" w:space="0" w:color="3494BA" w:themeColor="accent1"/>
          <w:bottom w:val="single" w:sz="4" w:space="0" w:color="3494BA" w:themeColor="accent1"/>
          <w:right w:val="single" w:sz="4" w:space="0" w:color="3494BA" w:themeColor="accent1"/>
          <w:insideH w:val="nil"/>
          <w:insideV w:val="nil"/>
        </w:tcBorders>
        <w:shd w:val="clear" w:color="auto" w:fill="3494BA" w:themeFill="accent1"/>
      </w:tcPr>
    </w:tblStylePr>
    <w:tblStylePr w:type="lastRow">
      <w:rPr>
        <w:b/>
        <w:bCs/>
      </w:rPr>
      <w:tblPr/>
      <w:tcPr>
        <w:tcBorders>
          <w:top w:val="double" w:sz="4" w:space="0" w:color="3494B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customStyle="1" w:styleId="-421">
    <w:name w:val="Таблица-сетка 4 — акцент 21"/>
    <w:basedOn w:val="a4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AD3D9" w:themeColor="accent2" w:themeTint="99"/>
        <w:left w:val="single" w:sz="4" w:space="0" w:color="9AD3D9" w:themeColor="accent2" w:themeTint="99"/>
        <w:bottom w:val="single" w:sz="4" w:space="0" w:color="9AD3D9" w:themeColor="accent2" w:themeTint="99"/>
        <w:right w:val="single" w:sz="4" w:space="0" w:color="9AD3D9" w:themeColor="accent2" w:themeTint="99"/>
        <w:insideH w:val="single" w:sz="4" w:space="0" w:color="9AD3D9" w:themeColor="accent2" w:themeTint="99"/>
        <w:insideV w:val="single" w:sz="4" w:space="0" w:color="9AD3D9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8B6C0" w:themeColor="accent2"/>
          <w:left w:val="single" w:sz="4" w:space="0" w:color="58B6C0" w:themeColor="accent2"/>
          <w:bottom w:val="single" w:sz="4" w:space="0" w:color="58B6C0" w:themeColor="accent2"/>
          <w:right w:val="single" w:sz="4" w:space="0" w:color="58B6C0" w:themeColor="accent2"/>
          <w:insideH w:val="nil"/>
          <w:insideV w:val="nil"/>
        </w:tcBorders>
        <w:shd w:val="clear" w:color="auto" w:fill="58B6C0" w:themeFill="accent2"/>
      </w:tcPr>
    </w:tblStylePr>
    <w:tblStylePr w:type="lastRow">
      <w:rPr>
        <w:b/>
        <w:bCs/>
      </w:rPr>
      <w:tblPr/>
      <w:tcPr>
        <w:tcBorders>
          <w:top w:val="double" w:sz="4" w:space="0" w:color="58B6C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customStyle="1" w:styleId="-431">
    <w:name w:val="Таблица-сетка 4 — акцент 31"/>
    <w:basedOn w:val="a4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CD7CA" w:themeColor="accent3" w:themeTint="99"/>
        <w:left w:val="single" w:sz="4" w:space="0" w:color="ACD7CA" w:themeColor="accent3" w:themeTint="99"/>
        <w:bottom w:val="single" w:sz="4" w:space="0" w:color="ACD7CA" w:themeColor="accent3" w:themeTint="99"/>
        <w:right w:val="single" w:sz="4" w:space="0" w:color="ACD7CA" w:themeColor="accent3" w:themeTint="99"/>
        <w:insideH w:val="single" w:sz="4" w:space="0" w:color="ACD7CA" w:themeColor="accent3" w:themeTint="99"/>
        <w:insideV w:val="single" w:sz="4" w:space="0" w:color="ACD7CA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5BDA7" w:themeColor="accent3"/>
          <w:left w:val="single" w:sz="4" w:space="0" w:color="75BDA7" w:themeColor="accent3"/>
          <w:bottom w:val="single" w:sz="4" w:space="0" w:color="75BDA7" w:themeColor="accent3"/>
          <w:right w:val="single" w:sz="4" w:space="0" w:color="75BDA7" w:themeColor="accent3"/>
          <w:insideH w:val="nil"/>
          <w:insideV w:val="nil"/>
        </w:tcBorders>
        <w:shd w:val="clear" w:color="auto" w:fill="75BDA7" w:themeFill="accent3"/>
      </w:tcPr>
    </w:tblStylePr>
    <w:tblStylePr w:type="lastRow">
      <w:rPr>
        <w:b/>
        <w:bCs/>
      </w:rPr>
      <w:tblPr/>
      <w:tcPr>
        <w:tcBorders>
          <w:top w:val="double" w:sz="4" w:space="0" w:color="75BDA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customStyle="1" w:styleId="-441">
    <w:name w:val="Таблица-сетка 4 — акцент 41"/>
    <w:basedOn w:val="a4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FB9BB" w:themeColor="accent4" w:themeTint="99"/>
        <w:left w:val="single" w:sz="4" w:space="0" w:color="AFB9BB" w:themeColor="accent4" w:themeTint="99"/>
        <w:bottom w:val="single" w:sz="4" w:space="0" w:color="AFB9BB" w:themeColor="accent4" w:themeTint="99"/>
        <w:right w:val="single" w:sz="4" w:space="0" w:color="AFB9BB" w:themeColor="accent4" w:themeTint="99"/>
        <w:insideH w:val="single" w:sz="4" w:space="0" w:color="AFB9BB" w:themeColor="accent4" w:themeTint="99"/>
        <w:insideV w:val="single" w:sz="4" w:space="0" w:color="AFB9BB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A8C8E" w:themeColor="accent4"/>
          <w:left w:val="single" w:sz="4" w:space="0" w:color="7A8C8E" w:themeColor="accent4"/>
          <w:bottom w:val="single" w:sz="4" w:space="0" w:color="7A8C8E" w:themeColor="accent4"/>
          <w:right w:val="single" w:sz="4" w:space="0" w:color="7A8C8E" w:themeColor="accent4"/>
          <w:insideH w:val="nil"/>
          <w:insideV w:val="nil"/>
        </w:tcBorders>
        <w:shd w:val="clear" w:color="auto" w:fill="7A8C8E" w:themeFill="accent4"/>
      </w:tcPr>
    </w:tblStylePr>
    <w:tblStylePr w:type="lastRow">
      <w:rPr>
        <w:b/>
        <w:bCs/>
      </w:rPr>
      <w:tblPr/>
      <w:tcPr>
        <w:tcBorders>
          <w:top w:val="double" w:sz="4" w:space="0" w:color="7A8C8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customStyle="1" w:styleId="-451">
    <w:name w:val="Таблица-сетка 4 — акцент 51"/>
    <w:basedOn w:val="a4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  <w:insideV w:val="single" w:sz="4" w:space="0" w:color="B5CDD3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4ACB6" w:themeColor="accent5"/>
          <w:left w:val="single" w:sz="4" w:space="0" w:color="84ACB6" w:themeColor="accent5"/>
          <w:bottom w:val="single" w:sz="4" w:space="0" w:color="84ACB6" w:themeColor="accent5"/>
          <w:right w:val="single" w:sz="4" w:space="0" w:color="84ACB6" w:themeColor="accent5"/>
          <w:insideH w:val="nil"/>
          <w:insideV w:val="nil"/>
        </w:tcBorders>
        <w:shd w:val="clear" w:color="auto" w:fill="84ACB6" w:themeFill="accent5"/>
      </w:tcPr>
    </w:tblStylePr>
    <w:tblStylePr w:type="lastRow">
      <w:rPr>
        <w:b/>
        <w:bCs/>
      </w:rPr>
      <w:tblPr/>
      <w:tcPr>
        <w:tcBorders>
          <w:top w:val="double" w:sz="4" w:space="0" w:color="84ACB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customStyle="1" w:styleId="-461">
    <w:name w:val="Таблица-сетка 4 — акцент 61"/>
    <w:basedOn w:val="a4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4B5E4" w:themeColor="accent6" w:themeTint="99"/>
        <w:left w:val="single" w:sz="4" w:space="0" w:color="74B5E4" w:themeColor="accent6" w:themeTint="99"/>
        <w:bottom w:val="single" w:sz="4" w:space="0" w:color="74B5E4" w:themeColor="accent6" w:themeTint="99"/>
        <w:right w:val="single" w:sz="4" w:space="0" w:color="74B5E4" w:themeColor="accent6" w:themeTint="99"/>
        <w:insideH w:val="single" w:sz="4" w:space="0" w:color="74B5E4" w:themeColor="accent6" w:themeTint="99"/>
        <w:insideV w:val="single" w:sz="4" w:space="0" w:color="74B5E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683C6" w:themeColor="accent6"/>
          <w:left w:val="single" w:sz="4" w:space="0" w:color="2683C6" w:themeColor="accent6"/>
          <w:bottom w:val="single" w:sz="4" w:space="0" w:color="2683C6" w:themeColor="accent6"/>
          <w:right w:val="single" w:sz="4" w:space="0" w:color="2683C6" w:themeColor="accent6"/>
          <w:insideH w:val="nil"/>
          <w:insideV w:val="nil"/>
        </w:tcBorders>
        <w:shd w:val="clear" w:color="auto" w:fill="2683C6" w:themeFill="accent6"/>
      </w:tcPr>
    </w:tblStylePr>
    <w:tblStylePr w:type="lastRow">
      <w:rPr>
        <w:b/>
        <w:bCs/>
      </w:rPr>
      <w:tblPr/>
      <w:tcPr>
        <w:tcBorders>
          <w:top w:val="double" w:sz="4" w:space="0" w:color="2683C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customStyle="1" w:styleId="-510">
    <w:name w:val="Таблица-сетка 5 темная1"/>
    <w:basedOn w:val="a4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-511">
    <w:name w:val="Таблица-сетка 5 темная — акцент 11"/>
    <w:basedOn w:val="a4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4EA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494BA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494BA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494BA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494BA" w:themeFill="accent1"/>
      </w:tcPr>
    </w:tblStylePr>
    <w:tblStylePr w:type="band1Vert">
      <w:tblPr/>
      <w:tcPr>
        <w:shd w:val="clear" w:color="auto" w:fill="A9D5E7" w:themeFill="accent1" w:themeFillTint="66"/>
      </w:tcPr>
    </w:tblStylePr>
    <w:tblStylePr w:type="band1Horz">
      <w:tblPr/>
      <w:tcPr>
        <w:shd w:val="clear" w:color="auto" w:fill="A9D5E7" w:themeFill="accent1" w:themeFillTint="66"/>
      </w:tcPr>
    </w:tblStylePr>
  </w:style>
  <w:style w:type="table" w:customStyle="1" w:styleId="-521">
    <w:name w:val="Таблица-сетка 5 темная — акцент 21"/>
    <w:basedOn w:val="a4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F0F2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8B6C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8B6C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8B6C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8B6C0" w:themeFill="accent2"/>
      </w:tcPr>
    </w:tblStylePr>
    <w:tblStylePr w:type="band1Vert">
      <w:tblPr/>
      <w:tcPr>
        <w:shd w:val="clear" w:color="auto" w:fill="BCE1E5" w:themeFill="accent2" w:themeFillTint="66"/>
      </w:tcPr>
    </w:tblStylePr>
    <w:tblStylePr w:type="band1Horz">
      <w:tblPr/>
      <w:tcPr>
        <w:shd w:val="clear" w:color="auto" w:fill="BCE1E5" w:themeFill="accent2" w:themeFillTint="66"/>
      </w:tcPr>
    </w:tblStylePr>
  </w:style>
  <w:style w:type="table" w:customStyle="1" w:styleId="-531">
    <w:name w:val="Таблица-сетка 5 темная — акцент 31"/>
    <w:basedOn w:val="a4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3F1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5BDA7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5BDA7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5BDA7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5BDA7" w:themeFill="accent3"/>
      </w:tcPr>
    </w:tblStylePr>
    <w:tblStylePr w:type="band1Vert">
      <w:tblPr/>
      <w:tcPr>
        <w:shd w:val="clear" w:color="auto" w:fill="C7E4DB" w:themeFill="accent3" w:themeFillTint="66"/>
      </w:tcPr>
    </w:tblStylePr>
    <w:tblStylePr w:type="band1Horz">
      <w:tblPr/>
      <w:tcPr>
        <w:shd w:val="clear" w:color="auto" w:fill="C7E4DB" w:themeFill="accent3" w:themeFillTint="66"/>
      </w:tcPr>
    </w:tblStylePr>
  </w:style>
  <w:style w:type="table" w:customStyle="1" w:styleId="-541">
    <w:name w:val="Таблица-сетка 5 темная — акцент 41"/>
    <w:basedOn w:val="a4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4E7E8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A8C8E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A8C8E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A8C8E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A8C8E" w:themeFill="accent4"/>
      </w:tcPr>
    </w:tblStylePr>
    <w:tblStylePr w:type="band1Vert">
      <w:tblPr/>
      <w:tcPr>
        <w:shd w:val="clear" w:color="auto" w:fill="C9D0D1" w:themeFill="accent4" w:themeFillTint="66"/>
      </w:tcPr>
    </w:tblStylePr>
    <w:tblStylePr w:type="band1Horz">
      <w:tblPr/>
      <w:tcPr>
        <w:shd w:val="clear" w:color="auto" w:fill="C9D0D1" w:themeFill="accent4" w:themeFillTint="66"/>
      </w:tcPr>
    </w:tblStylePr>
  </w:style>
  <w:style w:type="table" w:customStyle="1" w:styleId="-551">
    <w:name w:val="Таблица-сетка 5 темная — акцент 51"/>
    <w:basedOn w:val="a4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EF0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4ACB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4ACB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4ACB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4ACB6" w:themeFill="accent5"/>
      </w:tcPr>
    </w:tblStylePr>
    <w:tblStylePr w:type="band1Vert">
      <w:tblPr/>
      <w:tcPr>
        <w:shd w:val="clear" w:color="auto" w:fill="CDDDE1" w:themeFill="accent5" w:themeFillTint="66"/>
      </w:tcPr>
    </w:tblStylePr>
    <w:tblStylePr w:type="band1Horz">
      <w:tblPr/>
      <w:tcPr>
        <w:shd w:val="clear" w:color="auto" w:fill="CDDDE1" w:themeFill="accent5" w:themeFillTint="66"/>
      </w:tcPr>
    </w:tblStylePr>
  </w:style>
  <w:style w:type="table" w:customStyle="1" w:styleId="-561">
    <w:name w:val="Таблица-сетка 5 темная — акцент 61"/>
    <w:basedOn w:val="a4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0E6F6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683C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683C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2683C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2683C6" w:themeFill="accent6"/>
      </w:tcPr>
    </w:tblStylePr>
    <w:tblStylePr w:type="band1Vert">
      <w:tblPr/>
      <w:tcPr>
        <w:shd w:val="clear" w:color="auto" w:fill="A3CEED" w:themeFill="accent6" w:themeFillTint="66"/>
      </w:tcPr>
    </w:tblStylePr>
    <w:tblStylePr w:type="band1Horz">
      <w:tblPr/>
      <w:tcPr>
        <w:shd w:val="clear" w:color="auto" w:fill="A3CEED" w:themeFill="accent6" w:themeFillTint="66"/>
      </w:tcPr>
    </w:tblStylePr>
  </w:style>
  <w:style w:type="table" w:customStyle="1" w:styleId="-610">
    <w:name w:val="Таблица-сетка 6 цветная1"/>
    <w:basedOn w:val="a4"/>
    <w:uiPriority w:val="51"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611">
    <w:name w:val="Таблица-сетка 6 цветная — акцент 11"/>
    <w:basedOn w:val="a4"/>
    <w:uiPriority w:val="51"/>
    <w:rsid w:val="004230D9"/>
    <w:pPr>
      <w:spacing w:after="0" w:line="240" w:lineRule="auto"/>
    </w:pPr>
    <w:rPr>
      <w:color w:val="276E8B" w:themeColor="accent1" w:themeShade="BF"/>
    </w:rPr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  <w:insideV w:val="single" w:sz="4" w:space="0" w:color="7FC0D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7FC0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7FC0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customStyle="1" w:styleId="-621">
    <w:name w:val="Таблица-сетка 6 цветная — акцент 21"/>
    <w:basedOn w:val="a4"/>
    <w:uiPriority w:val="51"/>
    <w:rsid w:val="004230D9"/>
    <w:pPr>
      <w:spacing w:after="0" w:line="240" w:lineRule="auto"/>
    </w:pPr>
    <w:rPr>
      <w:color w:val="398E98" w:themeColor="accent2" w:themeShade="BF"/>
    </w:rPr>
    <w:tblPr>
      <w:tblStyleRowBandSize w:val="1"/>
      <w:tblStyleColBandSize w:val="1"/>
      <w:tblBorders>
        <w:top w:val="single" w:sz="4" w:space="0" w:color="9AD3D9" w:themeColor="accent2" w:themeTint="99"/>
        <w:left w:val="single" w:sz="4" w:space="0" w:color="9AD3D9" w:themeColor="accent2" w:themeTint="99"/>
        <w:bottom w:val="single" w:sz="4" w:space="0" w:color="9AD3D9" w:themeColor="accent2" w:themeTint="99"/>
        <w:right w:val="single" w:sz="4" w:space="0" w:color="9AD3D9" w:themeColor="accent2" w:themeTint="99"/>
        <w:insideH w:val="single" w:sz="4" w:space="0" w:color="9AD3D9" w:themeColor="accent2" w:themeTint="99"/>
        <w:insideV w:val="single" w:sz="4" w:space="0" w:color="9AD3D9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9AD3D9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AD3D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customStyle="1" w:styleId="-631">
    <w:name w:val="Таблица-сетка 6 цветная — акцент 31"/>
    <w:basedOn w:val="a4"/>
    <w:uiPriority w:val="51"/>
    <w:rsid w:val="004230D9"/>
    <w:pPr>
      <w:spacing w:after="0" w:line="240" w:lineRule="auto"/>
    </w:pPr>
    <w:rPr>
      <w:color w:val="4A9A82" w:themeColor="accent3" w:themeShade="BF"/>
    </w:rPr>
    <w:tblPr>
      <w:tblStyleRowBandSize w:val="1"/>
      <w:tblStyleColBandSize w:val="1"/>
      <w:tblBorders>
        <w:top w:val="single" w:sz="4" w:space="0" w:color="ACD7CA" w:themeColor="accent3" w:themeTint="99"/>
        <w:left w:val="single" w:sz="4" w:space="0" w:color="ACD7CA" w:themeColor="accent3" w:themeTint="99"/>
        <w:bottom w:val="single" w:sz="4" w:space="0" w:color="ACD7CA" w:themeColor="accent3" w:themeTint="99"/>
        <w:right w:val="single" w:sz="4" w:space="0" w:color="ACD7CA" w:themeColor="accent3" w:themeTint="99"/>
        <w:insideH w:val="single" w:sz="4" w:space="0" w:color="ACD7CA" w:themeColor="accent3" w:themeTint="99"/>
        <w:insideV w:val="single" w:sz="4" w:space="0" w:color="ACD7CA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ACD7CA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CD7CA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customStyle="1" w:styleId="-641">
    <w:name w:val="Таблица-сетка 6 цветная — акцент 41"/>
    <w:basedOn w:val="a4"/>
    <w:uiPriority w:val="51"/>
    <w:rsid w:val="004230D9"/>
    <w:pPr>
      <w:spacing w:after="0" w:line="240" w:lineRule="auto"/>
    </w:pPr>
    <w:rPr>
      <w:color w:val="5A696A" w:themeColor="accent4" w:themeShade="BF"/>
    </w:rPr>
    <w:tblPr>
      <w:tblStyleRowBandSize w:val="1"/>
      <w:tblStyleColBandSize w:val="1"/>
      <w:tblBorders>
        <w:top w:val="single" w:sz="4" w:space="0" w:color="AFB9BB" w:themeColor="accent4" w:themeTint="99"/>
        <w:left w:val="single" w:sz="4" w:space="0" w:color="AFB9BB" w:themeColor="accent4" w:themeTint="99"/>
        <w:bottom w:val="single" w:sz="4" w:space="0" w:color="AFB9BB" w:themeColor="accent4" w:themeTint="99"/>
        <w:right w:val="single" w:sz="4" w:space="0" w:color="AFB9BB" w:themeColor="accent4" w:themeTint="99"/>
        <w:insideH w:val="single" w:sz="4" w:space="0" w:color="AFB9BB" w:themeColor="accent4" w:themeTint="99"/>
        <w:insideV w:val="single" w:sz="4" w:space="0" w:color="AFB9BB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AFB9BB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FB9B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customStyle="1" w:styleId="-651">
    <w:name w:val="Таблица-сетка 6 цветная — акцент 51"/>
    <w:basedOn w:val="a4"/>
    <w:uiPriority w:val="51"/>
    <w:rsid w:val="004230D9"/>
    <w:pPr>
      <w:spacing w:after="0" w:line="240" w:lineRule="auto"/>
    </w:pPr>
    <w:rPr>
      <w:color w:val="578793" w:themeColor="accent5" w:themeShade="BF"/>
    </w:rPr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  <w:insideV w:val="single" w:sz="4" w:space="0" w:color="B5CDD3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B5CDD3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5CDD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customStyle="1" w:styleId="-661">
    <w:name w:val="Таблица-сетка 6 цветная — акцент 61"/>
    <w:basedOn w:val="a4"/>
    <w:uiPriority w:val="51"/>
    <w:rsid w:val="004230D9"/>
    <w:pPr>
      <w:spacing w:after="0" w:line="240" w:lineRule="auto"/>
    </w:pPr>
    <w:rPr>
      <w:color w:val="1C6194" w:themeColor="accent6" w:themeShade="BF"/>
    </w:rPr>
    <w:tblPr>
      <w:tblStyleRowBandSize w:val="1"/>
      <w:tblStyleColBandSize w:val="1"/>
      <w:tblBorders>
        <w:top w:val="single" w:sz="4" w:space="0" w:color="74B5E4" w:themeColor="accent6" w:themeTint="99"/>
        <w:left w:val="single" w:sz="4" w:space="0" w:color="74B5E4" w:themeColor="accent6" w:themeTint="99"/>
        <w:bottom w:val="single" w:sz="4" w:space="0" w:color="74B5E4" w:themeColor="accent6" w:themeTint="99"/>
        <w:right w:val="single" w:sz="4" w:space="0" w:color="74B5E4" w:themeColor="accent6" w:themeTint="99"/>
        <w:insideH w:val="single" w:sz="4" w:space="0" w:color="74B5E4" w:themeColor="accent6" w:themeTint="99"/>
        <w:insideV w:val="single" w:sz="4" w:space="0" w:color="74B5E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74B5E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74B5E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customStyle="1" w:styleId="-71">
    <w:name w:val="Таблица-сетка 7 цветная1"/>
    <w:basedOn w:val="a4"/>
    <w:uiPriority w:val="52"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-711">
    <w:name w:val="Таблица-сетка 7 цветная — акцент 11"/>
    <w:basedOn w:val="a4"/>
    <w:uiPriority w:val="52"/>
    <w:rsid w:val="004230D9"/>
    <w:pPr>
      <w:spacing w:after="0" w:line="240" w:lineRule="auto"/>
    </w:pPr>
    <w:rPr>
      <w:color w:val="276E8B" w:themeColor="accent1" w:themeShade="BF"/>
    </w:rPr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  <w:insideV w:val="single" w:sz="4" w:space="0" w:color="7FC0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  <w:tblStylePr w:type="neCell">
      <w:tblPr/>
      <w:tcPr>
        <w:tcBorders>
          <w:bottom w:val="single" w:sz="4" w:space="0" w:color="7FC0DB" w:themeColor="accent1" w:themeTint="99"/>
        </w:tcBorders>
      </w:tcPr>
    </w:tblStylePr>
    <w:tblStylePr w:type="nwCell">
      <w:tblPr/>
      <w:tcPr>
        <w:tcBorders>
          <w:bottom w:val="single" w:sz="4" w:space="0" w:color="7FC0DB" w:themeColor="accent1" w:themeTint="99"/>
        </w:tcBorders>
      </w:tcPr>
    </w:tblStylePr>
    <w:tblStylePr w:type="seCell">
      <w:tblPr/>
      <w:tcPr>
        <w:tcBorders>
          <w:top w:val="single" w:sz="4" w:space="0" w:color="7FC0DB" w:themeColor="accent1" w:themeTint="99"/>
        </w:tcBorders>
      </w:tcPr>
    </w:tblStylePr>
    <w:tblStylePr w:type="swCell">
      <w:tblPr/>
      <w:tcPr>
        <w:tcBorders>
          <w:top w:val="single" w:sz="4" w:space="0" w:color="7FC0DB" w:themeColor="accent1" w:themeTint="99"/>
        </w:tcBorders>
      </w:tcPr>
    </w:tblStylePr>
  </w:style>
  <w:style w:type="table" w:customStyle="1" w:styleId="-721">
    <w:name w:val="Таблица-сетка 7 цветная — акцент 21"/>
    <w:basedOn w:val="a4"/>
    <w:uiPriority w:val="52"/>
    <w:rsid w:val="004230D9"/>
    <w:pPr>
      <w:spacing w:after="0" w:line="240" w:lineRule="auto"/>
    </w:pPr>
    <w:rPr>
      <w:color w:val="398E98" w:themeColor="accent2" w:themeShade="BF"/>
    </w:rPr>
    <w:tblPr>
      <w:tblStyleRowBandSize w:val="1"/>
      <w:tblStyleColBandSize w:val="1"/>
      <w:tblBorders>
        <w:top w:val="single" w:sz="4" w:space="0" w:color="9AD3D9" w:themeColor="accent2" w:themeTint="99"/>
        <w:left w:val="single" w:sz="4" w:space="0" w:color="9AD3D9" w:themeColor="accent2" w:themeTint="99"/>
        <w:bottom w:val="single" w:sz="4" w:space="0" w:color="9AD3D9" w:themeColor="accent2" w:themeTint="99"/>
        <w:right w:val="single" w:sz="4" w:space="0" w:color="9AD3D9" w:themeColor="accent2" w:themeTint="99"/>
        <w:insideH w:val="single" w:sz="4" w:space="0" w:color="9AD3D9" w:themeColor="accent2" w:themeTint="99"/>
        <w:insideV w:val="single" w:sz="4" w:space="0" w:color="9AD3D9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  <w:tblStylePr w:type="neCell">
      <w:tblPr/>
      <w:tcPr>
        <w:tcBorders>
          <w:bottom w:val="single" w:sz="4" w:space="0" w:color="9AD3D9" w:themeColor="accent2" w:themeTint="99"/>
        </w:tcBorders>
      </w:tcPr>
    </w:tblStylePr>
    <w:tblStylePr w:type="nwCell">
      <w:tblPr/>
      <w:tcPr>
        <w:tcBorders>
          <w:bottom w:val="single" w:sz="4" w:space="0" w:color="9AD3D9" w:themeColor="accent2" w:themeTint="99"/>
        </w:tcBorders>
      </w:tcPr>
    </w:tblStylePr>
    <w:tblStylePr w:type="seCell">
      <w:tblPr/>
      <w:tcPr>
        <w:tcBorders>
          <w:top w:val="single" w:sz="4" w:space="0" w:color="9AD3D9" w:themeColor="accent2" w:themeTint="99"/>
        </w:tcBorders>
      </w:tcPr>
    </w:tblStylePr>
    <w:tblStylePr w:type="swCell">
      <w:tblPr/>
      <w:tcPr>
        <w:tcBorders>
          <w:top w:val="single" w:sz="4" w:space="0" w:color="9AD3D9" w:themeColor="accent2" w:themeTint="99"/>
        </w:tcBorders>
      </w:tcPr>
    </w:tblStylePr>
  </w:style>
  <w:style w:type="table" w:customStyle="1" w:styleId="-731">
    <w:name w:val="Таблица-сетка 7 цветная — акцент 31"/>
    <w:basedOn w:val="a4"/>
    <w:uiPriority w:val="52"/>
    <w:rsid w:val="004230D9"/>
    <w:pPr>
      <w:spacing w:after="0" w:line="240" w:lineRule="auto"/>
    </w:pPr>
    <w:rPr>
      <w:color w:val="4A9A82" w:themeColor="accent3" w:themeShade="BF"/>
    </w:rPr>
    <w:tblPr>
      <w:tblStyleRowBandSize w:val="1"/>
      <w:tblStyleColBandSize w:val="1"/>
      <w:tblBorders>
        <w:top w:val="single" w:sz="4" w:space="0" w:color="ACD7CA" w:themeColor="accent3" w:themeTint="99"/>
        <w:left w:val="single" w:sz="4" w:space="0" w:color="ACD7CA" w:themeColor="accent3" w:themeTint="99"/>
        <w:bottom w:val="single" w:sz="4" w:space="0" w:color="ACD7CA" w:themeColor="accent3" w:themeTint="99"/>
        <w:right w:val="single" w:sz="4" w:space="0" w:color="ACD7CA" w:themeColor="accent3" w:themeTint="99"/>
        <w:insideH w:val="single" w:sz="4" w:space="0" w:color="ACD7CA" w:themeColor="accent3" w:themeTint="99"/>
        <w:insideV w:val="single" w:sz="4" w:space="0" w:color="ACD7CA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  <w:tblStylePr w:type="neCell">
      <w:tblPr/>
      <w:tcPr>
        <w:tcBorders>
          <w:bottom w:val="single" w:sz="4" w:space="0" w:color="ACD7CA" w:themeColor="accent3" w:themeTint="99"/>
        </w:tcBorders>
      </w:tcPr>
    </w:tblStylePr>
    <w:tblStylePr w:type="nwCell">
      <w:tblPr/>
      <w:tcPr>
        <w:tcBorders>
          <w:bottom w:val="single" w:sz="4" w:space="0" w:color="ACD7CA" w:themeColor="accent3" w:themeTint="99"/>
        </w:tcBorders>
      </w:tcPr>
    </w:tblStylePr>
    <w:tblStylePr w:type="seCell">
      <w:tblPr/>
      <w:tcPr>
        <w:tcBorders>
          <w:top w:val="single" w:sz="4" w:space="0" w:color="ACD7CA" w:themeColor="accent3" w:themeTint="99"/>
        </w:tcBorders>
      </w:tcPr>
    </w:tblStylePr>
    <w:tblStylePr w:type="swCell">
      <w:tblPr/>
      <w:tcPr>
        <w:tcBorders>
          <w:top w:val="single" w:sz="4" w:space="0" w:color="ACD7CA" w:themeColor="accent3" w:themeTint="99"/>
        </w:tcBorders>
      </w:tcPr>
    </w:tblStylePr>
  </w:style>
  <w:style w:type="table" w:customStyle="1" w:styleId="-741">
    <w:name w:val="Таблица-сетка 7 цветная — акцент 41"/>
    <w:basedOn w:val="a4"/>
    <w:uiPriority w:val="52"/>
    <w:rsid w:val="004230D9"/>
    <w:pPr>
      <w:spacing w:after="0" w:line="240" w:lineRule="auto"/>
    </w:pPr>
    <w:rPr>
      <w:color w:val="5A696A" w:themeColor="accent4" w:themeShade="BF"/>
    </w:rPr>
    <w:tblPr>
      <w:tblStyleRowBandSize w:val="1"/>
      <w:tblStyleColBandSize w:val="1"/>
      <w:tblBorders>
        <w:top w:val="single" w:sz="4" w:space="0" w:color="AFB9BB" w:themeColor="accent4" w:themeTint="99"/>
        <w:left w:val="single" w:sz="4" w:space="0" w:color="AFB9BB" w:themeColor="accent4" w:themeTint="99"/>
        <w:bottom w:val="single" w:sz="4" w:space="0" w:color="AFB9BB" w:themeColor="accent4" w:themeTint="99"/>
        <w:right w:val="single" w:sz="4" w:space="0" w:color="AFB9BB" w:themeColor="accent4" w:themeTint="99"/>
        <w:insideH w:val="single" w:sz="4" w:space="0" w:color="AFB9BB" w:themeColor="accent4" w:themeTint="99"/>
        <w:insideV w:val="single" w:sz="4" w:space="0" w:color="AFB9BB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  <w:tblStylePr w:type="neCell">
      <w:tblPr/>
      <w:tcPr>
        <w:tcBorders>
          <w:bottom w:val="single" w:sz="4" w:space="0" w:color="AFB9BB" w:themeColor="accent4" w:themeTint="99"/>
        </w:tcBorders>
      </w:tcPr>
    </w:tblStylePr>
    <w:tblStylePr w:type="nwCell">
      <w:tblPr/>
      <w:tcPr>
        <w:tcBorders>
          <w:bottom w:val="single" w:sz="4" w:space="0" w:color="AFB9BB" w:themeColor="accent4" w:themeTint="99"/>
        </w:tcBorders>
      </w:tcPr>
    </w:tblStylePr>
    <w:tblStylePr w:type="seCell">
      <w:tblPr/>
      <w:tcPr>
        <w:tcBorders>
          <w:top w:val="single" w:sz="4" w:space="0" w:color="AFB9BB" w:themeColor="accent4" w:themeTint="99"/>
        </w:tcBorders>
      </w:tcPr>
    </w:tblStylePr>
    <w:tblStylePr w:type="swCell">
      <w:tblPr/>
      <w:tcPr>
        <w:tcBorders>
          <w:top w:val="single" w:sz="4" w:space="0" w:color="AFB9BB" w:themeColor="accent4" w:themeTint="99"/>
        </w:tcBorders>
      </w:tcPr>
    </w:tblStylePr>
  </w:style>
  <w:style w:type="table" w:customStyle="1" w:styleId="-751">
    <w:name w:val="Таблица-сетка 7 цветная — акцент 51"/>
    <w:basedOn w:val="a4"/>
    <w:uiPriority w:val="52"/>
    <w:rsid w:val="004230D9"/>
    <w:pPr>
      <w:spacing w:after="0" w:line="240" w:lineRule="auto"/>
    </w:pPr>
    <w:rPr>
      <w:color w:val="578793" w:themeColor="accent5" w:themeShade="BF"/>
    </w:rPr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  <w:insideV w:val="single" w:sz="4" w:space="0" w:color="B5CDD3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  <w:tblStylePr w:type="neCell">
      <w:tblPr/>
      <w:tcPr>
        <w:tcBorders>
          <w:bottom w:val="single" w:sz="4" w:space="0" w:color="B5CDD3" w:themeColor="accent5" w:themeTint="99"/>
        </w:tcBorders>
      </w:tcPr>
    </w:tblStylePr>
    <w:tblStylePr w:type="nwCell">
      <w:tblPr/>
      <w:tcPr>
        <w:tcBorders>
          <w:bottom w:val="single" w:sz="4" w:space="0" w:color="B5CDD3" w:themeColor="accent5" w:themeTint="99"/>
        </w:tcBorders>
      </w:tcPr>
    </w:tblStylePr>
    <w:tblStylePr w:type="seCell">
      <w:tblPr/>
      <w:tcPr>
        <w:tcBorders>
          <w:top w:val="single" w:sz="4" w:space="0" w:color="B5CDD3" w:themeColor="accent5" w:themeTint="99"/>
        </w:tcBorders>
      </w:tcPr>
    </w:tblStylePr>
    <w:tblStylePr w:type="swCell">
      <w:tblPr/>
      <w:tcPr>
        <w:tcBorders>
          <w:top w:val="single" w:sz="4" w:space="0" w:color="B5CDD3" w:themeColor="accent5" w:themeTint="99"/>
        </w:tcBorders>
      </w:tcPr>
    </w:tblStylePr>
  </w:style>
  <w:style w:type="table" w:customStyle="1" w:styleId="-761">
    <w:name w:val="Таблица-сетка 7 цветная — акцент 61"/>
    <w:basedOn w:val="a4"/>
    <w:uiPriority w:val="52"/>
    <w:rsid w:val="004230D9"/>
    <w:pPr>
      <w:spacing w:after="0" w:line="240" w:lineRule="auto"/>
    </w:pPr>
    <w:rPr>
      <w:color w:val="1C6194" w:themeColor="accent6" w:themeShade="BF"/>
    </w:rPr>
    <w:tblPr>
      <w:tblStyleRowBandSize w:val="1"/>
      <w:tblStyleColBandSize w:val="1"/>
      <w:tblBorders>
        <w:top w:val="single" w:sz="4" w:space="0" w:color="74B5E4" w:themeColor="accent6" w:themeTint="99"/>
        <w:left w:val="single" w:sz="4" w:space="0" w:color="74B5E4" w:themeColor="accent6" w:themeTint="99"/>
        <w:bottom w:val="single" w:sz="4" w:space="0" w:color="74B5E4" w:themeColor="accent6" w:themeTint="99"/>
        <w:right w:val="single" w:sz="4" w:space="0" w:color="74B5E4" w:themeColor="accent6" w:themeTint="99"/>
        <w:insideH w:val="single" w:sz="4" w:space="0" w:color="74B5E4" w:themeColor="accent6" w:themeTint="99"/>
        <w:insideV w:val="single" w:sz="4" w:space="0" w:color="74B5E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  <w:tblStylePr w:type="neCell">
      <w:tblPr/>
      <w:tcPr>
        <w:tcBorders>
          <w:bottom w:val="single" w:sz="4" w:space="0" w:color="74B5E4" w:themeColor="accent6" w:themeTint="99"/>
        </w:tcBorders>
      </w:tcPr>
    </w:tblStylePr>
    <w:tblStylePr w:type="nwCell">
      <w:tblPr/>
      <w:tcPr>
        <w:tcBorders>
          <w:bottom w:val="single" w:sz="4" w:space="0" w:color="74B5E4" w:themeColor="accent6" w:themeTint="99"/>
        </w:tcBorders>
      </w:tcPr>
    </w:tblStylePr>
    <w:tblStylePr w:type="seCell">
      <w:tblPr/>
      <w:tcPr>
        <w:tcBorders>
          <w:top w:val="single" w:sz="4" w:space="0" w:color="74B5E4" w:themeColor="accent6" w:themeTint="99"/>
        </w:tcBorders>
      </w:tcPr>
    </w:tblStylePr>
    <w:tblStylePr w:type="swCell">
      <w:tblPr/>
      <w:tcPr>
        <w:tcBorders>
          <w:top w:val="single" w:sz="4" w:space="0" w:color="74B5E4" w:themeColor="accent6" w:themeTint="99"/>
        </w:tcBorders>
      </w:tcPr>
    </w:tblStylePr>
  </w:style>
  <w:style w:type="character" w:styleId="HTMLa">
    <w:name w:val="HTML Sample"/>
    <w:basedOn w:val="a3"/>
    <w:uiPriority w:val="99"/>
    <w:semiHidden/>
    <w:unhideWhenUsed/>
    <w:rsid w:val="004230D9"/>
    <w:rPr>
      <w:rFonts w:ascii="Consolas" w:hAnsi="Consolas" w:cs="Times New Roman"/>
      <w:sz w:val="24"/>
      <w:szCs w:val="24"/>
    </w:rPr>
  </w:style>
  <w:style w:type="paragraph" w:styleId="2c">
    <w:name w:val="index 2"/>
    <w:basedOn w:val="a2"/>
    <w:next w:val="a2"/>
    <w:autoRedefine/>
    <w:uiPriority w:val="99"/>
    <w:semiHidden/>
    <w:unhideWhenUsed/>
    <w:rsid w:val="004230D9"/>
    <w:pPr>
      <w:ind w:left="480" w:hanging="240"/>
    </w:pPr>
  </w:style>
  <w:style w:type="paragraph" w:styleId="36">
    <w:name w:val="index 3"/>
    <w:basedOn w:val="a2"/>
    <w:next w:val="a2"/>
    <w:autoRedefine/>
    <w:uiPriority w:val="99"/>
    <w:semiHidden/>
    <w:unhideWhenUsed/>
    <w:rsid w:val="004230D9"/>
    <w:pPr>
      <w:ind w:left="720" w:hanging="240"/>
    </w:pPr>
  </w:style>
  <w:style w:type="paragraph" w:styleId="43">
    <w:name w:val="index 4"/>
    <w:basedOn w:val="a2"/>
    <w:next w:val="a2"/>
    <w:autoRedefine/>
    <w:uiPriority w:val="99"/>
    <w:semiHidden/>
    <w:unhideWhenUsed/>
    <w:rsid w:val="004230D9"/>
    <w:pPr>
      <w:ind w:left="960" w:hanging="240"/>
    </w:pPr>
  </w:style>
  <w:style w:type="paragraph" w:styleId="53">
    <w:name w:val="index 5"/>
    <w:basedOn w:val="a2"/>
    <w:next w:val="a2"/>
    <w:autoRedefine/>
    <w:uiPriority w:val="99"/>
    <w:semiHidden/>
    <w:unhideWhenUsed/>
    <w:rsid w:val="004230D9"/>
    <w:pPr>
      <w:ind w:left="1200" w:hanging="240"/>
    </w:pPr>
  </w:style>
  <w:style w:type="paragraph" w:styleId="61">
    <w:name w:val="index 6"/>
    <w:basedOn w:val="a2"/>
    <w:next w:val="a2"/>
    <w:autoRedefine/>
    <w:uiPriority w:val="99"/>
    <w:semiHidden/>
    <w:unhideWhenUsed/>
    <w:rsid w:val="004230D9"/>
    <w:pPr>
      <w:ind w:left="1440" w:hanging="240"/>
    </w:pPr>
  </w:style>
  <w:style w:type="paragraph" w:styleId="71">
    <w:name w:val="index 7"/>
    <w:basedOn w:val="a2"/>
    <w:next w:val="a2"/>
    <w:autoRedefine/>
    <w:uiPriority w:val="99"/>
    <w:semiHidden/>
    <w:unhideWhenUsed/>
    <w:rsid w:val="004230D9"/>
    <w:pPr>
      <w:ind w:left="1680" w:hanging="240"/>
    </w:pPr>
  </w:style>
  <w:style w:type="paragraph" w:styleId="81">
    <w:name w:val="index 8"/>
    <w:basedOn w:val="a2"/>
    <w:next w:val="a2"/>
    <w:autoRedefine/>
    <w:uiPriority w:val="99"/>
    <w:semiHidden/>
    <w:unhideWhenUsed/>
    <w:rsid w:val="004230D9"/>
    <w:pPr>
      <w:ind w:left="1920" w:hanging="240"/>
    </w:pPr>
  </w:style>
  <w:style w:type="paragraph" w:styleId="92">
    <w:name w:val="index 9"/>
    <w:basedOn w:val="a2"/>
    <w:next w:val="a2"/>
    <w:autoRedefine/>
    <w:uiPriority w:val="99"/>
    <w:semiHidden/>
    <w:unhideWhenUsed/>
    <w:rsid w:val="004230D9"/>
    <w:pPr>
      <w:ind w:left="2160" w:hanging="240"/>
    </w:pPr>
  </w:style>
  <w:style w:type="table" w:styleId="affffe">
    <w:name w:val="Light Grid"/>
    <w:basedOn w:val="a4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3">
    <w:name w:val="Light Grid Accent 1"/>
    <w:basedOn w:val="a4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3494BA" w:themeColor="accent1"/>
        <w:left w:val="single" w:sz="8" w:space="0" w:color="3494BA" w:themeColor="accent1"/>
        <w:bottom w:val="single" w:sz="8" w:space="0" w:color="3494BA" w:themeColor="accent1"/>
        <w:right w:val="single" w:sz="8" w:space="0" w:color="3494BA" w:themeColor="accent1"/>
        <w:insideH w:val="single" w:sz="8" w:space="0" w:color="3494BA" w:themeColor="accent1"/>
        <w:insideV w:val="single" w:sz="8" w:space="0" w:color="3494BA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18" w:space="0" w:color="3494BA" w:themeColor="accent1"/>
          <w:right w:val="single" w:sz="8" w:space="0" w:color="3494BA" w:themeColor="accent1"/>
          <w:insideH w:val="nil"/>
          <w:insideV w:val="single" w:sz="8" w:space="0" w:color="3494B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  <w:insideH w:val="nil"/>
          <w:insideV w:val="single" w:sz="8" w:space="0" w:color="3494B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</w:tcBorders>
      </w:tcPr>
    </w:tblStylePr>
    <w:tblStylePr w:type="band1Vert"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</w:tcBorders>
        <w:shd w:val="clear" w:color="auto" w:fill="CAE5F0" w:themeFill="accent1" w:themeFillTint="3F"/>
      </w:tcPr>
    </w:tblStylePr>
    <w:tblStylePr w:type="band1Horz"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  <w:insideV w:val="single" w:sz="8" w:space="0" w:color="3494BA" w:themeColor="accent1"/>
        </w:tcBorders>
        <w:shd w:val="clear" w:color="auto" w:fill="CAE5F0" w:themeFill="accent1" w:themeFillTint="3F"/>
      </w:tcPr>
    </w:tblStylePr>
    <w:tblStylePr w:type="band2Horz"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  <w:insideV w:val="single" w:sz="8" w:space="0" w:color="3494BA" w:themeColor="accent1"/>
        </w:tcBorders>
      </w:tcPr>
    </w:tblStylePr>
  </w:style>
  <w:style w:type="table" w:styleId="-23">
    <w:name w:val="Light Grid Accent 2"/>
    <w:basedOn w:val="a4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58B6C0" w:themeColor="accent2"/>
        <w:left w:val="single" w:sz="8" w:space="0" w:color="58B6C0" w:themeColor="accent2"/>
        <w:bottom w:val="single" w:sz="8" w:space="0" w:color="58B6C0" w:themeColor="accent2"/>
        <w:right w:val="single" w:sz="8" w:space="0" w:color="58B6C0" w:themeColor="accent2"/>
        <w:insideH w:val="single" w:sz="8" w:space="0" w:color="58B6C0" w:themeColor="accent2"/>
        <w:insideV w:val="single" w:sz="8" w:space="0" w:color="58B6C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18" w:space="0" w:color="58B6C0" w:themeColor="accent2"/>
          <w:right w:val="single" w:sz="8" w:space="0" w:color="58B6C0" w:themeColor="accent2"/>
          <w:insideH w:val="nil"/>
          <w:insideV w:val="single" w:sz="8" w:space="0" w:color="58B6C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  <w:insideH w:val="nil"/>
          <w:insideV w:val="single" w:sz="8" w:space="0" w:color="58B6C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</w:tcBorders>
      </w:tcPr>
    </w:tblStylePr>
    <w:tblStylePr w:type="band1Vert"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</w:tcBorders>
        <w:shd w:val="clear" w:color="auto" w:fill="D5ECEF" w:themeFill="accent2" w:themeFillTint="3F"/>
      </w:tcPr>
    </w:tblStylePr>
    <w:tblStylePr w:type="band1Horz"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  <w:insideV w:val="single" w:sz="8" w:space="0" w:color="58B6C0" w:themeColor="accent2"/>
        </w:tcBorders>
        <w:shd w:val="clear" w:color="auto" w:fill="D5ECEF" w:themeFill="accent2" w:themeFillTint="3F"/>
      </w:tcPr>
    </w:tblStylePr>
    <w:tblStylePr w:type="band2Horz"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  <w:insideV w:val="single" w:sz="8" w:space="0" w:color="58B6C0" w:themeColor="accent2"/>
        </w:tcBorders>
      </w:tcPr>
    </w:tblStylePr>
  </w:style>
  <w:style w:type="table" w:styleId="-33">
    <w:name w:val="Light Grid Accent 3"/>
    <w:basedOn w:val="a4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75BDA7" w:themeColor="accent3"/>
        <w:left w:val="single" w:sz="8" w:space="0" w:color="75BDA7" w:themeColor="accent3"/>
        <w:bottom w:val="single" w:sz="8" w:space="0" w:color="75BDA7" w:themeColor="accent3"/>
        <w:right w:val="single" w:sz="8" w:space="0" w:color="75BDA7" w:themeColor="accent3"/>
        <w:insideH w:val="single" w:sz="8" w:space="0" w:color="75BDA7" w:themeColor="accent3"/>
        <w:insideV w:val="single" w:sz="8" w:space="0" w:color="75BDA7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18" w:space="0" w:color="75BDA7" w:themeColor="accent3"/>
          <w:right w:val="single" w:sz="8" w:space="0" w:color="75BDA7" w:themeColor="accent3"/>
          <w:insideH w:val="nil"/>
          <w:insideV w:val="single" w:sz="8" w:space="0" w:color="75BDA7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  <w:insideH w:val="nil"/>
          <w:insideV w:val="single" w:sz="8" w:space="0" w:color="75BDA7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</w:tcBorders>
      </w:tcPr>
    </w:tblStylePr>
    <w:tblStylePr w:type="band1Vert"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</w:tcBorders>
        <w:shd w:val="clear" w:color="auto" w:fill="DCEEE9" w:themeFill="accent3" w:themeFillTint="3F"/>
      </w:tcPr>
    </w:tblStylePr>
    <w:tblStylePr w:type="band1Horz"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  <w:insideV w:val="single" w:sz="8" w:space="0" w:color="75BDA7" w:themeColor="accent3"/>
        </w:tcBorders>
        <w:shd w:val="clear" w:color="auto" w:fill="DCEEE9" w:themeFill="accent3" w:themeFillTint="3F"/>
      </w:tcPr>
    </w:tblStylePr>
    <w:tblStylePr w:type="band2Horz"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  <w:insideV w:val="single" w:sz="8" w:space="0" w:color="75BDA7" w:themeColor="accent3"/>
        </w:tcBorders>
      </w:tcPr>
    </w:tblStylePr>
  </w:style>
  <w:style w:type="table" w:styleId="-43">
    <w:name w:val="Light Grid Accent 4"/>
    <w:basedOn w:val="a4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7A8C8E" w:themeColor="accent4"/>
        <w:left w:val="single" w:sz="8" w:space="0" w:color="7A8C8E" w:themeColor="accent4"/>
        <w:bottom w:val="single" w:sz="8" w:space="0" w:color="7A8C8E" w:themeColor="accent4"/>
        <w:right w:val="single" w:sz="8" w:space="0" w:color="7A8C8E" w:themeColor="accent4"/>
        <w:insideH w:val="single" w:sz="8" w:space="0" w:color="7A8C8E" w:themeColor="accent4"/>
        <w:insideV w:val="single" w:sz="8" w:space="0" w:color="7A8C8E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18" w:space="0" w:color="7A8C8E" w:themeColor="accent4"/>
          <w:right w:val="single" w:sz="8" w:space="0" w:color="7A8C8E" w:themeColor="accent4"/>
          <w:insideH w:val="nil"/>
          <w:insideV w:val="single" w:sz="8" w:space="0" w:color="7A8C8E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  <w:insideH w:val="nil"/>
          <w:insideV w:val="single" w:sz="8" w:space="0" w:color="7A8C8E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</w:tcBorders>
      </w:tcPr>
    </w:tblStylePr>
    <w:tblStylePr w:type="band1Vert"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</w:tcBorders>
        <w:shd w:val="clear" w:color="auto" w:fill="DEE2E3" w:themeFill="accent4" w:themeFillTint="3F"/>
      </w:tcPr>
    </w:tblStylePr>
    <w:tblStylePr w:type="band1Horz"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  <w:insideV w:val="single" w:sz="8" w:space="0" w:color="7A8C8E" w:themeColor="accent4"/>
        </w:tcBorders>
        <w:shd w:val="clear" w:color="auto" w:fill="DEE2E3" w:themeFill="accent4" w:themeFillTint="3F"/>
      </w:tcPr>
    </w:tblStylePr>
    <w:tblStylePr w:type="band2Horz"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  <w:insideV w:val="single" w:sz="8" w:space="0" w:color="7A8C8E" w:themeColor="accent4"/>
        </w:tcBorders>
      </w:tcPr>
    </w:tblStylePr>
  </w:style>
  <w:style w:type="table" w:styleId="-53">
    <w:name w:val="Light Grid Accent 5"/>
    <w:basedOn w:val="a4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84ACB6" w:themeColor="accent5"/>
        <w:left w:val="single" w:sz="8" w:space="0" w:color="84ACB6" w:themeColor="accent5"/>
        <w:bottom w:val="single" w:sz="8" w:space="0" w:color="84ACB6" w:themeColor="accent5"/>
        <w:right w:val="single" w:sz="8" w:space="0" w:color="84ACB6" w:themeColor="accent5"/>
        <w:insideH w:val="single" w:sz="8" w:space="0" w:color="84ACB6" w:themeColor="accent5"/>
        <w:insideV w:val="single" w:sz="8" w:space="0" w:color="84ACB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18" w:space="0" w:color="84ACB6" w:themeColor="accent5"/>
          <w:right w:val="single" w:sz="8" w:space="0" w:color="84ACB6" w:themeColor="accent5"/>
          <w:insideH w:val="nil"/>
          <w:insideV w:val="single" w:sz="8" w:space="0" w:color="84ACB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  <w:insideH w:val="nil"/>
          <w:insideV w:val="single" w:sz="8" w:space="0" w:color="84ACB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</w:tcBorders>
      </w:tcPr>
    </w:tblStylePr>
    <w:tblStylePr w:type="band1Vert"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</w:tcBorders>
        <w:shd w:val="clear" w:color="auto" w:fill="E0EAED" w:themeFill="accent5" w:themeFillTint="3F"/>
      </w:tcPr>
    </w:tblStylePr>
    <w:tblStylePr w:type="band1Horz"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  <w:insideV w:val="single" w:sz="8" w:space="0" w:color="84ACB6" w:themeColor="accent5"/>
        </w:tcBorders>
        <w:shd w:val="clear" w:color="auto" w:fill="E0EAED" w:themeFill="accent5" w:themeFillTint="3F"/>
      </w:tcPr>
    </w:tblStylePr>
    <w:tblStylePr w:type="band2Horz"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  <w:insideV w:val="single" w:sz="8" w:space="0" w:color="84ACB6" w:themeColor="accent5"/>
        </w:tcBorders>
      </w:tcPr>
    </w:tblStylePr>
  </w:style>
  <w:style w:type="table" w:styleId="-63">
    <w:name w:val="Light Grid Accent 6"/>
    <w:basedOn w:val="a4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2683C6" w:themeColor="accent6"/>
        <w:left w:val="single" w:sz="8" w:space="0" w:color="2683C6" w:themeColor="accent6"/>
        <w:bottom w:val="single" w:sz="8" w:space="0" w:color="2683C6" w:themeColor="accent6"/>
        <w:right w:val="single" w:sz="8" w:space="0" w:color="2683C6" w:themeColor="accent6"/>
        <w:insideH w:val="single" w:sz="8" w:space="0" w:color="2683C6" w:themeColor="accent6"/>
        <w:insideV w:val="single" w:sz="8" w:space="0" w:color="2683C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18" w:space="0" w:color="2683C6" w:themeColor="accent6"/>
          <w:right w:val="single" w:sz="8" w:space="0" w:color="2683C6" w:themeColor="accent6"/>
          <w:insideH w:val="nil"/>
          <w:insideV w:val="single" w:sz="8" w:space="0" w:color="2683C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  <w:insideH w:val="nil"/>
          <w:insideV w:val="single" w:sz="8" w:space="0" w:color="2683C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</w:tcBorders>
      </w:tcPr>
    </w:tblStylePr>
    <w:tblStylePr w:type="band1Vert"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</w:tcBorders>
        <w:shd w:val="clear" w:color="auto" w:fill="C5E0F4" w:themeFill="accent6" w:themeFillTint="3F"/>
      </w:tcPr>
    </w:tblStylePr>
    <w:tblStylePr w:type="band1Horz"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  <w:insideV w:val="single" w:sz="8" w:space="0" w:color="2683C6" w:themeColor="accent6"/>
        </w:tcBorders>
        <w:shd w:val="clear" w:color="auto" w:fill="C5E0F4" w:themeFill="accent6" w:themeFillTint="3F"/>
      </w:tcPr>
    </w:tblStylePr>
    <w:tblStylePr w:type="band2Horz"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  <w:insideV w:val="single" w:sz="8" w:space="0" w:color="2683C6" w:themeColor="accent6"/>
        </w:tcBorders>
      </w:tcPr>
    </w:tblStylePr>
  </w:style>
  <w:style w:type="table" w:styleId="afffff">
    <w:name w:val="Light List"/>
    <w:basedOn w:val="a4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4">
    <w:name w:val="Light List Accent 1"/>
    <w:basedOn w:val="a4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3494BA" w:themeColor="accent1"/>
        <w:left w:val="single" w:sz="8" w:space="0" w:color="3494BA" w:themeColor="accent1"/>
        <w:bottom w:val="single" w:sz="8" w:space="0" w:color="3494BA" w:themeColor="accent1"/>
        <w:right w:val="single" w:sz="8" w:space="0" w:color="3494BA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494BA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</w:tcBorders>
      </w:tcPr>
    </w:tblStylePr>
    <w:tblStylePr w:type="band1Horz"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</w:tcBorders>
      </w:tcPr>
    </w:tblStylePr>
  </w:style>
  <w:style w:type="table" w:styleId="-24">
    <w:name w:val="Light List Accent 2"/>
    <w:basedOn w:val="a4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58B6C0" w:themeColor="accent2"/>
        <w:left w:val="single" w:sz="8" w:space="0" w:color="58B6C0" w:themeColor="accent2"/>
        <w:bottom w:val="single" w:sz="8" w:space="0" w:color="58B6C0" w:themeColor="accent2"/>
        <w:right w:val="single" w:sz="8" w:space="0" w:color="58B6C0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8B6C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</w:tcBorders>
      </w:tcPr>
    </w:tblStylePr>
    <w:tblStylePr w:type="band1Horz"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</w:tcBorders>
      </w:tcPr>
    </w:tblStylePr>
  </w:style>
  <w:style w:type="table" w:styleId="-34">
    <w:name w:val="Light List Accent 3"/>
    <w:basedOn w:val="a4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75BDA7" w:themeColor="accent3"/>
        <w:left w:val="single" w:sz="8" w:space="0" w:color="75BDA7" w:themeColor="accent3"/>
        <w:bottom w:val="single" w:sz="8" w:space="0" w:color="75BDA7" w:themeColor="accent3"/>
        <w:right w:val="single" w:sz="8" w:space="0" w:color="75BDA7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5BDA7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</w:tcBorders>
      </w:tcPr>
    </w:tblStylePr>
    <w:tblStylePr w:type="band1Horz"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</w:tcBorders>
      </w:tcPr>
    </w:tblStylePr>
  </w:style>
  <w:style w:type="table" w:styleId="-44">
    <w:name w:val="Light List Accent 4"/>
    <w:basedOn w:val="a4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7A8C8E" w:themeColor="accent4"/>
        <w:left w:val="single" w:sz="8" w:space="0" w:color="7A8C8E" w:themeColor="accent4"/>
        <w:bottom w:val="single" w:sz="8" w:space="0" w:color="7A8C8E" w:themeColor="accent4"/>
        <w:right w:val="single" w:sz="8" w:space="0" w:color="7A8C8E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A8C8E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</w:tcBorders>
      </w:tcPr>
    </w:tblStylePr>
    <w:tblStylePr w:type="band1Horz"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</w:tcBorders>
      </w:tcPr>
    </w:tblStylePr>
  </w:style>
  <w:style w:type="table" w:styleId="-54">
    <w:name w:val="Light List Accent 5"/>
    <w:basedOn w:val="a4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84ACB6" w:themeColor="accent5"/>
        <w:left w:val="single" w:sz="8" w:space="0" w:color="84ACB6" w:themeColor="accent5"/>
        <w:bottom w:val="single" w:sz="8" w:space="0" w:color="84ACB6" w:themeColor="accent5"/>
        <w:right w:val="single" w:sz="8" w:space="0" w:color="84ACB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4ACB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</w:tcBorders>
      </w:tcPr>
    </w:tblStylePr>
    <w:tblStylePr w:type="band1Horz"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</w:tcBorders>
      </w:tcPr>
    </w:tblStylePr>
  </w:style>
  <w:style w:type="table" w:styleId="-64">
    <w:name w:val="Light List Accent 6"/>
    <w:basedOn w:val="a4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2683C6" w:themeColor="accent6"/>
        <w:left w:val="single" w:sz="8" w:space="0" w:color="2683C6" w:themeColor="accent6"/>
        <w:bottom w:val="single" w:sz="8" w:space="0" w:color="2683C6" w:themeColor="accent6"/>
        <w:right w:val="single" w:sz="8" w:space="0" w:color="2683C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683C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</w:tcBorders>
      </w:tcPr>
    </w:tblStylePr>
    <w:tblStylePr w:type="band1Horz"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</w:tcBorders>
      </w:tcPr>
    </w:tblStylePr>
  </w:style>
  <w:style w:type="table" w:styleId="afffff0">
    <w:name w:val="Light Shading"/>
    <w:basedOn w:val="a4"/>
    <w:uiPriority w:val="60"/>
    <w:semiHidden/>
    <w:unhideWhenUsed/>
    <w:rsid w:val="004230D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5">
    <w:name w:val="Light Shading Accent 1"/>
    <w:basedOn w:val="a4"/>
    <w:uiPriority w:val="60"/>
    <w:semiHidden/>
    <w:unhideWhenUsed/>
    <w:rsid w:val="004230D9"/>
    <w:pPr>
      <w:spacing w:after="0" w:line="240" w:lineRule="auto"/>
    </w:pPr>
    <w:rPr>
      <w:color w:val="276E8B" w:themeColor="accent1" w:themeShade="BF"/>
    </w:rPr>
    <w:tblPr>
      <w:tblStyleRowBandSize w:val="1"/>
      <w:tblStyleColBandSize w:val="1"/>
      <w:tblBorders>
        <w:top w:val="single" w:sz="8" w:space="0" w:color="3494BA" w:themeColor="accent1"/>
        <w:bottom w:val="single" w:sz="8" w:space="0" w:color="3494BA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494BA" w:themeColor="accent1"/>
          <w:left w:val="nil"/>
          <w:bottom w:val="single" w:sz="8" w:space="0" w:color="3494BA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494BA" w:themeColor="accent1"/>
          <w:left w:val="nil"/>
          <w:bottom w:val="single" w:sz="8" w:space="0" w:color="3494BA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AE5F0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AE5F0" w:themeFill="accent1" w:themeFillTint="3F"/>
      </w:tcPr>
    </w:tblStylePr>
  </w:style>
  <w:style w:type="table" w:styleId="-25">
    <w:name w:val="Light Shading Accent 2"/>
    <w:basedOn w:val="a4"/>
    <w:uiPriority w:val="60"/>
    <w:semiHidden/>
    <w:unhideWhenUsed/>
    <w:rsid w:val="004230D9"/>
    <w:pPr>
      <w:spacing w:after="0" w:line="240" w:lineRule="auto"/>
    </w:pPr>
    <w:rPr>
      <w:color w:val="398E98" w:themeColor="accent2" w:themeShade="BF"/>
    </w:rPr>
    <w:tblPr>
      <w:tblStyleRowBandSize w:val="1"/>
      <w:tblStyleColBandSize w:val="1"/>
      <w:tblBorders>
        <w:top w:val="single" w:sz="8" w:space="0" w:color="58B6C0" w:themeColor="accent2"/>
        <w:bottom w:val="single" w:sz="8" w:space="0" w:color="58B6C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8B6C0" w:themeColor="accent2"/>
          <w:left w:val="nil"/>
          <w:bottom w:val="single" w:sz="8" w:space="0" w:color="58B6C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8B6C0" w:themeColor="accent2"/>
          <w:left w:val="nil"/>
          <w:bottom w:val="single" w:sz="8" w:space="0" w:color="58B6C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ECEF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ECEF" w:themeFill="accent2" w:themeFillTint="3F"/>
      </w:tcPr>
    </w:tblStylePr>
  </w:style>
  <w:style w:type="table" w:styleId="-35">
    <w:name w:val="Light Shading Accent 3"/>
    <w:basedOn w:val="a4"/>
    <w:uiPriority w:val="60"/>
    <w:semiHidden/>
    <w:unhideWhenUsed/>
    <w:rsid w:val="004230D9"/>
    <w:pPr>
      <w:spacing w:after="0" w:line="240" w:lineRule="auto"/>
    </w:pPr>
    <w:rPr>
      <w:color w:val="4A9A82" w:themeColor="accent3" w:themeShade="BF"/>
    </w:rPr>
    <w:tblPr>
      <w:tblStyleRowBandSize w:val="1"/>
      <w:tblStyleColBandSize w:val="1"/>
      <w:tblBorders>
        <w:top w:val="single" w:sz="8" w:space="0" w:color="75BDA7" w:themeColor="accent3"/>
        <w:bottom w:val="single" w:sz="8" w:space="0" w:color="75BDA7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5BDA7" w:themeColor="accent3"/>
          <w:left w:val="nil"/>
          <w:bottom w:val="single" w:sz="8" w:space="0" w:color="75BDA7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5BDA7" w:themeColor="accent3"/>
          <w:left w:val="nil"/>
          <w:bottom w:val="single" w:sz="8" w:space="0" w:color="75BDA7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CEEE9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CEEE9" w:themeFill="accent3" w:themeFillTint="3F"/>
      </w:tcPr>
    </w:tblStylePr>
  </w:style>
  <w:style w:type="table" w:styleId="-45">
    <w:name w:val="Light Shading Accent 4"/>
    <w:basedOn w:val="a4"/>
    <w:uiPriority w:val="60"/>
    <w:semiHidden/>
    <w:unhideWhenUsed/>
    <w:rsid w:val="004230D9"/>
    <w:pPr>
      <w:spacing w:after="0" w:line="240" w:lineRule="auto"/>
    </w:pPr>
    <w:rPr>
      <w:color w:val="5A696A" w:themeColor="accent4" w:themeShade="BF"/>
    </w:rPr>
    <w:tblPr>
      <w:tblStyleRowBandSize w:val="1"/>
      <w:tblStyleColBandSize w:val="1"/>
      <w:tblBorders>
        <w:top w:val="single" w:sz="8" w:space="0" w:color="7A8C8E" w:themeColor="accent4"/>
        <w:bottom w:val="single" w:sz="8" w:space="0" w:color="7A8C8E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A8C8E" w:themeColor="accent4"/>
          <w:left w:val="nil"/>
          <w:bottom w:val="single" w:sz="8" w:space="0" w:color="7A8C8E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A8C8E" w:themeColor="accent4"/>
          <w:left w:val="nil"/>
          <w:bottom w:val="single" w:sz="8" w:space="0" w:color="7A8C8E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EE2E3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EE2E3" w:themeFill="accent4" w:themeFillTint="3F"/>
      </w:tcPr>
    </w:tblStylePr>
  </w:style>
  <w:style w:type="table" w:styleId="-55">
    <w:name w:val="Light Shading Accent 5"/>
    <w:basedOn w:val="a4"/>
    <w:uiPriority w:val="60"/>
    <w:semiHidden/>
    <w:unhideWhenUsed/>
    <w:rsid w:val="004230D9"/>
    <w:pPr>
      <w:spacing w:after="0" w:line="240" w:lineRule="auto"/>
    </w:pPr>
    <w:rPr>
      <w:color w:val="578793" w:themeColor="accent5" w:themeShade="BF"/>
    </w:rPr>
    <w:tblPr>
      <w:tblStyleRowBandSize w:val="1"/>
      <w:tblStyleColBandSize w:val="1"/>
      <w:tblBorders>
        <w:top w:val="single" w:sz="8" w:space="0" w:color="84ACB6" w:themeColor="accent5"/>
        <w:bottom w:val="single" w:sz="8" w:space="0" w:color="84ACB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4ACB6" w:themeColor="accent5"/>
          <w:left w:val="nil"/>
          <w:bottom w:val="single" w:sz="8" w:space="0" w:color="84ACB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4ACB6" w:themeColor="accent5"/>
          <w:left w:val="nil"/>
          <w:bottom w:val="single" w:sz="8" w:space="0" w:color="84ACB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0EAED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0EAED" w:themeFill="accent5" w:themeFillTint="3F"/>
      </w:tcPr>
    </w:tblStylePr>
  </w:style>
  <w:style w:type="table" w:styleId="-65">
    <w:name w:val="Light Shading Accent 6"/>
    <w:basedOn w:val="a4"/>
    <w:uiPriority w:val="60"/>
    <w:semiHidden/>
    <w:unhideWhenUsed/>
    <w:rsid w:val="004230D9"/>
    <w:pPr>
      <w:spacing w:after="0" w:line="240" w:lineRule="auto"/>
    </w:pPr>
    <w:rPr>
      <w:color w:val="1C6194" w:themeColor="accent6" w:themeShade="BF"/>
    </w:rPr>
    <w:tblPr>
      <w:tblStyleRowBandSize w:val="1"/>
      <w:tblStyleColBandSize w:val="1"/>
      <w:tblBorders>
        <w:top w:val="single" w:sz="8" w:space="0" w:color="2683C6" w:themeColor="accent6"/>
        <w:bottom w:val="single" w:sz="8" w:space="0" w:color="2683C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683C6" w:themeColor="accent6"/>
          <w:left w:val="nil"/>
          <w:bottom w:val="single" w:sz="8" w:space="0" w:color="2683C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683C6" w:themeColor="accent6"/>
          <w:left w:val="nil"/>
          <w:bottom w:val="single" w:sz="8" w:space="0" w:color="2683C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5E0F4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5E0F4" w:themeFill="accent6" w:themeFillTint="3F"/>
      </w:tcPr>
    </w:tblStylePr>
  </w:style>
  <w:style w:type="paragraph" w:styleId="afffff1">
    <w:name w:val="List"/>
    <w:basedOn w:val="a2"/>
    <w:uiPriority w:val="99"/>
    <w:semiHidden/>
    <w:unhideWhenUsed/>
    <w:rsid w:val="004230D9"/>
    <w:pPr>
      <w:ind w:left="360" w:hanging="360"/>
      <w:contextualSpacing/>
    </w:pPr>
  </w:style>
  <w:style w:type="paragraph" w:styleId="2d">
    <w:name w:val="List 2"/>
    <w:basedOn w:val="a2"/>
    <w:uiPriority w:val="99"/>
    <w:semiHidden/>
    <w:unhideWhenUsed/>
    <w:rsid w:val="004230D9"/>
    <w:pPr>
      <w:ind w:left="720" w:hanging="360"/>
      <w:contextualSpacing/>
    </w:pPr>
  </w:style>
  <w:style w:type="paragraph" w:styleId="37">
    <w:name w:val="List 3"/>
    <w:basedOn w:val="a2"/>
    <w:uiPriority w:val="99"/>
    <w:semiHidden/>
    <w:unhideWhenUsed/>
    <w:rsid w:val="004230D9"/>
    <w:pPr>
      <w:ind w:left="1080" w:hanging="360"/>
      <w:contextualSpacing/>
    </w:pPr>
  </w:style>
  <w:style w:type="paragraph" w:styleId="44">
    <w:name w:val="List 4"/>
    <w:basedOn w:val="a2"/>
    <w:uiPriority w:val="99"/>
    <w:semiHidden/>
    <w:unhideWhenUsed/>
    <w:rsid w:val="004230D9"/>
    <w:pPr>
      <w:ind w:left="1440" w:hanging="360"/>
      <w:contextualSpacing/>
    </w:pPr>
  </w:style>
  <w:style w:type="paragraph" w:styleId="54">
    <w:name w:val="List 5"/>
    <w:basedOn w:val="a2"/>
    <w:uiPriority w:val="99"/>
    <w:semiHidden/>
    <w:unhideWhenUsed/>
    <w:rsid w:val="004230D9"/>
    <w:pPr>
      <w:ind w:left="1800" w:hanging="360"/>
      <w:contextualSpacing/>
    </w:pPr>
  </w:style>
  <w:style w:type="paragraph" w:styleId="2">
    <w:name w:val="List Bullet 2"/>
    <w:basedOn w:val="a2"/>
    <w:uiPriority w:val="99"/>
    <w:semiHidden/>
    <w:unhideWhenUsed/>
    <w:rsid w:val="004230D9"/>
    <w:pPr>
      <w:numPr>
        <w:numId w:val="2"/>
      </w:numPr>
      <w:contextualSpacing/>
    </w:pPr>
  </w:style>
  <w:style w:type="paragraph" w:styleId="30">
    <w:name w:val="List Bullet 3"/>
    <w:basedOn w:val="a2"/>
    <w:uiPriority w:val="99"/>
    <w:semiHidden/>
    <w:unhideWhenUsed/>
    <w:rsid w:val="004230D9"/>
    <w:pPr>
      <w:numPr>
        <w:numId w:val="3"/>
      </w:numPr>
      <w:contextualSpacing/>
    </w:pPr>
  </w:style>
  <w:style w:type="paragraph" w:styleId="40">
    <w:name w:val="List Bullet 4"/>
    <w:basedOn w:val="a2"/>
    <w:uiPriority w:val="99"/>
    <w:semiHidden/>
    <w:unhideWhenUsed/>
    <w:rsid w:val="004230D9"/>
    <w:pPr>
      <w:numPr>
        <w:numId w:val="4"/>
      </w:numPr>
      <w:contextualSpacing/>
    </w:pPr>
  </w:style>
  <w:style w:type="paragraph" w:styleId="50">
    <w:name w:val="List Bullet 5"/>
    <w:basedOn w:val="a2"/>
    <w:uiPriority w:val="99"/>
    <w:semiHidden/>
    <w:unhideWhenUsed/>
    <w:rsid w:val="004230D9"/>
    <w:pPr>
      <w:numPr>
        <w:numId w:val="5"/>
      </w:numPr>
      <w:contextualSpacing/>
    </w:pPr>
  </w:style>
  <w:style w:type="paragraph" w:styleId="afffff2">
    <w:name w:val="List Continue"/>
    <w:basedOn w:val="a2"/>
    <w:uiPriority w:val="99"/>
    <w:semiHidden/>
    <w:unhideWhenUsed/>
    <w:rsid w:val="004230D9"/>
    <w:pPr>
      <w:spacing w:after="120"/>
      <w:ind w:left="360"/>
      <w:contextualSpacing/>
    </w:pPr>
  </w:style>
  <w:style w:type="paragraph" w:styleId="2e">
    <w:name w:val="List Continue 2"/>
    <w:basedOn w:val="a2"/>
    <w:uiPriority w:val="99"/>
    <w:semiHidden/>
    <w:unhideWhenUsed/>
    <w:rsid w:val="004230D9"/>
    <w:pPr>
      <w:spacing w:after="120"/>
      <w:ind w:left="720"/>
      <w:contextualSpacing/>
    </w:pPr>
  </w:style>
  <w:style w:type="paragraph" w:styleId="38">
    <w:name w:val="List Continue 3"/>
    <w:basedOn w:val="a2"/>
    <w:uiPriority w:val="99"/>
    <w:semiHidden/>
    <w:unhideWhenUsed/>
    <w:rsid w:val="004230D9"/>
    <w:pPr>
      <w:spacing w:after="120"/>
      <w:ind w:left="1080"/>
      <w:contextualSpacing/>
    </w:pPr>
  </w:style>
  <w:style w:type="paragraph" w:styleId="45">
    <w:name w:val="List Continue 4"/>
    <w:basedOn w:val="a2"/>
    <w:uiPriority w:val="99"/>
    <w:semiHidden/>
    <w:unhideWhenUsed/>
    <w:rsid w:val="004230D9"/>
    <w:pPr>
      <w:spacing w:after="120"/>
      <w:ind w:left="1440"/>
      <w:contextualSpacing/>
    </w:pPr>
  </w:style>
  <w:style w:type="paragraph" w:styleId="55">
    <w:name w:val="List Continue 5"/>
    <w:basedOn w:val="a2"/>
    <w:uiPriority w:val="99"/>
    <w:semiHidden/>
    <w:unhideWhenUsed/>
    <w:rsid w:val="004230D9"/>
    <w:pPr>
      <w:spacing w:after="120"/>
      <w:ind w:left="1800"/>
      <w:contextualSpacing/>
    </w:pPr>
  </w:style>
  <w:style w:type="paragraph" w:styleId="3">
    <w:name w:val="List Number 3"/>
    <w:basedOn w:val="a2"/>
    <w:uiPriority w:val="99"/>
    <w:semiHidden/>
    <w:unhideWhenUsed/>
    <w:rsid w:val="004230D9"/>
    <w:pPr>
      <w:numPr>
        <w:numId w:val="6"/>
      </w:numPr>
      <w:contextualSpacing/>
    </w:pPr>
  </w:style>
  <w:style w:type="paragraph" w:styleId="4">
    <w:name w:val="List Number 4"/>
    <w:basedOn w:val="a2"/>
    <w:uiPriority w:val="99"/>
    <w:semiHidden/>
    <w:unhideWhenUsed/>
    <w:rsid w:val="004230D9"/>
    <w:pPr>
      <w:numPr>
        <w:numId w:val="7"/>
      </w:numPr>
      <w:contextualSpacing/>
    </w:pPr>
  </w:style>
  <w:style w:type="paragraph" w:styleId="5">
    <w:name w:val="List Number 5"/>
    <w:basedOn w:val="a2"/>
    <w:uiPriority w:val="99"/>
    <w:semiHidden/>
    <w:unhideWhenUsed/>
    <w:rsid w:val="004230D9"/>
    <w:pPr>
      <w:numPr>
        <w:numId w:val="8"/>
      </w:numPr>
      <w:contextualSpacing/>
    </w:pPr>
  </w:style>
  <w:style w:type="table" w:customStyle="1" w:styleId="-112">
    <w:name w:val="Список-таблица 1 светлая1"/>
    <w:basedOn w:val="a4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1110">
    <w:name w:val="Список-таблица 1 светлая — акцент 11"/>
    <w:basedOn w:val="a4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FC0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FC0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customStyle="1" w:styleId="-1210">
    <w:name w:val="Список-таблица 1 светлая — акцент 21"/>
    <w:basedOn w:val="a4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AD3D9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AD3D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customStyle="1" w:styleId="-1310">
    <w:name w:val="Список-таблица 1 светлая — акцент 31"/>
    <w:basedOn w:val="a4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CD7CA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CD7CA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customStyle="1" w:styleId="-1410">
    <w:name w:val="Список-таблица 1 светлая — акцент 41"/>
    <w:basedOn w:val="a4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FB9BB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FB9B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customStyle="1" w:styleId="-1510">
    <w:name w:val="Список-таблица 1 светлая — акцент 51"/>
    <w:basedOn w:val="a4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5CDD3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5CDD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customStyle="1" w:styleId="-1610">
    <w:name w:val="Список-таблица 1 светлая — акцент 61"/>
    <w:basedOn w:val="a4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4B5E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4B5E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customStyle="1" w:styleId="-212">
    <w:name w:val="Список-таблица 21"/>
    <w:basedOn w:val="a4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2110">
    <w:name w:val="Список-таблица 2 — акцент 11"/>
    <w:basedOn w:val="a4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FC0DB" w:themeColor="accent1" w:themeTint="99"/>
        <w:bottom w:val="single" w:sz="4" w:space="0" w:color="7FC0DB" w:themeColor="accent1" w:themeTint="99"/>
        <w:insideH w:val="single" w:sz="4" w:space="0" w:color="7FC0DB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customStyle="1" w:styleId="-2210">
    <w:name w:val="Список-таблица 2 — акцент 21"/>
    <w:basedOn w:val="a4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AD3D9" w:themeColor="accent2" w:themeTint="99"/>
        <w:bottom w:val="single" w:sz="4" w:space="0" w:color="9AD3D9" w:themeColor="accent2" w:themeTint="99"/>
        <w:insideH w:val="single" w:sz="4" w:space="0" w:color="9AD3D9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customStyle="1" w:styleId="-2310">
    <w:name w:val="Список-таблица 2 — акцент 31"/>
    <w:basedOn w:val="a4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CD7CA" w:themeColor="accent3" w:themeTint="99"/>
        <w:bottom w:val="single" w:sz="4" w:space="0" w:color="ACD7CA" w:themeColor="accent3" w:themeTint="99"/>
        <w:insideH w:val="single" w:sz="4" w:space="0" w:color="ACD7CA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customStyle="1" w:styleId="-2410">
    <w:name w:val="Список-таблица 2 — акцент 41"/>
    <w:basedOn w:val="a4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FB9BB" w:themeColor="accent4" w:themeTint="99"/>
        <w:bottom w:val="single" w:sz="4" w:space="0" w:color="AFB9BB" w:themeColor="accent4" w:themeTint="99"/>
        <w:insideH w:val="single" w:sz="4" w:space="0" w:color="AFB9BB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customStyle="1" w:styleId="-2510">
    <w:name w:val="Список-таблица 2 — акцент 51"/>
    <w:basedOn w:val="a4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5CDD3" w:themeColor="accent5" w:themeTint="99"/>
        <w:bottom w:val="single" w:sz="4" w:space="0" w:color="B5CDD3" w:themeColor="accent5" w:themeTint="99"/>
        <w:insideH w:val="single" w:sz="4" w:space="0" w:color="B5CDD3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customStyle="1" w:styleId="-2610">
    <w:name w:val="Список-таблица 2 — акцент 61"/>
    <w:basedOn w:val="a4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4B5E4" w:themeColor="accent6" w:themeTint="99"/>
        <w:bottom w:val="single" w:sz="4" w:space="0" w:color="74B5E4" w:themeColor="accent6" w:themeTint="99"/>
        <w:insideH w:val="single" w:sz="4" w:space="0" w:color="74B5E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customStyle="1" w:styleId="-312">
    <w:name w:val="Список-таблица 31"/>
    <w:basedOn w:val="a4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-3110">
    <w:name w:val="Список-таблица 3 — акцент 11"/>
    <w:basedOn w:val="a4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3494BA" w:themeColor="accent1"/>
        <w:left w:val="single" w:sz="4" w:space="0" w:color="3494BA" w:themeColor="accent1"/>
        <w:bottom w:val="single" w:sz="4" w:space="0" w:color="3494BA" w:themeColor="accent1"/>
        <w:right w:val="single" w:sz="4" w:space="0" w:color="3494BA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494BA" w:themeFill="accent1"/>
      </w:tcPr>
    </w:tblStylePr>
    <w:tblStylePr w:type="lastRow">
      <w:rPr>
        <w:b/>
        <w:bCs/>
      </w:rPr>
      <w:tblPr/>
      <w:tcPr>
        <w:tcBorders>
          <w:top w:val="double" w:sz="4" w:space="0" w:color="3494BA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494BA" w:themeColor="accent1"/>
          <w:right w:val="single" w:sz="4" w:space="0" w:color="3494BA" w:themeColor="accent1"/>
        </w:tcBorders>
      </w:tcPr>
    </w:tblStylePr>
    <w:tblStylePr w:type="band1Horz">
      <w:tblPr/>
      <w:tcPr>
        <w:tcBorders>
          <w:top w:val="single" w:sz="4" w:space="0" w:color="3494BA" w:themeColor="accent1"/>
          <w:bottom w:val="single" w:sz="4" w:space="0" w:color="3494BA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494BA" w:themeColor="accent1"/>
          <w:left w:val="nil"/>
        </w:tcBorders>
      </w:tcPr>
    </w:tblStylePr>
    <w:tblStylePr w:type="swCell">
      <w:tblPr/>
      <w:tcPr>
        <w:tcBorders>
          <w:top w:val="double" w:sz="4" w:space="0" w:color="3494BA" w:themeColor="accent1"/>
          <w:right w:val="nil"/>
        </w:tcBorders>
      </w:tcPr>
    </w:tblStylePr>
  </w:style>
  <w:style w:type="table" w:customStyle="1" w:styleId="-3210">
    <w:name w:val="Список-таблица 3 — акцент 21"/>
    <w:basedOn w:val="a4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58B6C0" w:themeColor="accent2"/>
        <w:left w:val="single" w:sz="4" w:space="0" w:color="58B6C0" w:themeColor="accent2"/>
        <w:bottom w:val="single" w:sz="4" w:space="0" w:color="58B6C0" w:themeColor="accent2"/>
        <w:right w:val="single" w:sz="4" w:space="0" w:color="58B6C0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8B6C0" w:themeFill="accent2"/>
      </w:tcPr>
    </w:tblStylePr>
    <w:tblStylePr w:type="lastRow">
      <w:rPr>
        <w:b/>
        <w:bCs/>
      </w:rPr>
      <w:tblPr/>
      <w:tcPr>
        <w:tcBorders>
          <w:top w:val="double" w:sz="4" w:space="0" w:color="58B6C0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8B6C0" w:themeColor="accent2"/>
          <w:right w:val="single" w:sz="4" w:space="0" w:color="58B6C0" w:themeColor="accent2"/>
        </w:tcBorders>
      </w:tcPr>
    </w:tblStylePr>
    <w:tblStylePr w:type="band1Horz">
      <w:tblPr/>
      <w:tcPr>
        <w:tcBorders>
          <w:top w:val="single" w:sz="4" w:space="0" w:color="58B6C0" w:themeColor="accent2"/>
          <w:bottom w:val="single" w:sz="4" w:space="0" w:color="58B6C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8B6C0" w:themeColor="accent2"/>
          <w:left w:val="nil"/>
        </w:tcBorders>
      </w:tcPr>
    </w:tblStylePr>
    <w:tblStylePr w:type="swCell">
      <w:tblPr/>
      <w:tcPr>
        <w:tcBorders>
          <w:top w:val="double" w:sz="4" w:space="0" w:color="58B6C0" w:themeColor="accent2"/>
          <w:right w:val="nil"/>
        </w:tcBorders>
      </w:tcPr>
    </w:tblStylePr>
  </w:style>
  <w:style w:type="table" w:customStyle="1" w:styleId="-3310">
    <w:name w:val="Список-таблица 3 — акцент 31"/>
    <w:basedOn w:val="a4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5BDA7" w:themeColor="accent3"/>
        <w:left w:val="single" w:sz="4" w:space="0" w:color="75BDA7" w:themeColor="accent3"/>
        <w:bottom w:val="single" w:sz="4" w:space="0" w:color="75BDA7" w:themeColor="accent3"/>
        <w:right w:val="single" w:sz="4" w:space="0" w:color="75BDA7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5BDA7" w:themeFill="accent3"/>
      </w:tcPr>
    </w:tblStylePr>
    <w:tblStylePr w:type="lastRow">
      <w:rPr>
        <w:b/>
        <w:bCs/>
      </w:rPr>
      <w:tblPr/>
      <w:tcPr>
        <w:tcBorders>
          <w:top w:val="double" w:sz="4" w:space="0" w:color="75BDA7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5BDA7" w:themeColor="accent3"/>
          <w:right w:val="single" w:sz="4" w:space="0" w:color="75BDA7" w:themeColor="accent3"/>
        </w:tcBorders>
      </w:tcPr>
    </w:tblStylePr>
    <w:tblStylePr w:type="band1Horz">
      <w:tblPr/>
      <w:tcPr>
        <w:tcBorders>
          <w:top w:val="single" w:sz="4" w:space="0" w:color="75BDA7" w:themeColor="accent3"/>
          <w:bottom w:val="single" w:sz="4" w:space="0" w:color="75BDA7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5BDA7" w:themeColor="accent3"/>
          <w:left w:val="nil"/>
        </w:tcBorders>
      </w:tcPr>
    </w:tblStylePr>
    <w:tblStylePr w:type="swCell">
      <w:tblPr/>
      <w:tcPr>
        <w:tcBorders>
          <w:top w:val="double" w:sz="4" w:space="0" w:color="75BDA7" w:themeColor="accent3"/>
          <w:right w:val="nil"/>
        </w:tcBorders>
      </w:tcPr>
    </w:tblStylePr>
  </w:style>
  <w:style w:type="table" w:customStyle="1" w:styleId="-3410">
    <w:name w:val="Список-таблица 3 — акцент 41"/>
    <w:basedOn w:val="a4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A8C8E" w:themeColor="accent4"/>
        <w:left w:val="single" w:sz="4" w:space="0" w:color="7A8C8E" w:themeColor="accent4"/>
        <w:bottom w:val="single" w:sz="4" w:space="0" w:color="7A8C8E" w:themeColor="accent4"/>
        <w:right w:val="single" w:sz="4" w:space="0" w:color="7A8C8E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A8C8E" w:themeFill="accent4"/>
      </w:tcPr>
    </w:tblStylePr>
    <w:tblStylePr w:type="lastRow">
      <w:rPr>
        <w:b/>
        <w:bCs/>
      </w:rPr>
      <w:tblPr/>
      <w:tcPr>
        <w:tcBorders>
          <w:top w:val="double" w:sz="4" w:space="0" w:color="7A8C8E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A8C8E" w:themeColor="accent4"/>
          <w:right w:val="single" w:sz="4" w:space="0" w:color="7A8C8E" w:themeColor="accent4"/>
        </w:tcBorders>
      </w:tcPr>
    </w:tblStylePr>
    <w:tblStylePr w:type="band1Horz">
      <w:tblPr/>
      <w:tcPr>
        <w:tcBorders>
          <w:top w:val="single" w:sz="4" w:space="0" w:color="7A8C8E" w:themeColor="accent4"/>
          <w:bottom w:val="single" w:sz="4" w:space="0" w:color="7A8C8E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A8C8E" w:themeColor="accent4"/>
          <w:left w:val="nil"/>
        </w:tcBorders>
      </w:tcPr>
    </w:tblStylePr>
    <w:tblStylePr w:type="swCell">
      <w:tblPr/>
      <w:tcPr>
        <w:tcBorders>
          <w:top w:val="double" w:sz="4" w:space="0" w:color="7A8C8E" w:themeColor="accent4"/>
          <w:right w:val="nil"/>
        </w:tcBorders>
      </w:tcPr>
    </w:tblStylePr>
  </w:style>
  <w:style w:type="table" w:customStyle="1" w:styleId="-3510">
    <w:name w:val="Список-таблица 3 — акцент 51"/>
    <w:basedOn w:val="a4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84ACB6" w:themeColor="accent5"/>
        <w:left w:val="single" w:sz="4" w:space="0" w:color="84ACB6" w:themeColor="accent5"/>
        <w:bottom w:val="single" w:sz="4" w:space="0" w:color="84ACB6" w:themeColor="accent5"/>
        <w:right w:val="single" w:sz="4" w:space="0" w:color="84ACB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4ACB6" w:themeFill="accent5"/>
      </w:tcPr>
    </w:tblStylePr>
    <w:tblStylePr w:type="lastRow">
      <w:rPr>
        <w:b/>
        <w:bCs/>
      </w:rPr>
      <w:tblPr/>
      <w:tcPr>
        <w:tcBorders>
          <w:top w:val="double" w:sz="4" w:space="0" w:color="84ACB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4ACB6" w:themeColor="accent5"/>
          <w:right w:val="single" w:sz="4" w:space="0" w:color="84ACB6" w:themeColor="accent5"/>
        </w:tcBorders>
      </w:tcPr>
    </w:tblStylePr>
    <w:tblStylePr w:type="band1Horz">
      <w:tblPr/>
      <w:tcPr>
        <w:tcBorders>
          <w:top w:val="single" w:sz="4" w:space="0" w:color="84ACB6" w:themeColor="accent5"/>
          <w:bottom w:val="single" w:sz="4" w:space="0" w:color="84ACB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4ACB6" w:themeColor="accent5"/>
          <w:left w:val="nil"/>
        </w:tcBorders>
      </w:tcPr>
    </w:tblStylePr>
    <w:tblStylePr w:type="swCell">
      <w:tblPr/>
      <w:tcPr>
        <w:tcBorders>
          <w:top w:val="double" w:sz="4" w:space="0" w:color="84ACB6" w:themeColor="accent5"/>
          <w:right w:val="nil"/>
        </w:tcBorders>
      </w:tcPr>
    </w:tblStylePr>
  </w:style>
  <w:style w:type="table" w:customStyle="1" w:styleId="-3610">
    <w:name w:val="Список-таблица 3 — акцент 61"/>
    <w:basedOn w:val="a4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2683C6" w:themeColor="accent6"/>
        <w:left w:val="single" w:sz="4" w:space="0" w:color="2683C6" w:themeColor="accent6"/>
        <w:bottom w:val="single" w:sz="4" w:space="0" w:color="2683C6" w:themeColor="accent6"/>
        <w:right w:val="single" w:sz="4" w:space="0" w:color="2683C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683C6" w:themeFill="accent6"/>
      </w:tcPr>
    </w:tblStylePr>
    <w:tblStylePr w:type="lastRow">
      <w:rPr>
        <w:b/>
        <w:bCs/>
      </w:rPr>
      <w:tblPr/>
      <w:tcPr>
        <w:tcBorders>
          <w:top w:val="double" w:sz="4" w:space="0" w:color="2683C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2683C6" w:themeColor="accent6"/>
          <w:right w:val="single" w:sz="4" w:space="0" w:color="2683C6" w:themeColor="accent6"/>
        </w:tcBorders>
      </w:tcPr>
    </w:tblStylePr>
    <w:tblStylePr w:type="band1Horz">
      <w:tblPr/>
      <w:tcPr>
        <w:tcBorders>
          <w:top w:val="single" w:sz="4" w:space="0" w:color="2683C6" w:themeColor="accent6"/>
          <w:bottom w:val="single" w:sz="4" w:space="0" w:color="2683C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683C6" w:themeColor="accent6"/>
          <w:left w:val="nil"/>
        </w:tcBorders>
      </w:tcPr>
    </w:tblStylePr>
    <w:tblStylePr w:type="swCell">
      <w:tblPr/>
      <w:tcPr>
        <w:tcBorders>
          <w:top w:val="double" w:sz="4" w:space="0" w:color="2683C6" w:themeColor="accent6"/>
          <w:right w:val="nil"/>
        </w:tcBorders>
      </w:tcPr>
    </w:tblStylePr>
  </w:style>
  <w:style w:type="table" w:customStyle="1" w:styleId="-412">
    <w:name w:val="Список-таблица 41"/>
    <w:basedOn w:val="a4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4110">
    <w:name w:val="Список-таблица 4 — акцент 11"/>
    <w:basedOn w:val="a4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494BA" w:themeColor="accent1"/>
          <w:left w:val="single" w:sz="4" w:space="0" w:color="3494BA" w:themeColor="accent1"/>
          <w:bottom w:val="single" w:sz="4" w:space="0" w:color="3494BA" w:themeColor="accent1"/>
          <w:right w:val="single" w:sz="4" w:space="0" w:color="3494BA" w:themeColor="accent1"/>
          <w:insideH w:val="nil"/>
        </w:tcBorders>
        <w:shd w:val="clear" w:color="auto" w:fill="3494BA" w:themeFill="accent1"/>
      </w:tcPr>
    </w:tblStylePr>
    <w:tblStylePr w:type="lastRow">
      <w:rPr>
        <w:b/>
        <w:bCs/>
      </w:rPr>
      <w:tblPr/>
      <w:tcPr>
        <w:tcBorders>
          <w:top w:val="double" w:sz="4" w:space="0" w:color="7FC0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customStyle="1" w:styleId="-4210">
    <w:name w:val="Список-таблица 4 — акцент 21"/>
    <w:basedOn w:val="a4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AD3D9" w:themeColor="accent2" w:themeTint="99"/>
        <w:left w:val="single" w:sz="4" w:space="0" w:color="9AD3D9" w:themeColor="accent2" w:themeTint="99"/>
        <w:bottom w:val="single" w:sz="4" w:space="0" w:color="9AD3D9" w:themeColor="accent2" w:themeTint="99"/>
        <w:right w:val="single" w:sz="4" w:space="0" w:color="9AD3D9" w:themeColor="accent2" w:themeTint="99"/>
        <w:insideH w:val="single" w:sz="4" w:space="0" w:color="9AD3D9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8B6C0" w:themeColor="accent2"/>
          <w:left w:val="single" w:sz="4" w:space="0" w:color="58B6C0" w:themeColor="accent2"/>
          <w:bottom w:val="single" w:sz="4" w:space="0" w:color="58B6C0" w:themeColor="accent2"/>
          <w:right w:val="single" w:sz="4" w:space="0" w:color="58B6C0" w:themeColor="accent2"/>
          <w:insideH w:val="nil"/>
        </w:tcBorders>
        <w:shd w:val="clear" w:color="auto" w:fill="58B6C0" w:themeFill="accent2"/>
      </w:tcPr>
    </w:tblStylePr>
    <w:tblStylePr w:type="lastRow">
      <w:rPr>
        <w:b/>
        <w:bCs/>
      </w:rPr>
      <w:tblPr/>
      <w:tcPr>
        <w:tcBorders>
          <w:top w:val="double" w:sz="4" w:space="0" w:color="9AD3D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customStyle="1" w:styleId="-4310">
    <w:name w:val="Список-таблица 4 — акцент 31"/>
    <w:basedOn w:val="a4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CD7CA" w:themeColor="accent3" w:themeTint="99"/>
        <w:left w:val="single" w:sz="4" w:space="0" w:color="ACD7CA" w:themeColor="accent3" w:themeTint="99"/>
        <w:bottom w:val="single" w:sz="4" w:space="0" w:color="ACD7CA" w:themeColor="accent3" w:themeTint="99"/>
        <w:right w:val="single" w:sz="4" w:space="0" w:color="ACD7CA" w:themeColor="accent3" w:themeTint="99"/>
        <w:insideH w:val="single" w:sz="4" w:space="0" w:color="ACD7CA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5BDA7" w:themeColor="accent3"/>
          <w:left w:val="single" w:sz="4" w:space="0" w:color="75BDA7" w:themeColor="accent3"/>
          <w:bottom w:val="single" w:sz="4" w:space="0" w:color="75BDA7" w:themeColor="accent3"/>
          <w:right w:val="single" w:sz="4" w:space="0" w:color="75BDA7" w:themeColor="accent3"/>
          <w:insideH w:val="nil"/>
        </w:tcBorders>
        <w:shd w:val="clear" w:color="auto" w:fill="75BDA7" w:themeFill="accent3"/>
      </w:tcPr>
    </w:tblStylePr>
    <w:tblStylePr w:type="lastRow">
      <w:rPr>
        <w:b/>
        <w:bCs/>
      </w:rPr>
      <w:tblPr/>
      <w:tcPr>
        <w:tcBorders>
          <w:top w:val="double" w:sz="4" w:space="0" w:color="ACD7CA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customStyle="1" w:styleId="-4410">
    <w:name w:val="Список-таблица 4 — акцент 41"/>
    <w:basedOn w:val="a4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FB9BB" w:themeColor="accent4" w:themeTint="99"/>
        <w:left w:val="single" w:sz="4" w:space="0" w:color="AFB9BB" w:themeColor="accent4" w:themeTint="99"/>
        <w:bottom w:val="single" w:sz="4" w:space="0" w:color="AFB9BB" w:themeColor="accent4" w:themeTint="99"/>
        <w:right w:val="single" w:sz="4" w:space="0" w:color="AFB9BB" w:themeColor="accent4" w:themeTint="99"/>
        <w:insideH w:val="single" w:sz="4" w:space="0" w:color="AFB9BB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A8C8E" w:themeColor="accent4"/>
          <w:left w:val="single" w:sz="4" w:space="0" w:color="7A8C8E" w:themeColor="accent4"/>
          <w:bottom w:val="single" w:sz="4" w:space="0" w:color="7A8C8E" w:themeColor="accent4"/>
          <w:right w:val="single" w:sz="4" w:space="0" w:color="7A8C8E" w:themeColor="accent4"/>
          <w:insideH w:val="nil"/>
        </w:tcBorders>
        <w:shd w:val="clear" w:color="auto" w:fill="7A8C8E" w:themeFill="accent4"/>
      </w:tcPr>
    </w:tblStylePr>
    <w:tblStylePr w:type="lastRow">
      <w:rPr>
        <w:b/>
        <w:bCs/>
      </w:rPr>
      <w:tblPr/>
      <w:tcPr>
        <w:tcBorders>
          <w:top w:val="double" w:sz="4" w:space="0" w:color="AFB9B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customStyle="1" w:styleId="-4510">
    <w:name w:val="Список-таблица 4 — акцент 51"/>
    <w:basedOn w:val="a4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4ACB6" w:themeColor="accent5"/>
          <w:left w:val="single" w:sz="4" w:space="0" w:color="84ACB6" w:themeColor="accent5"/>
          <w:bottom w:val="single" w:sz="4" w:space="0" w:color="84ACB6" w:themeColor="accent5"/>
          <w:right w:val="single" w:sz="4" w:space="0" w:color="84ACB6" w:themeColor="accent5"/>
          <w:insideH w:val="nil"/>
        </w:tcBorders>
        <w:shd w:val="clear" w:color="auto" w:fill="84ACB6" w:themeFill="accent5"/>
      </w:tcPr>
    </w:tblStylePr>
    <w:tblStylePr w:type="lastRow">
      <w:rPr>
        <w:b/>
        <w:bCs/>
      </w:rPr>
      <w:tblPr/>
      <w:tcPr>
        <w:tcBorders>
          <w:top w:val="double" w:sz="4" w:space="0" w:color="B5CDD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customStyle="1" w:styleId="-4610">
    <w:name w:val="Список-таблица 4 — акцент 61"/>
    <w:basedOn w:val="a4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4B5E4" w:themeColor="accent6" w:themeTint="99"/>
        <w:left w:val="single" w:sz="4" w:space="0" w:color="74B5E4" w:themeColor="accent6" w:themeTint="99"/>
        <w:bottom w:val="single" w:sz="4" w:space="0" w:color="74B5E4" w:themeColor="accent6" w:themeTint="99"/>
        <w:right w:val="single" w:sz="4" w:space="0" w:color="74B5E4" w:themeColor="accent6" w:themeTint="99"/>
        <w:insideH w:val="single" w:sz="4" w:space="0" w:color="74B5E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683C6" w:themeColor="accent6"/>
          <w:left w:val="single" w:sz="4" w:space="0" w:color="2683C6" w:themeColor="accent6"/>
          <w:bottom w:val="single" w:sz="4" w:space="0" w:color="2683C6" w:themeColor="accent6"/>
          <w:right w:val="single" w:sz="4" w:space="0" w:color="2683C6" w:themeColor="accent6"/>
          <w:insideH w:val="nil"/>
        </w:tcBorders>
        <w:shd w:val="clear" w:color="auto" w:fill="2683C6" w:themeFill="accent6"/>
      </w:tcPr>
    </w:tblStylePr>
    <w:tblStylePr w:type="lastRow">
      <w:rPr>
        <w:b/>
        <w:bCs/>
      </w:rPr>
      <w:tblPr/>
      <w:tcPr>
        <w:tcBorders>
          <w:top w:val="double" w:sz="4" w:space="0" w:color="74B5E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customStyle="1" w:styleId="-512">
    <w:name w:val="Список-таблица 5 темная1"/>
    <w:basedOn w:val="a4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5110">
    <w:name w:val="Список-таблица 5 темная — акцент 11"/>
    <w:basedOn w:val="a4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3494BA" w:themeColor="accent1"/>
        <w:left w:val="single" w:sz="24" w:space="0" w:color="3494BA" w:themeColor="accent1"/>
        <w:bottom w:val="single" w:sz="24" w:space="0" w:color="3494BA" w:themeColor="accent1"/>
        <w:right w:val="single" w:sz="24" w:space="0" w:color="3494BA" w:themeColor="accent1"/>
      </w:tblBorders>
    </w:tblPr>
    <w:tcPr>
      <w:shd w:val="clear" w:color="auto" w:fill="3494BA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5210">
    <w:name w:val="Список-таблица 5 темная — акцент 21"/>
    <w:basedOn w:val="a4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8B6C0" w:themeColor="accent2"/>
        <w:left w:val="single" w:sz="24" w:space="0" w:color="58B6C0" w:themeColor="accent2"/>
        <w:bottom w:val="single" w:sz="24" w:space="0" w:color="58B6C0" w:themeColor="accent2"/>
        <w:right w:val="single" w:sz="24" w:space="0" w:color="58B6C0" w:themeColor="accent2"/>
      </w:tblBorders>
    </w:tblPr>
    <w:tcPr>
      <w:shd w:val="clear" w:color="auto" w:fill="58B6C0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5310">
    <w:name w:val="Список-таблица 5 темная — акцент 31"/>
    <w:basedOn w:val="a4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5BDA7" w:themeColor="accent3"/>
        <w:left w:val="single" w:sz="24" w:space="0" w:color="75BDA7" w:themeColor="accent3"/>
        <w:bottom w:val="single" w:sz="24" w:space="0" w:color="75BDA7" w:themeColor="accent3"/>
        <w:right w:val="single" w:sz="24" w:space="0" w:color="75BDA7" w:themeColor="accent3"/>
      </w:tblBorders>
    </w:tblPr>
    <w:tcPr>
      <w:shd w:val="clear" w:color="auto" w:fill="75BDA7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5410">
    <w:name w:val="Список-таблица 5 темная — акцент 41"/>
    <w:basedOn w:val="a4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A8C8E" w:themeColor="accent4"/>
        <w:left w:val="single" w:sz="24" w:space="0" w:color="7A8C8E" w:themeColor="accent4"/>
        <w:bottom w:val="single" w:sz="24" w:space="0" w:color="7A8C8E" w:themeColor="accent4"/>
        <w:right w:val="single" w:sz="24" w:space="0" w:color="7A8C8E" w:themeColor="accent4"/>
      </w:tblBorders>
    </w:tblPr>
    <w:tcPr>
      <w:shd w:val="clear" w:color="auto" w:fill="7A8C8E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5510">
    <w:name w:val="Список-таблица 5 темная — акцент 51"/>
    <w:basedOn w:val="a4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4ACB6" w:themeColor="accent5"/>
        <w:left w:val="single" w:sz="24" w:space="0" w:color="84ACB6" w:themeColor="accent5"/>
        <w:bottom w:val="single" w:sz="24" w:space="0" w:color="84ACB6" w:themeColor="accent5"/>
        <w:right w:val="single" w:sz="24" w:space="0" w:color="84ACB6" w:themeColor="accent5"/>
      </w:tblBorders>
    </w:tblPr>
    <w:tcPr>
      <w:shd w:val="clear" w:color="auto" w:fill="84ACB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5610">
    <w:name w:val="Список-таблица 5 темная — акцент 61"/>
    <w:basedOn w:val="a4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2683C6" w:themeColor="accent6"/>
        <w:left w:val="single" w:sz="24" w:space="0" w:color="2683C6" w:themeColor="accent6"/>
        <w:bottom w:val="single" w:sz="24" w:space="0" w:color="2683C6" w:themeColor="accent6"/>
        <w:right w:val="single" w:sz="24" w:space="0" w:color="2683C6" w:themeColor="accent6"/>
      </w:tblBorders>
    </w:tblPr>
    <w:tcPr>
      <w:shd w:val="clear" w:color="auto" w:fill="2683C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612">
    <w:name w:val="Список-таблица 6 цветная1"/>
    <w:basedOn w:val="a4"/>
    <w:uiPriority w:val="51"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6110">
    <w:name w:val="Список-таблица 6 цветная — акцент 11"/>
    <w:basedOn w:val="a4"/>
    <w:uiPriority w:val="51"/>
    <w:rsid w:val="004230D9"/>
    <w:pPr>
      <w:spacing w:after="0" w:line="240" w:lineRule="auto"/>
    </w:pPr>
    <w:rPr>
      <w:color w:val="276E8B" w:themeColor="accent1" w:themeShade="BF"/>
    </w:rPr>
    <w:tblPr>
      <w:tblStyleRowBandSize w:val="1"/>
      <w:tblStyleColBandSize w:val="1"/>
      <w:tblBorders>
        <w:top w:val="single" w:sz="4" w:space="0" w:color="3494BA" w:themeColor="accent1"/>
        <w:bottom w:val="single" w:sz="4" w:space="0" w:color="3494BA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3494BA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3494B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customStyle="1" w:styleId="-6210">
    <w:name w:val="Список-таблица 6 цветная — акцент 21"/>
    <w:basedOn w:val="a4"/>
    <w:uiPriority w:val="51"/>
    <w:rsid w:val="004230D9"/>
    <w:pPr>
      <w:spacing w:after="0" w:line="240" w:lineRule="auto"/>
    </w:pPr>
    <w:rPr>
      <w:color w:val="398E98" w:themeColor="accent2" w:themeShade="BF"/>
    </w:rPr>
    <w:tblPr>
      <w:tblStyleRowBandSize w:val="1"/>
      <w:tblStyleColBandSize w:val="1"/>
      <w:tblBorders>
        <w:top w:val="single" w:sz="4" w:space="0" w:color="58B6C0" w:themeColor="accent2"/>
        <w:bottom w:val="single" w:sz="4" w:space="0" w:color="58B6C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58B6C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58B6C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customStyle="1" w:styleId="-6310">
    <w:name w:val="Список-таблица 6 цветная — акцент 31"/>
    <w:basedOn w:val="a4"/>
    <w:uiPriority w:val="51"/>
    <w:rsid w:val="004230D9"/>
    <w:pPr>
      <w:spacing w:after="0" w:line="240" w:lineRule="auto"/>
    </w:pPr>
    <w:rPr>
      <w:color w:val="4A9A82" w:themeColor="accent3" w:themeShade="BF"/>
    </w:rPr>
    <w:tblPr>
      <w:tblStyleRowBandSize w:val="1"/>
      <w:tblStyleColBandSize w:val="1"/>
      <w:tblBorders>
        <w:top w:val="single" w:sz="4" w:space="0" w:color="75BDA7" w:themeColor="accent3"/>
        <w:bottom w:val="single" w:sz="4" w:space="0" w:color="75BDA7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75BDA7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75BDA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customStyle="1" w:styleId="-6410">
    <w:name w:val="Список-таблица 6 цветная — акцент 41"/>
    <w:basedOn w:val="a4"/>
    <w:uiPriority w:val="51"/>
    <w:rsid w:val="004230D9"/>
    <w:pPr>
      <w:spacing w:after="0" w:line="240" w:lineRule="auto"/>
    </w:pPr>
    <w:rPr>
      <w:color w:val="5A696A" w:themeColor="accent4" w:themeShade="BF"/>
    </w:rPr>
    <w:tblPr>
      <w:tblStyleRowBandSize w:val="1"/>
      <w:tblStyleColBandSize w:val="1"/>
      <w:tblBorders>
        <w:top w:val="single" w:sz="4" w:space="0" w:color="7A8C8E" w:themeColor="accent4"/>
        <w:bottom w:val="single" w:sz="4" w:space="0" w:color="7A8C8E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7A8C8E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7A8C8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customStyle="1" w:styleId="-6510">
    <w:name w:val="Список-таблица 6 цветная — акцент 51"/>
    <w:basedOn w:val="a4"/>
    <w:uiPriority w:val="51"/>
    <w:rsid w:val="004230D9"/>
    <w:pPr>
      <w:spacing w:after="0" w:line="240" w:lineRule="auto"/>
    </w:pPr>
    <w:rPr>
      <w:color w:val="578793" w:themeColor="accent5" w:themeShade="BF"/>
    </w:rPr>
    <w:tblPr>
      <w:tblStyleRowBandSize w:val="1"/>
      <w:tblStyleColBandSize w:val="1"/>
      <w:tblBorders>
        <w:top w:val="single" w:sz="4" w:space="0" w:color="84ACB6" w:themeColor="accent5"/>
        <w:bottom w:val="single" w:sz="4" w:space="0" w:color="84ACB6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84ACB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84ACB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customStyle="1" w:styleId="-6610">
    <w:name w:val="Список-таблица 6 цветная — акцент 61"/>
    <w:basedOn w:val="a4"/>
    <w:uiPriority w:val="51"/>
    <w:rsid w:val="004230D9"/>
    <w:pPr>
      <w:spacing w:after="0" w:line="240" w:lineRule="auto"/>
    </w:pPr>
    <w:rPr>
      <w:color w:val="1C6194" w:themeColor="accent6" w:themeShade="BF"/>
    </w:rPr>
    <w:tblPr>
      <w:tblStyleRowBandSize w:val="1"/>
      <w:tblStyleColBandSize w:val="1"/>
      <w:tblBorders>
        <w:top w:val="single" w:sz="4" w:space="0" w:color="2683C6" w:themeColor="accent6"/>
        <w:bottom w:val="single" w:sz="4" w:space="0" w:color="2683C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2683C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2683C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customStyle="1" w:styleId="-710">
    <w:name w:val="Список-таблица 7 цветная1"/>
    <w:basedOn w:val="a4"/>
    <w:uiPriority w:val="52"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110">
    <w:name w:val="Список-таблица 7 цветная — акцент 11"/>
    <w:basedOn w:val="a4"/>
    <w:uiPriority w:val="52"/>
    <w:rsid w:val="004230D9"/>
    <w:pPr>
      <w:spacing w:after="0" w:line="240" w:lineRule="auto"/>
    </w:pPr>
    <w:rPr>
      <w:color w:val="276E8B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494BA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494BA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494BA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494BA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210">
    <w:name w:val="Список-таблица 7 цветная — акцент 21"/>
    <w:basedOn w:val="a4"/>
    <w:uiPriority w:val="52"/>
    <w:rsid w:val="004230D9"/>
    <w:pPr>
      <w:spacing w:after="0" w:line="240" w:lineRule="auto"/>
    </w:pPr>
    <w:rPr>
      <w:color w:val="398E98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8B6C0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8B6C0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8B6C0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8B6C0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310">
    <w:name w:val="Список-таблица 7 цветная — акцент 31"/>
    <w:basedOn w:val="a4"/>
    <w:uiPriority w:val="52"/>
    <w:rsid w:val="004230D9"/>
    <w:pPr>
      <w:spacing w:after="0" w:line="240" w:lineRule="auto"/>
    </w:pPr>
    <w:rPr>
      <w:color w:val="4A9A8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5BDA7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5BDA7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5BDA7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5BDA7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410">
    <w:name w:val="Список-таблица 7 цветная — акцент 41"/>
    <w:basedOn w:val="a4"/>
    <w:uiPriority w:val="52"/>
    <w:rsid w:val="004230D9"/>
    <w:pPr>
      <w:spacing w:after="0" w:line="240" w:lineRule="auto"/>
    </w:pPr>
    <w:rPr>
      <w:color w:val="5A696A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A8C8E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A8C8E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A8C8E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A8C8E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510">
    <w:name w:val="Список-таблица 7 цветная — акцент 51"/>
    <w:basedOn w:val="a4"/>
    <w:uiPriority w:val="52"/>
    <w:rsid w:val="004230D9"/>
    <w:pPr>
      <w:spacing w:after="0" w:line="240" w:lineRule="auto"/>
    </w:pPr>
    <w:rPr>
      <w:color w:val="578793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4ACB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4ACB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4ACB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4ACB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610">
    <w:name w:val="Список-таблица 7 цветная — акцент 61"/>
    <w:basedOn w:val="a4"/>
    <w:uiPriority w:val="52"/>
    <w:rsid w:val="004230D9"/>
    <w:pPr>
      <w:spacing w:after="0" w:line="240" w:lineRule="auto"/>
    </w:pPr>
    <w:rPr>
      <w:color w:val="1C6194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2683C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2683C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2683C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2683C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13">
    <w:name w:val="Medium Grid 1"/>
    <w:basedOn w:val="a4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">
    <w:name w:val="Medium Grid 1 Accent 1"/>
    <w:basedOn w:val="a4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5FB1D2" w:themeColor="accent1" w:themeTint="BF"/>
        <w:left w:val="single" w:sz="8" w:space="0" w:color="5FB1D2" w:themeColor="accent1" w:themeTint="BF"/>
        <w:bottom w:val="single" w:sz="8" w:space="0" w:color="5FB1D2" w:themeColor="accent1" w:themeTint="BF"/>
        <w:right w:val="single" w:sz="8" w:space="0" w:color="5FB1D2" w:themeColor="accent1" w:themeTint="BF"/>
        <w:insideH w:val="single" w:sz="8" w:space="0" w:color="5FB1D2" w:themeColor="accent1" w:themeTint="BF"/>
        <w:insideV w:val="single" w:sz="8" w:space="0" w:color="5FB1D2" w:themeColor="accent1" w:themeTint="BF"/>
      </w:tblBorders>
    </w:tblPr>
    <w:tcPr>
      <w:shd w:val="clear" w:color="auto" w:fill="CAE5F0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5FB1D2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4CBE1" w:themeFill="accent1" w:themeFillTint="7F"/>
      </w:tcPr>
    </w:tblStylePr>
    <w:tblStylePr w:type="band1Horz">
      <w:tblPr/>
      <w:tcPr>
        <w:shd w:val="clear" w:color="auto" w:fill="94CBE1" w:themeFill="accent1" w:themeFillTint="7F"/>
      </w:tcPr>
    </w:tblStylePr>
  </w:style>
  <w:style w:type="table" w:styleId="1-2">
    <w:name w:val="Medium Grid 1 Accent 2"/>
    <w:basedOn w:val="a4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81C8CF" w:themeColor="accent2" w:themeTint="BF"/>
        <w:left w:val="single" w:sz="8" w:space="0" w:color="81C8CF" w:themeColor="accent2" w:themeTint="BF"/>
        <w:bottom w:val="single" w:sz="8" w:space="0" w:color="81C8CF" w:themeColor="accent2" w:themeTint="BF"/>
        <w:right w:val="single" w:sz="8" w:space="0" w:color="81C8CF" w:themeColor="accent2" w:themeTint="BF"/>
        <w:insideH w:val="single" w:sz="8" w:space="0" w:color="81C8CF" w:themeColor="accent2" w:themeTint="BF"/>
        <w:insideV w:val="single" w:sz="8" w:space="0" w:color="81C8CF" w:themeColor="accent2" w:themeTint="BF"/>
      </w:tblBorders>
    </w:tblPr>
    <w:tcPr>
      <w:shd w:val="clear" w:color="auto" w:fill="D5ECEF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1C8CF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BDADF" w:themeFill="accent2" w:themeFillTint="7F"/>
      </w:tcPr>
    </w:tblStylePr>
    <w:tblStylePr w:type="band1Horz">
      <w:tblPr/>
      <w:tcPr>
        <w:shd w:val="clear" w:color="auto" w:fill="ABDADF" w:themeFill="accent2" w:themeFillTint="7F"/>
      </w:tcPr>
    </w:tblStylePr>
  </w:style>
  <w:style w:type="table" w:styleId="1-3">
    <w:name w:val="Medium Grid 1 Accent 3"/>
    <w:basedOn w:val="a4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97CDBC" w:themeColor="accent3" w:themeTint="BF"/>
        <w:left w:val="single" w:sz="8" w:space="0" w:color="97CDBC" w:themeColor="accent3" w:themeTint="BF"/>
        <w:bottom w:val="single" w:sz="8" w:space="0" w:color="97CDBC" w:themeColor="accent3" w:themeTint="BF"/>
        <w:right w:val="single" w:sz="8" w:space="0" w:color="97CDBC" w:themeColor="accent3" w:themeTint="BF"/>
        <w:insideH w:val="single" w:sz="8" w:space="0" w:color="97CDBC" w:themeColor="accent3" w:themeTint="BF"/>
        <w:insideV w:val="single" w:sz="8" w:space="0" w:color="97CDBC" w:themeColor="accent3" w:themeTint="BF"/>
      </w:tblBorders>
    </w:tblPr>
    <w:tcPr>
      <w:shd w:val="clear" w:color="auto" w:fill="DCEEE9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7CDBC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ADED3" w:themeFill="accent3" w:themeFillTint="7F"/>
      </w:tcPr>
    </w:tblStylePr>
    <w:tblStylePr w:type="band1Horz">
      <w:tblPr/>
      <w:tcPr>
        <w:shd w:val="clear" w:color="auto" w:fill="BADED3" w:themeFill="accent3" w:themeFillTint="7F"/>
      </w:tcPr>
    </w:tblStylePr>
  </w:style>
  <w:style w:type="table" w:styleId="1-4">
    <w:name w:val="Medium Grid 1 Accent 4"/>
    <w:basedOn w:val="a4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9BA8AA" w:themeColor="accent4" w:themeTint="BF"/>
        <w:left w:val="single" w:sz="8" w:space="0" w:color="9BA8AA" w:themeColor="accent4" w:themeTint="BF"/>
        <w:bottom w:val="single" w:sz="8" w:space="0" w:color="9BA8AA" w:themeColor="accent4" w:themeTint="BF"/>
        <w:right w:val="single" w:sz="8" w:space="0" w:color="9BA8AA" w:themeColor="accent4" w:themeTint="BF"/>
        <w:insideH w:val="single" w:sz="8" w:space="0" w:color="9BA8AA" w:themeColor="accent4" w:themeTint="BF"/>
        <w:insideV w:val="single" w:sz="8" w:space="0" w:color="9BA8AA" w:themeColor="accent4" w:themeTint="BF"/>
      </w:tblBorders>
    </w:tblPr>
    <w:tcPr>
      <w:shd w:val="clear" w:color="auto" w:fill="DEE2E3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BA8AA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CC5C6" w:themeFill="accent4" w:themeFillTint="7F"/>
      </w:tcPr>
    </w:tblStylePr>
    <w:tblStylePr w:type="band1Horz">
      <w:tblPr/>
      <w:tcPr>
        <w:shd w:val="clear" w:color="auto" w:fill="BCC5C6" w:themeFill="accent4" w:themeFillTint="7F"/>
      </w:tcPr>
    </w:tblStylePr>
  </w:style>
  <w:style w:type="table" w:styleId="1-5">
    <w:name w:val="Medium Grid 1 Accent 5"/>
    <w:basedOn w:val="a4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A2C0C8" w:themeColor="accent5" w:themeTint="BF"/>
        <w:left w:val="single" w:sz="8" w:space="0" w:color="A2C0C8" w:themeColor="accent5" w:themeTint="BF"/>
        <w:bottom w:val="single" w:sz="8" w:space="0" w:color="A2C0C8" w:themeColor="accent5" w:themeTint="BF"/>
        <w:right w:val="single" w:sz="8" w:space="0" w:color="A2C0C8" w:themeColor="accent5" w:themeTint="BF"/>
        <w:insideH w:val="single" w:sz="8" w:space="0" w:color="A2C0C8" w:themeColor="accent5" w:themeTint="BF"/>
        <w:insideV w:val="single" w:sz="8" w:space="0" w:color="A2C0C8" w:themeColor="accent5" w:themeTint="BF"/>
      </w:tblBorders>
    </w:tblPr>
    <w:tcPr>
      <w:shd w:val="clear" w:color="auto" w:fill="E0EAED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2C0C8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5DA" w:themeFill="accent5" w:themeFillTint="7F"/>
      </w:tcPr>
    </w:tblStylePr>
    <w:tblStylePr w:type="band1Horz">
      <w:tblPr/>
      <w:tcPr>
        <w:shd w:val="clear" w:color="auto" w:fill="C1D5DA" w:themeFill="accent5" w:themeFillTint="7F"/>
      </w:tcPr>
    </w:tblStylePr>
  </w:style>
  <w:style w:type="table" w:styleId="1-6">
    <w:name w:val="Medium Grid 1 Accent 6"/>
    <w:basedOn w:val="a4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52A3DE" w:themeColor="accent6" w:themeTint="BF"/>
        <w:left w:val="single" w:sz="8" w:space="0" w:color="52A3DE" w:themeColor="accent6" w:themeTint="BF"/>
        <w:bottom w:val="single" w:sz="8" w:space="0" w:color="52A3DE" w:themeColor="accent6" w:themeTint="BF"/>
        <w:right w:val="single" w:sz="8" w:space="0" w:color="52A3DE" w:themeColor="accent6" w:themeTint="BF"/>
        <w:insideH w:val="single" w:sz="8" w:space="0" w:color="52A3DE" w:themeColor="accent6" w:themeTint="BF"/>
        <w:insideV w:val="single" w:sz="8" w:space="0" w:color="52A3DE" w:themeColor="accent6" w:themeTint="BF"/>
      </w:tblBorders>
    </w:tblPr>
    <w:tcPr>
      <w:shd w:val="clear" w:color="auto" w:fill="C5E0F4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52A3DE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CC2E9" w:themeFill="accent6" w:themeFillTint="7F"/>
      </w:tcPr>
    </w:tblStylePr>
    <w:tblStylePr w:type="band1Horz">
      <w:tblPr/>
      <w:tcPr>
        <w:shd w:val="clear" w:color="auto" w:fill="8CC2E9" w:themeFill="accent6" w:themeFillTint="7F"/>
      </w:tcPr>
    </w:tblStylePr>
  </w:style>
  <w:style w:type="table" w:styleId="2f">
    <w:name w:val="Medium Grid 2"/>
    <w:basedOn w:val="a4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">
    <w:name w:val="Medium Grid 2 Accent 1"/>
    <w:basedOn w:val="a4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3494BA" w:themeColor="accent1"/>
        <w:left w:val="single" w:sz="8" w:space="0" w:color="3494BA" w:themeColor="accent1"/>
        <w:bottom w:val="single" w:sz="8" w:space="0" w:color="3494BA" w:themeColor="accent1"/>
        <w:right w:val="single" w:sz="8" w:space="0" w:color="3494BA" w:themeColor="accent1"/>
        <w:insideH w:val="single" w:sz="8" w:space="0" w:color="3494BA" w:themeColor="accent1"/>
        <w:insideV w:val="single" w:sz="8" w:space="0" w:color="3494BA" w:themeColor="accent1"/>
      </w:tblBorders>
    </w:tblPr>
    <w:tcPr>
      <w:shd w:val="clear" w:color="auto" w:fill="CAE5F0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AF4F9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4EAF3" w:themeFill="accent1" w:themeFillTint="33"/>
      </w:tcPr>
    </w:tblStylePr>
    <w:tblStylePr w:type="band1Vert">
      <w:tblPr/>
      <w:tcPr>
        <w:shd w:val="clear" w:color="auto" w:fill="94CBE1" w:themeFill="accent1" w:themeFillTint="7F"/>
      </w:tcPr>
    </w:tblStylePr>
    <w:tblStylePr w:type="band1Horz">
      <w:tblPr/>
      <w:tcPr>
        <w:tcBorders>
          <w:insideH w:val="single" w:sz="6" w:space="0" w:color="3494BA" w:themeColor="accent1"/>
          <w:insideV w:val="single" w:sz="6" w:space="0" w:color="3494BA" w:themeColor="accent1"/>
        </w:tcBorders>
        <w:shd w:val="clear" w:color="auto" w:fill="94CBE1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">
    <w:name w:val="Medium Grid 2 Accent 2"/>
    <w:basedOn w:val="a4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58B6C0" w:themeColor="accent2"/>
        <w:left w:val="single" w:sz="8" w:space="0" w:color="58B6C0" w:themeColor="accent2"/>
        <w:bottom w:val="single" w:sz="8" w:space="0" w:color="58B6C0" w:themeColor="accent2"/>
        <w:right w:val="single" w:sz="8" w:space="0" w:color="58B6C0" w:themeColor="accent2"/>
        <w:insideH w:val="single" w:sz="8" w:space="0" w:color="58B6C0" w:themeColor="accent2"/>
        <w:insideV w:val="single" w:sz="8" w:space="0" w:color="58B6C0" w:themeColor="accent2"/>
      </w:tblBorders>
    </w:tblPr>
    <w:tcPr>
      <w:shd w:val="clear" w:color="auto" w:fill="D5ECEF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EEF7F8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F0F2" w:themeFill="accent2" w:themeFillTint="33"/>
      </w:tcPr>
    </w:tblStylePr>
    <w:tblStylePr w:type="band1Vert">
      <w:tblPr/>
      <w:tcPr>
        <w:shd w:val="clear" w:color="auto" w:fill="ABDADF" w:themeFill="accent2" w:themeFillTint="7F"/>
      </w:tcPr>
    </w:tblStylePr>
    <w:tblStylePr w:type="band1Horz">
      <w:tblPr/>
      <w:tcPr>
        <w:tcBorders>
          <w:insideH w:val="single" w:sz="6" w:space="0" w:color="58B6C0" w:themeColor="accent2"/>
          <w:insideV w:val="single" w:sz="6" w:space="0" w:color="58B6C0" w:themeColor="accent2"/>
        </w:tcBorders>
        <w:shd w:val="clear" w:color="auto" w:fill="ABDADF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">
    <w:name w:val="Medium Grid 2 Accent 3"/>
    <w:basedOn w:val="a4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75BDA7" w:themeColor="accent3"/>
        <w:left w:val="single" w:sz="8" w:space="0" w:color="75BDA7" w:themeColor="accent3"/>
        <w:bottom w:val="single" w:sz="8" w:space="0" w:color="75BDA7" w:themeColor="accent3"/>
        <w:right w:val="single" w:sz="8" w:space="0" w:color="75BDA7" w:themeColor="accent3"/>
        <w:insideH w:val="single" w:sz="8" w:space="0" w:color="75BDA7" w:themeColor="accent3"/>
        <w:insideV w:val="single" w:sz="8" w:space="0" w:color="75BDA7" w:themeColor="accent3"/>
      </w:tblBorders>
    </w:tblPr>
    <w:tcPr>
      <w:shd w:val="clear" w:color="auto" w:fill="DCEEE9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1F8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F1ED" w:themeFill="accent3" w:themeFillTint="33"/>
      </w:tcPr>
    </w:tblStylePr>
    <w:tblStylePr w:type="band1Vert">
      <w:tblPr/>
      <w:tcPr>
        <w:shd w:val="clear" w:color="auto" w:fill="BADED3" w:themeFill="accent3" w:themeFillTint="7F"/>
      </w:tcPr>
    </w:tblStylePr>
    <w:tblStylePr w:type="band1Horz">
      <w:tblPr/>
      <w:tcPr>
        <w:tcBorders>
          <w:insideH w:val="single" w:sz="6" w:space="0" w:color="75BDA7" w:themeColor="accent3"/>
          <w:insideV w:val="single" w:sz="6" w:space="0" w:color="75BDA7" w:themeColor="accent3"/>
        </w:tcBorders>
        <w:shd w:val="clear" w:color="auto" w:fill="BADED3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">
    <w:name w:val="Medium Grid 2 Accent 4"/>
    <w:basedOn w:val="a4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7A8C8E" w:themeColor="accent4"/>
        <w:left w:val="single" w:sz="8" w:space="0" w:color="7A8C8E" w:themeColor="accent4"/>
        <w:bottom w:val="single" w:sz="8" w:space="0" w:color="7A8C8E" w:themeColor="accent4"/>
        <w:right w:val="single" w:sz="8" w:space="0" w:color="7A8C8E" w:themeColor="accent4"/>
        <w:insideH w:val="single" w:sz="8" w:space="0" w:color="7A8C8E" w:themeColor="accent4"/>
        <w:insideV w:val="single" w:sz="8" w:space="0" w:color="7A8C8E" w:themeColor="accent4"/>
      </w:tblBorders>
    </w:tblPr>
    <w:tcPr>
      <w:shd w:val="clear" w:color="auto" w:fill="DEE2E3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1F3F3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E7E8" w:themeFill="accent4" w:themeFillTint="33"/>
      </w:tcPr>
    </w:tblStylePr>
    <w:tblStylePr w:type="band1Vert">
      <w:tblPr/>
      <w:tcPr>
        <w:shd w:val="clear" w:color="auto" w:fill="BCC5C6" w:themeFill="accent4" w:themeFillTint="7F"/>
      </w:tcPr>
    </w:tblStylePr>
    <w:tblStylePr w:type="band1Horz">
      <w:tblPr/>
      <w:tcPr>
        <w:tcBorders>
          <w:insideH w:val="single" w:sz="6" w:space="0" w:color="7A8C8E" w:themeColor="accent4"/>
          <w:insideV w:val="single" w:sz="6" w:space="0" w:color="7A8C8E" w:themeColor="accent4"/>
        </w:tcBorders>
        <w:shd w:val="clear" w:color="auto" w:fill="BCC5C6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">
    <w:name w:val="Medium Grid 2 Accent 5"/>
    <w:basedOn w:val="a4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84ACB6" w:themeColor="accent5"/>
        <w:left w:val="single" w:sz="8" w:space="0" w:color="84ACB6" w:themeColor="accent5"/>
        <w:bottom w:val="single" w:sz="8" w:space="0" w:color="84ACB6" w:themeColor="accent5"/>
        <w:right w:val="single" w:sz="8" w:space="0" w:color="84ACB6" w:themeColor="accent5"/>
        <w:insideH w:val="single" w:sz="8" w:space="0" w:color="84ACB6" w:themeColor="accent5"/>
        <w:insideV w:val="single" w:sz="8" w:space="0" w:color="84ACB6" w:themeColor="accent5"/>
      </w:tblBorders>
    </w:tblPr>
    <w:tcPr>
      <w:shd w:val="clear" w:color="auto" w:fill="E0EAED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2F6F7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F0" w:themeFill="accent5" w:themeFillTint="33"/>
      </w:tcPr>
    </w:tblStylePr>
    <w:tblStylePr w:type="band1Vert">
      <w:tblPr/>
      <w:tcPr>
        <w:shd w:val="clear" w:color="auto" w:fill="C1D5DA" w:themeFill="accent5" w:themeFillTint="7F"/>
      </w:tcPr>
    </w:tblStylePr>
    <w:tblStylePr w:type="band1Horz">
      <w:tblPr/>
      <w:tcPr>
        <w:tcBorders>
          <w:insideH w:val="single" w:sz="6" w:space="0" w:color="84ACB6" w:themeColor="accent5"/>
          <w:insideV w:val="single" w:sz="6" w:space="0" w:color="84ACB6" w:themeColor="accent5"/>
        </w:tcBorders>
        <w:shd w:val="clear" w:color="auto" w:fill="C1D5DA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">
    <w:name w:val="Medium Grid 2 Accent 6"/>
    <w:basedOn w:val="a4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2683C6" w:themeColor="accent6"/>
        <w:left w:val="single" w:sz="8" w:space="0" w:color="2683C6" w:themeColor="accent6"/>
        <w:bottom w:val="single" w:sz="8" w:space="0" w:color="2683C6" w:themeColor="accent6"/>
        <w:right w:val="single" w:sz="8" w:space="0" w:color="2683C6" w:themeColor="accent6"/>
        <w:insideH w:val="single" w:sz="8" w:space="0" w:color="2683C6" w:themeColor="accent6"/>
        <w:insideV w:val="single" w:sz="8" w:space="0" w:color="2683C6" w:themeColor="accent6"/>
      </w:tblBorders>
    </w:tblPr>
    <w:tcPr>
      <w:shd w:val="clear" w:color="auto" w:fill="C5E0F4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8F2FA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E6F6" w:themeFill="accent6" w:themeFillTint="33"/>
      </w:tcPr>
    </w:tblStylePr>
    <w:tblStylePr w:type="band1Vert">
      <w:tblPr/>
      <w:tcPr>
        <w:shd w:val="clear" w:color="auto" w:fill="8CC2E9" w:themeFill="accent6" w:themeFillTint="7F"/>
      </w:tcPr>
    </w:tblStylePr>
    <w:tblStylePr w:type="band1Horz">
      <w:tblPr/>
      <w:tcPr>
        <w:tcBorders>
          <w:insideH w:val="single" w:sz="6" w:space="0" w:color="2683C6" w:themeColor="accent6"/>
          <w:insideV w:val="single" w:sz="6" w:space="0" w:color="2683C6" w:themeColor="accent6"/>
        </w:tcBorders>
        <w:shd w:val="clear" w:color="auto" w:fill="8CC2E9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9">
    <w:name w:val="Medium Grid 3"/>
    <w:basedOn w:val="a4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4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AE5F0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494BA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494BA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494BA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494BA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4CBE1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4CBE1" w:themeFill="accent1" w:themeFillTint="7F"/>
      </w:tcPr>
    </w:tblStylePr>
  </w:style>
  <w:style w:type="table" w:styleId="3-2">
    <w:name w:val="Medium Grid 3 Accent 2"/>
    <w:basedOn w:val="a4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ECEF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8B6C0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8B6C0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8B6C0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8B6C0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BDADF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BDADF" w:themeFill="accent2" w:themeFillTint="7F"/>
      </w:tcPr>
    </w:tblStylePr>
  </w:style>
  <w:style w:type="table" w:styleId="3-3">
    <w:name w:val="Medium Grid 3 Accent 3"/>
    <w:basedOn w:val="a4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CEEE9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5BDA7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5BDA7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5BDA7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5BDA7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ADED3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ADED3" w:themeFill="accent3" w:themeFillTint="7F"/>
      </w:tcPr>
    </w:tblStylePr>
  </w:style>
  <w:style w:type="table" w:styleId="3-4">
    <w:name w:val="Medium Grid 3 Accent 4"/>
    <w:basedOn w:val="a4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EE2E3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A8C8E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A8C8E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A8C8E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A8C8E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CC5C6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CC5C6" w:themeFill="accent4" w:themeFillTint="7F"/>
      </w:tcPr>
    </w:tblStylePr>
  </w:style>
  <w:style w:type="table" w:styleId="3-5">
    <w:name w:val="Medium Grid 3 Accent 5"/>
    <w:basedOn w:val="a4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0EAED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4ACB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4ACB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4ACB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4ACB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1D5DA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1D5DA" w:themeFill="accent5" w:themeFillTint="7F"/>
      </w:tcPr>
    </w:tblStylePr>
  </w:style>
  <w:style w:type="table" w:styleId="3-6">
    <w:name w:val="Medium Grid 3 Accent 6"/>
    <w:basedOn w:val="a4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5E0F4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683C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683C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2683C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2683C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CC2E9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CC2E9" w:themeFill="accent6" w:themeFillTint="7F"/>
      </w:tcPr>
    </w:tblStylePr>
  </w:style>
  <w:style w:type="table" w:styleId="14">
    <w:name w:val="Medium List 1"/>
    <w:basedOn w:val="a4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4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3494BA" w:themeColor="accent1"/>
        <w:bottom w:val="single" w:sz="8" w:space="0" w:color="3494BA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494BA" w:themeColor="accent1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3494BA" w:themeColor="accent1"/>
          <w:bottom w:val="single" w:sz="8" w:space="0" w:color="3494B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494BA" w:themeColor="accent1"/>
          <w:bottom w:val="single" w:sz="8" w:space="0" w:color="3494BA" w:themeColor="accent1"/>
        </w:tcBorders>
      </w:tcPr>
    </w:tblStylePr>
    <w:tblStylePr w:type="band1Vert">
      <w:tblPr/>
      <w:tcPr>
        <w:shd w:val="clear" w:color="auto" w:fill="CAE5F0" w:themeFill="accent1" w:themeFillTint="3F"/>
      </w:tcPr>
    </w:tblStylePr>
    <w:tblStylePr w:type="band1Horz">
      <w:tblPr/>
      <w:tcPr>
        <w:shd w:val="clear" w:color="auto" w:fill="CAE5F0" w:themeFill="accent1" w:themeFillTint="3F"/>
      </w:tcPr>
    </w:tblStylePr>
  </w:style>
  <w:style w:type="table" w:styleId="1-20">
    <w:name w:val="Medium List 1 Accent 2"/>
    <w:basedOn w:val="a4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58B6C0" w:themeColor="accent2"/>
        <w:bottom w:val="single" w:sz="8" w:space="0" w:color="58B6C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8B6C0" w:themeColor="accent2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58B6C0" w:themeColor="accent2"/>
          <w:bottom w:val="single" w:sz="8" w:space="0" w:color="58B6C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8B6C0" w:themeColor="accent2"/>
          <w:bottom w:val="single" w:sz="8" w:space="0" w:color="58B6C0" w:themeColor="accent2"/>
        </w:tcBorders>
      </w:tcPr>
    </w:tblStylePr>
    <w:tblStylePr w:type="band1Vert">
      <w:tblPr/>
      <w:tcPr>
        <w:shd w:val="clear" w:color="auto" w:fill="D5ECEF" w:themeFill="accent2" w:themeFillTint="3F"/>
      </w:tcPr>
    </w:tblStylePr>
    <w:tblStylePr w:type="band1Horz">
      <w:tblPr/>
      <w:tcPr>
        <w:shd w:val="clear" w:color="auto" w:fill="D5ECEF" w:themeFill="accent2" w:themeFillTint="3F"/>
      </w:tcPr>
    </w:tblStylePr>
  </w:style>
  <w:style w:type="table" w:styleId="1-30">
    <w:name w:val="Medium List 1 Accent 3"/>
    <w:basedOn w:val="a4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5BDA7" w:themeColor="accent3"/>
        <w:bottom w:val="single" w:sz="8" w:space="0" w:color="75BDA7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5BDA7" w:themeColor="accent3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75BDA7" w:themeColor="accent3"/>
          <w:bottom w:val="single" w:sz="8" w:space="0" w:color="75BDA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5BDA7" w:themeColor="accent3"/>
          <w:bottom w:val="single" w:sz="8" w:space="0" w:color="75BDA7" w:themeColor="accent3"/>
        </w:tcBorders>
      </w:tcPr>
    </w:tblStylePr>
    <w:tblStylePr w:type="band1Vert">
      <w:tblPr/>
      <w:tcPr>
        <w:shd w:val="clear" w:color="auto" w:fill="DCEEE9" w:themeFill="accent3" w:themeFillTint="3F"/>
      </w:tcPr>
    </w:tblStylePr>
    <w:tblStylePr w:type="band1Horz">
      <w:tblPr/>
      <w:tcPr>
        <w:shd w:val="clear" w:color="auto" w:fill="DCEEE9" w:themeFill="accent3" w:themeFillTint="3F"/>
      </w:tcPr>
    </w:tblStylePr>
  </w:style>
  <w:style w:type="table" w:styleId="1-40">
    <w:name w:val="Medium List 1 Accent 4"/>
    <w:basedOn w:val="a4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A8C8E" w:themeColor="accent4"/>
        <w:bottom w:val="single" w:sz="8" w:space="0" w:color="7A8C8E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A8C8E" w:themeColor="accent4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7A8C8E" w:themeColor="accent4"/>
          <w:bottom w:val="single" w:sz="8" w:space="0" w:color="7A8C8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A8C8E" w:themeColor="accent4"/>
          <w:bottom w:val="single" w:sz="8" w:space="0" w:color="7A8C8E" w:themeColor="accent4"/>
        </w:tcBorders>
      </w:tcPr>
    </w:tblStylePr>
    <w:tblStylePr w:type="band1Vert">
      <w:tblPr/>
      <w:tcPr>
        <w:shd w:val="clear" w:color="auto" w:fill="DEE2E3" w:themeFill="accent4" w:themeFillTint="3F"/>
      </w:tcPr>
    </w:tblStylePr>
    <w:tblStylePr w:type="band1Horz">
      <w:tblPr/>
      <w:tcPr>
        <w:shd w:val="clear" w:color="auto" w:fill="DEE2E3" w:themeFill="accent4" w:themeFillTint="3F"/>
      </w:tcPr>
    </w:tblStylePr>
  </w:style>
  <w:style w:type="table" w:styleId="1-50">
    <w:name w:val="Medium List 1 Accent 5"/>
    <w:basedOn w:val="a4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4ACB6" w:themeColor="accent5"/>
        <w:bottom w:val="single" w:sz="8" w:space="0" w:color="84ACB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4ACB6" w:themeColor="accent5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84ACB6" w:themeColor="accent5"/>
          <w:bottom w:val="single" w:sz="8" w:space="0" w:color="84ACB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4ACB6" w:themeColor="accent5"/>
          <w:bottom w:val="single" w:sz="8" w:space="0" w:color="84ACB6" w:themeColor="accent5"/>
        </w:tcBorders>
      </w:tcPr>
    </w:tblStylePr>
    <w:tblStylePr w:type="band1Vert">
      <w:tblPr/>
      <w:tcPr>
        <w:shd w:val="clear" w:color="auto" w:fill="E0EAED" w:themeFill="accent5" w:themeFillTint="3F"/>
      </w:tcPr>
    </w:tblStylePr>
    <w:tblStylePr w:type="band1Horz">
      <w:tblPr/>
      <w:tcPr>
        <w:shd w:val="clear" w:color="auto" w:fill="E0EAED" w:themeFill="accent5" w:themeFillTint="3F"/>
      </w:tcPr>
    </w:tblStylePr>
  </w:style>
  <w:style w:type="table" w:styleId="1-60">
    <w:name w:val="Medium List 1 Accent 6"/>
    <w:basedOn w:val="a4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2683C6" w:themeColor="accent6"/>
        <w:bottom w:val="single" w:sz="8" w:space="0" w:color="2683C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2683C6" w:themeColor="accent6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2683C6" w:themeColor="accent6"/>
          <w:bottom w:val="single" w:sz="8" w:space="0" w:color="2683C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2683C6" w:themeColor="accent6"/>
          <w:bottom w:val="single" w:sz="8" w:space="0" w:color="2683C6" w:themeColor="accent6"/>
        </w:tcBorders>
      </w:tcPr>
    </w:tblStylePr>
    <w:tblStylePr w:type="band1Vert">
      <w:tblPr/>
      <w:tcPr>
        <w:shd w:val="clear" w:color="auto" w:fill="C5E0F4" w:themeFill="accent6" w:themeFillTint="3F"/>
      </w:tcPr>
    </w:tblStylePr>
    <w:tblStylePr w:type="band1Horz">
      <w:tblPr/>
      <w:tcPr>
        <w:shd w:val="clear" w:color="auto" w:fill="C5E0F4" w:themeFill="accent6" w:themeFillTint="3F"/>
      </w:tcPr>
    </w:tblStylePr>
  </w:style>
  <w:style w:type="table" w:styleId="2f0">
    <w:name w:val="Medium List 2"/>
    <w:basedOn w:val="a4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4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3494BA" w:themeColor="accent1"/>
        <w:left w:val="single" w:sz="8" w:space="0" w:color="3494BA" w:themeColor="accent1"/>
        <w:bottom w:val="single" w:sz="8" w:space="0" w:color="3494BA" w:themeColor="accent1"/>
        <w:right w:val="single" w:sz="8" w:space="0" w:color="3494BA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494BA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494BA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494BA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AE5F0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AE5F0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4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58B6C0" w:themeColor="accent2"/>
        <w:left w:val="single" w:sz="8" w:space="0" w:color="58B6C0" w:themeColor="accent2"/>
        <w:bottom w:val="single" w:sz="8" w:space="0" w:color="58B6C0" w:themeColor="accent2"/>
        <w:right w:val="single" w:sz="8" w:space="0" w:color="58B6C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8B6C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8B6C0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8B6C0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ECEF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ECEF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4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75BDA7" w:themeColor="accent3"/>
        <w:left w:val="single" w:sz="8" w:space="0" w:color="75BDA7" w:themeColor="accent3"/>
        <w:bottom w:val="single" w:sz="8" w:space="0" w:color="75BDA7" w:themeColor="accent3"/>
        <w:right w:val="single" w:sz="8" w:space="0" w:color="75BDA7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5BDA7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5BDA7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5BDA7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CEEE9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CEEE9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4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7A8C8E" w:themeColor="accent4"/>
        <w:left w:val="single" w:sz="8" w:space="0" w:color="7A8C8E" w:themeColor="accent4"/>
        <w:bottom w:val="single" w:sz="8" w:space="0" w:color="7A8C8E" w:themeColor="accent4"/>
        <w:right w:val="single" w:sz="8" w:space="0" w:color="7A8C8E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A8C8E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A8C8E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A8C8E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EE2E3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EE2E3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4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84ACB6" w:themeColor="accent5"/>
        <w:left w:val="single" w:sz="8" w:space="0" w:color="84ACB6" w:themeColor="accent5"/>
        <w:bottom w:val="single" w:sz="8" w:space="0" w:color="84ACB6" w:themeColor="accent5"/>
        <w:right w:val="single" w:sz="8" w:space="0" w:color="84ACB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4ACB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4ACB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4ACB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0EAED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0EAED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4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2683C6" w:themeColor="accent6"/>
        <w:left w:val="single" w:sz="8" w:space="0" w:color="2683C6" w:themeColor="accent6"/>
        <w:bottom w:val="single" w:sz="8" w:space="0" w:color="2683C6" w:themeColor="accent6"/>
        <w:right w:val="single" w:sz="8" w:space="0" w:color="2683C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2683C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2683C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2683C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5E0F4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5E0F4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5">
    <w:name w:val="Medium Shading 1"/>
    <w:basedOn w:val="a4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1">
    <w:name w:val="Medium Shading 1 Accent 1"/>
    <w:basedOn w:val="a4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5FB1D2" w:themeColor="accent1" w:themeTint="BF"/>
        <w:left w:val="single" w:sz="8" w:space="0" w:color="5FB1D2" w:themeColor="accent1" w:themeTint="BF"/>
        <w:bottom w:val="single" w:sz="8" w:space="0" w:color="5FB1D2" w:themeColor="accent1" w:themeTint="BF"/>
        <w:right w:val="single" w:sz="8" w:space="0" w:color="5FB1D2" w:themeColor="accent1" w:themeTint="BF"/>
        <w:insideH w:val="single" w:sz="8" w:space="0" w:color="5FB1D2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5FB1D2" w:themeColor="accent1" w:themeTint="BF"/>
          <w:left w:val="single" w:sz="8" w:space="0" w:color="5FB1D2" w:themeColor="accent1" w:themeTint="BF"/>
          <w:bottom w:val="single" w:sz="8" w:space="0" w:color="5FB1D2" w:themeColor="accent1" w:themeTint="BF"/>
          <w:right w:val="single" w:sz="8" w:space="0" w:color="5FB1D2" w:themeColor="accent1" w:themeTint="BF"/>
          <w:insideH w:val="nil"/>
          <w:insideV w:val="nil"/>
        </w:tcBorders>
        <w:shd w:val="clear" w:color="auto" w:fill="3494BA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B1D2" w:themeColor="accent1" w:themeTint="BF"/>
          <w:left w:val="single" w:sz="8" w:space="0" w:color="5FB1D2" w:themeColor="accent1" w:themeTint="BF"/>
          <w:bottom w:val="single" w:sz="8" w:space="0" w:color="5FB1D2" w:themeColor="accent1" w:themeTint="BF"/>
          <w:right w:val="single" w:sz="8" w:space="0" w:color="5FB1D2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5F0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AE5F0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1">
    <w:name w:val="Medium Shading 1 Accent 2"/>
    <w:basedOn w:val="a4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81C8CF" w:themeColor="accent2" w:themeTint="BF"/>
        <w:left w:val="single" w:sz="8" w:space="0" w:color="81C8CF" w:themeColor="accent2" w:themeTint="BF"/>
        <w:bottom w:val="single" w:sz="8" w:space="0" w:color="81C8CF" w:themeColor="accent2" w:themeTint="BF"/>
        <w:right w:val="single" w:sz="8" w:space="0" w:color="81C8CF" w:themeColor="accent2" w:themeTint="BF"/>
        <w:insideH w:val="single" w:sz="8" w:space="0" w:color="81C8CF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1C8CF" w:themeColor="accent2" w:themeTint="BF"/>
          <w:left w:val="single" w:sz="8" w:space="0" w:color="81C8CF" w:themeColor="accent2" w:themeTint="BF"/>
          <w:bottom w:val="single" w:sz="8" w:space="0" w:color="81C8CF" w:themeColor="accent2" w:themeTint="BF"/>
          <w:right w:val="single" w:sz="8" w:space="0" w:color="81C8CF" w:themeColor="accent2" w:themeTint="BF"/>
          <w:insideH w:val="nil"/>
          <w:insideV w:val="nil"/>
        </w:tcBorders>
        <w:shd w:val="clear" w:color="auto" w:fill="58B6C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1C8CF" w:themeColor="accent2" w:themeTint="BF"/>
          <w:left w:val="single" w:sz="8" w:space="0" w:color="81C8CF" w:themeColor="accent2" w:themeTint="BF"/>
          <w:bottom w:val="single" w:sz="8" w:space="0" w:color="81C8CF" w:themeColor="accent2" w:themeTint="BF"/>
          <w:right w:val="single" w:sz="8" w:space="0" w:color="81C8CF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ECEF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ECEF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1">
    <w:name w:val="Medium Shading 1 Accent 3"/>
    <w:basedOn w:val="a4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97CDBC" w:themeColor="accent3" w:themeTint="BF"/>
        <w:left w:val="single" w:sz="8" w:space="0" w:color="97CDBC" w:themeColor="accent3" w:themeTint="BF"/>
        <w:bottom w:val="single" w:sz="8" w:space="0" w:color="97CDBC" w:themeColor="accent3" w:themeTint="BF"/>
        <w:right w:val="single" w:sz="8" w:space="0" w:color="97CDBC" w:themeColor="accent3" w:themeTint="BF"/>
        <w:insideH w:val="single" w:sz="8" w:space="0" w:color="97CDBC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7CDBC" w:themeColor="accent3" w:themeTint="BF"/>
          <w:left w:val="single" w:sz="8" w:space="0" w:color="97CDBC" w:themeColor="accent3" w:themeTint="BF"/>
          <w:bottom w:val="single" w:sz="8" w:space="0" w:color="97CDBC" w:themeColor="accent3" w:themeTint="BF"/>
          <w:right w:val="single" w:sz="8" w:space="0" w:color="97CDBC" w:themeColor="accent3" w:themeTint="BF"/>
          <w:insideH w:val="nil"/>
          <w:insideV w:val="nil"/>
        </w:tcBorders>
        <w:shd w:val="clear" w:color="auto" w:fill="75BDA7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7CDBC" w:themeColor="accent3" w:themeTint="BF"/>
          <w:left w:val="single" w:sz="8" w:space="0" w:color="97CDBC" w:themeColor="accent3" w:themeTint="BF"/>
          <w:bottom w:val="single" w:sz="8" w:space="0" w:color="97CDBC" w:themeColor="accent3" w:themeTint="BF"/>
          <w:right w:val="single" w:sz="8" w:space="0" w:color="97CDBC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EEE9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CEEE9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1">
    <w:name w:val="Medium Shading 1 Accent 4"/>
    <w:basedOn w:val="a4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9BA8AA" w:themeColor="accent4" w:themeTint="BF"/>
        <w:left w:val="single" w:sz="8" w:space="0" w:color="9BA8AA" w:themeColor="accent4" w:themeTint="BF"/>
        <w:bottom w:val="single" w:sz="8" w:space="0" w:color="9BA8AA" w:themeColor="accent4" w:themeTint="BF"/>
        <w:right w:val="single" w:sz="8" w:space="0" w:color="9BA8AA" w:themeColor="accent4" w:themeTint="BF"/>
        <w:insideH w:val="single" w:sz="8" w:space="0" w:color="9BA8AA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BA8AA" w:themeColor="accent4" w:themeTint="BF"/>
          <w:left w:val="single" w:sz="8" w:space="0" w:color="9BA8AA" w:themeColor="accent4" w:themeTint="BF"/>
          <w:bottom w:val="single" w:sz="8" w:space="0" w:color="9BA8AA" w:themeColor="accent4" w:themeTint="BF"/>
          <w:right w:val="single" w:sz="8" w:space="0" w:color="9BA8AA" w:themeColor="accent4" w:themeTint="BF"/>
          <w:insideH w:val="nil"/>
          <w:insideV w:val="nil"/>
        </w:tcBorders>
        <w:shd w:val="clear" w:color="auto" w:fill="7A8C8E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A8AA" w:themeColor="accent4" w:themeTint="BF"/>
          <w:left w:val="single" w:sz="8" w:space="0" w:color="9BA8AA" w:themeColor="accent4" w:themeTint="BF"/>
          <w:bottom w:val="single" w:sz="8" w:space="0" w:color="9BA8AA" w:themeColor="accent4" w:themeTint="BF"/>
          <w:right w:val="single" w:sz="8" w:space="0" w:color="9BA8AA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2E3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EE2E3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1">
    <w:name w:val="Medium Shading 1 Accent 5"/>
    <w:basedOn w:val="a4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A2C0C8" w:themeColor="accent5" w:themeTint="BF"/>
        <w:left w:val="single" w:sz="8" w:space="0" w:color="A2C0C8" w:themeColor="accent5" w:themeTint="BF"/>
        <w:bottom w:val="single" w:sz="8" w:space="0" w:color="A2C0C8" w:themeColor="accent5" w:themeTint="BF"/>
        <w:right w:val="single" w:sz="8" w:space="0" w:color="A2C0C8" w:themeColor="accent5" w:themeTint="BF"/>
        <w:insideH w:val="single" w:sz="8" w:space="0" w:color="A2C0C8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2C0C8" w:themeColor="accent5" w:themeTint="BF"/>
          <w:left w:val="single" w:sz="8" w:space="0" w:color="A2C0C8" w:themeColor="accent5" w:themeTint="BF"/>
          <w:bottom w:val="single" w:sz="8" w:space="0" w:color="A2C0C8" w:themeColor="accent5" w:themeTint="BF"/>
          <w:right w:val="single" w:sz="8" w:space="0" w:color="A2C0C8" w:themeColor="accent5" w:themeTint="BF"/>
          <w:insideH w:val="nil"/>
          <w:insideV w:val="nil"/>
        </w:tcBorders>
        <w:shd w:val="clear" w:color="auto" w:fill="84ACB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2C0C8" w:themeColor="accent5" w:themeTint="BF"/>
          <w:left w:val="single" w:sz="8" w:space="0" w:color="A2C0C8" w:themeColor="accent5" w:themeTint="BF"/>
          <w:bottom w:val="single" w:sz="8" w:space="0" w:color="A2C0C8" w:themeColor="accent5" w:themeTint="BF"/>
          <w:right w:val="single" w:sz="8" w:space="0" w:color="A2C0C8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AED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0EAED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1">
    <w:name w:val="Medium Shading 1 Accent 6"/>
    <w:basedOn w:val="a4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52A3DE" w:themeColor="accent6" w:themeTint="BF"/>
        <w:left w:val="single" w:sz="8" w:space="0" w:color="52A3DE" w:themeColor="accent6" w:themeTint="BF"/>
        <w:bottom w:val="single" w:sz="8" w:space="0" w:color="52A3DE" w:themeColor="accent6" w:themeTint="BF"/>
        <w:right w:val="single" w:sz="8" w:space="0" w:color="52A3DE" w:themeColor="accent6" w:themeTint="BF"/>
        <w:insideH w:val="single" w:sz="8" w:space="0" w:color="52A3DE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52A3DE" w:themeColor="accent6" w:themeTint="BF"/>
          <w:left w:val="single" w:sz="8" w:space="0" w:color="52A3DE" w:themeColor="accent6" w:themeTint="BF"/>
          <w:bottom w:val="single" w:sz="8" w:space="0" w:color="52A3DE" w:themeColor="accent6" w:themeTint="BF"/>
          <w:right w:val="single" w:sz="8" w:space="0" w:color="52A3DE" w:themeColor="accent6" w:themeTint="BF"/>
          <w:insideH w:val="nil"/>
          <w:insideV w:val="nil"/>
        </w:tcBorders>
        <w:shd w:val="clear" w:color="auto" w:fill="2683C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2A3DE" w:themeColor="accent6" w:themeTint="BF"/>
          <w:left w:val="single" w:sz="8" w:space="0" w:color="52A3DE" w:themeColor="accent6" w:themeTint="BF"/>
          <w:bottom w:val="single" w:sz="8" w:space="0" w:color="52A3DE" w:themeColor="accent6" w:themeTint="BF"/>
          <w:right w:val="single" w:sz="8" w:space="0" w:color="52A3DE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E0F4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5E0F4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f1">
    <w:name w:val="Medium Shading 2"/>
    <w:basedOn w:val="a4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11">
    <w:name w:val="Medium Shading 2 Accent 1"/>
    <w:basedOn w:val="a4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494BA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494BA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494BA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21">
    <w:name w:val="Medium Shading 2 Accent 2"/>
    <w:basedOn w:val="a4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8B6C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8B6C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8B6C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31">
    <w:name w:val="Medium Shading 2 Accent 3"/>
    <w:basedOn w:val="a4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5BDA7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5BDA7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5BDA7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41">
    <w:name w:val="Medium Shading 2 Accent 4"/>
    <w:basedOn w:val="a4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A8C8E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A8C8E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A8C8E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51">
    <w:name w:val="Medium Shading 2 Accent 5"/>
    <w:basedOn w:val="a4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4ACB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4ACB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4ACB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61">
    <w:name w:val="Medium Shading 2 Accent 6"/>
    <w:basedOn w:val="a4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2683C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83C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683C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afffff3">
    <w:name w:val="No Spacing"/>
    <w:uiPriority w:val="1"/>
    <w:semiHidden/>
    <w:unhideWhenUsed/>
    <w:qFormat/>
    <w:rsid w:val="004230D9"/>
    <w:pPr>
      <w:spacing w:after="0" w:line="240" w:lineRule="auto"/>
    </w:pPr>
    <w:rPr>
      <w:rFonts w:ascii="Times New Roman" w:hAnsi="Times New Roman"/>
    </w:rPr>
  </w:style>
  <w:style w:type="paragraph" w:styleId="afffff4">
    <w:name w:val="Normal (Web)"/>
    <w:basedOn w:val="a2"/>
    <w:uiPriority w:val="99"/>
    <w:unhideWhenUsed/>
    <w:rsid w:val="004230D9"/>
  </w:style>
  <w:style w:type="paragraph" w:styleId="afffff5">
    <w:name w:val="Normal Indent"/>
    <w:basedOn w:val="a2"/>
    <w:uiPriority w:val="99"/>
    <w:semiHidden/>
    <w:unhideWhenUsed/>
    <w:rsid w:val="004230D9"/>
    <w:pPr>
      <w:ind w:left="708"/>
    </w:pPr>
  </w:style>
  <w:style w:type="character" w:styleId="afffff6">
    <w:name w:val="page number"/>
    <w:basedOn w:val="a3"/>
    <w:uiPriority w:val="99"/>
    <w:semiHidden/>
    <w:unhideWhenUsed/>
    <w:rsid w:val="004230D9"/>
    <w:rPr>
      <w:rFonts w:ascii="Times New Roman" w:hAnsi="Times New Roman" w:cs="Times New Roman"/>
    </w:rPr>
  </w:style>
  <w:style w:type="table" w:customStyle="1" w:styleId="110">
    <w:name w:val="Таблица простая 11"/>
    <w:basedOn w:val="a4"/>
    <w:uiPriority w:val="41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210">
    <w:name w:val="Таблица простая 21"/>
    <w:basedOn w:val="a4"/>
    <w:uiPriority w:val="42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310">
    <w:name w:val="Таблица простая 31"/>
    <w:basedOn w:val="a4"/>
    <w:uiPriority w:val="43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10">
    <w:name w:val="Таблица простая 41"/>
    <w:basedOn w:val="a4"/>
    <w:uiPriority w:val="44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510">
    <w:name w:val="Таблица простая 51"/>
    <w:basedOn w:val="a4"/>
    <w:uiPriority w:val="45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16">
    <w:name w:val="Table 3D effects 1"/>
    <w:basedOn w:val="a4"/>
    <w:uiPriority w:val="99"/>
    <w:semiHidden/>
    <w:unhideWhenUsed/>
    <w:rsid w:val="004230D9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f2">
    <w:name w:val="Table 3D effects 2"/>
    <w:basedOn w:val="a4"/>
    <w:uiPriority w:val="99"/>
    <w:semiHidden/>
    <w:unhideWhenUsed/>
    <w:rsid w:val="004230D9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3D effects 3"/>
    <w:basedOn w:val="a4"/>
    <w:uiPriority w:val="99"/>
    <w:semiHidden/>
    <w:unhideWhenUsed/>
    <w:rsid w:val="004230D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7">
    <w:name w:val="Table Classic 1"/>
    <w:basedOn w:val="a4"/>
    <w:uiPriority w:val="99"/>
    <w:semiHidden/>
    <w:unhideWhenUsed/>
    <w:rsid w:val="004230D9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3">
    <w:name w:val="Table Classic 2"/>
    <w:basedOn w:val="a4"/>
    <w:uiPriority w:val="99"/>
    <w:semiHidden/>
    <w:unhideWhenUsed/>
    <w:rsid w:val="004230D9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lassic 3"/>
    <w:basedOn w:val="a4"/>
    <w:uiPriority w:val="99"/>
    <w:semiHidden/>
    <w:unhideWhenUsed/>
    <w:rsid w:val="004230D9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lassic 4"/>
    <w:basedOn w:val="a4"/>
    <w:uiPriority w:val="99"/>
    <w:semiHidden/>
    <w:unhideWhenUsed/>
    <w:rsid w:val="004230D9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8">
    <w:name w:val="Table Colorful 1"/>
    <w:basedOn w:val="a4"/>
    <w:uiPriority w:val="99"/>
    <w:semiHidden/>
    <w:unhideWhenUsed/>
    <w:rsid w:val="004230D9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4">
    <w:name w:val="Table Colorful 2"/>
    <w:basedOn w:val="a4"/>
    <w:uiPriority w:val="99"/>
    <w:semiHidden/>
    <w:unhideWhenUsed/>
    <w:rsid w:val="004230D9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Colorful 3"/>
    <w:basedOn w:val="a4"/>
    <w:uiPriority w:val="99"/>
    <w:semiHidden/>
    <w:unhideWhenUsed/>
    <w:rsid w:val="004230D9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9">
    <w:name w:val="Table Columns 1"/>
    <w:basedOn w:val="a4"/>
    <w:uiPriority w:val="99"/>
    <w:semiHidden/>
    <w:unhideWhenUsed/>
    <w:rsid w:val="004230D9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5">
    <w:name w:val="Table Columns 2"/>
    <w:basedOn w:val="a4"/>
    <w:uiPriority w:val="99"/>
    <w:semiHidden/>
    <w:unhideWhenUsed/>
    <w:rsid w:val="004230D9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">
    <w:name w:val="Table Columns 3"/>
    <w:basedOn w:val="a4"/>
    <w:uiPriority w:val="99"/>
    <w:semiHidden/>
    <w:unhideWhenUsed/>
    <w:rsid w:val="004230D9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7">
    <w:name w:val="Table Columns 4"/>
    <w:basedOn w:val="a4"/>
    <w:uiPriority w:val="99"/>
    <w:semiHidden/>
    <w:unhideWhenUsed/>
    <w:rsid w:val="004230D9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6">
    <w:name w:val="Table Columns 5"/>
    <w:basedOn w:val="a4"/>
    <w:uiPriority w:val="99"/>
    <w:semiHidden/>
    <w:unhideWhenUsed/>
    <w:rsid w:val="004230D9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fffff7">
    <w:name w:val="Table Contemporary"/>
    <w:basedOn w:val="a4"/>
    <w:uiPriority w:val="99"/>
    <w:semiHidden/>
    <w:unhideWhenUsed/>
    <w:rsid w:val="004230D9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ff8">
    <w:name w:val="Table Elegant"/>
    <w:basedOn w:val="a4"/>
    <w:uiPriority w:val="99"/>
    <w:semiHidden/>
    <w:unhideWhenUsed/>
    <w:rsid w:val="004230D9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9">
    <w:name w:val="Table Grid"/>
    <w:basedOn w:val="a4"/>
    <w:uiPriority w:val="59"/>
    <w:rsid w:val="004230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a">
    <w:name w:val="Table Grid 1"/>
    <w:basedOn w:val="a4"/>
    <w:uiPriority w:val="99"/>
    <w:semiHidden/>
    <w:unhideWhenUsed/>
    <w:rsid w:val="004230D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6">
    <w:name w:val="Table Grid 2"/>
    <w:basedOn w:val="a4"/>
    <w:uiPriority w:val="99"/>
    <w:semiHidden/>
    <w:unhideWhenUsed/>
    <w:rsid w:val="004230D9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Grid 3"/>
    <w:basedOn w:val="a4"/>
    <w:uiPriority w:val="99"/>
    <w:semiHidden/>
    <w:unhideWhenUsed/>
    <w:rsid w:val="004230D9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8">
    <w:name w:val="Table Grid 4"/>
    <w:basedOn w:val="a4"/>
    <w:uiPriority w:val="99"/>
    <w:semiHidden/>
    <w:unhideWhenUsed/>
    <w:rsid w:val="004230D9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7">
    <w:name w:val="Table Grid 5"/>
    <w:basedOn w:val="a4"/>
    <w:uiPriority w:val="99"/>
    <w:semiHidden/>
    <w:unhideWhenUsed/>
    <w:rsid w:val="004230D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2">
    <w:name w:val="Table Grid 6"/>
    <w:basedOn w:val="a4"/>
    <w:uiPriority w:val="99"/>
    <w:semiHidden/>
    <w:unhideWhenUsed/>
    <w:rsid w:val="004230D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2">
    <w:name w:val="Table Grid 7"/>
    <w:basedOn w:val="a4"/>
    <w:uiPriority w:val="99"/>
    <w:semiHidden/>
    <w:unhideWhenUsed/>
    <w:rsid w:val="004230D9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2">
    <w:name w:val="Table Grid 8"/>
    <w:basedOn w:val="a4"/>
    <w:uiPriority w:val="99"/>
    <w:semiHidden/>
    <w:unhideWhenUsed/>
    <w:rsid w:val="004230D9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b">
    <w:name w:val="Сетка таблицы светлая1"/>
    <w:basedOn w:val="a4"/>
    <w:uiPriority w:val="40"/>
    <w:rsid w:val="004230D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-16">
    <w:name w:val="Table List 1"/>
    <w:basedOn w:val="a4"/>
    <w:uiPriority w:val="99"/>
    <w:semiHidden/>
    <w:unhideWhenUsed/>
    <w:rsid w:val="004230D9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6">
    <w:name w:val="Table List 2"/>
    <w:basedOn w:val="a4"/>
    <w:uiPriority w:val="99"/>
    <w:semiHidden/>
    <w:unhideWhenUsed/>
    <w:rsid w:val="004230D9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6">
    <w:name w:val="Table List 3"/>
    <w:basedOn w:val="a4"/>
    <w:uiPriority w:val="99"/>
    <w:semiHidden/>
    <w:unhideWhenUsed/>
    <w:rsid w:val="004230D9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6">
    <w:name w:val="Table List 4"/>
    <w:basedOn w:val="a4"/>
    <w:uiPriority w:val="99"/>
    <w:semiHidden/>
    <w:unhideWhenUsed/>
    <w:rsid w:val="004230D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6">
    <w:name w:val="Table List 5"/>
    <w:basedOn w:val="a4"/>
    <w:uiPriority w:val="99"/>
    <w:semiHidden/>
    <w:unhideWhenUsed/>
    <w:rsid w:val="004230D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6">
    <w:name w:val="Table List 6"/>
    <w:basedOn w:val="a4"/>
    <w:uiPriority w:val="99"/>
    <w:semiHidden/>
    <w:unhideWhenUsed/>
    <w:rsid w:val="004230D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uiPriority w:val="99"/>
    <w:semiHidden/>
    <w:unhideWhenUsed/>
    <w:rsid w:val="004230D9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uiPriority w:val="99"/>
    <w:semiHidden/>
    <w:unhideWhenUsed/>
    <w:rsid w:val="004230D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afffffa">
    <w:name w:val="table of authorities"/>
    <w:basedOn w:val="a2"/>
    <w:next w:val="a2"/>
    <w:uiPriority w:val="99"/>
    <w:semiHidden/>
    <w:unhideWhenUsed/>
    <w:rsid w:val="004230D9"/>
    <w:pPr>
      <w:ind w:left="240" w:hanging="240"/>
    </w:pPr>
  </w:style>
  <w:style w:type="paragraph" w:styleId="afffffb">
    <w:name w:val="table of figures"/>
    <w:basedOn w:val="a2"/>
    <w:next w:val="a2"/>
    <w:uiPriority w:val="99"/>
    <w:semiHidden/>
    <w:unhideWhenUsed/>
    <w:rsid w:val="004230D9"/>
  </w:style>
  <w:style w:type="table" w:styleId="afffffc">
    <w:name w:val="Table Professional"/>
    <w:basedOn w:val="a4"/>
    <w:uiPriority w:val="99"/>
    <w:semiHidden/>
    <w:unhideWhenUsed/>
    <w:rsid w:val="004230D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c">
    <w:name w:val="Table Simple 1"/>
    <w:basedOn w:val="a4"/>
    <w:uiPriority w:val="99"/>
    <w:semiHidden/>
    <w:unhideWhenUsed/>
    <w:rsid w:val="004230D9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7">
    <w:name w:val="Table Simple 2"/>
    <w:basedOn w:val="a4"/>
    <w:uiPriority w:val="99"/>
    <w:semiHidden/>
    <w:unhideWhenUsed/>
    <w:rsid w:val="004230D9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f">
    <w:name w:val="Table Simple 3"/>
    <w:basedOn w:val="a4"/>
    <w:uiPriority w:val="99"/>
    <w:semiHidden/>
    <w:unhideWhenUsed/>
    <w:rsid w:val="004230D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d">
    <w:name w:val="Table Subtle 1"/>
    <w:basedOn w:val="a4"/>
    <w:uiPriority w:val="99"/>
    <w:semiHidden/>
    <w:unhideWhenUsed/>
    <w:rsid w:val="004230D9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8">
    <w:name w:val="Table Subtle 2"/>
    <w:basedOn w:val="a4"/>
    <w:uiPriority w:val="99"/>
    <w:semiHidden/>
    <w:unhideWhenUsed/>
    <w:rsid w:val="004230D9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d">
    <w:name w:val="Table Theme"/>
    <w:basedOn w:val="a4"/>
    <w:uiPriority w:val="99"/>
    <w:semiHidden/>
    <w:unhideWhenUsed/>
    <w:rsid w:val="004230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7">
    <w:name w:val="Table Web 1"/>
    <w:basedOn w:val="a4"/>
    <w:uiPriority w:val="99"/>
    <w:semiHidden/>
    <w:unhideWhenUsed/>
    <w:rsid w:val="004230D9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7">
    <w:name w:val="Table Web 2"/>
    <w:basedOn w:val="a4"/>
    <w:uiPriority w:val="99"/>
    <w:semiHidden/>
    <w:unhideWhenUsed/>
    <w:rsid w:val="004230D9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7">
    <w:name w:val="Table Web 3"/>
    <w:basedOn w:val="a4"/>
    <w:uiPriority w:val="99"/>
    <w:semiHidden/>
    <w:unhideWhenUsed/>
    <w:rsid w:val="004230D9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ffe">
    <w:name w:val="toa heading"/>
    <w:basedOn w:val="a2"/>
    <w:next w:val="a2"/>
    <w:uiPriority w:val="99"/>
    <w:semiHidden/>
    <w:unhideWhenUsed/>
    <w:rsid w:val="004230D9"/>
    <w:pPr>
      <w:spacing w:before="120"/>
    </w:pPr>
    <w:rPr>
      <w:rFonts w:ascii="Arial" w:eastAsiaTheme="majorEastAsia" w:hAnsi="Arial" w:cs="Arial"/>
      <w:b/>
      <w:bCs/>
    </w:rPr>
  </w:style>
  <w:style w:type="paragraph" w:styleId="2f9">
    <w:name w:val="toc 2"/>
    <w:basedOn w:val="a2"/>
    <w:next w:val="a2"/>
    <w:autoRedefine/>
    <w:uiPriority w:val="39"/>
    <w:unhideWhenUsed/>
    <w:rsid w:val="004230D9"/>
    <w:pPr>
      <w:spacing w:after="100"/>
      <w:ind w:left="240"/>
    </w:pPr>
  </w:style>
  <w:style w:type="paragraph" w:styleId="3f0">
    <w:name w:val="toc 3"/>
    <w:basedOn w:val="a2"/>
    <w:next w:val="a2"/>
    <w:autoRedefine/>
    <w:uiPriority w:val="39"/>
    <w:unhideWhenUsed/>
    <w:rsid w:val="004230D9"/>
    <w:pPr>
      <w:spacing w:after="100"/>
      <w:ind w:left="480"/>
    </w:pPr>
  </w:style>
  <w:style w:type="paragraph" w:styleId="49">
    <w:name w:val="toc 4"/>
    <w:basedOn w:val="a2"/>
    <w:next w:val="a2"/>
    <w:autoRedefine/>
    <w:uiPriority w:val="39"/>
    <w:unhideWhenUsed/>
    <w:rsid w:val="004230D9"/>
    <w:pPr>
      <w:spacing w:after="100"/>
      <w:ind w:left="720"/>
    </w:pPr>
  </w:style>
  <w:style w:type="paragraph" w:styleId="58">
    <w:name w:val="toc 5"/>
    <w:basedOn w:val="a2"/>
    <w:next w:val="a2"/>
    <w:autoRedefine/>
    <w:uiPriority w:val="39"/>
    <w:unhideWhenUsed/>
    <w:rsid w:val="004230D9"/>
    <w:pPr>
      <w:spacing w:after="100"/>
      <w:ind w:left="960"/>
    </w:pPr>
  </w:style>
  <w:style w:type="paragraph" w:styleId="63">
    <w:name w:val="toc 6"/>
    <w:basedOn w:val="a2"/>
    <w:next w:val="a2"/>
    <w:autoRedefine/>
    <w:uiPriority w:val="39"/>
    <w:unhideWhenUsed/>
    <w:rsid w:val="004230D9"/>
    <w:pPr>
      <w:spacing w:after="100"/>
      <w:ind w:left="1200"/>
    </w:pPr>
  </w:style>
  <w:style w:type="paragraph" w:styleId="73">
    <w:name w:val="toc 7"/>
    <w:basedOn w:val="a2"/>
    <w:next w:val="a2"/>
    <w:autoRedefine/>
    <w:uiPriority w:val="39"/>
    <w:unhideWhenUsed/>
    <w:rsid w:val="004230D9"/>
    <w:pPr>
      <w:spacing w:after="100"/>
      <w:ind w:left="1440"/>
    </w:pPr>
  </w:style>
  <w:style w:type="paragraph" w:styleId="83">
    <w:name w:val="toc 8"/>
    <w:basedOn w:val="a2"/>
    <w:next w:val="a2"/>
    <w:autoRedefine/>
    <w:uiPriority w:val="39"/>
    <w:unhideWhenUsed/>
    <w:rsid w:val="004230D9"/>
    <w:pPr>
      <w:spacing w:after="100"/>
      <w:ind w:left="1680"/>
    </w:pPr>
  </w:style>
  <w:style w:type="character" w:customStyle="1" w:styleId="a8">
    <w:name w:val="Дата Знак"/>
    <w:basedOn w:val="a3"/>
    <w:link w:val="a7"/>
    <w:uiPriority w:val="10"/>
    <w:rsid w:val="00C47362"/>
    <w:rPr>
      <w:rFonts w:ascii="Times New Roman" w:hAnsi="Times New Roman"/>
    </w:rPr>
  </w:style>
  <w:style w:type="paragraph" w:customStyle="1" w:styleId="affffff">
    <w:name w:val="МестоДатаВремя"/>
    <w:basedOn w:val="a2"/>
    <w:qFormat/>
    <w:rsid w:val="00F50B79"/>
    <w:pPr>
      <w:framePr w:wrap="around" w:vAnchor="page" w:hAnchor="text" w:xAlign="right" w:y="318"/>
      <w:spacing w:line="220" w:lineRule="exact"/>
      <w:ind w:left="431" w:hanging="431"/>
    </w:pPr>
    <w:rPr>
      <w:rFonts w:asciiTheme="majorHAnsi" w:hAnsiTheme="majorHAnsi"/>
      <w:color w:val="FFFFFF" w:themeColor="background1"/>
      <w:sz w:val="16"/>
    </w:rPr>
  </w:style>
  <w:style w:type="numbering" w:customStyle="1" w:styleId="1e">
    <w:name w:val="Нет списка1"/>
    <w:next w:val="a5"/>
    <w:uiPriority w:val="99"/>
    <w:semiHidden/>
    <w:unhideWhenUsed/>
    <w:rsid w:val="00FA3FA4"/>
  </w:style>
  <w:style w:type="character" w:customStyle="1" w:styleId="10">
    <w:name w:val="Заголовок 1 Знак"/>
    <w:basedOn w:val="a3"/>
    <w:link w:val="1"/>
    <w:uiPriority w:val="9"/>
    <w:rsid w:val="00FA3FA4"/>
    <w:rPr>
      <w:rFonts w:asciiTheme="majorHAnsi" w:hAnsiTheme="majorHAnsi" w:cs="Arial"/>
      <w:b/>
      <w:bCs/>
      <w:kern w:val="32"/>
      <w:sz w:val="32"/>
      <w:szCs w:val="32"/>
      <w:lang w:eastAsia="ru-RU"/>
    </w:rPr>
  </w:style>
  <w:style w:type="character" w:customStyle="1" w:styleId="22">
    <w:name w:val="Заголовок 2 Знак"/>
    <w:basedOn w:val="a3"/>
    <w:link w:val="21"/>
    <w:uiPriority w:val="9"/>
    <w:rsid w:val="00FA3FA4"/>
    <w:rPr>
      <w:rFonts w:ascii="Arial" w:hAnsi="Arial" w:cs="Arial"/>
      <w:b/>
      <w:bCs/>
      <w:iCs/>
      <w:sz w:val="20"/>
      <w:szCs w:val="28"/>
      <w:lang w:eastAsia="ru-RU"/>
    </w:rPr>
  </w:style>
  <w:style w:type="numbering" w:customStyle="1" w:styleId="111">
    <w:name w:val="Нет списка11"/>
    <w:next w:val="a5"/>
    <w:uiPriority w:val="99"/>
    <w:semiHidden/>
    <w:unhideWhenUsed/>
    <w:rsid w:val="00FA3FA4"/>
  </w:style>
  <w:style w:type="paragraph" w:customStyle="1" w:styleId="FR1">
    <w:name w:val="FR1"/>
    <w:uiPriority w:val="99"/>
    <w:rsid w:val="00FA3FA4"/>
    <w:pPr>
      <w:widowControl w:val="0"/>
      <w:spacing w:after="0" w:line="240" w:lineRule="auto"/>
      <w:ind w:left="0"/>
      <w:jc w:val="center"/>
    </w:pPr>
    <w:rPr>
      <w:rFonts w:ascii="Arial" w:hAnsi="Arial"/>
      <w:b/>
      <w:sz w:val="16"/>
      <w:szCs w:val="20"/>
      <w:lang w:eastAsia="ru-RU"/>
    </w:rPr>
  </w:style>
  <w:style w:type="paragraph" w:customStyle="1" w:styleId="FR2">
    <w:name w:val="FR2"/>
    <w:uiPriority w:val="99"/>
    <w:rsid w:val="00FA3FA4"/>
    <w:pPr>
      <w:widowControl w:val="0"/>
      <w:spacing w:after="0" w:line="240" w:lineRule="auto"/>
      <w:ind w:left="0"/>
      <w:jc w:val="both"/>
    </w:pPr>
    <w:rPr>
      <w:rFonts w:ascii="Arial" w:hAnsi="Arial"/>
      <w:sz w:val="12"/>
      <w:szCs w:val="20"/>
      <w:lang w:eastAsia="ru-RU"/>
    </w:rPr>
  </w:style>
  <w:style w:type="paragraph" w:customStyle="1" w:styleId="FR3">
    <w:name w:val="FR3"/>
    <w:uiPriority w:val="99"/>
    <w:rsid w:val="00FA3FA4"/>
    <w:pPr>
      <w:widowControl w:val="0"/>
      <w:autoSpaceDE w:val="0"/>
      <w:autoSpaceDN w:val="0"/>
      <w:adjustRightInd w:val="0"/>
      <w:spacing w:after="0" w:line="240" w:lineRule="auto"/>
      <w:ind w:left="0" w:right="200"/>
      <w:jc w:val="center"/>
    </w:pPr>
    <w:rPr>
      <w:rFonts w:ascii="Arial" w:hAnsi="Arial" w:cs="Arial"/>
      <w:sz w:val="12"/>
      <w:szCs w:val="12"/>
      <w:lang w:eastAsia="ru-RU"/>
    </w:rPr>
  </w:style>
  <w:style w:type="paragraph" w:customStyle="1" w:styleId="heading2">
    <w:name w:val="heading2"/>
    <w:basedOn w:val="a2"/>
    <w:rsid w:val="00FA3FA4"/>
    <w:pPr>
      <w:widowControl/>
      <w:autoSpaceDE/>
      <w:autoSpaceDN/>
      <w:adjustRightInd/>
      <w:spacing w:before="100" w:beforeAutospacing="1" w:after="100" w:afterAutospacing="1"/>
    </w:pPr>
    <w:rPr>
      <w:sz w:val="36"/>
      <w:szCs w:val="36"/>
    </w:rPr>
  </w:style>
  <w:style w:type="paragraph" w:customStyle="1" w:styleId="author">
    <w:name w:val="author"/>
    <w:basedOn w:val="a2"/>
    <w:rsid w:val="00FA3FA4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7"/>
      <w:szCs w:val="27"/>
    </w:rPr>
  </w:style>
  <w:style w:type="paragraph" w:customStyle="1" w:styleId="authors">
    <w:name w:val="authors"/>
    <w:basedOn w:val="a2"/>
    <w:rsid w:val="00FA3FA4"/>
    <w:pPr>
      <w:widowControl/>
      <w:autoSpaceDE/>
      <w:autoSpaceDN/>
      <w:adjustRightInd/>
      <w:spacing w:before="100" w:beforeAutospacing="1"/>
    </w:pPr>
    <w:rPr>
      <w:sz w:val="24"/>
      <w:szCs w:val="24"/>
    </w:rPr>
  </w:style>
  <w:style w:type="paragraph" w:customStyle="1" w:styleId="level00">
    <w:name w:val="level00"/>
    <w:basedOn w:val="a2"/>
    <w:rsid w:val="00FA3FA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heading1">
    <w:name w:val="heading1"/>
    <w:basedOn w:val="a2"/>
    <w:rsid w:val="00FA3FA4"/>
    <w:pPr>
      <w:widowControl/>
      <w:autoSpaceDE/>
      <w:autoSpaceDN/>
      <w:adjustRightInd/>
      <w:spacing w:before="100" w:beforeAutospacing="1" w:after="100" w:afterAutospacing="1"/>
    </w:pPr>
    <w:rPr>
      <w:sz w:val="48"/>
      <w:szCs w:val="48"/>
    </w:rPr>
  </w:style>
  <w:style w:type="paragraph" w:customStyle="1" w:styleId="literature">
    <w:name w:val="literature"/>
    <w:basedOn w:val="a2"/>
    <w:rsid w:val="00FA3FA4"/>
    <w:pPr>
      <w:widowControl/>
      <w:autoSpaceDE/>
      <w:autoSpaceDN/>
      <w:adjustRightInd/>
      <w:spacing w:before="30"/>
      <w:ind w:left="300" w:hanging="300"/>
    </w:pPr>
    <w:rPr>
      <w:sz w:val="24"/>
      <w:szCs w:val="24"/>
    </w:rPr>
  </w:style>
  <w:style w:type="paragraph" w:customStyle="1" w:styleId="level10">
    <w:name w:val="level10"/>
    <w:basedOn w:val="a2"/>
    <w:rsid w:val="00FA3FA4"/>
    <w:pPr>
      <w:widowControl/>
      <w:autoSpaceDE/>
      <w:autoSpaceDN/>
      <w:adjustRightInd/>
      <w:spacing w:before="30"/>
      <w:ind w:left="300" w:hanging="300"/>
    </w:pPr>
    <w:rPr>
      <w:sz w:val="24"/>
      <w:szCs w:val="24"/>
    </w:rPr>
  </w:style>
  <w:style w:type="paragraph" w:customStyle="1" w:styleId="level11">
    <w:name w:val="level11"/>
    <w:basedOn w:val="a2"/>
    <w:rsid w:val="00FA3FA4"/>
    <w:pPr>
      <w:widowControl/>
      <w:autoSpaceDE/>
      <w:autoSpaceDN/>
      <w:adjustRightInd/>
      <w:spacing w:before="30"/>
      <w:ind w:left="300"/>
    </w:pPr>
    <w:rPr>
      <w:sz w:val="24"/>
      <w:szCs w:val="24"/>
    </w:rPr>
  </w:style>
  <w:style w:type="paragraph" w:customStyle="1" w:styleId="level20">
    <w:name w:val="level20"/>
    <w:basedOn w:val="a2"/>
    <w:rsid w:val="00FA3FA4"/>
    <w:pPr>
      <w:widowControl/>
      <w:autoSpaceDE/>
      <w:autoSpaceDN/>
      <w:adjustRightInd/>
      <w:spacing w:before="30"/>
      <w:ind w:left="600" w:hanging="300"/>
    </w:pPr>
    <w:rPr>
      <w:sz w:val="24"/>
      <w:szCs w:val="24"/>
    </w:rPr>
  </w:style>
  <w:style w:type="paragraph" w:customStyle="1" w:styleId="level21">
    <w:name w:val="level21"/>
    <w:basedOn w:val="a2"/>
    <w:rsid w:val="00FA3FA4"/>
    <w:pPr>
      <w:widowControl/>
      <w:autoSpaceDE/>
      <w:autoSpaceDN/>
      <w:adjustRightInd/>
      <w:spacing w:before="30"/>
      <w:ind w:left="600"/>
    </w:pPr>
    <w:rPr>
      <w:sz w:val="24"/>
      <w:szCs w:val="24"/>
    </w:rPr>
  </w:style>
  <w:style w:type="paragraph" w:customStyle="1" w:styleId="level30">
    <w:name w:val="level30"/>
    <w:basedOn w:val="a2"/>
    <w:rsid w:val="00FA3FA4"/>
    <w:pPr>
      <w:widowControl/>
      <w:autoSpaceDE/>
      <w:autoSpaceDN/>
      <w:adjustRightInd/>
      <w:spacing w:before="30"/>
      <w:ind w:left="900" w:hanging="300"/>
    </w:pPr>
    <w:rPr>
      <w:sz w:val="24"/>
      <w:szCs w:val="24"/>
    </w:rPr>
  </w:style>
  <w:style w:type="paragraph" w:customStyle="1" w:styleId="level40">
    <w:name w:val="level40"/>
    <w:basedOn w:val="a2"/>
    <w:rsid w:val="00FA3FA4"/>
    <w:pPr>
      <w:widowControl/>
      <w:autoSpaceDE/>
      <w:autoSpaceDN/>
      <w:adjustRightInd/>
      <w:spacing w:before="30"/>
      <w:ind w:left="1200" w:hanging="300"/>
    </w:pPr>
    <w:rPr>
      <w:sz w:val="24"/>
      <w:szCs w:val="24"/>
    </w:rPr>
  </w:style>
  <w:style w:type="paragraph" w:customStyle="1" w:styleId="level50">
    <w:name w:val="level50"/>
    <w:basedOn w:val="a2"/>
    <w:rsid w:val="00FA3FA4"/>
    <w:pPr>
      <w:widowControl/>
      <w:autoSpaceDE/>
      <w:autoSpaceDN/>
      <w:adjustRightInd/>
      <w:spacing w:before="30"/>
      <w:ind w:left="1500" w:hanging="300"/>
    </w:pPr>
    <w:rPr>
      <w:sz w:val="24"/>
      <w:szCs w:val="24"/>
    </w:rPr>
  </w:style>
  <w:style w:type="paragraph" w:customStyle="1" w:styleId="level31">
    <w:name w:val="level31"/>
    <w:basedOn w:val="a2"/>
    <w:rsid w:val="00FA3FA4"/>
    <w:pPr>
      <w:widowControl/>
      <w:autoSpaceDE/>
      <w:autoSpaceDN/>
      <w:adjustRightInd/>
      <w:spacing w:before="30"/>
      <w:ind w:left="900"/>
    </w:pPr>
    <w:rPr>
      <w:sz w:val="24"/>
      <w:szCs w:val="24"/>
    </w:rPr>
  </w:style>
  <w:style w:type="paragraph" w:customStyle="1" w:styleId="level60">
    <w:name w:val="level60"/>
    <w:basedOn w:val="a2"/>
    <w:rsid w:val="00FA3FA4"/>
    <w:pPr>
      <w:widowControl/>
      <w:autoSpaceDE/>
      <w:autoSpaceDN/>
      <w:adjustRightInd/>
      <w:spacing w:before="30"/>
      <w:ind w:left="1800" w:hanging="300"/>
    </w:pPr>
    <w:rPr>
      <w:sz w:val="24"/>
      <w:szCs w:val="24"/>
    </w:rPr>
  </w:style>
  <w:style w:type="paragraph" w:customStyle="1" w:styleId="level41">
    <w:name w:val="level41"/>
    <w:basedOn w:val="a2"/>
    <w:rsid w:val="00FA3FA4"/>
    <w:pPr>
      <w:widowControl/>
      <w:autoSpaceDE/>
      <w:autoSpaceDN/>
      <w:adjustRightInd/>
      <w:spacing w:before="30"/>
      <w:ind w:left="1200"/>
    </w:pPr>
    <w:rPr>
      <w:sz w:val="24"/>
      <w:szCs w:val="24"/>
    </w:rPr>
  </w:style>
  <w:style w:type="paragraph" w:customStyle="1" w:styleId="level51">
    <w:name w:val="level51"/>
    <w:basedOn w:val="a2"/>
    <w:rsid w:val="00FA3FA4"/>
    <w:pPr>
      <w:widowControl/>
      <w:autoSpaceDE/>
      <w:autoSpaceDN/>
      <w:adjustRightInd/>
      <w:spacing w:before="30"/>
      <w:ind w:left="1500"/>
    </w:pPr>
    <w:rPr>
      <w:sz w:val="24"/>
      <w:szCs w:val="24"/>
    </w:rPr>
  </w:style>
  <w:style w:type="paragraph" w:customStyle="1" w:styleId="level61">
    <w:name w:val="level61"/>
    <w:basedOn w:val="a2"/>
    <w:rsid w:val="00FA3FA4"/>
    <w:pPr>
      <w:widowControl/>
      <w:autoSpaceDE/>
      <w:autoSpaceDN/>
      <w:adjustRightInd/>
      <w:spacing w:before="30"/>
      <w:ind w:left="1800"/>
    </w:pPr>
    <w:rPr>
      <w:sz w:val="24"/>
      <w:szCs w:val="24"/>
    </w:rPr>
  </w:style>
  <w:style w:type="paragraph" w:customStyle="1" w:styleId="tblnorm">
    <w:name w:val="tblnorm"/>
    <w:basedOn w:val="a2"/>
    <w:rsid w:val="00FA3FA4"/>
    <w:pPr>
      <w:widowControl/>
      <w:autoSpaceDE/>
      <w:autoSpaceDN/>
      <w:adjustRightInd/>
    </w:pPr>
    <w:rPr>
      <w:sz w:val="24"/>
      <w:szCs w:val="24"/>
    </w:rPr>
  </w:style>
  <w:style w:type="paragraph" w:customStyle="1" w:styleId="tblshift">
    <w:name w:val="tblshift"/>
    <w:basedOn w:val="a2"/>
    <w:rsid w:val="00FA3FA4"/>
    <w:pPr>
      <w:widowControl/>
      <w:autoSpaceDE/>
      <w:autoSpaceDN/>
      <w:adjustRightInd/>
      <w:ind w:left="300"/>
    </w:pPr>
    <w:rPr>
      <w:sz w:val="24"/>
      <w:szCs w:val="24"/>
    </w:rPr>
  </w:style>
  <w:style w:type="paragraph" w:customStyle="1" w:styleId="figurelegend">
    <w:name w:val="figurelegend"/>
    <w:basedOn w:val="a2"/>
    <w:rsid w:val="00FA3FA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tblshift1">
    <w:name w:val="tblshift1"/>
    <w:basedOn w:val="a2"/>
    <w:rsid w:val="00FA3FA4"/>
    <w:pPr>
      <w:widowControl/>
      <w:autoSpaceDE/>
      <w:autoSpaceDN/>
      <w:adjustRightInd/>
      <w:ind w:left="600"/>
    </w:pPr>
    <w:rPr>
      <w:sz w:val="24"/>
      <w:szCs w:val="24"/>
    </w:rPr>
  </w:style>
  <w:style w:type="paragraph" w:customStyle="1" w:styleId="1f">
    <w:name w:val="Стиль1"/>
    <w:basedOn w:val="afb"/>
    <w:link w:val="1f0"/>
    <w:qFormat/>
    <w:rsid w:val="00FA3FA4"/>
    <w:pPr>
      <w:keepLines/>
      <w:framePr w:wrap="auto" w:vAnchor="margin" w:yAlign="inline"/>
      <w:widowControl/>
      <w:autoSpaceDE/>
      <w:autoSpaceDN/>
      <w:adjustRightInd/>
      <w:spacing w:after="0" w:line="276" w:lineRule="auto"/>
      <w:contextualSpacing w:val="0"/>
      <w:jc w:val="left"/>
      <w:outlineLvl w:val="9"/>
    </w:pPr>
    <w:rPr>
      <w:rFonts w:ascii="Cambria" w:hAnsi="Cambria"/>
    </w:rPr>
  </w:style>
  <w:style w:type="character" w:customStyle="1" w:styleId="afc">
    <w:name w:val="Заголовок оглавления Знак"/>
    <w:basedOn w:val="10"/>
    <w:link w:val="afb"/>
    <w:uiPriority w:val="39"/>
    <w:rsid w:val="00FA3FA4"/>
    <w:rPr>
      <w:rFonts w:asciiTheme="majorHAnsi" w:eastAsiaTheme="majorEastAsia" w:hAnsiTheme="majorHAnsi" w:cs="Arial"/>
      <w:b/>
      <w:bCs w:val="0"/>
      <w:kern w:val="32"/>
      <w:sz w:val="32"/>
      <w:szCs w:val="32"/>
      <w:lang w:eastAsia="ru-RU"/>
    </w:rPr>
  </w:style>
  <w:style w:type="character" w:customStyle="1" w:styleId="1f0">
    <w:name w:val="Стиль1 Знак"/>
    <w:basedOn w:val="afc"/>
    <w:link w:val="1f"/>
    <w:rsid w:val="00FA3FA4"/>
    <w:rPr>
      <w:rFonts w:ascii="Cambria" w:eastAsiaTheme="majorEastAsia" w:hAnsi="Cambria" w:cs="Arial"/>
      <w:b/>
      <w:bCs w:val="0"/>
      <w:kern w:val="32"/>
      <w:sz w:val="32"/>
      <w:szCs w:val="32"/>
      <w:lang w:eastAsia="ru-RU"/>
    </w:rPr>
  </w:style>
  <w:style w:type="character" w:customStyle="1" w:styleId="affffff0">
    <w:name w:val="Основной текст_"/>
    <w:basedOn w:val="a3"/>
    <w:link w:val="1f1"/>
    <w:rsid w:val="008F0C87"/>
    <w:rPr>
      <w:rFonts w:ascii="Times New Roman" w:hAnsi="Times New Roman"/>
      <w:sz w:val="18"/>
      <w:szCs w:val="18"/>
    </w:rPr>
  </w:style>
  <w:style w:type="character" w:customStyle="1" w:styleId="3f1">
    <w:name w:val="Заголовок №3_"/>
    <w:basedOn w:val="a3"/>
    <w:link w:val="3f2"/>
    <w:rsid w:val="008F0C87"/>
    <w:rPr>
      <w:rFonts w:ascii="Arial" w:eastAsia="Arial" w:hAnsi="Arial" w:cs="Arial"/>
      <w:b/>
      <w:bCs/>
      <w:sz w:val="22"/>
      <w:szCs w:val="22"/>
    </w:rPr>
  </w:style>
  <w:style w:type="character" w:customStyle="1" w:styleId="4a">
    <w:name w:val="Заголовок №4_"/>
    <w:basedOn w:val="a3"/>
    <w:link w:val="4b"/>
    <w:rsid w:val="008F0C87"/>
    <w:rPr>
      <w:rFonts w:ascii="Arial" w:eastAsia="Arial" w:hAnsi="Arial" w:cs="Arial"/>
      <w:b/>
      <w:bCs/>
      <w:sz w:val="19"/>
      <w:szCs w:val="19"/>
    </w:rPr>
  </w:style>
  <w:style w:type="paragraph" w:customStyle="1" w:styleId="1f1">
    <w:name w:val="Основной текст1"/>
    <w:basedOn w:val="a2"/>
    <w:link w:val="affffff0"/>
    <w:rsid w:val="008F0C87"/>
    <w:pPr>
      <w:autoSpaceDE/>
      <w:autoSpaceDN/>
      <w:adjustRightInd/>
      <w:ind w:firstLine="240"/>
    </w:pPr>
    <w:rPr>
      <w:sz w:val="18"/>
      <w:szCs w:val="18"/>
      <w:lang w:eastAsia="en-US"/>
    </w:rPr>
  </w:style>
  <w:style w:type="paragraph" w:customStyle="1" w:styleId="3f2">
    <w:name w:val="Заголовок №3"/>
    <w:basedOn w:val="a2"/>
    <w:link w:val="3f1"/>
    <w:rsid w:val="008F0C87"/>
    <w:pPr>
      <w:autoSpaceDE/>
      <w:autoSpaceDN/>
      <w:adjustRightInd/>
      <w:spacing w:after="60"/>
      <w:outlineLvl w:val="2"/>
    </w:pPr>
    <w:rPr>
      <w:rFonts w:ascii="Arial" w:eastAsia="Arial" w:hAnsi="Arial" w:cs="Arial"/>
      <w:b/>
      <w:bCs/>
      <w:sz w:val="22"/>
      <w:szCs w:val="22"/>
      <w:lang w:eastAsia="en-US"/>
    </w:rPr>
  </w:style>
  <w:style w:type="paragraph" w:customStyle="1" w:styleId="4b">
    <w:name w:val="Заголовок №4"/>
    <w:basedOn w:val="a2"/>
    <w:link w:val="4a"/>
    <w:rsid w:val="008F0C87"/>
    <w:pPr>
      <w:autoSpaceDE/>
      <w:autoSpaceDN/>
      <w:adjustRightInd/>
      <w:spacing w:line="218" w:lineRule="auto"/>
      <w:outlineLvl w:val="3"/>
    </w:pPr>
    <w:rPr>
      <w:rFonts w:ascii="Arial" w:eastAsia="Arial" w:hAnsi="Arial" w:cs="Arial"/>
      <w:b/>
      <w:bCs/>
      <w:sz w:val="19"/>
      <w:szCs w:val="19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3095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3822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1182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62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3852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18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8081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68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3965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38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64692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7906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9456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119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211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533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3605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63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8579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7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7868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96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3031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34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93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8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8957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tf23071820.dotx" TargetMode="External"/></Relationships>
</file>

<file path=word/theme/theme1.xml><?xml version="1.0" encoding="utf-8"?>
<a:theme xmlns:a="http://schemas.openxmlformats.org/drawingml/2006/main" name="Office Theme">
  <a:themeElements>
    <a:clrScheme name="Blue Green">
      <a:dk1>
        <a:sysClr val="windowText" lastClr="000000"/>
      </a:dk1>
      <a:lt1>
        <a:sysClr val="window" lastClr="FFFFFF"/>
      </a:lt1>
      <a:dk2>
        <a:srgbClr val="373545"/>
      </a:dk2>
      <a:lt2>
        <a:srgbClr val="CEDBE6"/>
      </a:lt2>
      <a:accent1>
        <a:srgbClr val="3494BA"/>
      </a:accent1>
      <a:accent2>
        <a:srgbClr val="58B6C0"/>
      </a:accent2>
      <a:accent3>
        <a:srgbClr val="75BDA7"/>
      </a:accent3>
      <a:accent4>
        <a:srgbClr val="7A8C8E"/>
      </a:accent4>
      <a:accent5>
        <a:srgbClr val="84ACB6"/>
      </a:accent5>
      <a:accent6>
        <a:srgbClr val="2683C6"/>
      </a:accent6>
      <a:hlink>
        <a:srgbClr val="6B9F25"/>
      </a:hlink>
      <a:folHlink>
        <a:srgbClr val="9F6715"/>
      </a:folHlink>
    </a:clrScheme>
    <a:fontScheme name="Custom 14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9677210f24a1be23c92c90fd886aa0aa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60e05723c5c1908df1a1a4ebf11d344e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64D29EE-BCA5-4847-AAAA-8D9E4282C1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F9A439-08CB-4BF0-B5C9-E9020D5951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ED00AEE-3F06-4626-AB25-35C6D09AE97B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5.xml><?xml version="1.0" encoding="utf-8"?>
<ds:datastoreItem xmlns:ds="http://schemas.openxmlformats.org/officeDocument/2006/customXml" ds:itemID="{5B95B243-6F89-4AB8-AF92-60DD4194F5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tf23071820.dotx</Template>
  <TotalTime>0</TotalTime>
  <Pages>14</Pages>
  <Words>5244</Words>
  <Characters>29894</Characters>
  <Application>Microsoft Office Word</Application>
  <DocSecurity>0</DocSecurity>
  <Lines>249</Lines>
  <Paragraphs>70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cp:lastModifiedBy/>
  <cp:revision>1</cp:revision>
  <dcterms:created xsi:type="dcterms:W3CDTF">2022-03-19T13:50:00Z</dcterms:created>
  <dcterms:modified xsi:type="dcterms:W3CDTF">2022-06-08T14:24:00Z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