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D8B" w:rsidRPr="001B1D0E" w:rsidRDefault="00DD6D8B" w:rsidP="003D4FEB">
      <w:pPr>
        <w:spacing w:line="360" w:lineRule="auto"/>
        <w:jc w:val="center"/>
        <w:rPr>
          <w:b/>
          <w:color w:val="002060"/>
          <w:sz w:val="24"/>
          <w:szCs w:val="24"/>
          <w:lang w:val="en-US"/>
        </w:rPr>
      </w:pPr>
      <w:bookmarkStart w:id="0" w:name="_Toc213118549"/>
      <w:bookmarkStart w:id="1" w:name="_Toc213164096"/>
      <w:r w:rsidRPr="001B1D0E">
        <w:rPr>
          <w:b/>
          <w:color w:val="002060"/>
          <w:sz w:val="24"/>
          <w:szCs w:val="24"/>
          <w:lang w:val="en-US"/>
        </w:rPr>
        <w:t>THE COURSE TITLE "ENDOCRINOLOGY: NEW ASPECTS IN DIAGNOSIS AND TREATMENT"</w:t>
      </w:r>
    </w:p>
    <w:p w:rsidR="00FA3FA4" w:rsidRPr="001B1D0E" w:rsidRDefault="009F7D3C" w:rsidP="003D4FEB">
      <w:pPr>
        <w:spacing w:line="360" w:lineRule="auto"/>
        <w:jc w:val="center"/>
        <w:rPr>
          <w:b/>
          <w:bCs/>
          <w:color w:val="002060"/>
          <w:sz w:val="24"/>
          <w:szCs w:val="24"/>
          <w:lang w:val="en-US"/>
        </w:rPr>
      </w:pPr>
      <w:r w:rsidRPr="001B1D0E">
        <w:rPr>
          <w:b/>
          <w:color w:val="002060"/>
          <w:sz w:val="24"/>
          <w:szCs w:val="24"/>
          <w:lang w:val="en-US"/>
        </w:rPr>
        <w:t>LECTURE</w:t>
      </w:r>
      <w:r w:rsidR="0062682A" w:rsidRPr="001B1D0E">
        <w:rPr>
          <w:b/>
          <w:color w:val="002060"/>
          <w:sz w:val="24"/>
          <w:szCs w:val="24"/>
          <w:lang w:val="en-US"/>
        </w:rPr>
        <w:t>_</w:t>
      </w:r>
      <w:r w:rsidR="00E25736" w:rsidRPr="001B1D0E">
        <w:rPr>
          <w:b/>
          <w:color w:val="002060"/>
          <w:sz w:val="24"/>
          <w:szCs w:val="24"/>
          <w:lang w:val="uz-Cyrl-UZ"/>
        </w:rPr>
        <w:t>1</w:t>
      </w:r>
      <w:r w:rsidR="006C639B" w:rsidRPr="001B1D0E">
        <w:rPr>
          <w:b/>
          <w:color w:val="002060"/>
          <w:sz w:val="24"/>
          <w:szCs w:val="24"/>
          <w:lang w:val="uz-Cyrl-UZ"/>
        </w:rPr>
        <w:t>4</w:t>
      </w:r>
      <w:r w:rsidR="003D4FEB">
        <w:rPr>
          <w:b/>
          <w:color w:val="002060"/>
          <w:sz w:val="24"/>
          <w:szCs w:val="24"/>
          <w:lang w:val="en-US"/>
        </w:rPr>
        <w:t>:</w:t>
      </w:r>
      <w:r w:rsidR="0062682A" w:rsidRPr="001B1D0E">
        <w:rPr>
          <w:rFonts w:eastAsiaTheme="minorEastAsia"/>
          <w:b/>
          <w:bCs/>
          <w:color w:val="002060"/>
          <w:kern w:val="24"/>
          <w:sz w:val="24"/>
          <w:szCs w:val="24"/>
          <w:lang w:val="en-US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  <w:r w:rsidR="006C639B" w:rsidRPr="001B1D0E">
        <w:rPr>
          <w:b/>
          <w:bCs/>
          <w:color w:val="002060"/>
          <w:sz w:val="24"/>
          <w:szCs w:val="24"/>
          <w:lang w:val="en-US"/>
        </w:rPr>
        <w:t>STEP-BY-STEP IMPLEMENTATION OF PRACTICAL SKILLS IN ENDOCRINOLOGY.</w:t>
      </w:r>
    </w:p>
    <w:p w:rsidR="00FA3FA4" w:rsidRPr="001B1D0E" w:rsidRDefault="0062682A" w:rsidP="003D4FEB">
      <w:pPr>
        <w:spacing w:line="360" w:lineRule="auto"/>
        <w:jc w:val="center"/>
        <w:rPr>
          <w:b/>
          <w:bCs/>
          <w:color w:val="002060"/>
          <w:sz w:val="24"/>
          <w:szCs w:val="24"/>
        </w:rPr>
      </w:pPr>
      <w:r w:rsidRPr="001B1D0E">
        <w:rPr>
          <w:b/>
          <w:bCs/>
          <w:color w:val="002060"/>
          <w:sz w:val="24"/>
          <w:szCs w:val="24"/>
        </w:rPr>
        <w:t>ТЕМА-</w:t>
      </w:r>
      <w:r w:rsidR="00E25736" w:rsidRPr="001B1D0E">
        <w:rPr>
          <w:b/>
          <w:bCs/>
          <w:color w:val="002060"/>
          <w:sz w:val="24"/>
          <w:szCs w:val="24"/>
          <w:lang w:val="uz-Cyrl-UZ"/>
        </w:rPr>
        <w:t>1</w:t>
      </w:r>
      <w:r w:rsidR="006C639B" w:rsidRPr="001B1D0E">
        <w:rPr>
          <w:b/>
          <w:bCs/>
          <w:color w:val="002060"/>
          <w:sz w:val="24"/>
          <w:szCs w:val="24"/>
          <w:lang w:val="uz-Cyrl-UZ"/>
        </w:rPr>
        <w:t>4</w:t>
      </w:r>
      <w:r w:rsidRPr="001B1D0E">
        <w:rPr>
          <w:b/>
          <w:bCs/>
          <w:color w:val="002060"/>
          <w:sz w:val="24"/>
          <w:szCs w:val="24"/>
        </w:rPr>
        <w:t xml:space="preserve">: </w:t>
      </w:r>
      <w:r w:rsidR="006C639B" w:rsidRPr="001B1D0E">
        <w:rPr>
          <w:b/>
          <w:bCs/>
          <w:color w:val="002060"/>
          <w:sz w:val="24"/>
          <w:szCs w:val="24"/>
        </w:rPr>
        <w:t>ПОШАГОВОЕ ВНЕДРЕНИЕ ПРАКТИЧЕСКИХ НАВЫКОВ В ОБЛАСТИ ЭНДОКРИНОЛОГИИ.</w:t>
      </w:r>
    </w:p>
    <w:p w:rsidR="00B43F0B" w:rsidRPr="001B1D0E" w:rsidRDefault="00B43F0B" w:rsidP="001B1D0E">
      <w:pPr>
        <w:jc w:val="both"/>
        <w:rPr>
          <w:b/>
          <w:bCs/>
          <w:color w:val="002060"/>
          <w:sz w:val="24"/>
          <w:szCs w:val="24"/>
        </w:rPr>
      </w:pPr>
    </w:p>
    <w:p w:rsidR="005D1C1F" w:rsidRPr="001B1D0E" w:rsidRDefault="005D1C1F" w:rsidP="003D4FEB">
      <w:pPr>
        <w:jc w:val="center"/>
        <w:rPr>
          <w:b/>
          <w:bCs/>
          <w:color w:val="002060"/>
          <w:sz w:val="24"/>
          <w:szCs w:val="24"/>
          <w:lang w:val="en-US"/>
        </w:rPr>
      </w:pPr>
      <w:r w:rsidRPr="001B1D0E">
        <w:rPr>
          <w:b/>
          <w:bCs/>
          <w:color w:val="002060"/>
          <w:sz w:val="24"/>
          <w:szCs w:val="24"/>
        </w:rPr>
        <w:t>План</w:t>
      </w:r>
      <w:r w:rsidRPr="001B1D0E">
        <w:rPr>
          <w:b/>
          <w:bCs/>
          <w:color w:val="002060"/>
          <w:sz w:val="24"/>
          <w:szCs w:val="24"/>
          <w:lang w:val="en-US"/>
        </w:rPr>
        <w:t xml:space="preserve"> </w:t>
      </w:r>
      <w:r w:rsidRPr="001B1D0E">
        <w:rPr>
          <w:b/>
          <w:bCs/>
          <w:color w:val="002060"/>
          <w:sz w:val="24"/>
          <w:szCs w:val="24"/>
        </w:rPr>
        <w:t>лекции</w:t>
      </w:r>
      <w:r w:rsidRPr="001B1D0E">
        <w:rPr>
          <w:b/>
          <w:bCs/>
          <w:color w:val="002060"/>
          <w:sz w:val="24"/>
          <w:szCs w:val="24"/>
          <w:lang w:val="en-US"/>
        </w:rPr>
        <w:t>:</w:t>
      </w:r>
    </w:p>
    <w:p w:rsidR="00FA3FA4" w:rsidRPr="001B1D0E" w:rsidRDefault="00FA3FA4" w:rsidP="001B1D0E">
      <w:pPr>
        <w:jc w:val="both"/>
        <w:rPr>
          <w:b/>
          <w:color w:val="00B050"/>
          <w:sz w:val="24"/>
          <w:szCs w:val="24"/>
          <w:lang w:val="en-US"/>
        </w:rPr>
      </w:pPr>
    </w:p>
    <w:p w:rsidR="009902D2" w:rsidRPr="001B1D0E" w:rsidRDefault="009C0E53" w:rsidP="001B1D0E">
      <w:pPr>
        <w:pStyle w:val="af8"/>
        <w:numPr>
          <w:ilvl w:val="0"/>
          <w:numId w:val="13"/>
        </w:numPr>
        <w:spacing w:after="160" w:line="259" w:lineRule="auto"/>
        <w:jc w:val="both"/>
        <w:rPr>
          <w:sz w:val="24"/>
          <w:szCs w:val="24"/>
        </w:rPr>
      </w:pPr>
      <w:r w:rsidRPr="001B1D0E">
        <w:rPr>
          <w:sz w:val="24"/>
          <w:szCs w:val="24"/>
        </w:rPr>
        <w:t xml:space="preserve">Исследование функции эндокринных желез с помощью стимуляционных и супрессивных проб. </w:t>
      </w:r>
    </w:p>
    <w:p w:rsidR="009902D2" w:rsidRPr="001B1D0E" w:rsidRDefault="009C0E53" w:rsidP="001B1D0E">
      <w:pPr>
        <w:pStyle w:val="af8"/>
        <w:numPr>
          <w:ilvl w:val="0"/>
          <w:numId w:val="13"/>
        </w:numPr>
        <w:spacing w:after="160" w:line="259" w:lineRule="auto"/>
        <w:jc w:val="both"/>
        <w:rPr>
          <w:sz w:val="24"/>
          <w:szCs w:val="24"/>
        </w:rPr>
      </w:pPr>
      <w:r w:rsidRPr="001B1D0E">
        <w:rPr>
          <w:sz w:val="24"/>
          <w:szCs w:val="24"/>
        </w:rPr>
        <w:t>Аденогипофиз.</w:t>
      </w:r>
    </w:p>
    <w:p w:rsidR="009902D2" w:rsidRPr="001B1D0E" w:rsidRDefault="009C0E53" w:rsidP="001B1D0E">
      <w:pPr>
        <w:pStyle w:val="af8"/>
        <w:numPr>
          <w:ilvl w:val="0"/>
          <w:numId w:val="13"/>
        </w:numPr>
        <w:spacing w:after="160" w:line="259" w:lineRule="auto"/>
        <w:jc w:val="both"/>
        <w:rPr>
          <w:sz w:val="24"/>
          <w:szCs w:val="24"/>
        </w:rPr>
      </w:pPr>
      <w:r w:rsidRPr="001B1D0E">
        <w:rPr>
          <w:sz w:val="24"/>
          <w:szCs w:val="24"/>
        </w:rPr>
        <w:t xml:space="preserve">Нейрогипофиз. </w:t>
      </w:r>
    </w:p>
    <w:p w:rsidR="009902D2" w:rsidRPr="001B1D0E" w:rsidRDefault="009C0E53" w:rsidP="001B1D0E">
      <w:pPr>
        <w:pStyle w:val="af8"/>
        <w:numPr>
          <w:ilvl w:val="0"/>
          <w:numId w:val="13"/>
        </w:numPr>
        <w:spacing w:after="160" w:line="259" w:lineRule="auto"/>
        <w:jc w:val="both"/>
        <w:rPr>
          <w:sz w:val="24"/>
          <w:szCs w:val="24"/>
        </w:rPr>
      </w:pPr>
      <w:r w:rsidRPr="001B1D0E">
        <w:rPr>
          <w:sz w:val="24"/>
          <w:szCs w:val="24"/>
        </w:rPr>
        <w:t xml:space="preserve">Эндокринный отдел поджелудочной железы. </w:t>
      </w:r>
    </w:p>
    <w:p w:rsidR="009902D2" w:rsidRPr="001B1D0E" w:rsidRDefault="009C0E53" w:rsidP="001B1D0E">
      <w:pPr>
        <w:pStyle w:val="af8"/>
        <w:numPr>
          <w:ilvl w:val="0"/>
          <w:numId w:val="13"/>
        </w:numPr>
        <w:spacing w:after="160" w:line="259" w:lineRule="auto"/>
        <w:jc w:val="both"/>
        <w:rPr>
          <w:sz w:val="24"/>
          <w:szCs w:val="24"/>
        </w:rPr>
      </w:pPr>
      <w:r w:rsidRPr="001B1D0E">
        <w:rPr>
          <w:sz w:val="24"/>
          <w:szCs w:val="24"/>
        </w:rPr>
        <w:t>Кора надпочечников.</w:t>
      </w:r>
    </w:p>
    <w:p w:rsidR="009902D2" w:rsidRPr="001B1D0E" w:rsidRDefault="009C0E53" w:rsidP="001B1D0E">
      <w:pPr>
        <w:pStyle w:val="af8"/>
        <w:numPr>
          <w:ilvl w:val="0"/>
          <w:numId w:val="13"/>
        </w:numPr>
        <w:spacing w:after="160" w:line="259" w:lineRule="auto"/>
        <w:jc w:val="both"/>
        <w:rPr>
          <w:sz w:val="24"/>
          <w:szCs w:val="24"/>
        </w:rPr>
      </w:pPr>
      <w:r w:rsidRPr="001B1D0E">
        <w:rPr>
          <w:sz w:val="24"/>
          <w:szCs w:val="24"/>
        </w:rPr>
        <w:t>Мозговое вещество надпочечников</w:t>
      </w:r>
    </w:p>
    <w:p w:rsidR="009902D2" w:rsidRPr="001B1D0E" w:rsidRDefault="009C0E53" w:rsidP="001B1D0E">
      <w:pPr>
        <w:pStyle w:val="af8"/>
        <w:numPr>
          <w:ilvl w:val="0"/>
          <w:numId w:val="13"/>
        </w:numPr>
        <w:spacing w:after="160" w:line="259" w:lineRule="auto"/>
        <w:jc w:val="both"/>
        <w:rPr>
          <w:sz w:val="24"/>
          <w:szCs w:val="24"/>
        </w:rPr>
      </w:pPr>
      <w:r w:rsidRPr="001B1D0E">
        <w:rPr>
          <w:sz w:val="24"/>
          <w:szCs w:val="24"/>
        </w:rPr>
        <w:t>Щитовидная железа</w:t>
      </w:r>
    </w:p>
    <w:p w:rsidR="00AD04A1" w:rsidRPr="001B1D0E" w:rsidRDefault="00280C04" w:rsidP="001B1D0E">
      <w:pPr>
        <w:pStyle w:val="af8"/>
        <w:widowControl/>
        <w:numPr>
          <w:ilvl w:val="0"/>
          <w:numId w:val="13"/>
        </w:numPr>
        <w:autoSpaceDE/>
        <w:autoSpaceDN/>
        <w:adjustRightInd/>
        <w:spacing w:after="160" w:line="259" w:lineRule="auto"/>
        <w:jc w:val="both"/>
        <w:rPr>
          <w:sz w:val="24"/>
          <w:szCs w:val="24"/>
        </w:rPr>
      </w:pPr>
      <w:r w:rsidRPr="001B1D0E">
        <w:rPr>
          <w:sz w:val="24"/>
          <w:szCs w:val="24"/>
        </w:rPr>
        <w:t>Литература</w:t>
      </w:r>
      <w:bookmarkEnd w:id="0"/>
      <w:bookmarkEnd w:id="1"/>
    </w:p>
    <w:p w:rsidR="00AD04A1" w:rsidRPr="00951D01" w:rsidRDefault="00AD04A1" w:rsidP="001B1D0E">
      <w:pPr>
        <w:widowControl/>
        <w:autoSpaceDE/>
        <w:autoSpaceDN/>
        <w:adjustRightInd/>
        <w:spacing w:before="100" w:beforeAutospacing="1" w:after="100" w:afterAutospacing="1"/>
        <w:jc w:val="both"/>
        <w:outlineLvl w:val="1"/>
        <w:rPr>
          <w:sz w:val="32"/>
          <w:szCs w:val="24"/>
        </w:rPr>
      </w:pPr>
      <w:r w:rsidRPr="00951D01">
        <w:rPr>
          <w:bCs/>
          <w:sz w:val="32"/>
          <w:szCs w:val="24"/>
        </w:rPr>
        <w:t xml:space="preserve">План </w:t>
      </w:r>
      <w:r w:rsidRPr="00951D01">
        <w:rPr>
          <w:bCs/>
          <w:sz w:val="32"/>
          <w:szCs w:val="24"/>
          <w:lang w:val="uz-Latn-UZ"/>
        </w:rPr>
        <w:t>1</w:t>
      </w:r>
      <w:r w:rsidR="0080454F">
        <w:rPr>
          <w:bCs/>
          <w:sz w:val="32"/>
          <w:szCs w:val="24"/>
          <w:lang w:val="uz-Cyrl-UZ"/>
        </w:rPr>
        <w:t>,2</w:t>
      </w:r>
      <w:r w:rsidRPr="00951D01">
        <w:rPr>
          <w:bCs/>
          <w:sz w:val="32"/>
          <w:szCs w:val="24"/>
          <w:lang w:val="uz-Cyrl-UZ"/>
        </w:rPr>
        <w:t xml:space="preserve"> </w:t>
      </w:r>
      <w:r w:rsidRPr="00951D01">
        <w:rPr>
          <w:bCs/>
          <w:sz w:val="32"/>
          <w:szCs w:val="24"/>
        </w:rPr>
        <w:t>Исследование функции эндокринных желез с помощью стимуляционных и супрессивных проб.</w:t>
      </w:r>
      <w:r w:rsidR="0080454F" w:rsidRPr="0080454F">
        <w:rPr>
          <w:bCs/>
          <w:sz w:val="32"/>
          <w:szCs w:val="24"/>
        </w:rPr>
        <w:t xml:space="preserve"> </w:t>
      </w:r>
      <w:r w:rsidR="0080454F" w:rsidRPr="00951D01">
        <w:rPr>
          <w:bCs/>
          <w:sz w:val="32"/>
          <w:szCs w:val="24"/>
        </w:rPr>
        <w:t>Аденогипофиз.</w:t>
      </w:r>
    </w:p>
    <w:p w:rsidR="00AD04A1" w:rsidRPr="001B1D0E" w:rsidRDefault="00AD04A1" w:rsidP="00951D01">
      <w:pPr>
        <w:pStyle w:val="Default"/>
        <w:jc w:val="both"/>
        <w:rPr>
          <w:rFonts w:ascii="Times New Roman" w:hAnsi="Times New Roman" w:cs="Times New Roman"/>
        </w:rPr>
      </w:pPr>
      <w:bookmarkStart w:id="2" w:name="_GoBack"/>
      <w:bookmarkEnd w:id="2"/>
      <w:r w:rsidRPr="001B1D0E">
        <w:rPr>
          <w:rFonts w:ascii="Times New Roman" w:hAnsi="Times New Roman" w:cs="Times New Roman"/>
          <w:b/>
          <w:bCs/>
        </w:rPr>
        <w:t xml:space="preserve">Оценка секреции СТГ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А. Проба с леводофой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1. Принцип. </w:t>
      </w:r>
      <w:r w:rsidRPr="001B1D0E">
        <w:rPr>
          <w:rFonts w:ascii="Times New Roman" w:hAnsi="Times New Roman" w:cs="Times New Roman"/>
        </w:rPr>
        <w:t xml:space="preserve">Леводофа стимулирует секрецию соматолиберина и подавляет секрецию соматостатина, поэтому в норме после приема леводофы уровень СТГ повышается. При гипофункции соматолиберинсекретирующих нейронов гипоталамуса или соматотропных клеток аденогипофиза уровень СТГ не повышается либо повышается незначительно.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2. Методика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а. </w:t>
      </w:r>
      <w:r w:rsidRPr="001B1D0E">
        <w:rPr>
          <w:rFonts w:ascii="Times New Roman" w:hAnsi="Times New Roman" w:cs="Times New Roman"/>
        </w:rPr>
        <w:t xml:space="preserve">Пробу проводят утром натощак.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б. </w:t>
      </w:r>
      <w:r w:rsidRPr="001B1D0E">
        <w:rPr>
          <w:rFonts w:ascii="Times New Roman" w:hAnsi="Times New Roman" w:cs="Times New Roman"/>
        </w:rPr>
        <w:t xml:space="preserve">В вену устанавливают иглу-бабочку или катетер; берут кровь для определения базального уровня СТГ.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в. </w:t>
      </w:r>
      <w:r w:rsidRPr="001B1D0E">
        <w:rPr>
          <w:rFonts w:ascii="Times New Roman" w:hAnsi="Times New Roman" w:cs="Times New Roman"/>
        </w:rPr>
        <w:t xml:space="preserve">Дают 500 мг леводофы внутрь.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г. </w:t>
      </w:r>
      <w:r w:rsidRPr="001B1D0E">
        <w:rPr>
          <w:rFonts w:ascii="Times New Roman" w:hAnsi="Times New Roman" w:cs="Times New Roman"/>
        </w:rPr>
        <w:t xml:space="preserve">Через 30, 60, 90 и 120 мин после приема леводофы берут кровь.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д. </w:t>
      </w:r>
      <w:r w:rsidRPr="001B1D0E">
        <w:rPr>
          <w:rFonts w:ascii="Times New Roman" w:hAnsi="Times New Roman" w:cs="Times New Roman"/>
        </w:rPr>
        <w:t xml:space="preserve">Определяют концентрацию СТГ в сыворотке.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3. Оценка результатов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а. </w:t>
      </w:r>
      <w:r w:rsidRPr="001B1D0E">
        <w:rPr>
          <w:rFonts w:ascii="Times New Roman" w:hAnsi="Times New Roman" w:cs="Times New Roman"/>
        </w:rPr>
        <w:t xml:space="preserve">Прирост концентрации СТГ </w:t>
      </w:r>
      <w:r w:rsidRPr="001B1D0E">
        <w:rPr>
          <w:rFonts w:ascii="Times New Roman" w:hAnsi="Times New Roman" w:cs="Times New Roman"/>
        </w:rPr>
        <w:t xml:space="preserve"> 5 нг/мл либо концентрация СТГ </w:t>
      </w:r>
      <w:r w:rsidRPr="001B1D0E">
        <w:rPr>
          <w:rFonts w:ascii="Times New Roman" w:hAnsi="Times New Roman" w:cs="Times New Roman"/>
        </w:rPr>
        <w:t xml:space="preserve"> 10 нг/мл в любой пробе: </w:t>
      </w:r>
      <w:r w:rsidRPr="001B1D0E">
        <w:rPr>
          <w:rFonts w:ascii="Times New Roman" w:hAnsi="Times New Roman" w:cs="Times New Roman"/>
          <w:b/>
          <w:bCs/>
        </w:rPr>
        <w:t xml:space="preserve">дефицит СТГ исключен.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б. </w:t>
      </w:r>
      <w:r w:rsidRPr="001B1D0E">
        <w:rPr>
          <w:rFonts w:ascii="Times New Roman" w:hAnsi="Times New Roman" w:cs="Times New Roman"/>
        </w:rPr>
        <w:t xml:space="preserve">Прирост концентрации СТГ &lt; 5 нг/мл и максимальная концентрация СТГ &lt; 5 нг/мл: </w:t>
      </w:r>
      <w:r w:rsidRPr="001B1D0E">
        <w:rPr>
          <w:rFonts w:ascii="Times New Roman" w:hAnsi="Times New Roman" w:cs="Times New Roman"/>
          <w:b/>
          <w:bCs/>
        </w:rPr>
        <w:t xml:space="preserve">дефицит СТГ вероятен.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в. </w:t>
      </w:r>
      <w:r w:rsidRPr="001B1D0E">
        <w:rPr>
          <w:rFonts w:ascii="Times New Roman" w:hAnsi="Times New Roman" w:cs="Times New Roman"/>
        </w:rPr>
        <w:t xml:space="preserve">Максимальная концентрация СТГ в пределах 5—9,9 нг/мл: </w:t>
      </w:r>
      <w:r w:rsidRPr="001B1D0E">
        <w:rPr>
          <w:rFonts w:ascii="Times New Roman" w:hAnsi="Times New Roman" w:cs="Times New Roman"/>
          <w:b/>
          <w:bCs/>
        </w:rPr>
        <w:t xml:space="preserve">спорный результат.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lastRenderedPageBreak/>
        <w:t xml:space="preserve">г. </w:t>
      </w:r>
      <w:r w:rsidRPr="001B1D0E">
        <w:rPr>
          <w:rFonts w:ascii="Times New Roman" w:hAnsi="Times New Roman" w:cs="Times New Roman"/>
        </w:rPr>
        <w:t xml:space="preserve">Секреторная реакция на леводофу снижена при гипотиреозе, надпочечниковом синдроме Кушинга, гипергликемии, ожирении и депрессии и подавляется пиридоксином, метилдофой, хлорпромазином и нейролептиками. Примерно у 15% здоровых людей секреция СТГ не усиливается в ответ на леводофу.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д. </w:t>
      </w:r>
      <w:r w:rsidRPr="001B1D0E">
        <w:rPr>
          <w:rFonts w:ascii="Times New Roman" w:hAnsi="Times New Roman" w:cs="Times New Roman"/>
        </w:rPr>
        <w:t xml:space="preserve">Для подтверждения дефицита СТГ требуется провести еще одну стимуляционную пробу </w:t>
      </w:r>
      <w:r w:rsidRPr="001B1D0E">
        <w:rPr>
          <w:rFonts w:ascii="Times New Roman" w:hAnsi="Times New Roman" w:cs="Times New Roman"/>
          <w:b/>
          <w:bCs/>
        </w:rPr>
        <w:t xml:space="preserve">с другим </w:t>
      </w:r>
      <w:r w:rsidRPr="001B1D0E">
        <w:rPr>
          <w:rFonts w:ascii="Times New Roman" w:hAnsi="Times New Roman" w:cs="Times New Roman"/>
        </w:rPr>
        <w:t xml:space="preserve">стимулятором секреции СТГ (см. ниже).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4. Меры предосторожности. </w:t>
      </w:r>
      <w:r w:rsidRPr="001B1D0E">
        <w:rPr>
          <w:rFonts w:ascii="Times New Roman" w:hAnsi="Times New Roman" w:cs="Times New Roman"/>
        </w:rPr>
        <w:t xml:space="preserve">Изредка отмечаются тошнота, рвота, головокружение, головная боль. Поэтому обследуемый во время и после пробы должен лежать. Больным с ИБС леводофу назначают с осторожностью.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Б. Проба с аргинином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1. Принцип. </w:t>
      </w:r>
      <w:r w:rsidRPr="001B1D0E">
        <w:rPr>
          <w:rFonts w:ascii="Times New Roman" w:hAnsi="Times New Roman" w:cs="Times New Roman"/>
        </w:rPr>
        <w:t xml:space="preserve">Аргинин подавляет секрецию соматостатина, поэтому в норме после введения аргинина уровень СТГ повышается. При дисфункции соматотропных клеток аденогипофиза уровень СТГ не повышается или повышается незначительно.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2. Методика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а. </w:t>
      </w:r>
      <w:r w:rsidRPr="001B1D0E">
        <w:rPr>
          <w:rFonts w:ascii="Times New Roman" w:hAnsi="Times New Roman" w:cs="Times New Roman"/>
        </w:rPr>
        <w:t xml:space="preserve">Пробу проводят утром натощак.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б. </w:t>
      </w:r>
      <w:r w:rsidRPr="001B1D0E">
        <w:rPr>
          <w:rFonts w:ascii="Times New Roman" w:hAnsi="Times New Roman" w:cs="Times New Roman"/>
        </w:rPr>
        <w:t xml:space="preserve">Устанавливают инфузионную систему; берут кровь для определения базального уровня СТГ. </w:t>
      </w:r>
    </w:p>
    <w:p w:rsidR="00AD04A1" w:rsidRPr="001B1D0E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1B1D0E">
        <w:rPr>
          <w:rFonts w:ascii="Times New Roman" w:hAnsi="Times New Roman" w:cs="Times New Roman"/>
          <w:b/>
          <w:bCs/>
        </w:rPr>
        <w:t xml:space="preserve">в. </w:t>
      </w:r>
      <w:r w:rsidRPr="001B1D0E">
        <w:rPr>
          <w:rFonts w:ascii="Times New Roman" w:hAnsi="Times New Roman" w:cs="Times New Roman"/>
        </w:rPr>
        <w:t xml:space="preserve">Вводят аргинина гидрохлорид в/в, 0,5 г/кг (но не более 30 г) в течение 30 мин. </w:t>
      </w:r>
    </w:p>
    <w:p w:rsidR="00AD04A1" w:rsidRPr="001B1D0E" w:rsidRDefault="00AD04A1" w:rsidP="001B1D0E">
      <w:pPr>
        <w:pStyle w:val="Default"/>
        <w:jc w:val="both"/>
        <w:rPr>
          <w:rFonts w:ascii="Times New Roman" w:hAnsi="Times New Roman" w:cs="Times New Roman"/>
        </w:rPr>
      </w:pPr>
    </w:p>
    <w:p w:rsidR="00AD04A1" w:rsidRPr="00951D01" w:rsidRDefault="00AD04A1" w:rsidP="001B1D0E">
      <w:pPr>
        <w:widowControl/>
        <w:autoSpaceDE/>
        <w:autoSpaceDN/>
        <w:adjustRightInd/>
        <w:spacing w:before="100" w:beforeAutospacing="1" w:after="100" w:afterAutospacing="1"/>
        <w:jc w:val="both"/>
        <w:outlineLvl w:val="1"/>
        <w:rPr>
          <w:bCs/>
          <w:sz w:val="32"/>
          <w:szCs w:val="24"/>
        </w:rPr>
      </w:pPr>
      <w:r w:rsidRPr="00951D01">
        <w:rPr>
          <w:bCs/>
          <w:sz w:val="32"/>
          <w:szCs w:val="24"/>
        </w:rPr>
        <w:t xml:space="preserve">План </w:t>
      </w:r>
      <w:r w:rsidRPr="00951D01">
        <w:rPr>
          <w:bCs/>
          <w:sz w:val="32"/>
          <w:szCs w:val="24"/>
          <w:lang w:val="uz-Cyrl-UZ"/>
        </w:rPr>
        <w:t>3</w:t>
      </w:r>
      <w:r w:rsidRPr="00951D01">
        <w:rPr>
          <w:bCs/>
          <w:sz w:val="32"/>
          <w:szCs w:val="24"/>
        </w:rPr>
        <w:t xml:space="preserve">. Нейрогипофиз. </w:t>
      </w:r>
    </w:p>
    <w:p w:rsidR="00AD04A1" w:rsidRPr="001B1D0E" w:rsidRDefault="00AD04A1" w:rsidP="001B1D0E">
      <w:pPr>
        <w:widowControl/>
        <w:jc w:val="both"/>
        <w:rPr>
          <w:color w:val="000000"/>
          <w:sz w:val="24"/>
          <w:szCs w:val="24"/>
          <w:lang w:eastAsia="en-US"/>
        </w:rPr>
      </w:pPr>
    </w:p>
    <w:p w:rsidR="00AD04A1" w:rsidRPr="001B1D0E" w:rsidRDefault="00AD04A1" w:rsidP="001B1D0E">
      <w:pPr>
        <w:widowControl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 Дифференциальный диагноз несахарного диабета </w:t>
      </w:r>
    </w:p>
    <w:p w:rsidR="00AD04A1" w:rsidRPr="001B1D0E" w:rsidRDefault="00AD04A1" w:rsidP="00951D01">
      <w:pPr>
        <w:widowControl/>
        <w:ind w:firstLine="567"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А. Проба с лишением жидкости </w:t>
      </w:r>
    </w:p>
    <w:p w:rsidR="00AD04A1" w:rsidRPr="001B1D0E" w:rsidRDefault="00AD04A1" w:rsidP="00951D01">
      <w:pPr>
        <w:widowControl/>
        <w:ind w:firstLine="567"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1. Принцип. </w:t>
      </w:r>
      <w:r w:rsidRPr="001B1D0E">
        <w:rPr>
          <w:color w:val="000000"/>
          <w:sz w:val="24"/>
          <w:szCs w:val="24"/>
          <w:lang w:eastAsia="en-US"/>
        </w:rPr>
        <w:t xml:space="preserve">Дегидратация повышает осмоляльность плазмы. Осмоляльность &gt; 295 мосмоль/кг служит мощным стимулом секреции АДГ. О повышении осмоляльности плазмы косвенно судят по повышению осмоляльности мочи. </w:t>
      </w:r>
    </w:p>
    <w:p w:rsidR="00AD04A1" w:rsidRPr="001B1D0E" w:rsidRDefault="00AD04A1" w:rsidP="00951D01">
      <w:pPr>
        <w:widowControl/>
        <w:ind w:firstLine="567"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2. Методика </w:t>
      </w:r>
    </w:p>
    <w:p w:rsidR="00AD04A1" w:rsidRPr="001B1D0E" w:rsidRDefault="00AD04A1" w:rsidP="00951D01">
      <w:pPr>
        <w:widowControl/>
        <w:ind w:firstLine="567"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а. </w:t>
      </w:r>
      <w:r w:rsidRPr="001B1D0E">
        <w:rPr>
          <w:color w:val="000000"/>
          <w:sz w:val="24"/>
          <w:szCs w:val="24"/>
          <w:lang w:eastAsia="en-US"/>
        </w:rPr>
        <w:t xml:space="preserve">Исследование проводят только в стационаре. Непрерывно наблюдают за больным (во-первых, контролируют его состояние, во-вторых, следят, чтобы он не потреблял жидкость). </w:t>
      </w:r>
    </w:p>
    <w:p w:rsidR="00AD04A1" w:rsidRPr="001B1D0E" w:rsidRDefault="00AD04A1" w:rsidP="00951D01">
      <w:pPr>
        <w:widowControl/>
        <w:ind w:firstLine="567"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б. </w:t>
      </w:r>
      <w:r w:rsidRPr="001B1D0E">
        <w:rPr>
          <w:color w:val="000000"/>
          <w:sz w:val="24"/>
          <w:szCs w:val="24"/>
          <w:lang w:eastAsia="en-US"/>
        </w:rPr>
        <w:t xml:space="preserve">В 6:00 больного взвешивают и прекращают прием жидкости. </w:t>
      </w:r>
    </w:p>
    <w:p w:rsidR="00AD04A1" w:rsidRPr="001B1D0E" w:rsidRDefault="00AD04A1" w:rsidP="00951D01">
      <w:pPr>
        <w:widowControl/>
        <w:ind w:firstLine="567"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в. </w:t>
      </w:r>
      <w:r w:rsidRPr="001B1D0E">
        <w:rPr>
          <w:color w:val="000000"/>
          <w:sz w:val="24"/>
          <w:szCs w:val="24"/>
          <w:lang w:eastAsia="en-US"/>
        </w:rPr>
        <w:t xml:space="preserve">Ежечасно берут мочу, измеряют ее осмоляльность и взвешивают больного. Дегидратация, достаточная для стимуляции секреции АДГ, наступает через 4—18 ч после начала пробы (обычно через 6—9 ч). </w:t>
      </w:r>
    </w:p>
    <w:p w:rsidR="00AD04A1" w:rsidRPr="001B1D0E" w:rsidRDefault="00AD04A1" w:rsidP="00951D01">
      <w:pPr>
        <w:widowControl/>
        <w:ind w:firstLine="567"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г. </w:t>
      </w:r>
      <w:r w:rsidRPr="001B1D0E">
        <w:rPr>
          <w:color w:val="000000"/>
          <w:sz w:val="24"/>
          <w:szCs w:val="24"/>
          <w:lang w:eastAsia="en-US"/>
        </w:rPr>
        <w:t xml:space="preserve">Когда разность осмоляльности мочи в двух последовательных пробах станет меньше 30 мосмоль/кг или когда больной потеряет 5% веса, берут кровь для определения осмоляльности плазмы и еще раз взвешивают больного. </w:t>
      </w:r>
    </w:p>
    <w:p w:rsidR="00AD04A1" w:rsidRPr="001B1D0E" w:rsidRDefault="00AD04A1" w:rsidP="00951D01">
      <w:pPr>
        <w:widowControl/>
        <w:ind w:firstLine="567"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д. </w:t>
      </w:r>
      <w:r w:rsidRPr="001B1D0E">
        <w:rPr>
          <w:color w:val="000000"/>
          <w:sz w:val="24"/>
          <w:szCs w:val="24"/>
          <w:lang w:eastAsia="en-US"/>
        </w:rPr>
        <w:t xml:space="preserve">В этот же момент вводят АДГ п/к. Обычно используют синтетические аналоги АДГ: аргипрессин в дозе 5 ед либо десмопрессина ацетат в дозе 1 мкг. </w:t>
      </w:r>
    </w:p>
    <w:p w:rsidR="00AD04A1" w:rsidRPr="001B1D0E" w:rsidRDefault="00AD04A1" w:rsidP="00951D01">
      <w:pPr>
        <w:widowControl/>
        <w:ind w:firstLine="567"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е. </w:t>
      </w:r>
      <w:r w:rsidRPr="001B1D0E">
        <w:rPr>
          <w:color w:val="000000"/>
          <w:sz w:val="24"/>
          <w:szCs w:val="24"/>
          <w:lang w:eastAsia="en-US"/>
        </w:rPr>
        <w:t xml:space="preserve">Через 30 и 60 мин после введения АДГ берут мочу и кровь, определяют осмоляльность мочи и плазмы. </w:t>
      </w:r>
    </w:p>
    <w:p w:rsidR="00AD04A1" w:rsidRPr="001B1D0E" w:rsidRDefault="00AD04A1" w:rsidP="00951D01">
      <w:pPr>
        <w:widowControl/>
        <w:ind w:firstLine="567"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3. Оценка результатов </w:t>
      </w:r>
    </w:p>
    <w:p w:rsidR="00AD04A1" w:rsidRPr="001B1D0E" w:rsidRDefault="00AD04A1" w:rsidP="00951D01">
      <w:pPr>
        <w:widowControl/>
        <w:ind w:firstLine="567"/>
        <w:jc w:val="both"/>
        <w:rPr>
          <w:color w:val="000000"/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lastRenderedPageBreak/>
        <w:t xml:space="preserve">а. Норма. </w:t>
      </w:r>
      <w:r w:rsidRPr="001B1D0E">
        <w:rPr>
          <w:color w:val="000000"/>
          <w:sz w:val="24"/>
          <w:szCs w:val="24"/>
          <w:lang w:eastAsia="en-US"/>
        </w:rPr>
        <w:t xml:space="preserve">Осмоляльность мочи достигает 800—1400 мосмоль/кг и не возрастает (либо возрастает менее чем на 9%) после введения АДГ. Максимальная осмоляльность мочи превышает осмоляльность плазмы как перед введением, так и после введения АДГ.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color w:val="000000"/>
          <w:sz w:val="24"/>
          <w:szCs w:val="24"/>
          <w:lang w:eastAsia="en-US"/>
        </w:rPr>
        <w:t xml:space="preserve">б. Нервная полидипсия. </w:t>
      </w:r>
      <w:r w:rsidRPr="001B1D0E">
        <w:rPr>
          <w:color w:val="000000"/>
          <w:sz w:val="24"/>
          <w:szCs w:val="24"/>
          <w:lang w:eastAsia="en-US"/>
        </w:rPr>
        <w:t xml:space="preserve">У больных с нервной полидипсией (которую называют также первичной полидипсией или дипсогенным несахарным диабетом) нередко </w:t>
      </w:r>
      <w:r w:rsidRPr="001B1D0E">
        <w:rPr>
          <w:sz w:val="24"/>
          <w:szCs w:val="24"/>
          <w:lang w:eastAsia="en-US"/>
        </w:rPr>
        <w:t xml:space="preserve">имеется тяжелая перегрузка объемом. Поэтому проходит 16 ч и более, прежде чем активируется секреция АДГ и моча начинает концентрироваться. Если, несмотря на явную дегидратацию, осмоляльность мочи не достигает 300 мосмоль/кг (т. е. не превышает осмоляльность плазмы), дипсогенный несахарный диабет можно исключить.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в. Центральный несахарный диабет </w:t>
      </w:r>
      <w:r w:rsidRPr="001B1D0E">
        <w:rPr>
          <w:sz w:val="24"/>
          <w:szCs w:val="24"/>
          <w:lang w:eastAsia="en-US"/>
        </w:rPr>
        <w:t xml:space="preserve">(тяжелый дефицит АДГ). Максимальная осмоляльность мочи ниже, чем осмоляльность плазмы, но после введения АДГ осмоляльность мочи увеличивается более чем на 50%.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г. Нефрогенный несахарный диабет. </w:t>
      </w:r>
      <w:r w:rsidRPr="001B1D0E">
        <w:rPr>
          <w:sz w:val="24"/>
          <w:szCs w:val="24"/>
          <w:lang w:eastAsia="en-US"/>
        </w:rPr>
        <w:t xml:space="preserve">Как и при центральном несахарном диабете, максимальная осмоляльность мочи ниже, чем осмоляльность плазмы, но после введения АДГ осмоляльность мочи увеличивается не более чем на 45%.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д. Частичный центральный несахарный диабет </w:t>
      </w:r>
      <w:r w:rsidRPr="001B1D0E">
        <w:rPr>
          <w:sz w:val="24"/>
          <w:szCs w:val="24"/>
          <w:lang w:eastAsia="en-US"/>
        </w:rPr>
        <w:t xml:space="preserve">(частичный дефицит АДГ). У таких больных способность к концентрированию мочи частично сохраняется, поэтому максимальная осмоляльность мочи превышает осмоляльность плазмы, но после введения АДГ достоверно возрастает (более чем на 9%).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е. При тяжелых заболеваниях </w:t>
      </w:r>
      <w:r w:rsidRPr="001B1D0E">
        <w:rPr>
          <w:sz w:val="24"/>
          <w:szCs w:val="24"/>
          <w:lang w:eastAsia="en-US"/>
        </w:rPr>
        <w:t xml:space="preserve">максимальная осмоляльность мочи может быть низкой (450—800 мосмоль/кг), но реакция на АДГ остается нормальной.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ж. </w:t>
      </w:r>
      <w:r w:rsidRPr="001B1D0E">
        <w:rPr>
          <w:sz w:val="24"/>
          <w:szCs w:val="24"/>
          <w:lang w:eastAsia="en-US"/>
        </w:rPr>
        <w:t xml:space="preserve">Если осмоляльность мочи и осмоляльность плазмы не увеличиваются, а вес тела не уменьшается в соответствии с объемом выделенной мочи, следует заподозрить, что больной тайком пьет воду.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4. Меры предосторожности. </w:t>
      </w:r>
      <w:r w:rsidRPr="001B1D0E">
        <w:rPr>
          <w:sz w:val="24"/>
          <w:szCs w:val="24"/>
          <w:lang w:eastAsia="en-US"/>
        </w:rPr>
        <w:t xml:space="preserve">У больных центральным и нефрогенным несахарным диабетом во время исследования может развиться тяжелая дегидратация со значительной потерей веса. Поэтому исследование прекращают, если вес уменьшится более чем на 5%. У некоторых больных симптомы тяжелой дегидратации появляются при потере всего 3—5% жидкости. В таких случаях исследование прерывают и проводят регидратационную терапию. </w:t>
      </w:r>
    </w:p>
    <w:p w:rsidR="00AD04A1" w:rsidRPr="001B1D0E" w:rsidRDefault="00AD04A1" w:rsidP="001B1D0E">
      <w:pPr>
        <w:widowControl/>
        <w:jc w:val="both"/>
        <w:rPr>
          <w:sz w:val="24"/>
          <w:szCs w:val="24"/>
          <w:lang w:eastAsia="en-US"/>
        </w:rPr>
      </w:pPr>
    </w:p>
    <w:p w:rsidR="00AD04A1" w:rsidRPr="00951D01" w:rsidRDefault="00AD04A1" w:rsidP="001B1D0E">
      <w:pPr>
        <w:widowControl/>
        <w:autoSpaceDE/>
        <w:autoSpaceDN/>
        <w:adjustRightInd/>
        <w:spacing w:before="100" w:beforeAutospacing="1" w:after="100" w:afterAutospacing="1"/>
        <w:jc w:val="both"/>
        <w:outlineLvl w:val="1"/>
        <w:rPr>
          <w:bCs/>
          <w:sz w:val="32"/>
          <w:szCs w:val="24"/>
        </w:rPr>
      </w:pPr>
      <w:bookmarkStart w:id="3" w:name="_Toc213118551"/>
      <w:bookmarkStart w:id="4" w:name="_Toc213164098"/>
      <w:r w:rsidRPr="00951D01">
        <w:rPr>
          <w:bCs/>
          <w:sz w:val="32"/>
          <w:szCs w:val="24"/>
        </w:rPr>
        <w:t xml:space="preserve">План </w:t>
      </w:r>
      <w:r w:rsidRPr="00951D01">
        <w:rPr>
          <w:bCs/>
          <w:sz w:val="32"/>
          <w:szCs w:val="24"/>
          <w:lang w:val="uz-Cyrl-UZ"/>
        </w:rPr>
        <w:t>4</w:t>
      </w:r>
      <w:r w:rsidRPr="00951D01">
        <w:rPr>
          <w:bCs/>
          <w:sz w:val="32"/>
          <w:szCs w:val="24"/>
        </w:rPr>
        <w:t xml:space="preserve">. </w:t>
      </w:r>
      <w:bookmarkEnd w:id="3"/>
      <w:bookmarkEnd w:id="4"/>
      <w:r w:rsidRPr="00951D01">
        <w:rPr>
          <w:bCs/>
          <w:sz w:val="32"/>
          <w:szCs w:val="24"/>
        </w:rPr>
        <w:t xml:space="preserve">Эндокринный отдел поджелудочной железы.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Диагностика сахарного диабета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Общие сведения. </w:t>
      </w:r>
      <w:r w:rsidRPr="00951D01">
        <w:rPr>
          <w:sz w:val="24"/>
          <w:szCs w:val="24"/>
          <w:lang w:eastAsia="en-US"/>
        </w:rPr>
        <w:t xml:space="preserve">В 1998 г. Американская диабетическая ассоциация предложила следующие критерии диагноза сахарного диабета: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Концентрация глюкозы в случайно взятой пробе плазмы </w:t>
      </w:r>
      <w:r w:rsidRPr="00951D01">
        <w:rPr>
          <w:sz w:val="24"/>
          <w:szCs w:val="24"/>
          <w:lang w:eastAsia="en-US"/>
        </w:rPr>
        <w:t xml:space="preserve"> </w:t>
      </w:r>
      <w:r w:rsidRPr="00951D01">
        <w:rPr>
          <w:b/>
          <w:bCs/>
          <w:sz w:val="24"/>
          <w:szCs w:val="24"/>
          <w:lang w:eastAsia="en-US"/>
        </w:rPr>
        <w:t xml:space="preserve">11,1 ммоль/л </w:t>
      </w:r>
      <w:r w:rsidRPr="00951D01">
        <w:rPr>
          <w:sz w:val="24"/>
          <w:szCs w:val="24"/>
          <w:lang w:eastAsia="en-US"/>
        </w:rPr>
        <w:t xml:space="preserve">в сочетании с классическими симптомами сахарного диабета (полидипсией, полиурией, потерей веса),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i/>
          <w:iCs/>
          <w:sz w:val="24"/>
          <w:szCs w:val="24"/>
          <w:lang w:eastAsia="en-US"/>
        </w:rPr>
        <w:t xml:space="preserve">или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>Концентр</w:t>
      </w:r>
      <w:r w:rsidR="00951D01" w:rsidRPr="00951D01">
        <w:rPr>
          <w:sz w:val="24"/>
          <w:szCs w:val="24"/>
          <w:lang w:eastAsia="en-US"/>
        </w:rPr>
        <w:t xml:space="preserve">ация глюкозы в плазме натощак </w:t>
      </w:r>
      <w:r w:rsidRPr="00951D01">
        <w:rPr>
          <w:b/>
          <w:bCs/>
          <w:sz w:val="24"/>
          <w:szCs w:val="24"/>
          <w:lang w:eastAsia="en-US"/>
        </w:rPr>
        <w:t xml:space="preserve">7,0 ммоль/л,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i/>
          <w:iCs/>
          <w:sz w:val="24"/>
          <w:szCs w:val="24"/>
          <w:lang w:eastAsia="en-US"/>
        </w:rPr>
        <w:t xml:space="preserve">или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</w:t>
      </w:r>
      <w:r w:rsidRPr="00951D01">
        <w:rPr>
          <w:sz w:val="24"/>
          <w:szCs w:val="24"/>
          <w:lang w:eastAsia="en-US"/>
        </w:rPr>
        <w:t xml:space="preserve">При проведении перорального теста на толерантность к глюкозе концентрация глюкозы в плазме </w:t>
      </w:r>
      <w:r w:rsidRPr="00951D01">
        <w:rPr>
          <w:sz w:val="24"/>
          <w:szCs w:val="24"/>
          <w:lang w:eastAsia="en-US"/>
        </w:rPr>
        <w:t xml:space="preserve"> </w:t>
      </w:r>
      <w:r w:rsidRPr="00951D01">
        <w:rPr>
          <w:b/>
          <w:bCs/>
          <w:sz w:val="24"/>
          <w:szCs w:val="24"/>
          <w:lang w:eastAsia="en-US"/>
        </w:rPr>
        <w:t xml:space="preserve">11,1 ммоль/л </w:t>
      </w:r>
      <w:r w:rsidRPr="00951D01">
        <w:rPr>
          <w:sz w:val="24"/>
          <w:szCs w:val="24"/>
          <w:lang w:eastAsia="en-US"/>
        </w:rPr>
        <w:t xml:space="preserve">через 2 ч после приема 75 г глюкозы внутрь.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sz w:val="24"/>
          <w:szCs w:val="24"/>
          <w:lang w:eastAsia="en-US"/>
        </w:rPr>
        <w:t xml:space="preserve">Американская диабетическая ассоциация </w:t>
      </w:r>
      <w:r w:rsidRPr="00951D01">
        <w:rPr>
          <w:b/>
          <w:bCs/>
          <w:sz w:val="24"/>
          <w:szCs w:val="24"/>
          <w:lang w:eastAsia="en-US"/>
        </w:rPr>
        <w:t xml:space="preserve">не рекомендует </w:t>
      </w:r>
      <w:r w:rsidRPr="00951D01">
        <w:rPr>
          <w:sz w:val="24"/>
          <w:szCs w:val="24"/>
          <w:lang w:eastAsia="en-US"/>
        </w:rPr>
        <w:t xml:space="preserve">назначать тест всем лицам с подозрением на сахарный диабет. Его проводят только в сомнительных случаях, например при </w:t>
      </w:r>
      <w:r w:rsidRPr="00951D01">
        <w:rPr>
          <w:sz w:val="24"/>
          <w:szCs w:val="24"/>
          <w:lang w:eastAsia="en-US"/>
        </w:rPr>
        <w:lastRenderedPageBreak/>
        <w:t xml:space="preserve">характерной клинической картине сахарного диабета и концентрации глюкозы в плазме натощак в пределах 6,1—6,69 ммоль/л.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Классический двухчасовой пероральный тест на толерантность к глюкозе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Пробу можно проводить в амбулаторных условиях.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>Если у обследуемого повышена температура или выявлено инфекционное заболевание, пробу не проводят.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В течение 3 сут перед пробой обследуемый должен получать по 150—200 г/сут углеводов; потребление воды не ограничивается.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Пробу проводят утром натощак. Последний прием пищи допускается не позже чем за 10 ч до начала пробы (но продолжительность голодания не должна превышать 16 ч).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д. </w:t>
      </w:r>
      <w:r w:rsidRPr="00951D01">
        <w:rPr>
          <w:sz w:val="24"/>
          <w:szCs w:val="24"/>
          <w:lang w:eastAsia="en-US"/>
        </w:rPr>
        <w:t xml:space="preserve">Во время пробы обследуемый должен сидеть или лежать. Разрешается пить воду, но запрещается пить кофе и курить.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е. </w:t>
      </w:r>
      <w:r w:rsidRPr="00951D01">
        <w:rPr>
          <w:sz w:val="24"/>
          <w:szCs w:val="24"/>
          <w:lang w:eastAsia="en-US"/>
        </w:rPr>
        <w:t xml:space="preserve">В вену устанавливают иглу-бабочку или катетер и дают обследуемому глюкозу внутрь в виде раствора. Доза для взрослых: 75 г глюкозы в 250—300 мл воды. Доза для детей: 1,75 г/кг, но не более 75 г.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ж. </w:t>
      </w:r>
      <w:r w:rsidRPr="00951D01">
        <w:rPr>
          <w:sz w:val="24"/>
          <w:szCs w:val="24"/>
          <w:lang w:eastAsia="en-US"/>
        </w:rPr>
        <w:t xml:space="preserve">Перед приемом глюкозы и через 30, 60, 90 и 120 мин после приема берут кровь и измеряют концентрацию глюкозы в плазме. Рекомендуется заморозить часть плазмы из каждой пробы для определения концентрации инсулина или C-пептида.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Оценка результатов </w:t>
      </w:r>
      <w:r w:rsidRPr="00951D01">
        <w:rPr>
          <w:sz w:val="24"/>
          <w:szCs w:val="24"/>
          <w:lang w:eastAsia="en-US"/>
        </w:rPr>
        <w:t xml:space="preserve">— см. табл. А.1.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Меры предосторожности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Иногда отмечаются тошнота, рвота, головокружение, сердцебиение.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Считается, что одномоментный прием большого количества глюкозы вызывает перегрузку бета-клеток и может провоцировать инсулинозависимый сахарный диабет у лиц из группы риска. Данные, подтверждающие это мнение, в литературе отсутствуют. Тем не менее многие детские эндокринологи с осторожностью назначают пероральный тест на толерантность к глюкозе детям и подросткам и стараются, чтобы интервал между повторными пробами был не менее месяца.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Упрощенный двухчасовой пероральный тест на толерантность к глюкозе. </w:t>
      </w:r>
      <w:r w:rsidRPr="00951D01">
        <w:rPr>
          <w:sz w:val="24"/>
          <w:szCs w:val="24"/>
          <w:lang w:eastAsia="en-US"/>
        </w:rPr>
        <w:t xml:space="preserve">Этот вариант пробы был предложен экспертами ВОЗ в 1985 г., а в 1998 г. был рекомендован Американской диабетической ассоциацией для применения в США.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Проводят в амбулаторных условиях.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Если у обследуемого повышена температура или выявлено инфекционное заболевание, пробу не проводят.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В течение 3 сут перед пробой обследуемый должен получать по 150—200 г/сут углеводов; потребление воды не ограничивается.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Пробу проводят утром натощак. Последний прием пищи допускается не позже чем за 10 ч до начала пробы (но общая продолжительность голодания не должна превышать 16 ч).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д. </w:t>
      </w:r>
      <w:r w:rsidRPr="00951D01">
        <w:rPr>
          <w:sz w:val="24"/>
          <w:szCs w:val="24"/>
          <w:lang w:eastAsia="en-US"/>
        </w:rPr>
        <w:t xml:space="preserve">Обследуемому дают глюкозу внутрь в виде раствора. Доза для взрослых: 75 г глюкозы в 250—300 мл воды. Доза для детей: 1,75 г/кг, но не более 75 г.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е. </w:t>
      </w:r>
      <w:r w:rsidRPr="00951D01">
        <w:rPr>
          <w:sz w:val="24"/>
          <w:szCs w:val="24"/>
          <w:lang w:eastAsia="en-US"/>
        </w:rPr>
        <w:t xml:space="preserve">Перед приемом глюкозы и через 2 ч после приема берут кровь из вены и измеряют концентрацию глюкозы в плазме.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Меры предосторожности </w:t>
      </w:r>
      <w:r w:rsidRPr="00951D01">
        <w:rPr>
          <w:sz w:val="24"/>
          <w:szCs w:val="24"/>
          <w:lang w:eastAsia="en-US"/>
        </w:rPr>
        <w:t xml:space="preserve">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Диагностика диабета беременных. </w:t>
      </w:r>
      <w:r w:rsidRPr="00951D01">
        <w:rPr>
          <w:sz w:val="24"/>
          <w:szCs w:val="24"/>
          <w:lang w:eastAsia="en-US"/>
        </w:rPr>
        <w:t xml:space="preserve">Американская диабетическая ассоциация рекомендует обследовать всех беременных между 24-й и 28-й неделями беременности. При подозрении на скрытый сахарный диабет, а также у женщин с высоким риском сахарного диабета обследование проводят сразу после установления беременности. Показанием для обследования служит также уровень глюкозы в плазме натощак </w:t>
      </w:r>
      <w:r w:rsidRPr="00951D01">
        <w:rPr>
          <w:sz w:val="24"/>
          <w:szCs w:val="24"/>
          <w:lang w:eastAsia="en-US"/>
        </w:rPr>
        <w:t xml:space="preserve"> 5,83 ммоль/л (в капиллярной крови </w:t>
      </w:r>
      <w:r w:rsidRPr="00951D01">
        <w:rPr>
          <w:sz w:val="24"/>
          <w:szCs w:val="24"/>
          <w:lang w:eastAsia="en-US"/>
        </w:rPr>
        <w:t xml:space="preserve"> 5,0 ммоль/л). Обследование проводят в два этапа. На первом этапе выявляют нарушение толерантности к глюкозе с помощью часового перорального теста на толерантность к глюкозе; на втором этапе подтверждают диагноз с помощью трехчасового теста.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Часовой пероральный тест на толерантность к глюкозе с 50 г глюкозы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Методика. </w:t>
      </w:r>
      <w:r w:rsidRPr="00951D01">
        <w:rPr>
          <w:sz w:val="24"/>
          <w:szCs w:val="24"/>
          <w:lang w:eastAsia="en-US"/>
        </w:rPr>
        <w:t xml:space="preserve">Пробу проводят в любое время (необязательно натощак). Беременной дают 50 г глюкозы внутрь в виде раствора. Через 1 ч берут кровь из вены и определяют концентрацию глюкозы в плазме.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Концентрация глюкозы &lt; 7,8 ммоль/л: нарушения толерантности к глюкозе нет; при наличии факторов риска сахарного диабета повторить пробу через 4 нед; в отсутствие факторов риска дальнейшее обследование не нужно.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Концентрация глюкозы в пределах 7,8—10,54 ммоль/л: показан трехчасовой тест.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Концентрация глюкозы </w:t>
      </w:r>
      <w:r w:rsidRPr="00951D01">
        <w:rPr>
          <w:sz w:val="24"/>
          <w:szCs w:val="24"/>
          <w:lang w:eastAsia="en-US"/>
        </w:rPr>
        <w:t xml:space="preserve"> 10,55 ммоль/л: предварительный диагноз — диабет беременных; показан трехчасовой тест.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Трехчасовой пероральный тест на толерантность к глюкозе со 100 г глюкозы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Пробу проводят утром натощак (последний прием пищи за 12 ч до обследования).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В вену устанавливают иглу-бабочку или катетер. Дают 100 г глюкозы внутрь в виде раствора. Перед приемом глюкозы и через 1, 2 и 3 ч после приема берут кровь из вены и определяют концентрацию глюкозы в плазме.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Оценка результатов. </w:t>
      </w:r>
      <w:r w:rsidRPr="00951D01">
        <w:rPr>
          <w:sz w:val="24"/>
          <w:szCs w:val="24"/>
          <w:lang w:eastAsia="en-US"/>
        </w:rPr>
        <w:t>Если в любых двух пробах концентрация глюкозы</w:t>
      </w:r>
      <w:r w:rsidR="001B1D0E" w:rsidRPr="00951D01">
        <w:rPr>
          <w:sz w:val="24"/>
          <w:szCs w:val="24"/>
          <w:lang w:eastAsia="en-US"/>
        </w:rPr>
        <w:t xml:space="preserve"> превышает норму</w:t>
      </w:r>
      <w:r w:rsidRPr="00951D01">
        <w:rPr>
          <w:sz w:val="24"/>
          <w:szCs w:val="24"/>
          <w:lang w:eastAsia="en-US"/>
        </w:rPr>
        <w:t xml:space="preserve">, диагноз диабета беременных не вызывает сомнений.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Диагностика инсулиномы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Проба с голоданием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Принцип. </w:t>
      </w:r>
      <w:r w:rsidRPr="00951D01">
        <w:rPr>
          <w:sz w:val="24"/>
          <w:szCs w:val="24"/>
          <w:lang w:eastAsia="en-US"/>
        </w:rPr>
        <w:t xml:space="preserve">Голодание — физиологический способ подавления секреции инсулина. У здоровых людей при голодании снижаются уровни как глюкозы, так и инсулина. Чем дольше длится голодание, тем сильнее подавляется секреция инсулина. Поэтому отношение концентрация инсулина в сыворотке (пмоль/л)/концентрация глюкозы в плазме (ммоль/л) уменьшается. У больных с инсулиномой секреция инсулина при голодании не подавляется или даже усиливается, поэтому отношение инсулин/глюкоза возрастает.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Больного </w:t>
      </w:r>
      <w:r w:rsidRPr="00951D01">
        <w:rPr>
          <w:b/>
          <w:bCs/>
          <w:sz w:val="24"/>
          <w:szCs w:val="24"/>
          <w:lang w:eastAsia="en-US"/>
        </w:rPr>
        <w:t xml:space="preserve">обязательно госпитализируют.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Голодание начинается с 20:00—24:00. Во время пробы можно пить воду, чай без сахара и напитки с заменителями сахара. Физическая активность не ограничивается.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Через 8 ч голодания в вену устанавливают иглу-бабочку или катетер и берут кровь для определения концентраций глюкозы в плазме и инсулина в сыворотке. Далее кровь берут каждые 4—8 ч. При появлении симптомов гипогликемии берут внеочередную пробу крови.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Исследование продолжается 12—72 ч.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Норма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1) </w:t>
      </w:r>
      <w:r w:rsidRPr="00951D01">
        <w:rPr>
          <w:sz w:val="24"/>
          <w:szCs w:val="24"/>
          <w:lang w:eastAsia="en-US"/>
        </w:rPr>
        <w:t xml:space="preserve">При длительном голодании концентрация глюкозы в плазме падает до 1,7 ммоль/л и ниже у женщин и до 2,7 ммоль/л и ниже у мужчин.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2) </w:t>
      </w:r>
      <w:r w:rsidRPr="00951D01">
        <w:rPr>
          <w:sz w:val="24"/>
          <w:szCs w:val="24"/>
          <w:lang w:eastAsia="en-US"/>
        </w:rPr>
        <w:t xml:space="preserve">Здоровые люди способны переносить голодание в течение 24—72 ч без симптомов гипогликемии.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3) </w:t>
      </w:r>
      <w:r w:rsidRPr="00951D01">
        <w:rPr>
          <w:sz w:val="24"/>
          <w:szCs w:val="24"/>
          <w:lang w:eastAsia="en-US"/>
        </w:rPr>
        <w:t xml:space="preserve">Снижение уровня глюкозы приводит к подавлению секреции инсулина, поэтому концентрация инсулина в сыворотке падает до 28 пмоль/л и ниже.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4) </w:t>
      </w:r>
      <w:r w:rsidRPr="00951D01">
        <w:rPr>
          <w:sz w:val="24"/>
          <w:szCs w:val="24"/>
          <w:lang w:eastAsia="en-US"/>
        </w:rPr>
        <w:t xml:space="preserve">При длительном голодании у здоровых людей отношение концентрация инсулина в сыворотке (пмоль/л)/концентрация глюкозы в плазме (ммоль/л) </w:t>
      </w:r>
      <w:r w:rsidRPr="00951D01">
        <w:rPr>
          <w:sz w:val="24"/>
          <w:szCs w:val="24"/>
          <w:lang w:eastAsia="en-US"/>
        </w:rPr>
        <w:t xml:space="preserve"> 37.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Инсулинома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1) </w:t>
      </w:r>
      <w:r w:rsidRPr="00951D01">
        <w:rPr>
          <w:sz w:val="24"/>
          <w:szCs w:val="24"/>
          <w:lang w:eastAsia="en-US"/>
        </w:rPr>
        <w:t xml:space="preserve">Примерно у 70% больных симптомы гипогликемии появляются в 1-е сутки голодания, у 25% — на 2-е сутки, у 5% — на 3-и сутки.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2) </w:t>
      </w:r>
      <w:r w:rsidRPr="00951D01">
        <w:rPr>
          <w:sz w:val="24"/>
          <w:szCs w:val="24"/>
          <w:lang w:eastAsia="en-US"/>
        </w:rPr>
        <w:t xml:space="preserve">Концентрация инсулина в сыворотке не соответствует низкому уровню глюкозы и обычно превышает 72 пмоль/л.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3) </w:t>
      </w:r>
      <w:r w:rsidRPr="00951D01">
        <w:rPr>
          <w:sz w:val="24"/>
          <w:szCs w:val="24"/>
          <w:lang w:eastAsia="en-US"/>
        </w:rPr>
        <w:t xml:space="preserve">Диагноз инсулиномы не вызывает сомнений, если в любой пробе отношение концентрация инсулина в сыворотке (пмоль/л)/концентрация глюкозы в плазме (ммоль/л) &gt; 37.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4. Меры предосторожности. </w:t>
      </w:r>
      <w:r w:rsidRPr="00951D01">
        <w:rPr>
          <w:sz w:val="24"/>
          <w:szCs w:val="24"/>
          <w:lang w:eastAsia="en-US"/>
        </w:rPr>
        <w:t xml:space="preserve">Длительное голодание может вызвать тяжелую гипогликемию, особенно у больных с инсулиномой. Поэтому обследуемые нуждаются в непрерывном наблюдении. </w:t>
      </w:r>
      <w:r w:rsidRPr="00951D01">
        <w:rPr>
          <w:b/>
          <w:bCs/>
          <w:sz w:val="24"/>
          <w:szCs w:val="24"/>
          <w:lang w:eastAsia="en-US"/>
        </w:rPr>
        <w:t xml:space="preserve">При появлении любых симптомов гипогликемии исследование немедленно прерывают </w:t>
      </w:r>
      <w:r w:rsidRPr="00951D01">
        <w:rPr>
          <w:sz w:val="24"/>
          <w:szCs w:val="24"/>
          <w:lang w:eastAsia="en-US"/>
        </w:rPr>
        <w:t xml:space="preserve">в/в введением 50% раствора глюкозы.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Проба с толбутамидом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Принцип. </w:t>
      </w:r>
      <w:r w:rsidRPr="00951D01">
        <w:rPr>
          <w:sz w:val="24"/>
          <w:szCs w:val="24"/>
          <w:lang w:eastAsia="en-US"/>
        </w:rPr>
        <w:t xml:space="preserve">Толбутамид блокирует АТФ-зависимые калиевые каналы в мембранах бета-клеток и тем самым стимулирует секрецию инсулина. На фоне гипогликемии секреторная реакция нормальных бета-клеток на толбутамид снижается, а реакция опухолевых бета-клеток остается неизменной.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В течение 3 сут перед исследованием больной должен получать по 300 г/сут углеводов.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Пробу проводят </w:t>
      </w:r>
      <w:r w:rsidRPr="00951D01">
        <w:rPr>
          <w:b/>
          <w:bCs/>
          <w:sz w:val="24"/>
          <w:szCs w:val="24"/>
          <w:lang w:eastAsia="en-US"/>
        </w:rPr>
        <w:t xml:space="preserve">только в стационаре, </w:t>
      </w:r>
      <w:r w:rsidRPr="00951D01">
        <w:rPr>
          <w:sz w:val="24"/>
          <w:szCs w:val="24"/>
          <w:lang w:eastAsia="en-US"/>
        </w:rPr>
        <w:t xml:space="preserve">утром натощак.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Устанавливают венозный катетер; наготове надо иметь 50% раствор глюкозы.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Берут кровь для определения концентрации глюкозы в плазме и инсулина в сыворотке. </w:t>
      </w:r>
      <w:r w:rsidRPr="00951D01">
        <w:rPr>
          <w:b/>
          <w:bCs/>
          <w:sz w:val="24"/>
          <w:szCs w:val="24"/>
          <w:lang w:eastAsia="en-US"/>
        </w:rPr>
        <w:t xml:space="preserve">Если концентрация глюкозы ниже 2,7 ммоль/л, исследование отменяют.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д. </w:t>
      </w:r>
      <w:r w:rsidRPr="00951D01">
        <w:rPr>
          <w:sz w:val="24"/>
          <w:szCs w:val="24"/>
          <w:lang w:eastAsia="en-US"/>
        </w:rPr>
        <w:t xml:space="preserve">Вводят толбутамид в/в в дозе 1 г. Через 30, 60, 90, 120 и 180 мин берут кровь для определения концентрации глюкозы в плазме и инсулина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Норма: </w:t>
      </w:r>
      <w:r w:rsidRPr="00951D01">
        <w:rPr>
          <w:sz w:val="24"/>
          <w:szCs w:val="24"/>
          <w:lang w:eastAsia="en-US"/>
        </w:rPr>
        <w:t xml:space="preserve">после введения толбутамида появляются симптомы гипогликемии. Через 60—120 мин уровень глюкозы в плазме нормализуется, а к 180-й минуте симптомы гипогликемии исчезают.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Инсулинома: </w:t>
      </w:r>
      <w:r w:rsidRPr="00951D01">
        <w:rPr>
          <w:sz w:val="24"/>
          <w:szCs w:val="24"/>
          <w:lang w:eastAsia="en-US"/>
        </w:rPr>
        <w:t xml:space="preserve">уровень глюкозы в плазме остается сниженным, а уровень инсулина в сыворотке — повышенным после 120-й минуты. Симптомы гипогликемии могут сохраняться до 180-й минуты. Если концентрация глюкозы в плазме &lt; 3,06 ммоль/л, а концентрация инсулина в сыворотке &gt; 144 пмоль/л на любом из сроков после 90-й минуты (на 120-й, 150-й или 180-й минуте), диагноз инсулиномы не вызывает сомнений. Если концентрация глюкозы в плазме после 90-й минуты превышает 3,06 ммоль/л, рассчитывают следующий эмпирический показатель: концентрация глюкозы в плазме на 150-й минуте (ммоль/л) </w:t>
      </w:r>
      <w:r w:rsidRPr="00951D01">
        <w:rPr>
          <w:sz w:val="24"/>
          <w:szCs w:val="24"/>
          <w:lang w:eastAsia="en-US"/>
        </w:rPr>
        <w:t xml:space="preserve"> 18(концентрация инсулина в сыворотке на 150-й минуте, пмоль/л) / 14,35. Этот показатель в норме </w:t>
      </w:r>
      <w:r w:rsidRPr="00951D01">
        <w:rPr>
          <w:sz w:val="24"/>
          <w:szCs w:val="24"/>
          <w:lang w:eastAsia="en-US"/>
        </w:rPr>
        <w:t xml:space="preserve"> 42,5, а у больных с инсулиномой &lt; 42,5.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в. </w:t>
      </w:r>
      <w:r w:rsidRPr="00951D01">
        <w:rPr>
          <w:sz w:val="24"/>
          <w:szCs w:val="24"/>
          <w:lang w:eastAsia="en-US"/>
        </w:rPr>
        <w:t xml:space="preserve">Ложноположительный результат может быть получен у больных с циррозом печени и у лиц после длительного голодания.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Очень высокие уровни инсулина на фоне нормальных уровней глюкозы наблюдаются у лиц с ожирением.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4. Противопоказания и меры предосторожности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Пробу с толбутамидом не проводят в следующих случаях: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1) </w:t>
      </w:r>
      <w:r w:rsidRPr="00951D01">
        <w:rPr>
          <w:sz w:val="24"/>
          <w:szCs w:val="24"/>
          <w:lang w:eastAsia="en-US"/>
        </w:rPr>
        <w:t xml:space="preserve">Если концентрация глюкозы перед введением толбутамида &lt; 2,7 ммоль/л.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2) </w:t>
      </w:r>
      <w:r w:rsidRPr="00951D01">
        <w:rPr>
          <w:sz w:val="24"/>
          <w:szCs w:val="24"/>
          <w:lang w:eastAsia="en-US"/>
        </w:rPr>
        <w:t xml:space="preserve">Если длительность голодания перед введением толбутамида &gt; 12 ч.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3) </w:t>
      </w:r>
      <w:r w:rsidRPr="00951D01">
        <w:rPr>
          <w:sz w:val="24"/>
          <w:szCs w:val="24"/>
          <w:lang w:eastAsia="en-US"/>
        </w:rPr>
        <w:t xml:space="preserve">Если обследуемый только что перенес пробу с </w:t>
      </w:r>
      <w:r w:rsidR="001B1D0E" w:rsidRPr="00951D01">
        <w:rPr>
          <w:sz w:val="24"/>
          <w:szCs w:val="24"/>
          <w:lang w:eastAsia="en-US"/>
        </w:rPr>
        <w:t>голоданием</w:t>
      </w:r>
      <w:r w:rsidRPr="00951D01">
        <w:rPr>
          <w:sz w:val="24"/>
          <w:szCs w:val="24"/>
          <w:lang w:eastAsia="en-US"/>
        </w:rPr>
        <w:t xml:space="preserve">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4) </w:t>
      </w:r>
      <w:r w:rsidRPr="00951D01">
        <w:rPr>
          <w:sz w:val="24"/>
          <w:szCs w:val="24"/>
          <w:lang w:eastAsia="en-US"/>
        </w:rPr>
        <w:t xml:space="preserve">При аллергии к сульфанилмочевинам и другим препаратам, содержащим сульфонамидную группу.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Больным с надпочечниковой недостаточностью не позже чем за 60 мин до введения толбутамида вводят обычную дозу глюкокортикоидов.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Толбутамид может вызвать тяжелую гипогликемию у больных с циррозом печени и у лиц после длительного голодания.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При тяжелой гипогликемии исследование немедленно прерывают </w:t>
      </w:r>
      <w:r w:rsidRPr="00951D01">
        <w:rPr>
          <w:sz w:val="24"/>
          <w:szCs w:val="24"/>
          <w:lang w:eastAsia="en-US"/>
        </w:rPr>
        <w:t xml:space="preserve">в/в введением 50% раствора глюкозы.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Проба с глюкагоном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Принцип. </w:t>
      </w:r>
      <w:r w:rsidRPr="00951D01">
        <w:rPr>
          <w:sz w:val="24"/>
          <w:szCs w:val="24"/>
          <w:lang w:eastAsia="en-US"/>
        </w:rPr>
        <w:t xml:space="preserve">Глюкагон стимулирует выброс инсулина из бета-клеток и одновременно усиливает гликогенолиз и глюконеогенез в печени.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Пробу проводят </w:t>
      </w:r>
      <w:r w:rsidRPr="00951D01">
        <w:rPr>
          <w:b/>
          <w:bCs/>
          <w:sz w:val="24"/>
          <w:szCs w:val="24"/>
          <w:lang w:eastAsia="en-US"/>
        </w:rPr>
        <w:t xml:space="preserve">только в стационаре, </w:t>
      </w:r>
      <w:r w:rsidRPr="00951D01">
        <w:rPr>
          <w:sz w:val="24"/>
          <w:szCs w:val="24"/>
          <w:lang w:eastAsia="en-US"/>
        </w:rPr>
        <w:t xml:space="preserve">утром натощак.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Устанавливают венозный катетер, берут кровь для определения концентрации глюкозы в плазме и инсулина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Вводят глюкагон в/в струйно в дозе 1 мг.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Через 3, 6, 15, 20, 30 и 60 мин берут кровь для определения концентрации глюкозы в плазме и инсулина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Норма: </w:t>
      </w:r>
      <w:r w:rsidRPr="00951D01">
        <w:rPr>
          <w:sz w:val="24"/>
          <w:szCs w:val="24"/>
          <w:lang w:eastAsia="en-US"/>
        </w:rPr>
        <w:t xml:space="preserve">через 3—15 мин после введения глюкагона концентрация инсулина в сыворотке возрастает до 500 пмоль/л. Это возрастание вызвано как непосредственным стимулирующим воздействием глюкагона на бета-клетки, так и усилением продукции глюкозы в печени. Через 30—60 мин после введения глюкагона концентрация глюкозы в плазме становится ниже исходной, а концентрация инсулина в плазме нормализуется. Симптомы гипогликемии отсутствуют.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Инсулинома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1) </w:t>
      </w:r>
      <w:r w:rsidRPr="00951D01">
        <w:rPr>
          <w:sz w:val="24"/>
          <w:szCs w:val="24"/>
          <w:lang w:eastAsia="en-US"/>
        </w:rPr>
        <w:t xml:space="preserve">У некоторых больных через 30—60 мин после введения глюкагона концентрация глюкозы в плазме становится намного ниже исходной и появляются симптомы гипогликемии.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2) </w:t>
      </w:r>
      <w:r w:rsidRPr="00951D01">
        <w:rPr>
          <w:sz w:val="24"/>
          <w:szCs w:val="24"/>
          <w:lang w:eastAsia="en-US"/>
        </w:rPr>
        <w:t xml:space="preserve">У 70—80% больных концентрация инсулина в сыворотке через 3—30 мин после введения глюкагона превышает 930 пмоль/л. </w:t>
      </w:r>
    </w:p>
    <w:p w:rsidR="001B1D0E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Чтобы определить максимальную концентрацию инсулина, иногда приходится брать кровь каждые 5 мин в интервале от 6-й до 30-й минуты исследования.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Ложноположительные результаты могут быть получены у больных, принимающих толбутамид или аминофиллин, а также у больных с ожирением.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д. </w:t>
      </w:r>
      <w:r w:rsidRPr="00951D01">
        <w:rPr>
          <w:sz w:val="24"/>
          <w:szCs w:val="24"/>
          <w:lang w:eastAsia="en-US"/>
        </w:rPr>
        <w:t xml:space="preserve">Ложноотрицательные результаты могут быть получены у больных, принимающих гидрохлортиазид, диазоксид или фенитоин.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4. Меры предосторожности. </w:t>
      </w:r>
      <w:r w:rsidRPr="00951D01">
        <w:rPr>
          <w:sz w:val="24"/>
          <w:szCs w:val="24"/>
          <w:lang w:eastAsia="en-US"/>
        </w:rPr>
        <w:t xml:space="preserve">У больных с инсулиномой может развиться тяжелая гипогликемия, поэтому надо иметь наготове 50% раствор глюкозы.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Супрессивная проба с инсулином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Принцип. </w:t>
      </w:r>
      <w:r w:rsidRPr="00951D01">
        <w:rPr>
          <w:sz w:val="24"/>
          <w:szCs w:val="24"/>
          <w:lang w:eastAsia="en-US"/>
        </w:rPr>
        <w:t xml:space="preserve">Экзогенный инсулин подавляет секрецию эндогенного инсулина и C-пептида нормальными бета-клетками, но не влияет на секреторную активность опухолевых бета-клеток. Проба позволяет отличить инсулиному от лекарственной гипогликемии, а также выявить инсулиному у больных сахарным диабетом.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Пробу проводят </w:t>
      </w:r>
      <w:r w:rsidRPr="00951D01">
        <w:rPr>
          <w:b/>
          <w:bCs/>
          <w:sz w:val="24"/>
          <w:szCs w:val="24"/>
          <w:lang w:eastAsia="en-US"/>
        </w:rPr>
        <w:t xml:space="preserve">только в стационаре.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Пробу можно проводить как натощак, так и после еды.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Устанавливают инфузионную систему, берут кровь для определения концентрации глюкозы в плазме и базальной концентрации C-пептида в сыворотке. </w:t>
      </w:r>
      <w:r w:rsidRPr="00951D01">
        <w:rPr>
          <w:b/>
          <w:bCs/>
          <w:sz w:val="24"/>
          <w:szCs w:val="24"/>
          <w:lang w:eastAsia="en-US"/>
        </w:rPr>
        <w:t xml:space="preserve">Если концентрация глюкозы ниже 2,7 ммоль/л, исследование отменяют.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Проводят в/в инфузию инсулина короткого действия в дозе 0,1 ед/кг с постоянной скоростью в течение 60 мин.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д. </w:t>
      </w:r>
      <w:r w:rsidRPr="00951D01">
        <w:rPr>
          <w:sz w:val="24"/>
          <w:szCs w:val="24"/>
          <w:lang w:eastAsia="en-US"/>
        </w:rPr>
        <w:t xml:space="preserve">Через 10, 20, 30, 40, 50, 60 и 90 мин после начала инфузии берут кровь и определяют концентрацию глюкозы в плазме и C-пептида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Результаты считаются информативными, если хотя бы в одной пробе концентрация глюкозы в плазме </w:t>
      </w:r>
      <w:r w:rsidRPr="00951D01">
        <w:rPr>
          <w:sz w:val="24"/>
          <w:szCs w:val="24"/>
          <w:lang w:eastAsia="en-US"/>
        </w:rPr>
        <w:t xml:space="preserve"> 2,2 ммоль/л.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В норме и при лекарственной гипогликемии концентрация C-пептида в сыворотке </w:t>
      </w:r>
      <w:r w:rsidRPr="00951D01">
        <w:rPr>
          <w:sz w:val="24"/>
          <w:szCs w:val="24"/>
          <w:lang w:eastAsia="en-US"/>
        </w:rPr>
        <w:t xml:space="preserve"> 0,4 нмоль/л.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При инсулиноме концентрация C-пептида в сыворотке &gt; 0,4 нмоль/л.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Иногда используют другой критерий оценки: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1) </w:t>
      </w:r>
      <w:r w:rsidRPr="00951D01">
        <w:rPr>
          <w:sz w:val="24"/>
          <w:szCs w:val="24"/>
          <w:lang w:eastAsia="en-US"/>
        </w:rPr>
        <w:t xml:space="preserve">Концентрация C-пептида в сыворотке снизилась более чем на 50%: инсулиному можно исключить.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2) </w:t>
      </w:r>
      <w:r w:rsidRPr="00951D01">
        <w:rPr>
          <w:sz w:val="24"/>
          <w:szCs w:val="24"/>
          <w:lang w:eastAsia="en-US"/>
        </w:rPr>
        <w:t xml:space="preserve">Концентрация C-пептида в сыворотке не изменилась или снизилась менее чем на 50%: инсулиному можно заподозрить.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4. Меры предосторожности. </w:t>
      </w:r>
      <w:r w:rsidRPr="00951D01">
        <w:rPr>
          <w:sz w:val="24"/>
          <w:szCs w:val="24"/>
          <w:lang w:eastAsia="en-US"/>
        </w:rPr>
        <w:t xml:space="preserve">Инсулин может вызвать гипогликемию, поэтому за больным непрерывно наблюдают. При симптомах тяжелой гипогликемии (помрачение сознания, судороги) пробу немедленно прерывают в/в введением 50% раствора глюкозы.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</w:p>
    <w:p w:rsidR="00AD04A1" w:rsidRPr="00951D01" w:rsidRDefault="00AD04A1" w:rsidP="001B1D0E">
      <w:pPr>
        <w:widowControl/>
        <w:autoSpaceDE/>
        <w:autoSpaceDN/>
        <w:adjustRightInd/>
        <w:spacing w:before="100" w:beforeAutospacing="1" w:after="100" w:afterAutospacing="1"/>
        <w:jc w:val="both"/>
        <w:outlineLvl w:val="1"/>
        <w:rPr>
          <w:b/>
          <w:bCs/>
          <w:sz w:val="32"/>
          <w:szCs w:val="24"/>
        </w:rPr>
      </w:pPr>
      <w:r w:rsidRPr="00951D01">
        <w:rPr>
          <w:bCs/>
          <w:sz w:val="32"/>
          <w:szCs w:val="24"/>
        </w:rPr>
        <w:t xml:space="preserve">План </w:t>
      </w:r>
      <w:r w:rsidRPr="00951D01">
        <w:rPr>
          <w:bCs/>
          <w:sz w:val="32"/>
          <w:szCs w:val="24"/>
          <w:lang w:val="uz-Cyrl-UZ"/>
        </w:rPr>
        <w:t xml:space="preserve">5. </w:t>
      </w:r>
      <w:r w:rsidRPr="00951D01">
        <w:rPr>
          <w:bCs/>
          <w:sz w:val="32"/>
          <w:szCs w:val="24"/>
        </w:rPr>
        <w:t>Кора надпочечников.</w:t>
      </w:r>
    </w:p>
    <w:p w:rsidR="00AD04A1" w:rsidRPr="001B1D0E" w:rsidRDefault="00AD04A1" w:rsidP="001B1D0E">
      <w:pPr>
        <w:widowControl/>
        <w:jc w:val="both"/>
        <w:rPr>
          <w:sz w:val="24"/>
          <w:szCs w:val="24"/>
          <w:lang w:eastAsia="en-US"/>
        </w:rPr>
      </w:pP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>Пробы с дексаметазоном</w:t>
      </w:r>
      <w:r w:rsidRPr="00951D01">
        <w:rPr>
          <w:sz w:val="24"/>
          <w:szCs w:val="24"/>
          <w:lang w:eastAsia="en-US"/>
        </w:rPr>
        <w:t xml:space="preserve">. Эти пробы применяют для выявления синдрома Кушинга и дифференциальной диагностики его форм. Принцип всех проб одинаков: синтетический глюкокортикоид дексаметазон по принципу отрицательной обратной связи тормозит секрецию АКТГ в аденогипофизе. В результате подавляется продукция кортизола в надпочечниках, снижается уровень кортизола в плазме и уменьшается экскреция метаболитов кортизола. </w:t>
      </w:r>
    </w:p>
    <w:p w:rsidR="001B1D0E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>А. Короткая проба с дексаметазоном</w:t>
      </w:r>
      <w:r w:rsidRPr="00951D01">
        <w:rPr>
          <w:sz w:val="24"/>
          <w:szCs w:val="24"/>
          <w:lang w:eastAsia="en-US"/>
        </w:rPr>
        <w:t xml:space="preserve">. Эту пробу используют для подтверждения гиперкортизолемии при подозрении на синдром Кушинга.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Желательно госпитализировать больного за сутки до начала пробы.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б. </w:t>
      </w:r>
      <w:r w:rsidRPr="00951D01">
        <w:rPr>
          <w:sz w:val="24"/>
          <w:szCs w:val="24"/>
          <w:lang w:eastAsia="en-US"/>
        </w:rPr>
        <w:t xml:space="preserve">Между 23:00 и 24:00 больной принимает внутрь 1 мг дексаметазона. Чтобы помочь больному заснуть, можно назначить небарбитуратное снотворное или транквилизатор.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В 8:00 натощак берут кровь и определяют концентрацию кортизола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Норма: </w:t>
      </w:r>
      <w:r w:rsidRPr="00951D01">
        <w:rPr>
          <w:sz w:val="24"/>
          <w:szCs w:val="24"/>
          <w:lang w:eastAsia="en-US"/>
        </w:rPr>
        <w:t xml:space="preserve">концентрация кортизола в сыворотке &lt; 5 мкг%.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Гиперкортизолемия: </w:t>
      </w:r>
      <w:r w:rsidRPr="00951D01">
        <w:rPr>
          <w:sz w:val="24"/>
          <w:szCs w:val="24"/>
          <w:lang w:eastAsia="en-US"/>
        </w:rPr>
        <w:t xml:space="preserve">концентрация кортизола в сыворотке &gt; 10 мкг%.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>При концентрациях кортизола в интервале от 5 до 10 мкг% необходимо повторить пробу или пр</w:t>
      </w:r>
      <w:r w:rsidR="001B1D0E" w:rsidRPr="00951D01">
        <w:rPr>
          <w:sz w:val="24"/>
          <w:szCs w:val="24"/>
          <w:lang w:eastAsia="en-US"/>
        </w:rPr>
        <w:t>овести другие исследования</w:t>
      </w:r>
      <w:r w:rsidRPr="00951D01">
        <w:rPr>
          <w:sz w:val="24"/>
          <w:szCs w:val="24"/>
          <w:lang w:eastAsia="en-US"/>
        </w:rPr>
        <w:t xml:space="preserve">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Причины </w:t>
      </w:r>
      <w:r w:rsidRPr="00951D01">
        <w:rPr>
          <w:b/>
          <w:bCs/>
          <w:sz w:val="24"/>
          <w:szCs w:val="24"/>
          <w:lang w:eastAsia="en-US"/>
        </w:rPr>
        <w:t xml:space="preserve">ложноположительных </w:t>
      </w:r>
      <w:r w:rsidRPr="00951D01">
        <w:rPr>
          <w:sz w:val="24"/>
          <w:szCs w:val="24"/>
          <w:lang w:eastAsia="en-US"/>
        </w:rPr>
        <w:t xml:space="preserve">результатов: недавняя госпитализация, депрессия, бессоница или беспокойный сон, стресс, алкоголизм или прием больших количеств алкоголя, ожирение, тиреотоксикоз, акромегалия, беременность, прием пероральных контрацептивов, фенитоина, барбитуратов.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д. </w:t>
      </w:r>
      <w:r w:rsidRPr="00951D01">
        <w:rPr>
          <w:sz w:val="24"/>
          <w:szCs w:val="24"/>
          <w:lang w:eastAsia="en-US"/>
        </w:rPr>
        <w:t xml:space="preserve">Причины </w:t>
      </w:r>
      <w:r w:rsidRPr="00951D01">
        <w:rPr>
          <w:b/>
          <w:bCs/>
          <w:sz w:val="24"/>
          <w:szCs w:val="24"/>
          <w:lang w:eastAsia="en-US"/>
        </w:rPr>
        <w:t xml:space="preserve">ложноотрицательных </w:t>
      </w:r>
      <w:r w:rsidRPr="00951D01">
        <w:rPr>
          <w:sz w:val="24"/>
          <w:szCs w:val="24"/>
          <w:lang w:eastAsia="en-US"/>
        </w:rPr>
        <w:t xml:space="preserve">результатов: прием противосудорожных средств и других препаратов, ускоряющих метаболизм дексаметазона.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>Б. Длинная проба с дексаметазоном</w:t>
      </w:r>
      <w:r w:rsidRPr="00951D01">
        <w:rPr>
          <w:sz w:val="24"/>
          <w:szCs w:val="24"/>
          <w:lang w:eastAsia="en-US"/>
        </w:rPr>
        <w:t xml:space="preserve">. Это основная проба в дифференциальной диагностике синдрома Кушинга.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Схема исследования </w:t>
      </w:r>
      <w:r w:rsidRPr="00951D01">
        <w:rPr>
          <w:sz w:val="24"/>
          <w:szCs w:val="24"/>
          <w:lang w:eastAsia="en-US"/>
        </w:rPr>
        <w:t xml:space="preserve">представлена в табл. А.4. Обязательно регистрируют объем мочи за каждые сутки. Для контроля полноты сбора мочи определяют концентрацию креатинина в каждой порции.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>Если длинной пробе с дексаметазоном предшествовала короткая пр</w:t>
      </w:r>
      <w:r w:rsidR="00477835" w:rsidRPr="00951D01">
        <w:rPr>
          <w:sz w:val="24"/>
          <w:szCs w:val="24"/>
          <w:lang w:eastAsia="en-US"/>
        </w:rPr>
        <w:t>оба</w:t>
      </w:r>
      <w:r w:rsidRPr="00951D01">
        <w:rPr>
          <w:sz w:val="24"/>
          <w:szCs w:val="24"/>
          <w:lang w:eastAsia="en-US"/>
        </w:rPr>
        <w:t xml:space="preserve">, этап с приемом низкой дозы препарата (3-и и 4-е сутки) можно исключить и сразу перейти к приему высокой дозы.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Можно ограничиться определением концентрации кортизола в сыворотке только в 16:00.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При подозрении на аденому надпочечников рекомендуется на 2-е сутки исследования в 8:00 определить концентрацию дегидроэпиандростерона сульфата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Низкая доза дексаметазона (2 мг/сут)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1) Норма: </w:t>
      </w:r>
      <w:r w:rsidRPr="00951D01">
        <w:rPr>
          <w:sz w:val="24"/>
          <w:szCs w:val="24"/>
          <w:lang w:eastAsia="en-US"/>
        </w:rPr>
        <w:t xml:space="preserve">на 4-е сутки исследования в суточной моче содержание свободного кортизола &lt; 20 мкг/сут, а содержание 17-ГКС &lt; 4 мг/сут (или &lt; 2,5 мг/г креатинина). Концентрация кортизола в сыворотке в 16:00 &lt; 5 мкг%.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2) Синдром Кушинга: </w:t>
      </w:r>
      <w:r w:rsidRPr="00951D01">
        <w:rPr>
          <w:sz w:val="24"/>
          <w:szCs w:val="24"/>
          <w:lang w:eastAsia="en-US"/>
        </w:rPr>
        <w:t xml:space="preserve">уровни свободного кортизола и 17-ГКС не снижаются.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Высокая доза дексаметазона (8 мг/сут)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1) Норма: </w:t>
      </w:r>
      <w:r w:rsidRPr="00951D01">
        <w:rPr>
          <w:sz w:val="24"/>
          <w:szCs w:val="24"/>
          <w:lang w:eastAsia="en-US"/>
        </w:rPr>
        <w:t xml:space="preserve">на 6-е сутки исследования в суточной моче содержание свободного кортизола &lt; 20 мкг/сут, а содержание 17-ГКС &lt; 4 мг/сут. Концентрация кортизола в сыворотке в 16:00 &lt; 5 мкг%.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2) Надпочечниковый синдром Кушинга </w:t>
      </w:r>
      <w:r w:rsidRPr="00951D01">
        <w:rPr>
          <w:sz w:val="24"/>
          <w:szCs w:val="24"/>
          <w:lang w:eastAsia="en-US"/>
        </w:rPr>
        <w:t xml:space="preserve">(аденома или рак надпочечников) и </w:t>
      </w:r>
      <w:r w:rsidRPr="00951D01">
        <w:rPr>
          <w:b/>
          <w:bCs/>
          <w:sz w:val="24"/>
          <w:szCs w:val="24"/>
          <w:lang w:eastAsia="en-US"/>
        </w:rPr>
        <w:t xml:space="preserve">эктопический синдром Кушинга: </w:t>
      </w:r>
      <w:r w:rsidRPr="00951D01">
        <w:rPr>
          <w:sz w:val="24"/>
          <w:szCs w:val="24"/>
          <w:lang w:eastAsia="en-US"/>
        </w:rPr>
        <w:t xml:space="preserve">уровни свободного кортизола и 17-ГКС в суточной моче на 6-е сутки не снижаются. Концентрация кортизола в сыворотке в 16:00 &gt; 10 мкг%. Очень высокий уровень 17-ГКС в суточной моче характерен для рака надпочечников. Напротив, при эктопическом синдроме Кушинга, обусловленном АКТГ-секретирующим раком легкого, уровень 17- ГКС в моче снижается (поскольку дексаметазон подавляет секрецию АКТГ клетками этой опухоли).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3) Гипофизарный синдром Кушинга </w:t>
      </w:r>
      <w:r w:rsidRPr="00951D01">
        <w:rPr>
          <w:sz w:val="24"/>
          <w:szCs w:val="24"/>
          <w:lang w:eastAsia="en-US"/>
        </w:rPr>
        <w:t xml:space="preserve">(АКТГ-секретирующая аденома гипофиза): у 70—85% больных уровни свободного кортизола и 17-ГКС в суточной моче снижаются на 6-е сутки </w:t>
      </w:r>
      <w:r w:rsidRPr="00951D01">
        <w:rPr>
          <w:sz w:val="24"/>
          <w:szCs w:val="24"/>
          <w:lang w:eastAsia="en-US"/>
        </w:rPr>
        <w:lastRenderedPageBreak/>
        <w:t xml:space="preserve">более чем в 2 раза по сравнению с исходным. Концентрация кортизола в сыворотке в 16:00 &lt; 10 мкг%. Если есть подозрение на гипофизарный синдром Кушинга, но уровни свободного кортизола и 17-ГКС в суточной моче не снижаются, рекомендуется провести повторное исследование с приемом высоких доз дексаметазона в течение 3 сут.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Ложноположительные результаты </w:t>
      </w:r>
      <w:r w:rsidRPr="00951D01">
        <w:rPr>
          <w:sz w:val="24"/>
          <w:szCs w:val="24"/>
          <w:lang w:eastAsia="en-US"/>
        </w:rPr>
        <w:t xml:space="preserve">(особенно на этапе с низкими дозами дексаметазона) могут быть получены у больных с депрессией, а также на фоне стресса, физической перегрузки и приема фенитоина или барбитуратов.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Концентрация дегидроэпиандростерона сульфата в сыворотке &lt; 0,4 мкг/мл в 8:00 на 2-е сутки исследования указывает на аденому надпочечников. Однако концентрация этого метаболита может быть низкой и в норме (в препубертатном периоде, в постменопаузе), а также после хирургического вмешательства на надпочечниках и на фоне лечения глюкокортикоидами. Поэтому измерять концентрацию дегидроэпиандростерона сульфата имеет смысл только в том случае, когда концентрация кортизола в сыворотке не снижается после приема дексаметазона.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XIII. Пробы с АКТГ. </w:t>
      </w:r>
      <w:r w:rsidRPr="00951D01">
        <w:rPr>
          <w:sz w:val="24"/>
          <w:szCs w:val="24"/>
          <w:lang w:eastAsia="en-US"/>
        </w:rPr>
        <w:t xml:space="preserve">Эти пробы применяют для выявления и дифференциальной диагностики надпочечниковой недостаточности. Используют синтетический аналог АКТГ тетракозактид — мощный и быстродействующий стимулятор синтеза кортикостероидов. Реакцию на АКТГ оценивают по уровню кортизола и альдостерона в сыворотке или по уровню 17-ГКС в моче.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Короткая проба с АКТГ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Пробу можно проводить в стационаре или амбулаторно; время суток и прием пищи не влияют на результаты.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В вену устанавливают иглу-бабочку или катетер. Берут кровь для определения базальных концентраций кортизола и альдостерона в сыворотке и АКТГ в плазме. Определение альдостерона и АКТГ помогает отличить первичную надпочечниковую недостаточность от вторичной.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В/в или в/м водят 0,25 мг тетракозактида. Для в/в введения тетракозактид растворяют в 2—5 мл 0,9% NaCl; продолжительность инфузии — 2 мин.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Через 30 и 60 мин после введения тетракозактида берут кровь для определения концентраций кортизола и альдостерона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Норма: </w:t>
      </w:r>
      <w:r w:rsidRPr="00951D01">
        <w:rPr>
          <w:sz w:val="24"/>
          <w:szCs w:val="24"/>
          <w:lang w:eastAsia="en-US"/>
        </w:rPr>
        <w:t xml:space="preserve">в любое время после введения тетракозактида концентрация кортизола в сыворотке на 10 мкг% превышает базальную концентрацию, а через 60 мин превышает 18 мкг%. Если базальная концентрация кортизола была больше 20 мкг%, результаты пробы недостоверны.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Первичная надпочечниковая недостаточность: </w:t>
      </w:r>
      <w:r w:rsidRPr="00951D01">
        <w:rPr>
          <w:sz w:val="24"/>
          <w:szCs w:val="24"/>
          <w:lang w:eastAsia="en-US"/>
        </w:rPr>
        <w:t xml:space="preserve">реакция на тетракозактид отсутствует или снижена.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Вторичная надпочечниковая недостаточность: </w:t>
      </w:r>
      <w:r w:rsidRPr="00951D01">
        <w:rPr>
          <w:sz w:val="24"/>
          <w:szCs w:val="24"/>
          <w:lang w:eastAsia="en-US"/>
        </w:rPr>
        <w:t xml:space="preserve">у большинства больных реакция на тетракозактид отсутствует или снижена, но иногда </w:t>
      </w:r>
      <w:r w:rsidR="001B1D0E" w:rsidRPr="00951D01">
        <w:rPr>
          <w:sz w:val="24"/>
          <w:szCs w:val="24"/>
          <w:lang w:eastAsia="en-US"/>
        </w:rPr>
        <w:t>наблюдается нормальная реакция.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</w:p>
    <w:p w:rsidR="00AD04A1" w:rsidRPr="00951D01" w:rsidRDefault="00AD04A1" w:rsidP="00951D01">
      <w:pPr>
        <w:pageBreakBefore/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г. Чтобы различить первичную и вторичную надпочечниковую недостаточность, </w:t>
      </w:r>
      <w:r w:rsidRPr="00951D01">
        <w:rPr>
          <w:sz w:val="24"/>
          <w:szCs w:val="24"/>
          <w:lang w:eastAsia="en-US"/>
        </w:rPr>
        <w:t>нужно измерить базальный и стимулированный уровень альдостерона в сыворотке и базальный уровень АКТГ в плазме. При первичной надпочечниковой недостаточности базальный уровень альдостерона ниже нормы и не повышается после введения тетракозактида. При вторичной надпочечниковой недостаточности базальный уровень альдостерона снижен или в пределах нормы, но через 30 мин после введения тетракозактида повышается по крайней мере на 4 нг%. Базальный уровень АКТГ при первичной надпочечниковой недостаточности превышает 250 пг/мл, а при вторичной надпочечниковой недостаточности снижен или в пределах нормы (обычно &lt; 50 пг/мл). Если нет возможности измерить уровень АКТГ, для дифференциального диагноза надпочечниковой недостаточности проводят длинную пробу с АК</w:t>
      </w:r>
      <w:r w:rsidR="00477835" w:rsidRPr="00951D01">
        <w:rPr>
          <w:sz w:val="24"/>
          <w:szCs w:val="24"/>
          <w:lang w:eastAsia="en-US"/>
        </w:rPr>
        <w:t>ТГ</w:t>
      </w:r>
      <w:r w:rsidRPr="00951D01">
        <w:rPr>
          <w:sz w:val="24"/>
          <w:szCs w:val="24"/>
          <w:lang w:eastAsia="en-US"/>
        </w:rPr>
        <w:t xml:space="preserve">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Длинная проба с АКТГ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Обследуемого госпитализируют за 16—24 ч до начала пробы.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Схема исследования </w:t>
      </w:r>
      <w:r w:rsidRPr="00951D01">
        <w:rPr>
          <w:sz w:val="24"/>
          <w:szCs w:val="24"/>
          <w:lang w:eastAsia="en-US"/>
        </w:rPr>
        <w:t xml:space="preserve">представлена в табл. А.5. Обязательно регистрируют объем каждой порции суточной мочи. Для контроля полноты сбора мочи определяют концентрацию креатинина в каждой порции.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Сбор мочи начинают в 8:00 в 1-е сутки исследования.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Доза тетракозактида: 0,25 мг. Инфузионный раствор: 0,25 мг тетракозактида в 500 мл 0,9% NaCl. Инфузию начинают в 8:00; продолжительность инфузии — 8 ч.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Норма: </w:t>
      </w:r>
      <w:r w:rsidRPr="00951D01">
        <w:rPr>
          <w:sz w:val="24"/>
          <w:szCs w:val="24"/>
          <w:lang w:eastAsia="en-US"/>
        </w:rPr>
        <w:t xml:space="preserve">на 2-е — 3-и сутки уровни 17-ГКС в суточной моче и кортизола в сыворотке возрастают в 2—3 раза по сравнению с исходными показателями.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Первичная надпочечниковая недостаточность: </w:t>
      </w:r>
      <w:r w:rsidRPr="00951D01">
        <w:rPr>
          <w:sz w:val="24"/>
          <w:szCs w:val="24"/>
          <w:lang w:eastAsia="en-US"/>
        </w:rPr>
        <w:t xml:space="preserve">уровни 17-ГКС в суточной моче и кортизола в сыворотке не возрастают даже на 4-е сутки.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Вторичная надпочечниковая недостаточность: </w:t>
      </w:r>
      <w:r w:rsidRPr="00951D01">
        <w:rPr>
          <w:sz w:val="24"/>
          <w:szCs w:val="24"/>
          <w:lang w:eastAsia="en-US"/>
        </w:rPr>
        <w:t xml:space="preserve">постепенное ступенчатое повышение уровней 17-ГКС в суточной моче и кортизола в сыворотке. На 4-е сутки уровни 17-ГКС и кортизола достигают нормальных значений.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Меры предосторожности. </w:t>
      </w:r>
      <w:r w:rsidRPr="00951D01">
        <w:rPr>
          <w:sz w:val="24"/>
          <w:szCs w:val="24"/>
          <w:lang w:eastAsia="en-US"/>
        </w:rPr>
        <w:t xml:space="preserve">Длительная инфузия АКТГ истощает секреторный резерв кортизола и может вызвать гипоадреналовый криз у больных с первичной надпочечниковой недостаточностью. Поэтому при подозрении на первичную надпочечниковую недостаточность с 1-х по 4-е сутки исследования назначают дексаметазон в дозе 1,5 мг/сут. Это не влияет на результаты пробы.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>XIV. Пробы с метирапоном</w:t>
      </w:r>
      <w:r w:rsidRPr="00951D01">
        <w:rPr>
          <w:sz w:val="24"/>
          <w:szCs w:val="24"/>
          <w:lang w:eastAsia="en-US"/>
        </w:rPr>
        <w:t xml:space="preserve">. Метирапон — ингибитор 11бета-гидроксилазы — блокирует превращение 11-дезоксикортизола в кортизол. После приема метирапона концентрация 11-дезоксикортизола в сыворотке повышается, а концентрация кортизола снижается. Дефицит кортизола стимулирует секрецию АКТГ. Выброс АКТГ приводит к дальнейшему повышению концентрации 11-дезоксикортизола. Такая реакция на метирапон развивается только в том случае, когда все звенья гипоталамо-гипофизарно-надпочечниковой системы функционируют нормально. Таким образом, пробы с метирапоном позволяют оценить функциональную целостность этой системы.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sz w:val="24"/>
          <w:szCs w:val="24"/>
          <w:lang w:eastAsia="en-US"/>
        </w:rPr>
        <w:t xml:space="preserve">Пробы с метирапоном применяют для подтверждения диагноза надпочечниковой недостаточности, в дифференциальной диагностике первичной и вторичной надпочечниковой недостаточности, а также для установления причины синдрома Кушинга. Поскольку метирапон истощает секреторный резерв надпочечников и может вызвать гипоадреналовый криз у больных с первичной надпочечниковой недостаточностью, пробы проводят только в стационаре. </w:t>
      </w:r>
    </w:p>
    <w:p w:rsidR="00AD04A1" w:rsidRPr="00951D01" w:rsidRDefault="00AD04A1" w:rsidP="00951D01">
      <w:pPr>
        <w:pageBreakBefore/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А. Короткая проба с метирапоном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Обследуемого госпитализируют.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В 24:00 дают метирапон внутрь: 2 г при весе &lt; 70 кг; 2,5 г при весе 70—90 кг; 3 г при весе &gt; 90 кг. Чтобы предупредить тошноту и рвоту, метирапон принимают с едой или запивают молоком.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В 8:00 берут кровь для определения концентраций кортизола и 11-дезоксикортизола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Норма: </w:t>
      </w:r>
      <w:r w:rsidRPr="00951D01">
        <w:rPr>
          <w:sz w:val="24"/>
          <w:szCs w:val="24"/>
          <w:lang w:eastAsia="en-US"/>
        </w:rPr>
        <w:t xml:space="preserve">концентрация 11-дезоксикортизола в сыворотке &gt; 7,5 мкг%.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Первичная и вторичная надпочечниковая недостаточность: </w:t>
      </w:r>
      <w:r w:rsidRPr="00951D01">
        <w:rPr>
          <w:sz w:val="24"/>
          <w:szCs w:val="24"/>
          <w:lang w:eastAsia="en-US"/>
        </w:rPr>
        <w:t xml:space="preserve">концентрация 11-дезоксикортизола в сыворотке &lt; 5 мкг%.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Обязательное условие правильности пробы — блокада превращения 11-дезоксикортизола в кортизол. Об этом свидетельствует концентрация кортизола в сыворотке &lt; 5 мкг%.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Концентрация 11-дезоксикортизола &gt; 7,5 мкг% при концентрации кортизола &gt; 5 мкг% говорит о недостаточности дозы, нарушении всасывания или ускорении метаболизма метирапона. Метаболизм метирапона ускоряется при приеме фенитоина, поэтому при обследовании больных, получающих этот препарат, нужно увеличить дозу метирапона.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д. </w:t>
      </w:r>
      <w:r w:rsidRPr="00951D01">
        <w:rPr>
          <w:sz w:val="24"/>
          <w:szCs w:val="24"/>
          <w:lang w:eastAsia="en-US"/>
        </w:rPr>
        <w:t xml:space="preserve">Проба с однократным приемом метирапона не позволяет различить первичную и вторичную надпочечниковую недостаточность. Однако если у обследуемого имеется реакция на АКТГ (см. приложение А, п. XIII), но отсутствует реакция на метирапон, велика вероятность вторичной надпочечниковой недостаточности.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е. Дифференциальный диагноз синдрома Кушинга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1) </w:t>
      </w:r>
      <w:r w:rsidRPr="00951D01">
        <w:rPr>
          <w:sz w:val="24"/>
          <w:szCs w:val="24"/>
          <w:lang w:eastAsia="en-US"/>
        </w:rPr>
        <w:t xml:space="preserve">Автономная гиперсекреция глюкокортикоидов угнетает кортикотропные клетки аденогипофиза. Поэтому у больных с </w:t>
      </w:r>
      <w:r w:rsidRPr="00951D01">
        <w:rPr>
          <w:b/>
          <w:bCs/>
          <w:sz w:val="24"/>
          <w:szCs w:val="24"/>
          <w:lang w:eastAsia="en-US"/>
        </w:rPr>
        <w:t xml:space="preserve">надпочечниковым синдромом Кушинга </w:t>
      </w:r>
      <w:r w:rsidRPr="00951D01">
        <w:rPr>
          <w:sz w:val="24"/>
          <w:szCs w:val="24"/>
          <w:lang w:eastAsia="en-US"/>
        </w:rPr>
        <w:t xml:space="preserve">(аденомой или раком надпочечников) снижение уровня кортизола после приема метирапона не приводит к выбросу АКТГ и концентрация 11-дезоксикортизола не достигает 10 мкг%.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2) </w:t>
      </w:r>
      <w:r w:rsidRPr="00951D01">
        <w:rPr>
          <w:sz w:val="24"/>
          <w:szCs w:val="24"/>
          <w:lang w:eastAsia="en-US"/>
        </w:rPr>
        <w:t xml:space="preserve">При </w:t>
      </w:r>
      <w:r w:rsidRPr="00951D01">
        <w:rPr>
          <w:b/>
          <w:bCs/>
          <w:sz w:val="24"/>
          <w:szCs w:val="24"/>
          <w:lang w:eastAsia="en-US"/>
        </w:rPr>
        <w:t xml:space="preserve">гипофизарном синдроме Кушинга </w:t>
      </w:r>
      <w:r w:rsidRPr="00951D01">
        <w:rPr>
          <w:sz w:val="24"/>
          <w:szCs w:val="24"/>
          <w:lang w:eastAsia="en-US"/>
        </w:rPr>
        <w:t xml:space="preserve">регуляция секреции АКТГ не нарушена, поэтому после приема метирапона концентрация 11-дезоксикортизола обычно превышает 10 мкг%.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Меры предосторожности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Метирапон раздражает слизистую желудка и вызывает тошноту и рвоту. Чтобы предупредить эти побочные эффекты, метирапон принимают с едой или запивают молоком.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Опасное осложнение пробы с метирапоном у больных с первичной надпочечниковой недостаточностью — </w:t>
      </w:r>
      <w:r w:rsidRPr="00951D01">
        <w:rPr>
          <w:b/>
          <w:bCs/>
          <w:sz w:val="24"/>
          <w:szCs w:val="24"/>
          <w:lang w:eastAsia="en-US"/>
        </w:rPr>
        <w:t xml:space="preserve">гипоадреналовый криз. </w:t>
      </w:r>
      <w:r w:rsidRPr="00951D01">
        <w:rPr>
          <w:sz w:val="24"/>
          <w:szCs w:val="24"/>
          <w:lang w:eastAsia="en-US"/>
        </w:rPr>
        <w:t>Во время исследования за больным нужно непрерывно наблюдать. При гипоадреналовом кризе вводят 100 мг гидрокортизона в/в струйно и начинают инфузионн</w:t>
      </w:r>
      <w:r w:rsidR="00477835" w:rsidRPr="00951D01">
        <w:rPr>
          <w:sz w:val="24"/>
          <w:szCs w:val="24"/>
          <w:lang w:eastAsia="en-US"/>
        </w:rPr>
        <w:t>ую терапию</w:t>
      </w:r>
      <w:r w:rsidRPr="00951D01">
        <w:rPr>
          <w:sz w:val="24"/>
          <w:szCs w:val="24"/>
          <w:lang w:eastAsia="en-US"/>
        </w:rPr>
        <w:t xml:space="preserve">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>Чтобы снизить риск гипоадреналового криза, перед пробой с метирапоном рек</w:t>
      </w:r>
      <w:r w:rsidR="00477835" w:rsidRPr="00951D01">
        <w:rPr>
          <w:sz w:val="24"/>
          <w:szCs w:val="24"/>
          <w:lang w:eastAsia="en-US"/>
        </w:rPr>
        <w:t>омендуется провести пробу с АКТ</w:t>
      </w:r>
      <w:r w:rsidRPr="00951D01">
        <w:rPr>
          <w:sz w:val="24"/>
          <w:szCs w:val="24"/>
          <w:lang w:eastAsia="en-US"/>
        </w:rPr>
        <w:t xml:space="preserve">. Если выявлена первичная надпочечниковая недостаточность (реакция на АКТГ отсутствует), проба с метирапоном не нужна.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</w:p>
    <w:p w:rsidR="00AD04A1" w:rsidRPr="00951D01" w:rsidRDefault="00AD04A1" w:rsidP="00951D01">
      <w:pPr>
        <w:pageBreakBefore/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>Б. Длинная проба с метирапоном</w:t>
      </w:r>
      <w:r w:rsidRPr="00951D01">
        <w:rPr>
          <w:sz w:val="24"/>
          <w:szCs w:val="24"/>
          <w:lang w:eastAsia="en-US"/>
        </w:rPr>
        <w:t xml:space="preserve">. Применяют 2 варианта этой пробы: с определением гормонов в сыворотке и с определением гормонов в суточной моче. В любом случае обследуемого госпитализируют.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Методика пробы с определением гормонов в сыворотке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Продолжительность пробы — 24 ч.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Каждые 4 ч обследуемый принимает 750 мг метирапона внутрь. Первый прием — в 8:00, последний прием — в 4:00 следующих суток.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Через 4 ч после последнего приема метирапона (в 8:00) берут кровь и определяют концентрации 11-дезоксикортизола и кортизола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Методика пробы с определением гормонов в суточной моче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Продолжительность пробы — 96 ч.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С 8:00 1-х суток начинают сбор первой суточной порции мочи.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С 8:00 2-х суток начинают сбор второй суточной порции мочи.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С 8:00 3-х суток начинают сбор третьей суточной порции мочи. Каждые 4 ч обследуемый принимает 750 мг метирапона внутрь. Первый прием — в 8:00 3-х суток, последний прием — в 4:00 4-х суток.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д. </w:t>
      </w:r>
      <w:r w:rsidRPr="00951D01">
        <w:rPr>
          <w:sz w:val="24"/>
          <w:szCs w:val="24"/>
          <w:lang w:eastAsia="en-US"/>
        </w:rPr>
        <w:t xml:space="preserve">С 8:00 4-х суток начинают сбор четвертой суточной порции мочи.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е. </w:t>
      </w:r>
      <w:r w:rsidRPr="00951D01">
        <w:rPr>
          <w:sz w:val="24"/>
          <w:szCs w:val="24"/>
          <w:lang w:eastAsia="en-US"/>
        </w:rPr>
        <w:t xml:space="preserve">Измеряют содержание 17-ГКС в порциях суточной мочи. Базальный уровень 17-ГКС рассчитывают как среднее между уровнями в первой и второй порциях. Иногда базальный уровень 17-ГКС определяют только в одной суточной порции мочи (в этом случае исследование укорачивается на сутки).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Норма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1) Гормоны в сыворотке: </w:t>
      </w:r>
      <w:r w:rsidRPr="00951D01">
        <w:rPr>
          <w:sz w:val="24"/>
          <w:szCs w:val="24"/>
          <w:lang w:eastAsia="en-US"/>
        </w:rPr>
        <w:t xml:space="preserve">концентрация 11-дезоксикортизола </w:t>
      </w:r>
      <w:r w:rsidRPr="00951D01">
        <w:rPr>
          <w:sz w:val="24"/>
          <w:szCs w:val="24"/>
          <w:lang w:eastAsia="en-US"/>
        </w:rPr>
        <w:t xml:space="preserve"> 10 мкг% при концентрации кортизола &lt; 5 мкг%. Если концентрация 11-дезоксикортизола &lt; 10 мкг%, а концентрация кортизола &gt; 5 мкг% (недостаточное ингибирование 11бета-гидроксилазы), пробу нужно повторить.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2) Гормоны в суточной моче: </w:t>
      </w:r>
      <w:r w:rsidRPr="00951D01">
        <w:rPr>
          <w:sz w:val="24"/>
          <w:szCs w:val="24"/>
          <w:lang w:eastAsia="en-US"/>
        </w:rPr>
        <w:t xml:space="preserve">содержание 17-ГКС в третьей или четвертой порции суточной мочи в 2—4 раза превышает базальный уровень. Обычно содержание 17-ГКС увеличивается как минимум на 6 мг/сут.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Первичная и вторичная надпочечниковая недостаточность: </w:t>
      </w:r>
      <w:r w:rsidRPr="00951D01">
        <w:rPr>
          <w:sz w:val="24"/>
          <w:szCs w:val="24"/>
          <w:lang w:eastAsia="en-US"/>
        </w:rPr>
        <w:t xml:space="preserve">концентрация 11-дезоксикортизола в сыворотке не повышается, экскреция 17-ГКС не усиливается либо усиливается незначительно.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У больных, принимающих фенитоин, концентрация 11-дезоксикортизола в сыворотке не повышается либо повышается незначительно. В таких случаях показана проба с двенадцатикратным приемом метирапона (750 мг каждые 2 ч). Реакция на метирапон также нарушена у больных, длительно получающих глюкокортикоиды.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При беременности, лечении эстрогенами, гипотиреозе, почечной недостаточности, циррозе печени и недостаточном питании содержание 17-ГКС в суточной моче после приема метирапона не повышается либо повышается незначительно, но концентрация 11-дезоксикортизола в сыворотке увеличивается. Поэтому в таких случаях предпочтительна проба с определением концентраций гормонов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4. Меры предосторожности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>Основные осложнения и способы</w:t>
      </w:r>
      <w:r w:rsidR="00477835" w:rsidRPr="00951D01">
        <w:rPr>
          <w:sz w:val="24"/>
          <w:szCs w:val="24"/>
          <w:lang w:eastAsia="en-US"/>
        </w:rPr>
        <w:t xml:space="preserve"> борьбы с ними перечислены выше.</w:t>
      </w:r>
    </w:p>
    <w:p w:rsidR="00AD04A1" w:rsidRPr="00951D01" w:rsidRDefault="00AD04A1" w:rsidP="00951D01">
      <w:pPr>
        <w:pageBreakBefore/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б. </w:t>
      </w:r>
      <w:r w:rsidRPr="00951D01">
        <w:rPr>
          <w:sz w:val="24"/>
          <w:szCs w:val="24"/>
          <w:lang w:eastAsia="en-US"/>
        </w:rPr>
        <w:t xml:space="preserve">При длинной пробе с метирапоном тошнота и рвота отмечаются чаще, чем при короткой пробе. Кроме того, больные нередко жалуются на головную боль или головокружение. Поэтому на время пробы показан постельный режим.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XV. Пробы с минералокортикоидами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Принцип. </w:t>
      </w:r>
      <w:r w:rsidRPr="00951D01">
        <w:rPr>
          <w:sz w:val="24"/>
          <w:szCs w:val="24"/>
          <w:lang w:eastAsia="en-US"/>
        </w:rPr>
        <w:t xml:space="preserve">Эти пробы применяют для выявления первичного гиперальдостеронизма. Используют стероидные препараты, обладающие сильным минералокортикоидным действием — дезоксикортона ацетат или флудрокортизон. Оба препарата в норме подавляют секрецию альдостерона.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По возможности отменяют гипотензивную терапию за 2 нед до исследования. Солевой рацион обычный.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Обследуемого госпитализируют.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</w:t>
      </w:r>
      <w:r w:rsidRPr="00951D01">
        <w:rPr>
          <w:sz w:val="24"/>
          <w:szCs w:val="24"/>
          <w:lang w:eastAsia="en-US"/>
        </w:rPr>
        <w:t xml:space="preserve">Определяют базальный уровень альдостерона в сыворотке или в суточной моче.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4. </w:t>
      </w:r>
      <w:r w:rsidRPr="00951D01">
        <w:rPr>
          <w:sz w:val="24"/>
          <w:szCs w:val="24"/>
          <w:lang w:eastAsia="en-US"/>
        </w:rPr>
        <w:t xml:space="preserve">В течение 3 сут вводят дезоксикортона ацетат в/м в дозе 10 мг 2 раза в сутки либо дают флудрокортизон внутрь в дозе 0,2 мг 3 раза в сутки.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5. </w:t>
      </w:r>
      <w:r w:rsidRPr="00951D01">
        <w:rPr>
          <w:sz w:val="24"/>
          <w:szCs w:val="24"/>
          <w:lang w:eastAsia="en-US"/>
        </w:rPr>
        <w:t xml:space="preserve">На следующее утро берут кровь для определения концентрации альдостерона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6. </w:t>
      </w:r>
      <w:r w:rsidRPr="00951D01">
        <w:rPr>
          <w:sz w:val="24"/>
          <w:szCs w:val="24"/>
          <w:lang w:eastAsia="en-US"/>
        </w:rPr>
        <w:t xml:space="preserve">Если планируется определение содержания альдостерона в моче, ее собирают на протяжении третьих суток введения минералокортикоидов.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Норма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После приема флудрокортизона концентрация альдостерона в сыворотке </w:t>
      </w:r>
      <w:r w:rsidRPr="00951D01">
        <w:rPr>
          <w:sz w:val="24"/>
          <w:szCs w:val="24"/>
          <w:lang w:eastAsia="en-US"/>
        </w:rPr>
        <w:t xml:space="preserve"> 3 нг%, а содержание альдостерона в суточной моче &lt; 20 мкг/сут.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После введения дезоксикортона ацетата концентрация альдостерона в сыворотке &lt; 8,5 нг%, а содержание альдостерона в суточной моче &lt; 18—20 мкг/сут.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Первичный гиперальдостеронизм: </w:t>
      </w:r>
      <w:r w:rsidRPr="00951D01">
        <w:rPr>
          <w:sz w:val="24"/>
          <w:szCs w:val="24"/>
          <w:lang w:eastAsia="en-US"/>
        </w:rPr>
        <w:t xml:space="preserve">уровни альдостерона в сыворотке и моче не снижаются.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</w:t>
      </w:r>
      <w:r w:rsidRPr="00951D01">
        <w:rPr>
          <w:sz w:val="24"/>
          <w:szCs w:val="24"/>
          <w:lang w:eastAsia="en-US"/>
        </w:rPr>
        <w:t xml:space="preserve">При вторичном гиперальдостеронизме уровни альдостерона в сыворотке и моче обычно значительно снижаются.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Меры предосторожности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Минералокортикоиды противопоказаны больным с гипокалиемией, сердечно-сосудистыми заболеваниями и почечной недостаточностью.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У больных с гипокалиемией перед исследованием нужно нормализовать уровень калия в сыворотке и контролировать его на протяжении всей пробы.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</w:t>
      </w:r>
      <w:r w:rsidRPr="00951D01">
        <w:rPr>
          <w:sz w:val="24"/>
          <w:szCs w:val="24"/>
          <w:lang w:eastAsia="en-US"/>
        </w:rPr>
        <w:t xml:space="preserve">В последнее время пробы с минералокортикоидами применяются редко. Дезоксикортона ацетат снят с производства в США.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XVI. Проба с пищевой нагрузкой NaCl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Принцип. </w:t>
      </w:r>
      <w:r w:rsidRPr="00951D01">
        <w:rPr>
          <w:sz w:val="24"/>
          <w:szCs w:val="24"/>
          <w:lang w:eastAsia="en-US"/>
        </w:rPr>
        <w:t xml:space="preserve">В норме избыток натрия в сыворотке подавляет секрецию альдостерона. Пробу применяют при подозрении на гиперальдостеронизм.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Пробу можно проводить в амбулаторных условиях.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Обследуемый должен добавить к ежедневному рациону 10—12 г поваренной соли и соблюдать такую диету в течение 5 сут.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</w:t>
      </w:r>
      <w:r w:rsidRPr="00951D01">
        <w:rPr>
          <w:sz w:val="24"/>
          <w:szCs w:val="24"/>
          <w:lang w:eastAsia="en-US"/>
        </w:rPr>
        <w:t xml:space="preserve">На 5-е сутки обследуемый должен собрать суточную мочу для определения уровней натрия и альдостерона. </w:t>
      </w:r>
    </w:p>
    <w:p w:rsidR="00951D01" w:rsidRDefault="00AD04A1" w:rsidP="00951D01">
      <w:pPr>
        <w:widowControl/>
        <w:ind w:firstLine="567"/>
        <w:jc w:val="both"/>
        <w:rPr>
          <w:b/>
          <w:bCs/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В.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При соблюдении высокосолевой диеты суточная экскреция натрия должна превышать 250 мэкв/сут.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Норма: </w:t>
      </w:r>
      <w:r w:rsidRPr="00951D01">
        <w:rPr>
          <w:sz w:val="24"/>
          <w:szCs w:val="24"/>
          <w:lang w:eastAsia="en-US"/>
        </w:rPr>
        <w:t xml:space="preserve">содержание альдостерона в суточной моче </w:t>
      </w:r>
      <w:r w:rsidRPr="00951D01">
        <w:rPr>
          <w:sz w:val="24"/>
          <w:szCs w:val="24"/>
          <w:lang w:eastAsia="en-US"/>
        </w:rPr>
        <w:t xml:space="preserve"> 6 мкг/сут.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Первичный гиперальдостеронизм: </w:t>
      </w:r>
      <w:r w:rsidRPr="00951D01">
        <w:rPr>
          <w:sz w:val="24"/>
          <w:szCs w:val="24"/>
          <w:lang w:eastAsia="en-US"/>
        </w:rPr>
        <w:t xml:space="preserve">содержание альдостерона в суточной моче </w:t>
      </w:r>
      <w:r w:rsidRPr="00951D01">
        <w:rPr>
          <w:sz w:val="24"/>
          <w:szCs w:val="24"/>
          <w:lang w:eastAsia="en-US"/>
        </w:rPr>
        <w:t xml:space="preserve"> 14 мкг/сут. Для подтверждения диагноза требуется дальнейшее обследование.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XVII. Проба с изотоническим раствором NaCl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Принцип. </w:t>
      </w:r>
      <w:r w:rsidRPr="00951D01">
        <w:rPr>
          <w:sz w:val="24"/>
          <w:szCs w:val="24"/>
          <w:lang w:eastAsia="en-US"/>
        </w:rPr>
        <w:t xml:space="preserve">Резкое увеличение ОЦК подавляет секрецию альдостерона. Пробу применяют при подозрении на гиперальдостеронизм.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По возможности отменяют гипотензивную терапию за 2 нед до исследования. Солевой рацион обычный.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Обследуемого госпитализируют. Добиваются, чтобы концентрация калия в сыворотке была не менее 3,5 мэкв/л.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</w:t>
      </w:r>
      <w:r w:rsidRPr="00951D01">
        <w:rPr>
          <w:sz w:val="24"/>
          <w:szCs w:val="24"/>
          <w:lang w:eastAsia="en-US"/>
        </w:rPr>
        <w:t xml:space="preserve">В течение 1 ч перед пробой и на протяжении всей пробы обследуемый должен лежать на спине. В 7:30 устанавливают венозный катетер и берут кровь для определения базальных концентраций альдостерона и калия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4. </w:t>
      </w:r>
      <w:r w:rsidRPr="00951D01">
        <w:rPr>
          <w:sz w:val="24"/>
          <w:szCs w:val="24"/>
          <w:lang w:eastAsia="en-US"/>
        </w:rPr>
        <w:t xml:space="preserve">В 8:00 начинают инфузию 0,9% NaCl. Продолжительность инфузии — 4 ч, скорость — 500 мл/ч, общий объем — 2 л.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5. </w:t>
      </w:r>
      <w:r w:rsidRPr="00951D01">
        <w:rPr>
          <w:sz w:val="24"/>
          <w:szCs w:val="24"/>
          <w:lang w:eastAsia="en-US"/>
        </w:rPr>
        <w:t xml:space="preserve">В 12:00 берут кровь для определения концентраций альдостерона и калия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Норма: </w:t>
      </w:r>
      <w:r w:rsidRPr="00951D01">
        <w:rPr>
          <w:sz w:val="24"/>
          <w:szCs w:val="24"/>
          <w:lang w:eastAsia="en-US"/>
        </w:rPr>
        <w:t xml:space="preserve">концентрация альдостерона в сыворотке снижается на 50—80% и обычно не превышает 5 нг%.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Концентрация альдостерона в интервале 5—10 нг%: проба неинформативна.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</w:t>
      </w:r>
      <w:r w:rsidRPr="00951D01">
        <w:rPr>
          <w:sz w:val="24"/>
          <w:szCs w:val="24"/>
          <w:lang w:eastAsia="en-US"/>
        </w:rPr>
        <w:t xml:space="preserve">Концентрация альдостерона &gt; 10 нг%: высока вероятность первичного гиперальдостеронизма.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4. </w:t>
      </w:r>
      <w:r w:rsidRPr="00951D01">
        <w:rPr>
          <w:sz w:val="24"/>
          <w:szCs w:val="24"/>
          <w:lang w:eastAsia="en-US"/>
        </w:rPr>
        <w:t xml:space="preserve">Поскольку проба может давать ложноположительные и ложноотрицательные результаты, для подтверждения диагноза необходимы другие исследования.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Меры предосторожности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Исследование противопоказано при сердечно-сосудистых заболеваниях и почечной недостаточности.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Увеличение ОЦК может вызвать тяжелую гипокалиемию при первичном гиперальдостеронизме, поэтому через 2 ч после начала инфузии рекомендуется определить концентрацию калия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XVIII. Ортостатическая проба с фуросемидом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Принцип. </w:t>
      </w:r>
      <w:r w:rsidRPr="00951D01">
        <w:rPr>
          <w:sz w:val="24"/>
          <w:szCs w:val="24"/>
          <w:lang w:eastAsia="en-US"/>
        </w:rPr>
        <w:t xml:space="preserve">Эту пробу применяют для выявления гиперволемических форм артериальной гипертонии с низкой АРП (например, артериальной гипертонии, обусловленной первичным гиперальдостеронизмом). Пробу также используют для подтверждения диагноза гипоренинового гипоальдостеронизма. После приема фуросемида определяют АРП в положении стоя на фоне умеренной физической нагрузки (фуросемид вызывает потерю натрия и снижение ОЦК, а вертикальное положение тела уменьшает эффективный ОЦК).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По возможности отменяют гипотензивную терапию за 2 нед до исследования. Солевой рацион обычный.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Пробу можно проводить в амбулаторных условиях. </w:t>
      </w:r>
    </w:p>
    <w:p w:rsid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3. </w:t>
      </w:r>
      <w:r w:rsidRPr="00951D01">
        <w:rPr>
          <w:sz w:val="24"/>
          <w:szCs w:val="24"/>
          <w:lang w:eastAsia="en-US"/>
        </w:rPr>
        <w:t xml:space="preserve">Исследование начинают в 7:30—8:00.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4. </w:t>
      </w:r>
      <w:r w:rsidRPr="00951D01">
        <w:rPr>
          <w:sz w:val="24"/>
          <w:szCs w:val="24"/>
          <w:lang w:eastAsia="en-US"/>
        </w:rPr>
        <w:t xml:space="preserve">Больной лежит на спине 30—60 мин, после чего берут кровь для определения базальной АРП.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5. </w:t>
      </w:r>
      <w:r w:rsidRPr="00951D01">
        <w:rPr>
          <w:sz w:val="24"/>
          <w:szCs w:val="24"/>
          <w:lang w:eastAsia="en-US"/>
        </w:rPr>
        <w:t xml:space="preserve">Больного поднимают, дают ему 60—80 мг фуросемида внутрь и запрещают ложиться в течение 3—4 ч.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6. </w:t>
      </w:r>
      <w:r w:rsidRPr="00951D01">
        <w:rPr>
          <w:sz w:val="24"/>
          <w:szCs w:val="24"/>
          <w:lang w:eastAsia="en-US"/>
        </w:rPr>
        <w:t xml:space="preserve">Через 3—4 ч после приема фуросемида берут кровь для определения АРП.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Норма: </w:t>
      </w:r>
      <w:r w:rsidRPr="00951D01">
        <w:rPr>
          <w:sz w:val="24"/>
          <w:szCs w:val="24"/>
          <w:lang w:eastAsia="en-US"/>
        </w:rPr>
        <w:t xml:space="preserve">базальная АРП </w:t>
      </w:r>
      <w:r w:rsidRPr="00951D01">
        <w:rPr>
          <w:sz w:val="24"/>
          <w:szCs w:val="24"/>
          <w:lang w:eastAsia="en-US"/>
        </w:rPr>
        <w:t xml:space="preserve"> 1 нг/мл/ч; АРП после приема фуросемида и физической нагрузки </w:t>
      </w:r>
      <w:r w:rsidRPr="00951D01">
        <w:rPr>
          <w:sz w:val="24"/>
          <w:szCs w:val="24"/>
          <w:lang w:eastAsia="en-US"/>
        </w:rPr>
        <w:t xml:space="preserve"> 2 нг/мл/ч.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Базальная АРП &lt; 1 нг/мл/ч; АРП после приема фуросемида и физической нагрузки &lt; 2 нг/мл/ч. </w:t>
      </w:r>
      <w:r w:rsidRPr="00951D01">
        <w:rPr>
          <w:sz w:val="24"/>
          <w:szCs w:val="24"/>
          <w:lang w:eastAsia="en-US"/>
        </w:rPr>
        <w:t xml:space="preserve">Такие показатели характерны для первичного гиперальдостеронизма, гипертонической болезни с низкой АРП, синдрома Кушинга, а также врожденной гиперплазии коры надпочечников, обусловленной недостаточностью 11бета-гидроксилазы или 17альфа-гидроксилазы. Изредка такие показатели встречаются при синдроме мнимого избытка минералокортикоидов (например, при чрезмерном потреблении лакрицы), при синдроме Лиддла и у больных с гипорениновым гипоальдостеронизмом. </w:t>
      </w:r>
    </w:p>
    <w:p w:rsidR="001B1D0E" w:rsidRPr="001B1D0E" w:rsidRDefault="001B1D0E" w:rsidP="001B1D0E">
      <w:pPr>
        <w:widowControl/>
        <w:jc w:val="both"/>
        <w:rPr>
          <w:sz w:val="24"/>
          <w:szCs w:val="24"/>
          <w:lang w:eastAsia="en-US"/>
        </w:rPr>
      </w:pPr>
    </w:p>
    <w:p w:rsidR="001B1D0E" w:rsidRPr="00951D01" w:rsidRDefault="001B1D0E" w:rsidP="001B1D0E">
      <w:pPr>
        <w:widowControl/>
        <w:autoSpaceDE/>
        <w:autoSpaceDN/>
        <w:adjustRightInd/>
        <w:spacing w:before="100" w:beforeAutospacing="1" w:after="100" w:afterAutospacing="1"/>
        <w:jc w:val="both"/>
        <w:outlineLvl w:val="1"/>
        <w:rPr>
          <w:b/>
          <w:bCs/>
          <w:sz w:val="32"/>
          <w:szCs w:val="24"/>
        </w:rPr>
      </w:pPr>
      <w:r w:rsidRPr="00951D01">
        <w:rPr>
          <w:bCs/>
          <w:sz w:val="32"/>
          <w:szCs w:val="24"/>
        </w:rPr>
        <w:t xml:space="preserve">План </w:t>
      </w:r>
      <w:r w:rsidRPr="00951D01">
        <w:rPr>
          <w:bCs/>
          <w:sz w:val="32"/>
          <w:szCs w:val="24"/>
          <w:lang w:val="uz-Cyrl-UZ"/>
        </w:rPr>
        <w:t>6</w:t>
      </w:r>
      <w:r w:rsidRPr="00951D01">
        <w:rPr>
          <w:bCs/>
          <w:sz w:val="32"/>
          <w:szCs w:val="24"/>
        </w:rPr>
        <w:t>.</w:t>
      </w:r>
      <w:r w:rsidRPr="00951D01">
        <w:rPr>
          <w:bCs/>
          <w:sz w:val="32"/>
          <w:szCs w:val="24"/>
          <w:lang w:val="uz-Cyrl-UZ"/>
        </w:rPr>
        <w:t xml:space="preserve"> </w:t>
      </w:r>
      <w:r w:rsidRPr="00951D01">
        <w:rPr>
          <w:bCs/>
          <w:sz w:val="32"/>
          <w:szCs w:val="24"/>
        </w:rPr>
        <w:t>Мозговое вещество надпочечников</w:t>
      </w:r>
    </w:p>
    <w:p w:rsidR="001B1D0E" w:rsidRPr="001B1D0E" w:rsidRDefault="001B1D0E" w:rsidP="001B1D0E">
      <w:pPr>
        <w:widowControl/>
        <w:jc w:val="both"/>
        <w:rPr>
          <w:sz w:val="24"/>
          <w:szCs w:val="24"/>
          <w:lang w:eastAsia="en-US"/>
        </w:rPr>
      </w:pP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Супрессивная проба с клонидином. </w:t>
      </w:r>
      <w:r w:rsidRPr="001B1D0E">
        <w:rPr>
          <w:sz w:val="24"/>
          <w:szCs w:val="24"/>
          <w:lang w:eastAsia="en-US"/>
        </w:rPr>
        <w:t xml:space="preserve">Эту пробу используют при подозрении на феохромоцитому у больных с артериальной гипертонией и повышенным уровнем норадреналина в плазме.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А. Принцип. </w:t>
      </w:r>
      <w:r w:rsidRPr="001B1D0E">
        <w:rPr>
          <w:sz w:val="24"/>
          <w:szCs w:val="24"/>
          <w:lang w:eastAsia="en-US"/>
        </w:rPr>
        <w:t xml:space="preserve">Клонидин — это центральный альфа2-адреностимулятор. После приема внутрь клонидин блокирует выброс катехоламинов из постганглионарных нейронов, поэтому в норме и при гипертонической болезни уровень норадреналина в плазме снижается. При феохромоцитоме уровень норадреналина после приема клонидина не уменьшается, поскольку секреция катехоламинов этой опухолью не регулируется нервной системой.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Б. Методика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1. </w:t>
      </w:r>
      <w:r w:rsidRPr="001B1D0E">
        <w:rPr>
          <w:sz w:val="24"/>
          <w:szCs w:val="24"/>
          <w:lang w:eastAsia="en-US"/>
        </w:rPr>
        <w:t xml:space="preserve">По возможности за неделю до исследования отменяют все лекарственные средства.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2. </w:t>
      </w:r>
      <w:r w:rsidRPr="001B1D0E">
        <w:rPr>
          <w:sz w:val="24"/>
          <w:szCs w:val="24"/>
          <w:lang w:eastAsia="en-US"/>
        </w:rPr>
        <w:t xml:space="preserve">Накануне исследования больного госпитализируют. Пробу проводят натощак (продолжительность голодания — 8—12 ч). В день исследования больной не должен курить и пить кофе.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3. </w:t>
      </w:r>
      <w:r w:rsidRPr="001B1D0E">
        <w:rPr>
          <w:sz w:val="24"/>
          <w:szCs w:val="24"/>
          <w:lang w:eastAsia="en-US"/>
        </w:rPr>
        <w:t xml:space="preserve">В течение 30—60 мин перед пробой и во время пробы больной должен лежать на спине, желательно в отдельной палате.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4. </w:t>
      </w:r>
      <w:r w:rsidRPr="001B1D0E">
        <w:rPr>
          <w:sz w:val="24"/>
          <w:szCs w:val="24"/>
          <w:lang w:eastAsia="en-US"/>
        </w:rPr>
        <w:t xml:space="preserve">Устанавливают венозный катетер и через 30 и 35 мин берут кровь для определения базальных концентраций адреналина и норадреналина в плазме (рассчитывают средние значения). Измеряют АД и ЧСС.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5. </w:t>
      </w:r>
      <w:r w:rsidRPr="001B1D0E">
        <w:rPr>
          <w:sz w:val="24"/>
          <w:szCs w:val="24"/>
          <w:lang w:eastAsia="en-US"/>
        </w:rPr>
        <w:t xml:space="preserve">Дают 0,3 мг клонидина внутрь. Препарат обязательно надо запить водой.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6. </w:t>
      </w:r>
      <w:r w:rsidRPr="001B1D0E">
        <w:rPr>
          <w:sz w:val="24"/>
          <w:szCs w:val="24"/>
          <w:lang w:eastAsia="en-US"/>
        </w:rPr>
        <w:t xml:space="preserve">Через 1, 2 и 3 ч после приема клонидина берут кровь для определения концентраций адреналина и норадреналина в плазме. Каждые 30 мин измеряют АД и ЧСС.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В. Оценка результатов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lastRenderedPageBreak/>
        <w:t xml:space="preserve">1. Норма и гипертоническая болезнь: </w:t>
      </w:r>
      <w:r w:rsidRPr="001B1D0E">
        <w:rPr>
          <w:sz w:val="24"/>
          <w:szCs w:val="24"/>
          <w:lang w:eastAsia="en-US"/>
        </w:rPr>
        <w:t xml:space="preserve">через 3 ч после приема клонидина концентрация норадреналина в плазме становится значительно ниже базальной и обычно не превышает 500 пг/мл.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2. Феохромоцитома: </w:t>
      </w:r>
      <w:r w:rsidRPr="001B1D0E">
        <w:rPr>
          <w:sz w:val="24"/>
          <w:szCs w:val="24"/>
          <w:lang w:eastAsia="en-US"/>
        </w:rPr>
        <w:t xml:space="preserve">концентрация норадреналина в плазме не снижается. </w:t>
      </w:r>
    </w:p>
    <w:p w:rsidR="001B1D0E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3. </w:t>
      </w:r>
      <w:r w:rsidRPr="001B1D0E">
        <w:rPr>
          <w:sz w:val="24"/>
          <w:szCs w:val="24"/>
          <w:lang w:eastAsia="en-US"/>
        </w:rPr>
        <w:t xml:space="preserve">Как правило, после приема клонидина концентрация адреналина снижается при гипертонической болезни и не изменяется при феохромоцитоме.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4. </w:t>
      </w:r>
      <w:r w:rsidRPr="001B1D0E">
        <w:rPr>
          <w:sz w:val="24"/>
          <w:szCs w:val="24"/>
          <w:lang w:eastAsia="en-US"/>
        </w:rPr>
        <w:t xml:space="preserve">Чувствительность пробы составляет 86—99%, если базальная концентрация норадреналина &gt; 2000 пг/мл, и 73—97%, если базальная концентрация норадреналина &lt; 2000 пг/мл.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5. </w:t>
      </w:r>
      <w:r w:rsidRPr="001B1D0E">
        <w:rPr>
          <w:sz w:val="24"/>
          <w:szCs w:val="24"/>
          <w:lang w:eastAsia="en-US"/>
        </w:rPr>
        <w:t xml:space="preserve">Трициклические антидепрессанты, тиазидные диуретики и бета-адреноблокаторы изменяют реакцию на клонидин.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Г. Меры предосторожности </w:t>
      </w:r>
    </w:p>
    <w:p w:rsidR="00AD04A1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1. </w:t>
      </w:r>
      <w:r w:rsidRPr="001B1D0E">
        <w:rPr>
          <w:sz w:val="24"/>
          <w:szCs w:val="24"/>
          <w:lang w:eastAsia="en-US"/>
        </w:rPr>
        <w:t xml:space="preserve">Обычно отмечается падение АД и ЧСС, особенно через 3—4 ч после приема клонидина. У больных, принимавших гипотензивные средства за несколько дней до исследования, может развиться опасная артериальная гипотония. Поэтому во время исследования за больными непрерывно наблюдают и каждые 30 мин измеряют АД и ЧСС. </w:t>
      </w:r>
    </w:p>
    <w:p w:rsidR="001B1D0E" w:rsidRPr="001B1D0E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1B1D0E">
        <w:rPr>
          <w:b/>
          <w:bCs/>
          <w:sz w:val="24"/>
          <w:szCs w:val="24"/>
          <w:lang w:eastAsia="en-US"/>
        </w:rPr>
        <w:t xml:space="preserve">2. </w:t>
      </w:r>
      <w:r w:rsidRPr="001B1D0E">
        <w:rPr>
          <w:sz w:val="24"/>
          <w:szCs w:val="24"/>
          <w:lang w:eastAsia="en-US"/>
        </w:rPr>
        <w:t>Проба противопоказана беременным.</w:t>
      </w:r>
    </w:p>
    <w:p w:rsidR="00AD04A1" w:rsidRPr="001B1D0E" w:rsidRDefault="00AD04A1" w:rsidP="001B1D0E">
      <w:pPr>
        <w:widowControl/>
        <w:jc w:val="both"/>
        <w:rPr>
          <w:sz w:val="24"/>
          <w:szCs w:val="24"/>
          <w:lang w:eastAsia="en-US"/>
        </w:rPr>
      </w:pPr>
      <w:r w:rsidRPr="001B1D0E">
        <w:rPr>
          <w:sz w:val="24"/>
          <w:szCs w:val="24"/>
          <w:lang w:eastAsia="en-US"/>
        </w:rPr>
        <w:t xml:space="preserve"> </w:t>
      </w:r>
    </w:p>
    <w:p w:rsidR="001B1D0E" w:rsidRPr="00951D01" w:rsidRDefault="001B1D0E" w:rsidP="001B1D0E">
      <w:pPr>
        <w:widowControl/>
        <w:autoSpaceDE/>
        <w:autoSpaceDN/>
        <w:adjustRightInd/>
        <w:spacing w:before="100" w:beforeAutospacing="1" w:after="100" w:afterAutospacing="1"/>
        <w:jc w:val="both"/>
        <w:outlineLvl w:val="1"/>
        <w:rPr>
          <w:bCs/>
          <w:sz w:val="32"/>
          <w:szCs w:val="32"/>
        </w:rPr>
      </w:pPr>
      <w:r w:rsidRPr="00951D01">
        <w:rPr>
          <w:bCs/>
          <w:sz w:val="32"/>
          <w:szCs w:val="32"/>
        </w:rPr>
        <w:t xml:space="preserve">План </w:t>
      </w:r>
      <w:r w:rsidRPr="00951D01">
        <w:rPr>
          <w:bCs/>
          <w:sz w:val="32"/>
          <w:szCs w:val="32"/>
          <w:lang w:val="uz-Cyrl-UZ"/>
        </w:rPr>
        <w:t>7</w:t>
      </w:r>
      <w:r w:rsidRPr="00951D01">
        <w:rPr>
          <w:bCs/>
          <w:sz w:val="32"/>
          <w:szCs w:val="32"/>
        </w:rPr>
        <w:t>.</w:t>
      </w:r>
      <w:r w:rsidRPr="00951D01">
        <w:rPr>
          <w:bCs/>
          <w:sz w:val="32"/>
          <w:szCs w:val="32"/>
          <w:lang w:val="uz-Cyrl-UZ"/>
        </w:rPr>
        <w:t xml:space="preserve"> </w:t>
      </w:r>
      <w:r w:rsidRPr="00951D01">
        <w:rPr>
          <w:bCs/>
          <w:sz w:val="32"/>
          <w:szCs w:val="32"/>
        </w:rPr>
        <w:t xml:space="preserve"> Щитовидная железа</w:t>
      </w:r>
    </w:p>
    <w:p w:rsidR="001B1D0E" w:rsidRPr="001B1D0E" w:rsidRDefault="001B1D0E" w:rsidP="001B1D0E">
      <w:pPr>
        <w:widowControl/>
        <w:jc w:val="both"/>
        <w:rPr>
          <w:sz w:val="24"/>
          <w:szCs w:val="24"/>
          <w:lang w:eastAsia="en-US"/>
        </w:rPr>
      </w:pP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Оценка синтеза и секреции тиреоидных гормонов </w:t>
      </w:r>
      <w:r w:rsidRPr="00951D01">
        <w:rPr>
          <w:sz w:val="24"/>
          <w:szCs w:val="24"/>
          <w:lang w:eastAsia="en-US"/>
        </w:rPr>
        <w:t xml:space="preserve">— см. гл. 27.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Оценка секреции кальцитонина (проба с пентагастрином). </w:t>
      </w:r>
      <w:r w:rsidRPr="00951D01">
        <w:rPr>
          <w:sz w:val="24"/>
          <w:szCs w:val="24"/>
          <w:lang w:eastAsia="en-US"/>
        </w:rPr>
        <w:t xml:space="preserve">Пробу применяют для выявления и подтверждения диагноза медуллярного рака щитовидной железы.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Принцип. </w:t>
      </w:r>
      <w:r w:rsidRPr="00951D01">
        <w:rPr>
          <w:sz w:val="24"/>
          <w:szCs w:val="24"/>
          <w:lang w:eastAsia="en-US"/>
        </w:rPr>
        <w:t xml:space="preserve">Пентагастрин стимулирует выброс кальцитонина как из нормальных C-клеток щитовидной железы, так и из клеток медуллярного рака, но опухолевые клетки реагируют на пентагастрин гораздо сильнее.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Методика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Пробу можно проводить в амбулаторных условиях.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Пробу проводят утром натощак.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</w:t>
      </w:r>
      <w:r w:rsidRPr="00951D01">
        <w:rPr>
          <w:sz w:val="24"/>
          <w:szCs w:val="24"/>
          <w:lang w:eastAsia="en-US"/>
        </w:rPr>
        <w:t xml:space="preserve">В вену устанавливают иглу-бабочку или катетер и берут кровь для определения базальной концентрации кальцитонина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4. </w:t>
      </w:r>
      <w:r w:rsidRPr="00951D01">
        <w:rPr>
          <w:sz w:val="24"/>
          <w:szCs w:val="24"/>
          <w:lang w:eastAsia="en-US"/>
        </w:rPr>
        <w:t xml:space="preserve">Вводят 0,5 мкг/кг пентагастрина в/в струйно (за 5 с).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5. </w:t>
      </w:r>
      <w:r w:rsidRPr="00951D01">
        <w:rPr>
          <w:sz w:val="24"/>
          <w:szCs w:val="24"/>
          <w:lang w:eastAsia="en-US"/>
        </w:rPr>
        <w:t xml:space="preserve">Через 2, 5 и 15 мин после введения пентагастрина берут кровь для определения концентраций кальцитонина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Норма: </w:t>
      </w:r>
      <w:r w:rsidRPr="00951D01">
        <w:rPr>
          <w:sz w:val="24"/>
          <w:szCs w:val="24"/>
          <w:lang w:eastAsia="en-US"/>
        </w:rPr>
        <w:t xml:space="preserve">базальная концентрация кальцитонина в сыворотке не превышает 28 пг/мл. Через 2—3 мин после введения пентагастрина концентрация кальцитонина повышается, а через 10—30 мин возвращается к исходному уровню (либо кальцитонин вообще не определяется). Как правило, у здоровых людей уровень кальцитонина после стимуляции не выходит за пределы нормы.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Медуллярный рак щитовидной железы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У 70% больных базальная концентрация кальцитонина находится в пределах 500—2000 пг/мл.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б. </w:t>
      </w:r>
      <w:r w:rsidRPr="00951D01">
        <w:rPr>
          <w:sz w:val="24"/>
          <w:szCs w:val="24"/>
          <w:lang w:eastAsia="en-US"/>
        </w:rPr>
        <w:t xml:space="preserve">У 30% больных базальная концентрация кальцитонина находится в пределах нормы либо незначительно превышает норму.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После введения пентагастрина уровень кальцитонина повышается </w:t>
      </w:r>
      <w:r w:rsidRPr="00951D01">
        <w:rPr>
          <w:b/>
          <w:bCs/>
          <w:sz w:val="24"/>
          <w:szCs w:val="24"/>
          <w:lang w:eastAsia="en-US"/>
        </w:rPr>
        <w:t xml:space="preserve">почти у всех больных. </w:t>
      </w:r>
      <w:r w:rsidRPr="00951D01">
        <w:rPr>
          <w:sz w:val="24"/>
          <w:szCs w:val="24"/>
          <w:lang w:eastAsia="en-US"/>
        </w:rPr>
        <w:t xml:space="preserve">Если базальный уровень кальцитонина повышен, то после стимуляции он возрастает в 10—20 раз.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Если базальный уровень кальцитонина находится на нижней границе нормы (либо кальцитонин не определяется), а после стимуляции значительно повышается, но не выходит за пределы нормы, следует заподозрить раннюю стадию медуллярного рака либо гиперплазию C-клеток щитовидной железы.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д. </w:t>
      </w:r>
      <w:r w:rsidRPr="00951D01">
        <w:rPr>
          <w:sz w:val="24"/>
          <w:szCs w:val="24"/>
          <w:lang w:eastAsia="en-US"/>
        </w:rPr>
        <w:t>У некоторых больных опухолевые клетки не реагируют на пентагастрин. В таких случаях требуется проба с инфузией кал</w:t>
      </w:r>
      <w:r w:rsidR="001B1D0E" w:rsidRPr="00951D01">
        <w:rPr>
          <w:sz w:val="24"/>
          <w:szCs w:val="24"/>
          <w:lang w:eastAsia="en-US"/>
        </w:rPr>
        <w:t xml:space="preserve">ьция </w:t>
      </w:r>
      <w:r w:rsidRPr="00951D01">
        <w:rPr>
          <w:sz w:val="24"/>
          <w:szCs w:val="24"/>
          <w:lang w:eastAsia="en-US"/>
        </w:rPr>
        <w:t xml:space="preserve"> </w:t>
      </w:r>
      <w:r w:rsidRPr="00951D01">
        <w:rPr>
          <w:b/>
          <w:bCs/>
          <w:sz w:val="24"/>
          <w:szCs w:val="24"/>
          <w:lang w:eastAsia="en-US"/>
        </w:rPr>
        <w:t xml:space="preserve">е. </w:t>
      </w:r>
      <w:r w:rsidRPr="00951D01">
        <w:rPr>
          <w:sz w:val="24"/>
          <w:szCs w:val="24"/>
          <w:lang w:eastAsia="en-US"/>
        </w:rPr>
        <w:t xml:space="preserve">Иногда для подтверждения или исключения диагноза требуются повторные исследования с интервалом от нескольких месяцев до нескольких лет.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ж. </w:t>
      </w:r>
      <w:r w:rsidRPr="00951D01">
        <w:rPr>
          <w:sz w:val="24"/>
          <w:szCs w:val="24"/>
          <w:lang w:eastAsia="en-US"/>
        </w:rPr>
        <w:t xml:space="preserve">Проба не является специфичной для медуллярного рака щитовидной железы, поскольку пентагастрин может стимулировать секрецию кальцитонина у больных с раком легкого, молочной железы, яичников, аденомой паращитовидной железы, АПУДомами.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з. </w:t>
      </w:r>
      <w:r w:rsidRPr="00951D01">
        <w:rPr>
          <w:sz w:val="24"/>
          <w:szCs w:val="24"/>
          <w:lang w:eastAsia="en-US"/>
        </w:rPr>
        <w:t xml:space="preserve">Проба с пентагастрином в последнее время применяется при обследовании семей, где имеются случаи МЭН.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Меры предосторожности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Частые побочные эффекты пентагастрина: недомогание, тошнота, рвота, понос, боль в животе, неприятные ощущения в груди, головная боль, головокружение, слабость, приливы, учащение дыхания. Все эти проявления проходят через несколько минут.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Проба противопоказана больным с гипокальциемией.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XXII. Пробы с инфузией кальция. </w:t>
      </w:r>
      <w:r w:rsidRPr="00951D01">
        <w:rPr>
          <w:sz w:val="24"/>
          <w:szCs w:val="24"/>
          <w:lang w:eastAsia="en-US"/>
        </w:rPr>
        <w:t xml:space="preserve">Эти пробы применяют для выявления и подтверждения диагноза медуллярного рака щитовидной железы.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Принцип. </w:t>
      </w:r>
      <w:r w:rsidRPr="00951D01">
        <w:rPr>
          <w:sz w:val="24"/>
          <w:szCs w:val="24"/>
          <w:lang w:eastAsia="en-US"/>
        </w:rPr>
        <w:t xml:space="preserve">Кальций стимулирует выброс кальцитонина как из нормальных C-клеток щитовидной железы, так и из клеток медуллярного рака, но опухолевые клетки реагируют на кальций гораздо сильнее. Пробу можно проводить в амбулаторных условиях.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Короткая проба с инфузией кальция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Пробу проводят утром натощак.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Устанавливают венозный катетер и берут кровь для определения базальной концентрации кальцитонина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</w:t>
      </w:r>
      <w:r w:rsidRPr="00951D01">
        <w:rPr>
          <w:sz w:val="24"/>
          <w:szCs w:val="24"/>
          <w:lang w:eastAsia="en-US"/>
        </w:rPr>
        <w:t xml:space="preserve">Вводят 150 мг </w:t>
      </w:r>
      <w:r w:rsidRPr="00951D01">
        <w:rPr>
          <w:b/>
          <w:bCs/>
          <w:sz w:val="24"/>
          <w:szCs w:val="24"/>
          <w:lang w:eastAsia="en-US"/>
        </w:rPr>
        <w:t xml:space="preserve">кальция хлорида </w:t>
      </w:r>
      <w:r w:rsidRPr="00951D01">
        <w:rPr>
          <w:sz w:val="24"/>
          <w:szCs w:val="24"/>
          <w:lang w:eastAsia="en-US"/>
        </w:rPr>
        <w:t xml:space="preserve">в 50 мл 0,9% NaCl в/в; продолжительность инфузии — 10 мин.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4. </w:t>
      </w:r>
      <w:r w:rsidRPr="00951D01">
        <w:rPr>
          <w:sz w:val="24"/>
          <w:szCs w:val="24"/>
          <w:lang w:eastAsia="en-US"/>
        </w:rPr>
        <w:t xml:space="preserve">Через 10, 20, 30 и 60 мин после начала введения кальция берут кровь для определения концентраций кальцитонина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Длинная проба с инфузией кальция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Пробу проводят утром натощак.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Устанавливают инфузионную систему и берут кровь для определения базальной концентрации кальцитонина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3. </w:t>
      </w:r>
      <w:r w:rsidRPr="00951D01">
        <w:rPr>
          <w:sz w:val="24"/>
          <w:szCs w:val="24"/>
          <w:lang w:eastAsia="en-US"/>
        </w:rPr>
        <w:t xml:space="preserve">Проводят инфузию </w:t>
      </w:r>
      <w:r w:rsidRPr="00951D01">
        <w:rPr>
          <w:b/>
          <w:bCs/>
          <w:sz w:val="24"/>
          <w:szCs w:val="24"/>
          <w:lang w:eastAsia="en-US"/>
        </w:rPr>
        <w:t>кальция глюконата</w:t>
      </w:r>
      <w:r w:rsidRPr="00951D01">
        <w:rPr>
          <w:sz w:val="24"/>
          <w:szCs w:val="24"/>
          <w:lang w:eastAsia="en-US"/>
        </w:rPr>
        <w:t xml:space="preserve">. Кальция глюконат из расчета 15 мг/кг растворяют в 500 мл 0,45% NaCl. Продолжительность инфузии — 4 ч, скорость — 125 мл/ч.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4. </w:t>
      </w:r>
      <w:r w:rsidRPr="00951D01">
        <w:rPr>
          <w:sz w:val="24"/>
          <w:szCs w:val="24"/>
          <w:lang w:eastAsia="en-US"/>
        </w:rPr>
        <w:t xml:space="preserve">Через 1, 2, 3 и 4 ч после начала инфузии берут кровь для определения концентраций кальцитонина в сыворотке.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Оценка результатов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lastRenderedPageBreak/>
        <w:t xml:space="preserve">1. Норма: </w:t>
      </w:r>
      <w:r w:rsidRPr="00951D01">
        <w:rPr>
          <w:sz w:val="24"/>
          <w:szCs w:val="24"/>
          <w:lang w:eastAsia="en-US"/>
        </w:rPr>
        <w:t xml:space="preserve">базальная концентрация кальцитонина в сыворотке не превышает 28 пг/мл. Как правило, у здоровых людей уровень кальцитонина после инфузии кальция не выходит за пределы нормы.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Медуллярный рак щитовидной железы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а. </w:t>
      </w:r>
      <w:r w:rsidRPr="00951D01">
        <w:rPr>
          <w:sz w:val="24"/>
          <w:szCs w:val="24"/>
          <w:lang w:eastAsia="en-US"/>
        </w:rPr>
        <w:t xml:space="preserve">У 70% больных базальная концентрация кальцитонина находится в пределах 500—2000 пг/мл.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б. </w:t>
      </w:r>
      <w:r w:rsidRPr="00951D01">
        <w:rPr>
          <w:sz w:val="24"/>
          <w:szCs w:val="24"/>
          <w:lang w:eastAsia="en-US"/>
        </w:rPr>
        <w:t xml:space="preserve">У 30% больных базальная концентрация кальцитонина находится в пределах нормы либо незначительно превышает норму. </w:t>
      </w:r>
    </w:p>
    <w:p w:rsidR="00477835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в. </w:t>
      </w:r>
      <w:r w:rsidRPr="00951D01">
        <w:rPr>
          <w:sz w:val="24"/>
          <w:szCs w:val="24"/>
          <w:lang w:eastAsia="en-US"/>
        </w:rPr>
        <w:t xml:space="preserve">После инфузии кальция уровень кальцитонина повышается </w:t>
      </w:r>
      <w:r w:rsidRPr="00951D01">
        <w:rPr>
          <w:b/>
          <w:bCs/>
          <w:sz w:val="24"/>
          <w:szCs w:val="24"/>
          <w:lang w:eastAsia="en-US"/>
        </w:rPr>
        <w:t xml:space="preserve">почти у всех больных. </w:t>
      </w:r>
      <w:r w:rsidRPr="00951D01">
        <w:rPr>
          <w:sz w:val="24"/>
          <w:szCs w:val="24"/>
          <w:lang w:eastAsia="en-US"/>
        </w:rPr>
        <w:t xml:space="preserve">Если базальный уровень кальцитонина повышен, то после стимуляции он возрастает в 10—20 раз.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г. </w:t>
      </w:r>
      <w:r w:rsidRPr="00951D01">
        <w:rPr>
          <w:sz w:val="24"/>
          <w:szCs w:val="24"/>
          <w:lang w:eastAsia="en-US"/>
        </w:rPr>
        <w:t xml:space="preserve">Если базальный уровень кальцитонина находится на нижней границе нормы (либо кальцитонин не определяется), а после стимуляции значительно повышается, но не выходит за пределы нормы, следует заподозрить раннюю стадию медуллярного рака либо гиперплазию C-клеток щитовидной железы.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д. </w:t>
      </w:r>
      <w:r w:rsidRPr="00951D01">
        <w:rPr>
          <w:sz w:val="24"/>
          <w:szCs w:val="24"/>
          <w:lang w:eastAsia="en-US"/>
        </w:rPr>
        <w:t xml:space="preserve">У некоторых больных опухолевые клетки не реагируют на кальций. В таких случаях требуется проба с пентагастрином.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е. </w:t>
      </w:r>
      <w:r w:rsidRPr="00951D01">
        <w:rPr>
          <w:sz w:val="24"/>
          <w:szCs w:val="24"/>
          <w:lang w:eastAsia="en-US"/>
        </w:rPr>
        <w:t xml:space="preserve">Иногда для подтверждения или исключения диагноза требуются повторные исследования с интервалом от нескольких месяцев до нескольких лет.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ж. </w:t>
      </w:r>
      <w:r w:rsidRPr="00951D01">
        <w:rPr>
          <w:sz w:val="24"/>
          <w:szCs w:val="24"/>
          <w:lang w:eastAsia="en-US"/>
        </w:rPr>
        <w:t xml:space="preserve">Проба с инфузией кальция не является специфичной для медуллярного рака щитовидной железы, поскольку кальций может стимулировать секрецию кальцитонина у больных овсяноклеточным раком легкого, раком молочной железы, раком яичников, подострым тиреоидитом, аутоиммунным гастритом, у больных с почечной недостаточностью, болезнями костей, гиперкальциемией разной этиологии, а также у беременных.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Д. Меры предосторожности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1. </w:t>
      </w:r>
      <w:r w:rsidRPr="00951D01">
        <w:rPr>
          <w:sz w:val="24"/>
          <w:szCs w:val="24"/>
          <w:lang w:eastAsia="en-US"/>
        </w:rPr>
        <w:t xml:space="preserve">Во время длинной пробы вводится большое количество кальция, поэтому его уровень в сыворотке возрастает на несколько мг%. Многие обследуемые жалуются на общее недомогание, испытывают усталость и сонливость. Другие побочные эффекты — тошнота, рвота, приливы, значительное повышение АД — обычно длятся несколько минут. </w:t>
      </w:r>
    </w:p>
    <w:p w:rsidR="00AD04A1" w:rsidRPr="00951D01" w:rsidRDefault="00AD04A1" w:rsidP="00951D01">
      <w:pPr>
        <w:widowControl/>
        <w:ind w:firstLine="567"/>
        <w:jc w:val="both"/>
        <w:rPr>
          <w:sz w:val="24"/>
          <w:szCs w:val="24"/>
          <w:lang w:eastAsia="en-US"/>
        </w:rPr>
      </w:pPr>
      <w:r w:rsidRPr="00951D01">
        <w:rPr>
          <w:b/>
          <w:bCs/>
          <w:sz w:val="24"/>
          <w:szCs w:val="24"/>
          <w:lang w:eastAsia="en-US"/>
        </w:rPr>
        <w:t xml:space="preserve">2. </w:t>
      </w:r>
      <w:r w:rsidRPr="00951D01">
        <w:rPr>
          <w:sz w:val="24"/>
          <w:szCs w:val="24"/>
          <w:lang w:eastAsia="en-US"/>
        </w:rPr>
        <w:t xml:space="preserve">Во время короткой пробы уровень кальция в сыворотке возрастает не более чем на 1 мг%, поэтому побочные эффекты выражены слабее. </w:t>
      </w:r>
    </w:p>
    <w:p w:rsidR="001B1D0E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</w:t>
      </w:r>
      <w:r w:rsidRPr="00951D01">
        <w:rPr>
          <w:rFonts w:ascii="Times New Roman" w:hAnsi="Times New Roman" w:cs="Times New Roman"/>
          <w:color w:val="auto"/>
        </w:rPr>
        <w:t>Нежелательно проводить пробы с кальцием у больных с аритмиями и больных, получающих сердечные гликозиды. В крайнем случае назначают короткую пробу.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Через 30, 60, 90, 120 и 150 мин после начала инфузии аргинина берут кровь.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д. </w:t>
      </w:r>
      <w:r w:rsidRPr="00951D01">
        <w:rPr>
          <w:rFonts w:ascii="Times New Roman" w:hAnsi="Times New Roman" w:cs="Times New Roman"/>
          <w:color w:val="auto"/>
        </w:rPr>
        <w:t xml:space="preserve">Определяют концентрацию СТГ в сыворотке.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Оценка результатов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</w:t>
      </w:r>
      <w:r w:rsidRPr="00951D01">
        <w:rPr>
          <w:rFonts w:ascii="Times New Roman" w:hAnsi="Times New Roman" w:cs="Times New Roman"/>
          <w:color w:val="auto"/>
        </w:rPr>
        <w:t xml:space="preserve">Прирост концентрации СТГ </w:t>
      </w:r>
      <w:r w:rsidRPr="00951D01">
        <w:rPr>
          <w:rFonts w:ascii="Times New Roman" w:hAnsi="Times New Roman" w:cs="Times New Roman"/>
          <w:color w:val="auto"/>
        </w:rPr>
        <w:t xml:space="preserve"> 5 нг/мл либо концентрация СТГ </w:t>
      </w:r>
      <w:r w:rsidRPr="00951D01">
        <w:rPr>
          <w:rFonts w:ascii="Times New Roman" w:hAnsi="Times New Roman" w:cs="Times New Roman"/>
          <w:color w:val="auto"/>
        </w:rPr>
        <w:t xml:space="preserve"> 10 нг/мл в любой пробе: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дефицит СТГ исключен.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</w:t>
      </w:r>
      <w:r w:rsidRPr="00951D01">
        <w:rPr>
          <w:rFonts w:ascii="Times New Roman" w:hAnsi="Times New Roman" w:cs="Times New Roman"/>
          <w:color w:val="auto"/>
        </w:rPr>
        <w:t xml:space="preserve">Прирост концентрации СТГ &lt; 5 нг/мл и максимальная концентрация СТГ &lt; 5 нг/мл: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дефицит СТГ вероятен.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</w:t>
      </w:r>
      <w:r w:rsidRPr="00951D01">
        <w:rPr>
          <w:rFonts w:ascii="Times New Roman" w:hAnsi="Times New Roman" w:cs="Times New Roman"/>
          <w:color w:val="auto"/>
        </w:rPr>
        <w:t xml:space="preserve">Максимальная концентрация СТГ в пределах 5—9,9 нг/мл: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спорный результат.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У 25—35% здоровых людей секреция СТГ не усиливается в ответ на аргинин. Секреторная реакция снижена также при гипотиреозе и ожирении.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д. </w:t>
      </w:r>
      <w:r w:rsidRPr="00951D01">
        <w:rPr>
          <w:rFonts w:ascii="Times New Roman" w:hAnsi="Times New Roman" w:cs="Times New Roman"/>
          <w:color w:val="auto"/>
        </w:rPr>
        <w:t xml:space="preserve">У женщин детородного возраста реакция на аргинин выражена сильнее, чем у женщин в постменопаузе, мужчин и детей препубертатного возраста. Чтобы усилить секреторную </w:t>
      </w:r>
      <w:r w:rsidRPr="00951D01">
        <w:rPr>
          <w:rFonts w:ascii="Times New Roman" w:hAnsi="Times New Roman" w:cs="Times New Roman"/>
          <w:color w:val="auto"/>
        </w:rPr>
        <w:lastRenderedPageBreak/>
        <w:t xml:space="preserve">реакцию, за 2—3 сут до пробы назначают конъюгированные эстрогены. Доза для взрослых составляет 2,5 мг 2 раза в сутки, для детей — 1,25 мг 2 раза в сутки.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4. Меры предосторожности. </w:t>
      </w:r>
      <w:r w:rsidRPr="00951D01">
        <w:rPr>
          <w:rFonts w:ascii="Times New Roman" w:hAnsi="Times New Roman" w:cs="Times New Roman"/>
          <w:color w:val="auto"/>
        </w:rPr>
        <w:t xml:space="preserve">Аргинин стимулирует секрецию инсулина и может вызвать гипогликемию в конце или после завершения пробы. При хронических заболеваниях печени и почек аргинин назначают с осторожностью.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Проба с глюкозой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1. Принцип. </w:t>
      </w:r>
      <w:r w:rsidRPr="00951D01">
        <w:rPr>
          <w:rFonts w:ascii="Times New Roman" w:hAnsi="Times New Roman" w:cs="Times New Roman"/>
          <w:color w:val="auto"/>
        </w:rPr>
        <w:t xml:space="preserve">Гипергликемия подавляет секрецию соматолиберина, поэтому в норме после приема глюкозы уровень СТГ — одного из контринсулярных гормонов — снижается. Это один из механизмов поддержания толерантности к глюкозе. При автономной гиперфункции соматотропных клеток уровень СТГ при гипергликемии не снижается, а толерантность к глюкозе нарушена.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2. Методика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</w:t>
      </w:r>
      <w:r w:rsidRPr="00951D01">
        <w:rPr>
          <w:rFonts w:ascii="Times New Roman" w:hAnsi="Times New Roman" w:cs="Times New Roman"/>
          <w:color w:val="auto"/>
        </w:rPr>
        <w:t xml:space="preserve">Пробу проводят утром натощак. Перед пробой и во время пробы больной должен как можно меньше двигаться.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</w:t>
      </w:r>
      <w:r w:rsidRPr="00951D01">
        <w:rPr>
          <w:rFonts w:ascii="Times New Roman" w:hAnsi="Times New Roman" w:cs="Times New Roman"/>
          <w:color w:val="auto"/>
        </w:rPr>
        <w:t xml:space="preserve">В вену устанавливают иглу-бабочку или катетер; берут кровь для определения базального уровня СТГ.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</w:t>
      </w:r>
      <w:r w:rsidRPr="00951D01">
        <w:rPr>
          <w:rFonts w:ascii="Times New Roman" w:hAnsi="Times New Roman" w:cs="Times New Roman"/>
          <w:color w:val="auto"/>
        </w:rPr>
        <w:t xml:space="preserve">Дают глюкозу внутрь в дозе 1,75 г/кг, но не более 100 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Через 30, 60, 120 и 180 мин после приема глюкозы берут кровь.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д. </w:t>
      </w:r>
      <w:r w:rsidRPr="00951D01">
        <w:rPr>
          <w:rFonts w:ascii="Times New Roman" w:hAnsi="Times New Roman" w:cs="Times New Roman"/>
          <w:color w:val="auto"/>
        </w:rPr>
        <w:t xml:space="preserve">Определяют концентрации СТГ и глюкозы в сыворотке.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Оценка результатов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Норма: </w:t>
      </w:r>
      <w:r w:rsidRPr="00951D01">
        <w:rPr>
          <w:rFonts w:ascii="Times New Roman" w:hAnsi="Times New Roman" w:cs="Times New Roman"/>
          <w:color w:val="auto"/>
        </w:rPr>
        <w:t xml:space="preserve">через 30—120 мин после приема глюкозы концентрация СТГ падает до 0—2 нг/мл. На более поздних сроках обычно наблюдается рикошетный подъем уровня СТГ до 7 нг/мл и более.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Автономная гиперфункция соматотропных клеток: </w:t>
      </w:r>
      <w:r w:rsidRPr="00951D01">
        <w:rPr>
          <w:rFonts w:ascii="Times New Roman" w:hAnsi="Times New Roman" w:cs="Times New Roman"/>
          <w:color w:val="auto"/>
        </w:rPr>
        <w:t xml:space="preserve">секреция СТГ не подавляется, подавляется не полностью либо наблюдается парадоксальный подъем уровня СТГ на ранних сроках после приема глюкозы. Например, у больных с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акромегалией </w:t>
      </w:r>
      <w:r w:rsidRPr="00951D01">
        <w:rPr>
          <w:rFonts w:ascii="Times New Roman" w:hAnsi="Times New Roman" w:cs="Times New Roman"/>
          <w:color w:val="auto"/>
        </w:rPr>
        <w:t xml:space="preserve">уровни СТГ во время пробы находятся в пределах 5—10 нг/мл. Кроме того, обнаруживается нарушение толерантности к глюкозе: ее уровень на 120-й или 180-й минуте превышает 7,8 ммоль/л.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</w:t>
      </w:r>
      <w:r w:rsidRPr="00951D01">
        <w:rPr>
          <w:rFonts w:ascii="Times New Roman" w:hAnsi="Times New Roman" w:cs="Times New Roman"/>
          <w:color w:val="auto"/>
        </w:rPr>
        <w:t xml:space="preserve">Секреция СТГ усиливается при стрессе, гипогликемии, после физической нагрузки и хирургических вмешательств. Во всех этих случаях может быть получен ложноположительный результат. </w:t>
      </w:r>
    </w:p>
    <w:p w:rsidR="001B1D0E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Секреция СТГ снижается при инфаркте гипофиза и на фоне лечения акромегалии бромокриптином. В этих случаях может быть получен ложноотрицательный результат.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д. </w:t>
      </w:r>
      <w:r w:rsidRPr="00951D01">
        <w:rPr>
          <w:rFonts w:ascii="Times New Roman" w:hAnsi="Times New Roman" w:cs="Times New Roman"/>
          <w:color w:val="auto"/>
        </w:rPr>
        <w:t xml:space="preserve">Проба дает ложноотрицательный результат и при умеренной гиперфункции соматотропных клеток.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II. Оценка секреции СТГ и АКТГ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Гипогликемическая проба с инсулином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1. Принцип. </w:t>
      </w:r>
      <w:r w:rsidRPr="00951D01">
        <w:rPr>
          <w:rFonts w:ascii="Times New Roman" w:hAnsi="Times New Roman" w:cs="Times New Roman"/>
          <w:color w:val="auto"/>
        </w:rPr>
        <w:t xml:space="preserve">Инсулин вызывает быстрое снижение уровня глюкозы в крови. Нейроны гипоталамуса реагируют на гипогликемию и выбрасывают в воротную систему гипофиза соматолиберин и кортиколиберин. Соматолиберин стимулирует секрецию контринсулярного гормона — СТГ. Кортиколиберин вызывает быстрый выброс АКТГ, который усиливает секрецию другого контринсулярного гормона — кортизола — в коре надпочечников. Таким образом, с помощью гипогликемической пробы можно оценить секрецию СТГ, секреторный резерв АКТГ и состояние гипоталамо-гипофизарно-надпочечниковой системы в целом.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2. Методика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lastRenderedPageBreak/>
        <w:t xml:space="preserve">а. </w:t>
      </w:r>
      <w:r w:rsidRPr="00951D01">
        <w:rPr>
          <w:rFonts w:ascii="Times New Roman" w:hAnsi="Times New Roman" w:cs="Times New Roman"/>
          <w:color w:val="auto"/>
        </w:rPr>
        <w:t xml:space="preserve">Пробу проводят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только в стационаре, </w:t>
      </w:r>
      <w:r w:rsidRPr="00951D01">
        <w:rPr>
          <w:rFonts w:ascii="Times New Roman" w:hAnsi="Times New Roman" w:cs="Times New Roman"/>
          <w:color w:val="auto"/>
        </w:rPr>
        <w:t xml:space="preserve">в утренние часы. В течение 8—12 ч перед пробой не дают ни есть, ни пить.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</w:t>
      </w:r>
      <w:r w:rsidRPr="00951D01">
        <w:rPr>
          <w:rFonts w:ascii="Times New Roman" w:hAnsi="Times New Roman" w:cs="Times New Roman"/>
          <w:color w:val="auto"/>
        </w:rPr>
        <w:t xml:space="preserve">Устанавливают инфузионную систему; наготове надо иметь тест-полоски или глюкометр для определения глюкозы в крови, а также 50% раствор глюкозы.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</w:t>
      </w:r>
      <w:r w:rsidRPr="00951D01">
        <w:rPr>
          <w:rFonts w:ascii="Times New Roman" w:hAnsi="Times New Roman" w:cs="Times New Roman"/>
          <w:color w:val="auto"/>
        </w:rPr>
        <w:t xml:space="preserve">Берут кровь для определения базальных уровней СТГ, кортизола и глюкозы.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Вводят инсулин короткого действия, 0,1 ед/кг в/в струйно. При сопутствующих заболеваниях, сопровождающихся инсулинорезистентностью (ожирение, инсулинонезависимый сахарный диабет, гипофизарный синдром Кушинга, акромегалия), дозу инсулина увеличивают до 0,15—0,2 ед/кг. Если есть подозрение на гипопитуитаризм, дозу уменьшают до 0,05 ед/кг.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д. </w:t>
      </w:r>
      <w:r w:rsidRPr="00951D01">
        <w:rPr>
          <w:rFonts w:ascii="Times New Roman" w:hAnsi="Times New Roman" w:cs="Times New Roman"/>
          <w:color w:val="auto"/>
        </w:rPr>
        <w:t xml:space="preserve">Берут кровь через 15, 30, 45, 60, 90 и 120 мин после введения инсулина.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Оценка результатов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</w:t>
      </w:r>
      <w:r w:rsidRPr="00951D01">
        <w:rPr>
          <w:rFonts w:ascii="Times New Roman" w:hAnsi="Times New Roman" w:cs="Times New Roman"/>
          <w:color w:val="auto"/>
        </w:rPr>
        <w:t xml:space="preserve">Чтобы произошел выброс СТГ, уровень глюкозы должен упасть как минимум в 2 раза (до 2,2 ммоль/л и ниже). Уровень СТГ обычно достигает максимума через 40—90 мин после введения инсулина.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</w:t>
      </w:r>
      <w:r w:rsidRPr="00951D01">
        <w:rPr>
          <w:rFonts w:ascii="Times New Roman" w:hAnsi="Times New Roman" w:cs="Times New Roman"/>
          <w:color w:val="auto"/>
        </w:rPr>
        <w:t xml:space="preserve">Концентрация СТГ </w:t>
      </w:r>
      <w:r w:rsidRPr="00951D01">
        <w:rPr>
          <w:rFonts w:ascii="Times New Roman" w:hAnsi="Times New Roman" w:cs="Times New Roman"/>
          <w:color w:val="auto"/>
        </w:rPr>
        <w:t xml:space="preserve"> 10 нг/мл в любой пробе: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дефицит СТГ исключен.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</w:t>
      </w:r>
      <w:r w:rsidRPr="00951D01">
        <w:rPr>
          <w:rFonts w:ascii="Times New Roman" w:hAnsi="Times New Roman" w:cs="Times New Roman"/>
          <w:color w:val="auto"/>
        </w:rPr>
        <w:t xml:space="preserve">Максимальная концентрация СТГ &lt; 5 нг/мл: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дефицит СТГ вероятен.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Максимальная концентрация СТГ в пределах 5—9,9 нг/мл: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спорный результат.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д. </w:t>
      </w:r>
      <w:r w:rsidRPr="00951D01">
        <w:rPr>
          <w:rFonts w:ascii="Times New Roman" w:hAnsi="Times New Roman" w:cs="Times New Roman"/>
          <w:color w:val="auto"/>
        </w:rPr>
        <w:t xml:space="preserve">Для правильной оценки секреции АКТГ и кортизола достаточно, чтобы уровень глюкозы был ниже 3,3 ммоль/л.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е. </w:t>
      </w:r>
      <w:r w:rsidRPr="00951D01">
        <w:rPr>
          <w:rFonts w:ascii="Times New Roman" w:hAnsi="Times New Roman" w:cs="Times New Roman"/>
          <w:color w:val="auto"/>
        </w:rPr>
        <w:t xml:space="preserve">Функция гипоталамо-гипофизарно-надпочечниковой системы считается нормальной, если концентрация кортизола в любой пробе в 2 раза превышает базальную, прирост концентрации кортизола превышает 8 мкг% либо максимальная концентрация кортизола превышает 18 мкг%.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ж. </w:t>
      </w:r>
      <w:r w:rsidRPr="00951D01">
        <w:rPr>
          <w:rFonts w:ascii="Times New Roman" w:hAnsi="Times New Roman" w:cs="Times New Roman"/>
          <w:color w:val="auto"/>
        </w:rPr>
        <w:t xml:space="preserve">Недостаточный прирост либо пониженные максимальные уровни кортизола заставляют заподозрить первичную или вторичную надпочечниковую недостаточность.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з. </w:t>
      </w:r>
      <w:r w:rsidRPr="00951D01">
        <w:rPr>
          <w:rFonts w:ascii="Times New Roman" w:hAnsi="Times New Roman" w:cs="Times New Roman"/>
          <w:color w:val="auto"/>
        </w:rPr>
        <w:t xml:space="preserve">Гипогликемическая проба с инсулином особенно информативна при оценке состояния гипоталамо-гипофизарно-надпочечниковой системы у больных, получавших глюкокортикоидную терапию. </w:t>
      </w:r>
    </w:p>
    <w:p w:rsidR="001B1D0E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4. Меры предосторожности. </w:t>
      </w:r>
      <w:r w:rsidRPr="00951D01">
        <w:rPr>
          <w:rFonts w:ascii="Times New Roman" w:hAnsi="Times New Roman" w:cs="Times New Roman"/>
          <w:color w:val="auto"/>
        </w:rPr>
        <w:t xml:space="preserve">После введения инсулина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непрерывно наблюдают за обследуемым. </w:t>
      </w:r>
      <w:r w:rsidRPr="00951D01">
        <w:rPr>
          <w:rFonts w:ascii="Times New Roman" w:hAnsi="Times New Roman" w:cs="Times New Roman"/>
          <w:color w:val="auto"/>
        </w:rPr>
        <w:t xml:space="preserve">При появлении симптомов тяжелой гипогликемии (помрачение сознания, судороги) пробу немедленно прерывают в/в введением глюкозы. Симптомы легкой гипогликемии (возбуждение, потливость, тахикардия) не являются показанием к прерыванию пробы. </w:t>
      </w:r>
    </w:p>
    <w:p w:rsidR="001B1D0E" w:rsidRPr="00951D01" w:rsidRDefault="001B1D0E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Гипогликемическая проба с аргинином и инсулином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1. Принцип. </w:t>
      </w:r>
      <w:r w:rsidRPr="00951D01">
        <w:rPr>
          <w:rFonts w:ascii="Times New Roman" w:hAnsi="Times New Roman" w:cs="Times New Roman"/>
          <w:color w:val="auto"/>
        </w:rPr>
        <w:t xml:space="preserve">Эта проба сходна с предыдущей, но перед инфузией инсулина вводят аргинин. Аргинин подавляет секрецию соматостатина, поэтому стимулирующий эффект инсулина усиливается.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2. Методика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</w:t>
      </w:r>
      <w:r w:rsidRPr="00951D01">
        <w:rPr>
          <w:rFonts w:ascii="Times New Roman" w:hAnsi="Times New Roman" w:cs="Times New Roman"/>
          <w:color w:val="auto"/>
        </w:rPr>
        <w:t xml:space="preserve">Пробу проводят как описано выше (см. приложение А, п. II.А.2), но начинают с инфузии аргинина.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</w:t>
      </w:r>
      <w:r w:rsidRPr="00951D01">
        <w:rPr>
          <w:rFonts w:ascii="Times New Roman" w:hAnsi="Times New Roman" w:cs="Times New Roman"/>
          <w:color w:val="auto"/>
        </w:rPr>
        <w:t xml:space="preserve">Вводят аргинина гидрохлорид в/в, 0,5 г/кг (но не более 30 г) в течение 30 мин.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</w:t>
      </w:r>
      <w:r w:rsidRPr="00951D01">
        <w:rPr>
          <w:rFonts w:ascii="Times New Roman" w:hAnsi="Times New Roman" w:cs="Times New Roman"/>
          <w:color w:val="auto"/>
        </w:rPr>
        <w:t xml:space="preserve">Через 30 мин после окончания инфузии аргинина вводят инсулин короткого действия, 0,1 ед/кг в/в струйно.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lastRenderedPageBreak/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Кровь для определения уровней СТГ, кортизола и глюкозы берут до введения аргинина и через 15, 30, 45, 60, 75, 90, 120 и 150 мин после введения аргинина.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Оценка результатов </w:t>
      </w:r>
      <w:r w:rsidRPr="00951D01">
        <w:rPr>
          <w:rFonts w:ascii="Times New Roman" w:hAnsi="Times New Roman" w:cs="Times New Roman"/>
          <w:color w:val="auto"/>
        </w:rPr>
        <w:t xml:space="preserve">— см. приложение А, п. II.А.3. Некоторые эндокринологи считают, что проба с аргинином и инсулином позволяет установить окончательный диагноз дефицита СТГ без каких-либо дополнительных исследований.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4. Меры предосторожности </w:t>
      </w:r>
      <w:r w:rsidRPr="00951D01">
        <w:rPr>
          <w:rFonts w:ascii="Times New Roman" w:hAnsi="Times New Roman" w:cs="Times New Roman"/>
          <w:color w:val="auto"/>
        </w:rPr>
        <w:t xml:space="preserve">— см. приложение А, п. II.А.4.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III. Оценка секреции ТТГ: проба с тиролиберином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Принцип. </w:t>
      </w:r>
      <w:r w:rsidRPr="00951D01">
        <w:rPr>
          <w:rFonts w:ascii="Times New Roman" w:hAnsi="Times New Roman" w:cs="Times New Roman"/>
          <w:color w:val="auto"/>
        </w:rPr>
        <w:t xml:space="preserve">Тиролиберин стимулирует выброс ТТГ из тиреотропных клеток аденогипофиза, поэтому в норме после введения тиролиберина уровень ТТГ повышается. Пробу с тиролиберином применяют для оценки секреторного резерва ТТГ и степени подавления секреции ТТГ (при тиреотоксикозе), а также для выявления гипопитуитаризма.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Методика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1. </w:t>
      </w:r>
      <w:r w:rsidRPr="00951D01">
        <w:rPr>
          <w:rFonts w:ascii="Times New Roman" w:hAnsi="Times New Roman" w:cs="Times New Roman"/>
          <w:color w:val="auto"/>
        </w:rPr>
        <w:t xml:space="preserve">В вену устанавливают иглу-бабочку или катетер; берут кровь для определения базального уровня ТТГ.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2. </w:t>
      </w:r>
      <w:r w:rsidRPr="00951D01">
        <w:rPr>
          <w:rFonts w:ascii="Times New Roman" w:hAnsi="Times New Roman" w:cs="Times New Roman"/>
          <w:color w:val="auto"/>
        </w:rPr>
        <w:t xml:space="preserve">Вводят протирелин (синтетический аналог тиролиберина) в/в струйно в дозе 400—500 мкг.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</w:t>
      </w:r>
      <w:r w:rsidRPr="00951D01">
        <w:rPr>
          <w:rFonts w:ascii="Times New Roman" w:hAnsi="Times New Roman" w:cs="Times New Roman"/>
          <w:color w:val="auto"/>
        </w:rPr>
        <w:t xml:space="preserve">Через 30 и 60 мин после введения протирелина берут кровь.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4. </w:t>
      </w:r>
      <w:r w:rsidRPr="00951D01">
        <w:rPr>
          <w:rFonts w:ascii="Times New Roman" w:hAnsi="Times New Roman" w:cs="Times New Roman"/>
          <w:color w:val="auto"/>
        </w:rPr>
        <w:t xml:space="preserve">Определяют концентрацию ТТГ в сыворотке.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Оценка результатов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1. В норме </w:t>
      </w:r>
      <w:r w:rsidRPr="00951D01">
        <w:rPr>
          <w:rFonts w:ascii="Times New Roman" w:hAnsi="Times New Roman" w:cs="Times New Roman"/>
          <w:color w:val="auto"/>
        </w:rPr>
        <w:t xml:space="preserve">у взрослых прирост концентрации ТТГ </w:t>
      </w:r>
      <w:r w:rsidRPr="00951D01">
        <w:rPr>
          <w:rFonts w:ascii="Times New Roman" w:hAnsi="Times New Roman" w:cs="Times New Roman"/>
          <w:color w:val="auto"/>
        </w:rPr>
        <w:t xml:space="preserve"> 5 мЕ/л (у мужчин старше 40 лет </w:t>
      </w:r>
      <w:r w:rsidRPr="00951D01">
        <w:rPr>
          <w:rFonts w:ascii="Times New Roman" w:hAnsi="Times New Roman" w:cs="Times New Roman"/>
          <w:color w:val="auto"/>
        </w:rPr>
        <w:t xml:space="preserve"> 2 мЕ/л). Концентрация ТТГ достигает максимума через 20—40 мин после введения протирелина и превышает 15 мЕ/л у мужчин и 25 мЕ/л у женщин.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2. При первичном гипотиреозе </w:t>
      </w:r>
      <w:r w:rsidRPr="00951D01">
        <w:rPr>
          <w:rFonts w:ascii="Times New Roman" w:hAnsi="Times New Roman" w:cs="Times New Roman"/>
          <w:color w:val="auto"/>
        </w:rPr>
        <w:t xml:space="preserve">секреторная реакция аденогипофиза на тиролиберин не нарушена и пропорциональна базальной концентрации ТТГ: чем выше базальный уровень ТТГ, тем выше уровень ТТГ после стимуляции тиролиберином. Поэтому при клинических признаках гипотиреоза и высоком базальном уровне ТТГ пробу не проводят. Усиленная реакция на тиролиберин подтверждает диагноз легкого или умеренного гипотиреоза в тех случаях, когда базальная концентрация ТТГ близка к верхней границе нормы или слегка повышена.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При вторичном гипотиреозе, </w:t>
      </w:r>
      <w:r w:rsidRPr="00951D01">
        <w:rPr>
          <w:rFonts w:ascii="Times New Roman" w:hAnsi="Times New Roman" w:cs="Times New Roman"/>
          <w:color w:val="auto"/>
        </w:rPr>
        <w:t xml:space="preserve">обусловленном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гипопитуитаризмом </w:t>
      </w:r>
      <w:r w:rsidRPr="00951D01">
        <w:rPr>
          <w:rFonts w:ascii="Times New Roman" w:hAnsi="Times New Roman" w:cs="Times New Roman"/>
          <w:color w:val="auto"/>
        </w:rPr>
        <w:t xml:space="preserve">или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изолированным дефицитом ТТГ, </w:t>
      </w:r>
      <w:r w:rsidRPr="00951D01">
        <w:rPr>
          <w:rFonts w:ascii="Times New Roman" w:hAnsi="Times New Roman" w:cs="Times New Roman"/>
          <w:color w:val="auto"/>
        </w:rPr>
        <w:t xml:space="preserve">секреторная реакция на тиролиберин отсутствует или сильно снижена. Если прирост концентрации ТТГ нормальный, но концентрация ТТГ достигает максимума не через 30 мин, а через 60 мин и позже, можно заподозрить вторичный гипотиреоз гипоталамической природы.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4. При автономной гиперфункции щитовидной железы </w:t>
      </w:r>
      <w:r w:rsidRPr="00951D01">
        <w:rPr>
          <w:rFonts w:ascii="Times New Roman" w:hAnsi="Times New Roman" w:cs="Times New Roman"/>
          <w:color w:val="auto"/>
        </w:rPr>
        <w:t>секреторная реакция на тиролиберин отсутствует или сильно снижена. Этот признак не патогномоничен для тиреотоксикоза и наблюдается как при ум</w:t>
      </w:r>
      <w:r w:rsidR="001B1D0E" w:rsidRPr="00951D01">
        <w:rPr>
          <w:rFonts w:ascii="Times New Roman" w:hAnsi="Times New Roman" w:cs="Times New Roman"/>
          <w:color w:val="auto"/>
        </w:rPr>
        <w:t xml:space="preserve">еренной гиперфункции щитовидной </w:t>
      </w:r>
      <w:r w:rsidRPr="00951D01">
        <w:rPr>
          <w:rFonts w:ascii="Times New Roman" w:hAnsi="Times New Roman" w:cs="Times New Roman"/>
          <w:color w:val="auto"/>
        </w:rPr>
        <w:t xml:space="preserve">железы, так и при эутиреоидном диффузном токсическом зобе, эутиреоидном многоузловом зобе и аденомах щитовидной железы.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5. </w:t>
      </w:r>
      <w:r w:rsidRPr="00951D01">
        <w:rPr>
          <w:rFonts w:ascii="Times New Roman" w:hAnsi="Times New Roman" w:cs="Times New Roman"/>
          <w:color w:val="auto"/>
        </w:rPr>
        <w:t xml:space="preserve">Реакция на тиролиберин снижена или запаздывает на фоне супрессивной терапии левотироксином. Поэтому проба с тиролиберином может быть использована для оценки эффективности медикаментозного лечения рака щитовидной железы.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6. </w:t>
      </w:r>
      <w:r w:rsidRPr="00951D01">
        <w:rPr>
          <w:rFonts w:ascii="Times New Roman" w:hAnsi="Times New Roman" w:cs="Times New Roman"/>
          <w:color w:val="auto"/>
        </w:rPr>
        <w:t xml:space="preserve">Реакция на тиролиберин снижена или отсутствует после лечения тиреотоксикоза антитиреоидными средствами.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lastRenderedPageBreak/>
        <w:t xml:space="preserve">7. </w:t>
      </w:r>
      <w:r w:rsidRPr="00951D01">
        <w:rPr>
          <w:rFonts w:ascii="Times New Roman" w:hAnsi="Times New Roman" w:cs="Times New Roman"/>
          <w:color w:val="auto"/>
        </w:rPr>
        <w:t xml:space="preserve">Как правило, у больных первичным гипотиреозом в течение нескольких недель после отмены заместительной терапии тиреоидными гормонами реакция на тиролиберин снижена или отсутствует.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8. </w:t>
      </w:r>
      <w:r w:rsidRPr="00951D01">
        <w:rPr>
          <w:rFonts w:ascii="Times New Roman" w:hAnsi="Times New Roman" w:cs="Times New Roman"/>
          <w:color w:val="auto"/>
        </w:rPr>
        <w:t xml:space="preserve">Реакция на тиролиберин снижена у больных с депрессией, ХПН, вторичным гипогонадизмом, а также после приема глюкокортикоидов, леводофы, пероральных контрацептивов, аспирина и ципрогептадина.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9. </w:t>
      </w:r>
      <w:r w:rsidRPr="00951D01">
        <w:rPr>
          <w:rFonts w:ascii="Times New Roman" w:hAnsi="Times New Roman" w:cs="Times New Roman"/>
          <w:color w:val="auto"/>
        </w:rPr>
        <w:t xml:space="preserve">В последнее время пробу с тиролиберином применяют редко, поскольку появились высокочувствительные методы определения ТТГ.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Побочные эффекты. </w:t>
      </w:r>
      <w:r w:rsidRPr="00951D01">
        <w:rPr>
          <w:rFonts w:ascii="Times New Roman" w:hAnsi="Times New Roman" w:cs="Times New Roman"/>
          <w:color w:val="auto"/>
        </w:rPr>
        <w:t xml:space="preserve">Во время пробы могут возникнуть тошнота, жар, приливы, легкая головная боль и позывы на мочеиспускание; иногда значительно повышается АД.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IV. Оценка секреции пролактина: проба с тиролиберином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Принцип. </w:t>
      </w:r>
      <w:r w:rsidRPr="00951D01">
        <w:rPr>
          <w:rFonts w:ascii="Times New Roman" w:hAnsi="Times New Roman" w:cs="Times New Roman"/>
          <w:color w:val="auto"/>
        </w:rPr>
        <w:t xml:space="preserve">Тиролиберин стимулирует выброс пролактина из лактотропных клеток аденогипофиза, поэтому в норме после введения тиролиберина уровень пролактина повышается.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Методика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1. </w:t>
      </w:r>
      <w:r w:rsidRPr="00951D01">
        <w:rPr>
          <w:rFonts w:ascii="Times New Roman" w:hAnsi="Times New Roman" w:cs="Times New Roman"/>
          <w:color w:val="auto"/>
        </w:rPr>
        <w:t xml:space="preserve">В вену устанавливают иглу-бабочку или катетер; берут кровь для определения базального уровня пролактина.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2. </w:t>
      </w:r>
      <w:r w:rsidRPr="00951D01">
        <w:rPr>
          <w:rFonts w:ascii="Times New Roman" w:hAnsi="Times New Roman" w:cs="Times New Roman"/>
          <w:color w:val="auto"/>
        </w:rPr>
        <w:t xml:space="preserve">Вводят протирелин (синтетический аналог тиролиберина) в/в в дозе 100 мкг струйно. Если планируется оценить секрецию ТТГ, дозу протирелина увеличивают до 400—500 мкг.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</w:t>
      </w:r>
      <w:r w:rsidRPr="00951D01">
        <w:rPr>
          <w:rFonts w:ascii="Times New Roman" w:hAnsi="Times New Roman" w:cs="Times New Roman"/>
          <w:color w:val="auto"/>
        </w:rPr>
        <w:t xml:space="preserve">Через 15 и 30 мин после введения протирелина берут кровь.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4. </w:t>
      </w:r>
      <w:r w:rsidRPr="00951D01">
        <w:rPr>
          <w:rFonts w:ascii="Times New Roman" w:hAnsi="Times New Roman" w:cs="Times New Roman"/>
          <w:color w:val="auto"/>
        </w:rPr>
        <w:t xml:space="preserve">Определяют концентрацию пролактина в сыворотке.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Оценка результатов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1. Норма: </w:t>
      </w:r>
      <w:r w:rsidRPr="00951D01">
        <w:rPr>
          <w:rFonts w:ascii="Times New Roman" w:hAnsi="Times New Roman" w:cs="Times New Roman"/>
          <w:color w:val="auto"/>
        </w:rPr>
        <w:t xml:space="preserve">через 15—20 мин после введения протирелина концентрация пролактина повышается в 3 раза и более; максимальная концентрация обычно превышает 12 нг/мл (по данным отдельных лабораторий — 20 нг/мл).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2. </w:t>
      </w:r>
      <w:r w:rsidRPr="00951D01">
        <w:rPr>
          <w:rFonts w:ascii="Times New Roman" w:hAnsi="Times New Roman" w:cs="Times New Roman"/>
          <w:color w:val="auto"/>
        </w:rPr>
        <w:t xml:space="preserve">Сниженная базальная концентрация пролактина и сниженная или отсутствующая секреторная реакция на тиролиберин указывают на недостаточный резерв пролактина. Такие показатели характерны для идиопатического гипопитуитаризма, повреждения гипофиза, изолированного дефицита гонадотропных гормонов и изолированного дефицита пролактина.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</w:t>
      </w:r>
      <w:r w:rsidRPr="00951D01">
        <w:rPr>
          <w:rFonts w:ascii="Times New Roman" w:hAnsi="Times New Roman" w:cs="Times New Roman"/>
          <w:color w:val="auto"/>
        </w:rPr>
        <w:t xml:space="preserve">Проба с тиролиберином позволяет отличить изолированный дефицит гонадотропных гормонов от конституциональной задержки полового развития, поскольку в последнем случае секреторная реакция на протирелин не нарушена.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4. </w:t>
      </w:r>
      <w:r w:rsidRPr="00951D01">
        <w:rPr>
          <w:rFonts w:ascii="Times New Roman" w:hAnsi="Times New Roman" w:cs="Times New Roman"/>
          <w:color w:val="auto"/>
        </w:rPr>
        <w:t xml:space="preserve">При заболеваниях гипоталамуса реакция на тиролиберин обычно сохраняется, но может запаздывать.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5. </w:t>
      </w:r>
      <w:r w:rsidRPr="00951D01">
        <w:rPr>
          <w:rFonts w:ascii="Times New Roman" w:hAnsi="Times New Roman" w:cs="Times New Roman"/>
          <w:color w:val="auto"/>
        </w:rPr>
        <w:t xml:space="preserve">Реакция на тиролиберин снижена или отсутствует при тиреотоксикозе, ХПН, а также после приема дофамина, леводофы, бромокриптина, глюкокортикоидов и тиреоидных гормонов.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6. </w:t>
      </w:r>
      <w:r w:rsidRPr="00951D01">
        <w:rPr>
          <w:rFonts w:ascii="Times New Roman" w:hAnsi="Times New Roman" w:cs="Times New Roman"/>
          <w:color w:val="auto"/>
        </w:rPr>
        <w:t xml:space="preserve">Сниженная или запаздывающая реакция на тиролиберин наблюдается при пролактиноме, идиопатической и преходящей гиперпролактинемии и при гиперпролактинемии, вызванной лекарственными средствами. Поэтому пробу с тиролиберином не применяют для дифференциального диагноза гиперпролактинемии.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Побочные эффекты. </w:t>
      </w:r>
      <w:r w:rsidRPr="00951D01">
        <w:rPr>
          <w:rFonts w:ascii="Times New Roman" w:hAnsi="Times New Roman" w:cs="Times New Roman"/>
          <w:color w:val="auto"/>
        </w:rPr>
        <w:t xml:space="preserve">Во время пробы могут возникнуть тошнота, жар, приливы, легкая головная боль и позывы на мочеиспускание; иногда повышается АД.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V. Оценка секреции ЛГ и ФСГ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Проба с кломифеном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lastRenderedPageBreak/>
        <w:t xml:space="preserve">1. Принцип. </w:t>
      </w:r>
      <w:r w:rsidRPr="00951D01">
        <w:rPr>
          <w:rFonts w:ascii="Times New Roman" w:hAnsi="Times New Roman" w:cs="Times New Roman"/>
          <w:color w:val="auto"/>
        </w:rPr>
        <w:t xml:space="preserve">Кломифен — это конкурентный блокатор рецепторов эстрогенов. В норме после приема кломифена прекращается тормозящее действие половых гормонов на гипоталамус. В результате усиливается секреция гонадолиберина и повышаются уровни ЛГ и ФСГ.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2. Методика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Женщины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1) </w:t>
      </w:r>
      <w:r w:rsidRPr="00951D01">
        <w:rPr>
          <w:rFonts w:ascii="Times New Roman" w:hAnsi="Times New Roman" w:cs="Times New Roman"/>
          <w:color w:val="auto"/>
        </w:rPr>
        <w:t xml:space="preserve">В разные дни берут кровь для определения базальных концентраций ЛГ и ФСГ.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2) </w:t>
      </w:r>
      <w:r w:rsidRPr="00951D01">
        <w:rPr>
          <w:rFonts w:ascii="Times New Roman" w:hAnsi="Times New Roman" w:cs="Times New Roman"/>
          <w:color w:val="auto"/>
        </w:rPr>
        <w:t xml:space="preserve">Кломифена цитрат назначают с 5-го дня менструального цикла (женщинам с аменореей — с любого дня) внутрь в дозе 100 мг/сут в течение 5 сут.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3) </w:t>
      </w:r>
      <w:r w:rsidRPr="00951D01">
        <w:rPr>
          <w:rFonts w:ascii="Times New Roman" w:hAnsi="Times New Roman" w:cs="Times New Roman"/>
          <w:color w:val="auto"/>
        </w:rPr>
        <w:t xml:space="preserve">На 5, 7, 10 и 13-е сутки после начала приема кломифена берут кровь.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4) </w:t>
      </w:r>
      <w:r w:rsidRPr="00951D01">
        <w:rPr>
          <w:rFonts w:ascii="Times New Roman" w:hAnsi="Times New Roman" w:cs="Times New Roman"/>
          <w:color w:val="auto"/>
        </w:rPr>
        <w:t xml:space="preserve">Определяют концентрации ЛГ и ФСГ в сыворотке.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Мужчины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1) </w:t>
      </w:r>
      <w:r w:rsidRPr="00951D01">
        <w:rPr>
          <w:rFonts w:ascii="Times New Roman" w:hAnsi="Times New Roman" w:cs="Times New Roman"/>
          <w:color w:val="auto"/>
        </w:rPr>
        <w:t xml:space="preserve">В разные дни берут кровь для определения базальных концентраций ЛГ и ФСГ.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2) </w:t>
      </w:r>
      <w:r w:rsidRPr="00951D01">
        <w:rPr>
          <w:rFonts w:ascii="Times New Roman" w:hAnsi="Times New Roman" w:cs="Times New Roman"/>
          <w:color w:val="auto"/>
        </w:rPr>
        <w:t xml:space="preserve">Кломифена цитрат назначают внутрь в дозе 100 мг/сут в течение 1—4 нед.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3) </w:t>
      </w:r>
      <w:r w:rsidRPr="00951D01">
        <w:rPr>
          <w:rFonts w:ascii="Times New Roman" w:hAnsi="Times New Roman" w:cs="Times New Roman"/>
          <w:color w:val="auto"/>
        </w:rPr>
        <w:t xml:space="preserve">Кровь берут через неделю после начала приема кломифена, а затем 2 раза в неделю.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4) </w:t>
      </w:r>
      <w:r w:rsidRPr="00951D01">
        <w:rPr>
          <w:rFonts w:ascii="Times New Roman" w:hAnsi="Times New Roman" w:cs="Times New Roman"/>
          <w:color w:val="auto"/>
        </w:rPr>
        <w:t xml:space="preserve">Определяют концентрации ЛГ и ФСГ в сыворотке.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Оценка результатов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Норма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1) Женщины: </w:t>
      </w:r>
      <w:r w:rsidRPr="00951D01">
        <w:rPr>
          <w:rFonts w:ascii="Times New Roman" w:hAnsi="Times New Roman" w:cs="Times New Roman"/>
          <w:color w:val="auto"/>
        </w:rPr>
        <w:t xml:space="preserve">концентрации ЛГ и ФСГ обычно возрастают в 2 раза на 5-е сутки после начала приема кломифена.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2) Мужчины: </w:t>
      </w:r>
      <w:r w:rsidRPr="00951D01">
        <w:rPr>
          <w:rFonts w:ascii="Times New Roman" w:hAnsi="Times New Roman" w:cs="Times New Roman"/>
          <w:color w:val="auto"/>
        </w:rPr>
        <w:t xml:space="preserve">концентрация ЛГ возрастает в 2 раза на 7-е сутки после начала приема кломифена и обычно продолжает увеличиваться в более поздние сроки. Уровень ФСГ повышается не так значительно, как уровень ЛГ.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</w:t>
      </w:r>
      <w:r w:rsidRPr="00951D01">
        <w:rPr>
          <w:rFonts w:ascii="Times New Roman" w:hAnsi="Times New Roman" w:cs="Times New Roman"/>
          <w:color w:val="auto"/>
        </w:rPr>
        <w:t xml:space="preserve">Отсутствие реакции на кломифен подтверждает дефицит ЛГ и ФСГ, но не позволяет дифференцировать патологию гипоталамуса и гипофиза.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</w:t>
      </w:r>
      <w:r w:rsidRPr="00951D01">
        <w:rPr>
          <w:rFonts w:ascii="Times New Roman" w:hAnsi="Times New Roman" w:cs="Times New Roman"/>
          <w:color w:val="auto"/>
        </w:rPr>
        <w:t xml:space="preserve">Если реакция на кломифен отсутствует, а реакция на гонадолиберин нормальная (см. приложение А, п. V.Б), дефицит ЛГ и ФСГ обусловлен патологией гипоталамуса.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Проба с кломифеном не позволяет дифференцировать конституциональную задержку полового развития и изолированный дефицит гонадотропных гормонов, так как в препубертатном периоде в норме реакция на кломифен отсутствует.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д. </w:t>
      </w:r>
      <w:r w:rsidRPr="00951D01">
        <w:rPr>
          <w:rFonts w:ascii="Times New Roman" w:hAnsi="Times New Roman" w:cs="Times New Roman"/>
          <w:color w:val="auto"/>
        </w:rPr>
        <w:t xml:space="preserve">Нормальная реакция на кломифен у детей пубертатного возраста с задержкой полового развития свидетельствует о том, что половое развитие в скором времени должно начаться.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е. </w:t>
      </w:r>
      <w:r w:rsidRPr="00951D01">
        <w:rPr>
          <w:rFonts w:ascii="Times New Roman" w:hAnsi="Times New Roman" w:cs="Times New Roman"/>
          <w:color w:val="auto"/>
        </w:rPr>
        <w:t xml:space="preserve">Реакция на кломифен снижена при нервной анорексии и гиперпролактинемии.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4. Меры предосторожности. </w:t>
      </w:r>
      <w:r w:rsidRPr="00951D01">
        <w:rPr>
          <w:rFonts w:ascii="Times New Roman" w:hAnsi="Times New Roman" w:cs="Times New Roman"/>
          <w:color w:val="auto"/>
        </w:rPr>
        <w:t xml:space="preserve">Кломифен индуцирует овуляцию, поэтому женщин (особенно с аменореей) предупреждают о том, что они могут забеременеть. Кломифен может вызвать вздутие живота, тошноту, рвоту, приливы, головную боль, нарушения зрения, ломкость и выпадение волос. Все эти побочные эффекты исчезают после отмены препарата. У мужчин побочные эффекты обычно не отмечаются.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Проба с гонадолиберином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1. Принцип. </w:t>
      </w:r>
      <w:r w:rsidRPr="00951D01">
        <w:rPr>
          <w:rFonts w:ascii="Times New Roman" w:hAnsi="Times New Roman" w:cs="Times New Roman"/>
          <w:color w:val="auto"/>
        </w:rPr>
        <w:t xml:space="preserve">Гонадолиберин стимулирует секрецию ЛГ и ФСГ. В исследовании используют синтетический аналог гонадолиберина — гонадорелин.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2. Методика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</w:t>
      </w:r>
      <w:r w:rsidRPr="00951D01">
        <w:rPr>
          <w:rFonts w:ascii="Times New Roman" w:hAnsi="Times New Roman" w:cs="Times New Roman"/>
          <w:color w:val="auto"/>
        </w:rPr>
        <w:t xml:space="preserve">У женщин пробу желательно проводить в ранней фолликулярной фазе менструального цикла (в 1—7-й день).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</w:t>
      </w:r>
      <w:r w:rsidRPr="00951D01">
        <w:rPr>
          <w:rFonts w:ascii="Times New Roman" w:hAnsi="Times New Roman" w:cs="Times New Roman"/>
          <w:color w:val="auto"/>
        </w:rPr>
        <w:t xml:space="preserve">В вену устанавливают иглу-бабочку или катетер. Поскольку секреция ЛГ и ФСГ имеет импульсный характер, кровь для определения базальных концентраций этих гормонов берут </w:t>
      </w:r>
      <w:r w:rsidRPr="00951D01">
        <w:rPr>
          <w:rFonts w:ascii="Times New Roman" w:hAnsi="Times New Roman" w:cs="Times New Roman"/>
          <w:color w:val="auto"/>
        </w:rPr>
        <w:lastRenderedPageBreak/>
        <w:t xml:space="preserve">перед началом пробы дважды: за 15 мин до введения и непосредственно перед введением гонадорелина. Базальные концентрации рассчитывают как средние значения двух измерений.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</w:t>
      </w:r>
      <w:r w:rsidRPr="00951D01">
        <w:rPr>
          <w:rFonts w:ascii="Times New Roman" w:hAnsi="Times New Roman" w:cs="Times New Roman"/>
          <w:color w:val="auto"/>
        </w:rPr>
        <w:t xml:space="preserve">Гонадорелин в дозе 100 мкг вводят быстро п/к либо в/в струйно. Через 15, 30, 45, 60, 90 и 120 мин после введения гонадорелина берут кровь.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Определяют концентрации ЛГ и ФСГ в сыворотке.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Оценка результатов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Норма. </w:t>
      </w:r>
      <w:r w:rsidRPr="00951D01">
        <w:rPr>
          <w:rFonts w:ascii="Times New Roman" w:hAnsi="Times New Roman" w:cs="Times New Roman"/>
          <w:color w:val="auto"/>
        </w:rPr>
        <w:t xml:space="preserve">Как правило, усиление секреции ЛГ более выражено и происходит раньше, чем усиление секреции ФСГ. У взрослых концентрация ЛГ увеличивается более чем в 2 раза и достигает максимума в интервале 15—45 мин после введения гонадорелина. Концентрация ФСГ обычно возрастает в 1,5—2 раза, а иногда не изменяется. У женщин степень усиления секреции ЛГ (но не ФСГ) сильно зависит от фазы менструального цикла: максимальная секреторная реакция на гонадорелин наблюдается в лютеиновой фазе.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</w:t>
      </w:r>
      <w:r w:rsidRPr="00951D01">
        <w:rPr>
          <w:rFonts w:ascii="Times New Roman" w:hAnsi="Times New Roman" w:cs="Times New Roman"/>
          <w:color w:val="auto"/>
        </w:rPr>
        <w:t xml:space="preserve">Проба позволяет выявить дефицит ЛГ и ФСГ и нарушения секреторной реакции на гонадолиберин.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</w:t>
      </w:r>
      <w:r w:rsidRPr="00951D01">
        <w:rPr>
          <w:rFonts w:ascii="Times New Roman" w:hAnsi="Times New Roman" w:cs="Times New Roman"/>
          <w:color w:val="auto"/>
        </w:rPr>
        <w:t xml:space="preserve">Проба не позволяет отличить патологию гипофиза от патологии гипоталамуса, поскольку снижение или отсутствие секреторной реакции наблюдаются как при заболеваниях гипофиза, так и при хроническом дефиците гонадолиберина.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У некоторых больных с установленной патологией гипофиза или гипоталамуса наблюдается нормальная секреторная реакция. Это означает, что гонадотропные клетки аденогипофиза сохраняют способность к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стимулированной </w:t>
      </w:r>
      <w:r w:rsidRPr="00951D01">
        <w:rPr>
          <w:rFonts w:ascii="Times New Roman" w:hAnsi="Times New Roman" w:cs="Times New Roman"/>
          <w:color w:val="auto"/>
        </w:rPr>
        <w:t xml:space="preserve">секреции ЛГ и ФСГ.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д. </w:t>
      </w:r>
      <w:r w:rsidRPr="00951D01">
        <w:rPr>
          <w:rFonts w:ascii="Times New Roman" w:hAnsi="Times New Roman" w:cs="Times New Roman"/>
          <w:color w:val="auto"/>
        </w:rPr>
        <w:t xml:space="preserve">Проба не позволяет оценить секрецию ЛГ и ФСГ у детей препубертатного возраста, поскольку гипоталамо-гипофизарно-гонадная система у них еще не созрела. В препубертатном возрасте базальные уровни ЛГ и ФСГ низкие, а реакция гонадотропных клеток на гонадолиберин практически отсутствует.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е. </w:t>
      </w:r>
      <w:r w:rsidRPr="00951D01">
        <w:rPr>
          <w:rFonts w:ascii="Times New Roman" w:hAnsi="Times New Roman" w:cs="Times New Roman"/>
          <w:color w:val="auto"/>
        </w:rPr>
        <w:t xml:space="preserve">Значительное усиление секреции ЛГ в ответ на гонадолиберин наблюдается у мужчин при первичном гипогонадизме.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4. Побочные эффекты. </w:t>
      </w:r>
      <w:r w:rsidRPr="00951D01">
        <w:rPr>
          <w:rFonts w:ascii="Times New Roman" w:hAnsi="Times New Roman" w:cs="Times New Roman"/>
          <w:color w:val="auto"/>
        </w:rPr>
        <w:t xml:space="preserve">Иногда во время пробы возникает сильная жажда.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VI. Одновременная оценка секреции нескольких гормонов аденогипофиза. </w:t>
      </w:r>
      <w:r w:rsidRPr="00951D01">
        <w:rPr>
          <w:rFonts w:ascii="Times New Roman" w:hAnsi="Times New Roman" w:cs="Times New Roman"/>
          <w:color w:val="auto"/>
        </w:rPr>
        <w:t xml:space="preserve">Нередко возникает необходимость исследовать секрецию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нескольких </w:t>
      </w:r>
      <w:r w:rsidRPr="00951D01">
        <w:rPr>
          <w:rFonts w:ascii="Times New Roman" w:hAnsi="Times New Roman" w:cs="Times New Roman"/>
          <w:color w:val="auto"/>
        </w:rPr>
        <w:t xml:space="preserve">гормонов аденогипофиза. Такие исследования обычно проводят раздельно, с интервалами от нескольких дней до нескольких недель. Поэтому они обременительны для больных и персонала и требуют больших затрат. Многочисленные опыты на здоровых добровольцах показали, что одновременные исследования секреции нескольких гормонов безопасны, воспроизводимы и дают такие же результаты, как отдельные пробы. Кроме того, одновременные комбинированные исследования причиняют меньше неудобств больным и сравнительно недороги. Однако несмотря на явные преимущества комбинированные исследования до настоящего времени редко применяются в клинике.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Комбинированная проба с инсулином, тиролиберином и гонадолиберином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1. Принцип. </w:t>
      </w:r>
      <w:r w:rsidRPr="00951D01">
        <w:rPr>
          <w:rFonts w:ascii="Times New Roman" w:hAnsi="Times New Roman" w:cs="Times New Roman"/>
          <w:color w:val="auto"/>
        </w:rPr>
        <w:t xml:space="preserve">Инсулин вызывает гипогликемию, которая стимулирует выброс СТГ и АКТГ (см. приложение А, п. II.А.1). Тиролиберин непосредственно стимулирует секрецию ТТГ и пролактина, а гонадолиберин стимулируют секрецию ЛГ и ФСГ.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2. Методика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</w:t>
      </w:r>
      <w:r w:rsidRPr="00951D01">
        <w:rPr>
          <w:rFonts w:ascii="Times New Roman" w:hAnsi="Times New Roman" w:cs="Times New Roman"/>
          <w:color w:val="auto"/>
        </w:rPr>
        <w:t xml:space="preserve">Пробу проводят только в стационаре, утром натощак.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</w:t>
      </w:r>
      <w:r w:rsidRPr="00951D01">
        <w:rPr>
          <w:rFonts w:ascii="Times New Roman" w:hAnsi="Times New Roman" w:cs="Times New Roman"/>
          <w:color w:val="auto"/>
        </w:rPr>
        <w:t xml:space="preserve">Устанавливают инфузионную систему; проходимость катетера поддерживают медленной инфузией 0,9% NaCl либо заполняют катетер раствором гепарина с концентрацией 100 ед/мл.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lastRenderedPageBreak/>
        <w:t xml:space="preserve">в. </w:t>
      </w:r>
      <w:r w:rsidRPr="00951D01">
        <w:rPr>
          <w:rFonts w:ascii="Times New Roman" w:hAnsi="Times New Roman" w:cs="Times New Roman"/>
          <w:color w:val="auto"/>
        </w:rPr>
        <w:t xml:space="preserve">Берут кровь для определения базальных уровней гормонов.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Через инфузионную систему последовательно, струйно вводят инсулин короткого действия (0,15 ед/кг), протирелин (400 мкг) и гонадорелин (100 мкг). Препараты вводят </w:t>
      </w:r>
      <w:r w:rsidRPr="00951D01">
        <w:rPr>
          <w:rFonts w:ascii="Times New Roman" w:hAnsi="Times New Roman" w:cs="Times New Roman"/>
          <w:b/>
          <w:bCs/>
          <w:color w:val="auto"/>
        </w:rPr>
        <w:t xml:space="preserve">разными </w:t>
      </w:r>
      <w:r w:rsidRPr="00951D01">
        <w:rPr>
          <w:rFonts w:ascii="Times New Roman" w:hAnsi="Times New Roman" w:cs="Times New Roman"/>
          <w:color w:val="auto"/>
        </w:rPr>
        <w:t xml:space="preserve">шприцами. Интервалы между введением препаратов должны быть как можно короче.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д. </w:t>
      </w:r>
      <w:r w:rsidRPr="00951D01">
        <w:rPr>
          <w:rFonts w:ascii="Times New Roman" w:hAnsi="Times New Roman" w:cs="Times New Roman"/>
          <w:color w:val="auto"/>
        </w:rPr>
        <w:t xml:space="preserve">Через 30, 60, 90, 120 и 150 мин после введения инсулина берут кровь.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е. </w:t>
      </w:r>
      <w:r w:rsidRPr="00951D01">
        <w:rPr>
          <w:rFonts w:ascii="Times New Roman" w:hAnsi="Times New Roman" w:cs="Times New Roman"/>
          <w:color w:val="auto"/>
        </w:rPr>
        <w:t xml:space="preserve">Определяют концентрации СТГ, ТТГ, ЛГ, ФСГ, пролактина, АКТГ и кортизола в сыворотке.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Оценка результатов. </w:t>
      </w:r>
      <w:r w:rsidRPr="00951D01">
        <w:rPr>
          <w:rFonts w:ascii="Times New Roman" w:hAnsi="Times New Roman" w:cs="Times New Roman"/>
          <w:color w:val="auto"/>
        </w:rPr>
        <w:t xml:space="preserve">Критерии такие же, как при оценке секреции отдельных гормонов.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4. Меры предосторожности </w:t>
      </w:r>
      <w:r w:rsidRPr="00951D01">
        <w:rPr>
          <w:rFonts w:ascii="Times New Roman" w:hAnsi="Times New Roman" w:cs="Times New Roman"/>
          <w:color w:val="auto"/>
        </w:rPr>
        <w:t xml:space="preserve">такие же, как при проведении гипогликемической пробы (см. приложение А, п. II.А.4).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Комбинированная проба с метирапоном, тиролиберином, леводофой и гонадолиберином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1. Принцип. </w:t>
      </w:r>
      <w:r w:rsidRPr="00951D01">
        <w:rPr>
          <w:rFonts w:ascii="Times New Roman" w:hAnsi="Times New Roman" w:cs="Times New Roman"/>
          <w:color w:val="auto"/>
        </w:rPr>
        <w:t xml:space="preserve">Метирапон ингибирует превращение 11-дезоксикортизола в кортизол. В результате уровень 11-дезоксикортизола в сыворотке повышается, а уровень кортизола снижается. Дефицит кортизола стимулирует секрецию АКТГ. Леводофа стимулирует секрецию СТГ, тиролиберин — секрецию ТТГ, а гонадолиберин — секрецию ЛГ и ФСГ. Эта проба не позволяет оценить секрецию пролактина, так как леводофа блокирует секреторную активность лактотропных клеток.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2. Методика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</w:t>
      </w:r>
      <w:r w:rsidRPr="00951D01">
        <w:rPr>
          <w:rFonts w:ascii="Times New Roman" w:hAnsi="Times New Roman" w:cs="Times New Roman"/>
          <w:color w:val="auto"/>
        </w:rPr>
        <w:t xml:space="preserve">Обследуемого госпитализируют.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</w:t>
      </w:r>
      <w:r w:rsidRPr="00951D01">
        <w:rPr>
          <w:rFonts w:ascii="Times New Roman" w:hAnsi="Times New Roman" w:cs="Times New Roman"/>
          <w:color w:val="auto"/>
        </w:rPr>
        <w:t xml:space="preserve">В 24:00 дают метирапон внутрь: 2 г при весе &lt; 70 кг; 2,5 г при весе 70—90 кг; 3 г при весе &gt; 90 кг.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в. </w:t>
      </w:r>
      <w:r w:rsidRPr="00951D01">
        <w:rPr>
          <w:rFonts w:ascii="Times New Roman" w:hAnsi="Times New Roman" w:cs="Times New Roman"/>
          <w:color w:val="auto"/>
        </w:rPr>
        <w:t xml:space="preserve">В 8:00 в вену устанавливают иглу-бабочку или катетер. Берут кровь для определения концентраций кортизола и 11-дезоксикортизола и базальных уровней гормонов аденогипофиза.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г. </w:t>
      </w:r>
      <w:r w:rsidRPr="00951D01">
        <w:rPr>
          <w:rFonts w:ascii="Times New Roman" w:hAnsi="Times New Roman" w:cs="Times New Roman"/>
          <w:color w:val="auto"/>
        </w:rPr>
        <w:t xml:space="preserve">Вводят 400 мкг протирелина в/в струйно, затем дают 500 мг леводофы внутрь, затем вводят 100 мкг гонадорелина в/в струйно. Протирелин и гонадолиберин вводят разными шприцами.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д. </w:t>
      </w:r>
      <w:r w:rsidRPr="00951D01">
        <w:rPr>
          <w:rFonts w:ascii="Times New Roman" w:hAnsi="Times New Roman" w:cs="Times New Roman"/>
          <w:color w:val="auto"/>
        </w:rPr>
        <w:t xml:space="preserve">Через 15, 30, 45, 60, 90 и 120 мин после инфузии протирелина берут кровь.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е. </w:t>
      </w:r>
      <w:r w:rsidRPr="00951D01">
        <w:rPr>
          <w:rFonts w:ascii="Times New Roman" w:hAnsi="Times New Roman" w:cs="Times New Roman"/>
          <w:color w:val="auto"/>
        </w:rPr>
        <w:t xml:space="preserve">Определяют концентрации ТТГ, ЛГ и ФСГ в сыворотке.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3. Оценка результатов </w:t>
      </w:r>
    </w:p>
    <w:p w:rsidR="00477835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</w:t>
      </w:r>
      <w:r w:rsidRPr="00951D01">
        <w:rPr>
          <w:rFonts w:ascii="Times New Roman" w:hAnsi="Times New Roman" w:cs="Times New Roman"/>
          <w:color w:val="auto"/>
        </w:rPr>
        <w:t xml:space="preserve">В норме после введения метирапона концентрация 11-дезоксикортизола в сыворотке должна превышать 7,5 мкг% (на фоне концентрации кортизола &lt; 5 мкг%). Концентрация 11-дезоксикортизола &lt; 5 мкг% свидетельствует о первичной или вторичной надпочечниковой недостаточности.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</w:t>
      </w:r>
      <w:r w:rsidRPr="00951D01">
        <w:rPr>
          <w:rFonts w:ascii="Times New Roman" w:hAnsi="Times New Roman" w:cs="Times New Roman"/>
          <w:color w:val="auto"/>
        </w:rPr>
        <w:t xml:space="preserve">Критерии оценки секреции гормонов аденогипофиза такие же, как для отдельных проб (см. выше).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4. Меры предосторожности. </w:t>
      </w:r>
      <w:r w:rsidRPr="00951D01">
        <w:rPr>
          <w:rFonts w:ascii="Times New Roman" w:hAnsi="Times New Roman" w:cs="Times New Roman"/>
          <w:color w:val="auto"/>
        </w:rPr>
        <w:t xml:space="preserve">Метирапон может вызвать тошноту и рвоту. В большинстве случаев это побочный эффект самого метирапона, а не проявление гипоадреналового криза. Чтобы предупредить тошноту и рвоту, метирапон принимают с едой или запивают молоком.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VII. Осложнения при исследованиях функции аденогипофиза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А. Минимальные побочные эффекты </w:t>
      </w:r>
      <w:r w:rsidRPr="00951D01">
        <w:rPr>
          <w:rFonts w:ascii="Times New Roman" w:hAnsi="Times New Roman" w:cs="Times New Roman"/>
          <w:color w:val="auto"/>
        </w:rPr>
        <w:t xml:space="preserve">стимуляторов секреции гипофизарных гормонов описаны для каждой из проб (см. выше).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Б. Опасные осложнения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t xml:space="preserve">1. Тяжелая гипогликемия </w:t>
      </w:r>
      <w:r w:rsidRPr="00951D01">
        <w:rPr>
          <w:rFonts w:ascii="Times New Roman" w:hAnsi="Times New Roman" w:cs="Times New Roman"/>
          <w:color w:val="auto"/>
        </w:rPr>
        <w:t xml:space="preserve">(пробы с инсулином, инсулином и аргинином, комбинированные пробы с инсулином). </w:t>
      </w:r>
    </w:p>
    <w:p w:rsidR="00AD04A1" w:rsidRPr="00951D01" w:rsidRDefault="00AD04A1" w:rsidP="00951D01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951D01">
        <w:rPr>
          <w:rFonts w:ascii="Times New Roman" w:hAnsi="Times New Roman" w:cs="Times New Roman"/>
          <w:b/>
          <w:bCs/>
          <w:color w:val="auto"/>
        </w:rPr>
        <w:lastRenderedPageBreak/>
        <w:t xml:space="preserve">2. Гипоадреналовый криз </w:t>
      </w:r>
      <w:r w:rsidRPr="00951D01">
        <w:rPr>
          <w:rFonts w:ascii="Times New Roman" w:hAnsi="Times New Roman" w:cs="Times New Roman"/>
          <w:color w:val="auto"/>
        </w:rPr>
        <w:t xml:space="preserve">при комбинированной пробе с метирапоном </w:t>
      </w:r>
    </w:p>
    <w:p w:rsidR="005A72D4" w:rsidRPr="00951D01" w:rsidRDefault="00AD04A1" w:rsidP="00951D01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951D01">
        <w:rPr>
          <w:b/>
          <w:bCs/>
          <w:sz w:val="24"/>
          <w:szCs w:val="24"/>
        </w:rPr>
        <w:t xml:space="preserve">3. Кровоизлияние в гипофиз. </w:t>
      </w:r>
      <w:r w:rsidRPr="00951D01">
        <w:rPr>
          <w:sz w:val="24"/>
          <w:szCs w:val="24"/>
        </w:rPr>
        <w:t xml:space="preserve">Это очень редкое осложнение. По данным литературы, за всю историю применения стимуляционных проб кровоизлияние в гипофиз произошло только у 28 больных с макроаденомами гипофиза, в том числе в 1 случае — во время комбинированной пробы с инсулином, тиролиберином и гонадолиберином. </w:t>
      </w:r>
    </w:p>
    <w:p w:rsidR="005D1C1F" w:rsidRPr="001B1D0E" w:rsidRDefault="005D1C1F" w:rsidP="001B1D0E">
      <w:pPr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  <w:lang w:val="en-US"/>
        </w:rPr>
      </w:pPr>
      <w:r w:rsidRPr="001B1D0E">
        <w:rPr>
          <w:b/>
          <w:bCs/>
          <w:sz w:val="24"/>
          <w:szCs w:val="24"/>
        </w:rPr>
        <w:t>Литература</w:t>
      </w:r>
      <w:r w:rsidRPr="001B1D0E">
        <w:rPr>
          <w:b/>
          <w:bCs/>
          <w:sz w:val="24"/>
          <w:szCs w:val="24"/>
          <w:lang w:val="en-US"/>
        </w:rPr>
        <w:t xml:space="preserve"> </w:t>
      </w:r>
    </w:p>
    <w:p w:rsidR="00E74942" w:rsidRPr="001B1D0E" w:rsidRDefault="00DB3110" w:rsidP="001B1D0E">
      <w:pPr>
        <w:pStyle w:val="af8"/>
        <w:numPr>
          <w:ilvl w:val="0"/>
          <w:numId w:val="14"/>
        </w:numPr>
        <w:spacing w:before="30"/>
        <w:jc w:val="both"/>
        <w:rPr>
          <w:sz w:val="24"/>
          <w:szCs w:val="24"/>
        </w:rPr>
      </w:pPr>
      <w:r w:rsidRPr="001B1D0E">
        <w:rPr>
          <w:sz w:val="24"/>
          <w:szCs w:val="24"/>
          <w:lang w:val="en-US"/>
        </w:rPr>
        <w:t xml:space="preserve">American Joint Committee on Cancer. In OH Beahrs, MH Myers (eds), Manual for Staging of Cancer. Philadelphia: Lippincott, 1983. </w:t>
      </w:r>
    </w:p>
    <w:p w:rsidR="00E74942" w:rsidRPr="001B1D0E" w:rsidRDefault="00DB3110" w:rsidP="001B1D0E">
      <w:pPr>
        <w:pStyle w:val="af8"/>
        <w:numPr>
          <w:ilvl w:val="0"/>
          <w:numId w:val="14"/>
        </w:numPr>
        <w:spacing w:before="30"/>
        <w:jc w:val="both"/>
        <w:rPr>
          <w:sz w:val="24"/>
          <w:szCs w:val="24"/>
          <w:lang w:val="en-US"/>
        </w:rPr>
      </w:pPr>
      <w:r w:rsidRPr="001B1D0E">
        <w:rPr>
          <w:sz w:val="24"/>
          <w:szCs w:val="24"/>
          <w:lang w:val="en-US"/>
        </w:rPr>
        <w:t xml:space="preserve">Boring CC, et al. Cancer statistics, 1991. CA 41:19, 1991. </w:t>
      </w:r>
    </w:p>
    <w:p w:rsidR="00E74942" w:rsidRPr="001B1D0E" w:rsidRDefault="00DB3110" w:rsidP="001B1D0E">
      <w:pPr>
        <w:pStyle w:val="af8"/>
        <w:numPr>
          <w:ilvl w:val="0"/>
          <w:numId w:val="14"/>
        </w:numPr>
        <w:spacing w:before="30"/>
        <w:jc w:val="both"/>
        <w:rPr>
          <w:sz w:val="24"/>
          <w:szCs w:val="24"/>
          <w:lang w:val="en-US"/>
        </w:rPr>
      </w:pPr>
      <w:r w:rsidRPr="001B1D0E">
        <w:rPr>
          <w:sz w:val="24"/>
          <w:szCs w:val="24"/>
          <w:lang w:val="en-US"/>
        </w:rPr>
        <w:t xml:space="preserve">Catalona WJ, Avioli LV. Diagnosis, staging, and surgical treatment of prostatic carcinoma. Arch Intern Med 147:361, 1987. </w:t>
      </w:r>
    </w:p>
    <w:p w:rsidR="00E74942" w:rsidRPr="001B1D0E" w:rsidRDefault="00DB3110" w:rsidP="001B1D0E">
      <w:pPr>
        <w:pStyle w:val="af8"/>
        <w:numPr>
          <w:ilvl w:val="0"/>
          <w:numId w:val="14"/>
        </w:numPr>
        <w:spacing w:before="30"/>
        <w:jc w:val="both"/>
        <w:rPr>
          <w:sz w:val="24"/>
          <w:szCs w:val="24"/>
          <w:lang w:val="en-US"/>
        </w:rPr>
      </w:pPr>
      <w:r w:rsidRPr="001B1D0E">
        <w:rPr>
          <w:sz w:val="24"/>
          <w:szCs w:val="24"/>
          <w:lang w:val="en-US"/>
        </w:rPr>
        <w:t xml:space="preserve">Chadwick DJ, et al. Pilot study of screening for prostate cancer in general practice. Lancet 338:613, 1991. </w:t>
      </w:r>
    </w:p>
    <w:p w:rsidR="00E74942" w:rsidRPr="001B1D0E" w:rsidRDefault="00DB3110" w:rsidP="001B1D0E">
      <w:pPr>
        <w:pStyle w:val="af8"/>
        <w:numPr>
          <w:ilvl w:val="0"/>
          <w:numId w:val="14"/>
        </w:numPr>
        <w:spacing w:before="30"/>
        <w:jc w:val="both"/>
        <w:rPr>
          <w:sz w:val="24"/>
          <w:szCs w:val="24"/>
          <w:lang w:val="en-US"/>
        </w:rPr>
      </w:pPr>
      <w:r w:rsidRPr="001B1D0E">
        <w:rPr>
          <w:sz w:val="24"/>
          <w:szCs w:val="24"/>
          <w:lang w:val="en-US"/>
        </w:rPr>
        <w:t xml:space="preserve">Cooner WH, et al. Clinical application of transrectal ultrasonography and prostate specific antigen in the search for prostate cancer. J Urol 139:758, 1988. </w:t>
      </w:r>
    </w:p>
    <w:p w:rsidR="00E74942" w:rsidRPr="001B1D0E" w:rsidRDefault="00DB3110" w:rsidP="001B1D0E">
      <w:pPr>
        <w:pStyle w:val="af8"/>
        <w:numPr>
          <w:ilvl w:val="0"/>
          <w:numId w:val="14"/>
        </w:numPr>
        <w:spacing w:before="30"/>
        <w:jc w:val="both"/>
        <w:rPr>
          <w:sz w:val="24"/>
          <w:szCs w:val="24"/>
          <w:lang w:val="en-US"/>
        </w:rPr>
      </w:pPr>
      <w:r w:rsidRPr="001B1D0E">
        <w:rPr>
          <w:sz w:val="24"/>
          <w:szCs w:val="24"/>
          <w:lang w:val="en-US"/>
        </w:rPr>
        <w:t xml:space="preserve">Crawford ED. Hormonal therapy of prostatic carcinoma: Defining the challenge. Cancer 66:1035, 1990. </w:t>
      </w:r>
    </w:p>
    <w:p w:rsidR="00E74942" w:rsidRPr="001B1D0E" w:rsidRDefault="00DB3110" w:rsidP="001B1D0E">
      <w:pPr>
        <w:pStyle w:val="af8"/>
        <w:numPr>
          <w:ilvl w:val="0"/>
          <w:numId w:val="14"/>
        </w:numPr>
        <w:spacing w:before="30"/>
        <w:jc w:val="both"/>
        <w:rPr>
          <w:sz w:val="24"/>
          <w:szCs w:val="24"/>
        </w:rPr>
      </w:pPr>
      <w:r w:rsidRPr="001B1D0E">
        <w:rPr>
          <w:sz w:val="24"/>
          <w:szCs w:val="24"/>
        </w:rPr>
        <w:t>Дедов И.И., Мельниченко Г.А., Фадеев В.В. «Эндокринология». Учебник. –М.: «Медицина», 2000. Стр. 632.</w:t>
      </w:r>
    </w:p>
    <w:p w:rsidR="00E74942" w:rsidRPr="001B1D0E" w:rsidRDefault="00DB3110" w:rsidP="001B1D0E">
      <w:pPr>
        <w:pStyle w:val="af8"/>
        <w:numPr>
          <w:ilvl w:val="0"/>
          <w:numId w:val="14"/>
        </w:numPr>
        <w:spacing w:before="30"/>
        <w:jc w:val="both"/>
        <w:rPr>
          <w:sz w:val="24"/>
          <w:szCs w:val="24"/>
        </w:rPr>
      </w:pPr>
      <w:r w:rsidRPr="001B1D0E">
        <w:rPr>
          <w:sz w:val="24"/>
          <w:szCs w:val="24"/>
        </w:rPr>
        <w:t>Гарднер Д., Шобек Д. Базисная и клиническая эндокринология / под ред. Г. А. Мельниченко. — М.: 2015. — Стр. 169.</w:t>
      </w:r>
    </w:p>
    <w:p w:rsidR="00E74942" w:rsidRPr="001B1D0E" w:rsidRDefault="00DB3110" w:rsidP="001B1D0E">
      <w:pPr>
        <w:pStyle w:val="af8"/>
        <w:numPr>
          <w:ilvl w:val="0"/>
          <w:numId w:val="14"/>
        </w:numPr>
        <w:spacing w:before="30"/>
        <w:jc w:val="both"/>
        <w:rPr>
          <w:sz w:val="24"/>
          <w:szCs w:val="24"/>
        </w:rPr>
      </w:pPr>
      <w:r w:rsidRPr="001B1D0E">
        <w:rPr>
          <w:sz w:val="24"/>
          <w:szCs w:val="24"/>
        </w:rPr>
        <w:t xml:space="preserve">Дедов И. И., Мельниченко Г. А. Эндокринология. Национальное руководство. Краткое издание. — 2-е изд., перераб. и доп. — М.: ГЭОТАР-Медиа, 2018. — Стр. 832. </w:t>
      </w:r>
    </w:p>
    <w:p w:rsidR="006D0C8C" w:rsidRPr="00477835" w:rsidRDefault="006D0C8C" w:rsidP="00477835">
      <w:pPr>
        <w:widowControl/>
        <w:autoSpaceDE/>
        <w:autoSpaceDN/>
        <w:adjustRightInd/>
        <w:spacing w:before="30"/>
        <w:ind w:left="360"/>
        <w:jc w:val="both"/>
        <w:rPr>
          <w:sz w:val="24"/>
          <w:szCs w:val="24"/>
        </w:rPr>
      </w:pPr>
    </w:p>
    <w:sectPr w:rsidR="006D0C8C" w:rsidRPr="00477835" w:rsidSect="006D0C8C">
      <w:headerReference w:type="default" r:id="rId12"/>
      <w:headerReference w:type="first" r:id="rId13"/>
      <w:pgSz w:w="11906" w:h="16838" w:code="9"/>
      <w:pgMar w:top="2591" w:right="851" w:bottom="1559" w:left="1134" w:header="142" w:footer="11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1CE" w:rsidRDefault="006811CE" w:rsidP="001E7D29">
      <w:r>
        <w:separator/>
      </w:r>
    </w:p>
  </w:endnote>
  <w:endnote w:type="continuationSeparator" w:id="0">
    <w:p w:rsidR="006811CE" w:rsidRDefault="006811CE" w:rsidP="001E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1CE" w:rsidRDefault="006811CE" w:rsidP="001E7D29">
      <w:r>
        <w:separator/>
      </w:r>
    </w:p>
  </w:footnote>
  <w:footnote w:type="continuationSeparator" w:id="0">
    <w:p w:rsidR="006811CE" w:rsidRDefault="006811CE" w:rsidP="001E7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4A1" w:rsidRDefault="00AD04A1" w:rsidP="005F25B0">
    <w:pPr>
      <w:pStyle w:val="afff1"/>
    </w:pPr>
    <w:r w:rsidRPr="00FE777E"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4BFE3E3" wp14:editId="0096759A">
              <wp:simplePos x="0" y="0"/>
              <wp:positionH relativeFrom="column">
                <wp:posOffset>-554355</wp:posOffset>
              </wp:positionH>
              <wp:positionV relativeFrom="paragraph">
                <wp:posOffset>563880</wp:posOffset>
              </wp:positionV>
              <wp:extent cx="2833370" cy="722630"/>
              <wp:effectExtent l="19050" t="19050" r="24130" b="20320"/>
              <wp:wrapTight wrapText="bothSides">
                <wp:wrapPolygon edited="0">
                  <wp:start x="-145" y="-569"/>
                  <wp:lineTo x="-145" y="21638"/>
                  <wp:lineTo x="21639" y="21638"/>
                  <wp:lineTo x="21639" y="-569"/>
                  <wp:lineTo x="-145" y="-569"/>
                </wp:wrapPolygon>
              </wp:wrapTight>
              <wp:docPr id="2" name="Фигура 61">
                <a:extLst xmlns:a="http://schemas.openxmlformats.org/drawingml/2006/main">
                  <a:ext uri="{C183D7F6-B498-43B3-948B-1728B52AA6E4}">
                    <adec:decorative xmlns:cx="http://schemas.microsoft.com/office/drawing/2014/chartex" xmlns:cx1="http://schemas.microsoft.com/office/drawing/2015/9/8/chartex" xmlns:w16se="http://schemas.microsoft.com/office/word/2015/wordml/symex"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33370" cy="722630"/>
                      </a:xfrm>
                      <a:prstGeom prst="rect">
                        <a:avLst/>
                      </a:prstGeom>
                      <a:ln w="38100">
                        <a:solidFill>
                          <a:schemeClr val="bg1"/>
                        </a:solidFill>
                        <a:miter lim="400000"/>
                      </a:ln>
                      <a:extLst>
                        <a:ext uri="{C572A759-6A51-4108-AA02-DFA0A04FC94B}">
                          <ma14:wrappingTextBoxFlag xmlns:cx="http://schemas.microsoft.com/office/drawing/2014/chartex" xmlns:cx1="http://schemas.microsoft.com/office/drawing/2015/9/8/chartex" xmlns:w16se="http://schemas.microsoft.com/office/word/2015/wordml/symex" xmlns="" xmlns:w="http://schemas.openxmlformats.org/wordprocessingml/2006/main" xmlns:o="urn:schemas-microsoft-com:office:office" xmlns:v="urn:schemas-microsoft-com:vml" xmlns:w10="urn:schemas-microsoft-com:office:word" xmlns:ma14="http://schemas.microsoft.com/office/mac/drawingml/2011/main" xmlns:lc="http://schemas.openxmlformats.org/drawingml/2006/lockedCanvas" xmlns:p="http://schemas.openxmlformats.org/presentation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1"/>
                        </a:ext>
                      </a:extLst>
                    </wps:spPr>
                    <wps:txbx>
                      <w:txbxContent>
                        <w:p w:rsidR="00AD04A1" w:rsidRPr="00FA3FA4" w:rsidRDefault="00AD04A1" w:rsidP="00FA3FA4">
                          <w:pPr>
                            <w:pStyle w:val="afffff4"/>
                            <w:shd w:val="clear" w:color="auto" w:fill="44546A"/>
                            <w:jc w:val="center"/>
                            <w:rPr>
                              <w:color w:val="FFFFFF"/>
                              <w:sz w:val="21"/>
                              <w:lang w:val="en-US"/>
                            </w:rPr>
                          </w:pPr>
                          <w:r w:rsidRPr="00FA3FA4">
                            <w:rPr>
                              <w:b/>
                              <w:color w:val="FFFFFF"/>
                              <w:sz w:val="26"/>
                              <w:szCs w:val="26"/>
                            </w:rPr>
                            <w:t>АНДИЖАНСКИЙ ГОСУДАРСТВЕННЫЙ МЕДИЦИНСКИЙ ИНСТИТУТ</w:t>
                          </w:r>
                        </w:p>
                      </w:txbxContent>
                    </wps:txbx>
                    <wps:bodyPr wrap="square" lIns="19050" tIns="19050" rIns="19050" bIns="1905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rect w14:anchorId="74BFE3E3" id="Фигура 61" o:spid="_x0000_s1026" style="position:absolute;margin-left:-43.65pt;margin-top:44.4pt;width:223.1pt;height:56.9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" filled="f" strokecolor="white [3212]" strokeweight="3pt">
              <v:stroke miterlimit="4"/>
              <v:textbox inset="1.5pt,1.5pt,1.5pt,1.5pt">
                <w:txbxContent>
                  <w:p w:rsidR="00AD04A1" w:rsidRPr="00FA3FA4" w:rsidRDefault="00AD04A1" w:rsidP="00FA3FA4">
                    <w:pPr>
                      <w:pStyle w:val="afffff4"/>
                      <w:shd w:val="clear" w:color="auto" w:fill="44546A"/>
                      <w:jc w:val="center"/>
                      <w:rPr>
                        <w:color w:val="FFFFFF"/>
                        <w:sz w:val="21"/>
                        <w:lang w:val="en-US"/>
                      </w:rPr>
                    </w:pPr>
                    <w:r w:rsidRPr="00FA3FA4">
                      <w:rPr>
                        <w:b/>
                        <w:color w:val="FFFFFF"/>
                        <w:sz w:val="26"/>
                        <w:szCs w:val="26"/>
                      </w:rPr>
                      <w:t>АНДИЖАНСКИЙ ГОСУДАРСТВЕННЫЙ МЕДИЦИНСКИЙ ИНСТИТУТ</w:t>
                    </w:r>
                  </w:p>
                </w:txbxContent>
              </v:textbox>
              <w10:wrap type="tight"/>
            </v:rect>
          </w:pict>
        </mc:Fallback>
      </mc:AlternateContent>
    </w:r>
    <w:r w:rsidRPr="00FE777E">
      <w:rPr>
        <w:noProof/>
      </w:rPr>
      <w:drawing>
        <wp:anchor distT="0" distB="0" distL="114300" distR="114300" simplePos="0" relativeHeight="251666432" behindDoc="1" locked="0" layoutInCell="1" allowOverlap="1" wp14:anchorId="272A4B6C" wp14:editId="1C9C23BD">
          <wp:simplePos x="0" y="0"/>
          <wp:positionH relativeFrom="margin">
            <wp:posOffset>4912721</wp:posOffset>
          </wp:positionH>
          <wp:positionV relativeFrom="paragraph">
            <wp:posOffset>82018</wp:posOffset>
          </wp:positionV>
          <wp:extent cx="1266825" cy="1243330"/>
          <wp:effectExtent l="0" t="0" r="9525" b="0"/>
          <wp:wrapTight wrapText="bothSides">
            <wp:wrapPolygon edited="0">
              <wp:start x="8445" y="0"/>
              <wp:lineTo x="6821" y="331"/>
              <wp:lineTo x="1624" y="4302"/>
              <wp:lineTo x="0" y="9598"/>
              <wp:lineTo x="1624" y="15886"/>
              <wp:lineTo x="1624" y="17540"/>
              <wp:lineTo x="5847" y="21181"/>
              <wp:lineTo x="7795" y="21181"/>
              <wp:lineTo x="14292" y="21181"/>
              <wp:lineTo x="16241" y="21181"/>
              <wp:lineTo x="20788" y="17540"/>
              <wp:lineTo x="21438" y="9928"/>
              <wp:lineTo x="20463" y="4633"/>
              <wp:lineTo x="15591" y="662"/>
              <wp:lineTo x="13642" y="0"/>
              <wp:lineTo x="8445" y="0"/>
            </wp:wrapPolygon>
          </wp:wrapTight>
          <wp:docPr id="36" name="Рисунок 36" descr="C:\Users\User\Desktop\Без-имени-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Без-имени-1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243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84752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E98740C" wp14:editId="79A8CA45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556500" cy="10865485"/>
              <wp:effectExtent l="0" t="0" r="2540" b="14605"/>
              <wp:wrapNone/>
              <wp:docPr id="29" name="Группа 29">
                <a:extLst xmlns:a="http://schemas.openxmlformats.org/drawingml/2006/main">
                  <a:ext uri="{C183D7F6-B498-43B3-948B-1728B52AA6E4}">
                    <adec:decorative xmlns:cx="http://schemas.microsoft.com/office/drawing/2014/chartex" xmlns:cx1="http://schemas.microsoft.com/office/drawing/2015/9/8/chartex" xmlns:w16se="http://schemas.microsoft.com/office/word/2015/wordml/symex"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865485"/>
                        <a:chOff x="0" y="0"/>
                        <a:chExt cx="7556858" cy="10865783"/>
                      </a:xfrm>
                    </wpg:grpSpPr>
                    <wps:wsp>
                      <wps:cNvPr id="8" name="Полилиния: Фигура 8"/>
                      <wps:cNvSpPr/>
                      <wps:spPr>
                        <a:xfrm>
                          <a:off x="4120179" y="0"/>
                          <a:ext cx="3436679" cy="896497"/>
                        </a:xfrm>
                        <a:custGeom>
                          <a:avLst/>
                          <a:gdLst>
                            <a:gd name="connsiteX0" fmla="*/ 3429208 w 3436678"/>
                            <a:gd name="connsiteY0" fmla="*/ 12451 h 896496"/>
                            <a:gd name="connsiteX1" fmla="*/ 3429208 w 3436678"/>
                            <a:gd name="connsiteY1" fmla="*/ 889026 h 896496"/>
                            <a:gd name="connsiteX2" fmla="*/ 497239 w 3436678"/>
                            <a:gd name="connsiteY2" fmla="*/ 889026 h 896496"/>
                            <a:gd name="connsiteX3" fmla="*/ 12452 w 3436678"/>
                            <a:gd name="connsiteY3" fmla="*/ 12451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Полилиния: Фигура 9"/>
                      <wps:cNvSpPr/>
                      <wps:spPr>
                        <a:xfrm>
                          <a:off x="0" y="656216"/>
                          <a:ext cx="3519690" cy="896497"/>
                        </a:xfrm>
                        <a:custGeom>
                          <a:avLst/>
                          <a:gdLst>
                            <a:gd name="connsiteX0" fmla="*/ 12452 w 3519690"/>
                            <a:gd name="connsiteY0" fmla="*/ 890686 h 896496"/>
                            <a:gd name="connsiteX1" fmla="*/ 12452 w 3519690"/>
                            <a:gd name="connsiteY1" fmla="*/ 12451 h 896496"/>
                            <a:gd name="connsiteX2" fmla="*/ 3030752 w 3519690"/>
                            <a:gd name="connsiteY2" fmla="*/ 12451 h 896496"/>
                            <a:gd name="connsiteX3" fmla="*/ 3515540 w 3519690"/>
                            <a:gd name="connsiteY3" fmla="*/ 89068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Полилиния: Фигура 12"/>
                      <wps:cNvSpPr/>
                      <wps:spPr>
                        <a:xfrm>
                          <a:off x="3399416" y="9886277"/>
                          <a:ext cx="912495" cy="979170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5270 w 913127"/>
                            <a:gd name="connsiteY1" fmla="*/ 12451 h 979505"/>
                            <a:gd name="connsiteX2" fmla="*/ 905656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Полилиния: Фигура 13"/>
                      <wps:cNvSpPr/>
                      <wps:spPr>
                        <a:xfrm>
                          <a:off x="2829261" y="9886277"/>
                          <a:ext cx="913127" cy="979506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0289 w 913127"/>
                            <a:gd name="connsiteY1" fmla="*/ 12451 h 979505"/>
                            <a:gd name="connsiteX2" fmla="*/ 900675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Полилиния: фигура 14"/>
                      <wps:cNvSpPr/>
                      <wps:spPr>
                        <a:xfrm>
                          <a:off x="4034118" y="9886277"/>
                          <a:ext cx="3519690" cy="896497"/>
                        </a:xfrm>
                        <a:custGeom>
                          <a:avLst/>
                          <a:gdLst>
                            <a:gd name="connsiteX0" fmla="*/ 3515540 w 3519690"/>
                            <a:gd name="connsiteY0" fmla="*/ 889026 h 896496"/>
                            <a:gd name="connsiteX1" fmla="*/ 3515540 w 3519690"/>
                            <a:gd name="connsiteY1" fmla="*/ 12451 h 896496"/>
                            <a:gd name="connsiteX2" fmla="*/ 497239 w 3519690"/>
                            <a:gd name="connsiteY2" fmla="*/ 12451 h 896496"/>
                            <a:gd name="connsiteX3" fmla="*/ 12452 w 3519690"/>
                            <a:gd name="connsiteY3" fmla="*/ 88902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AD04A1" w:rsidRDefault="00AD04A1" w:rsidP="002273DF">
                            <w:pPr>
                              <w:jc w:val="center"/>
                            </w:pPr>
                            <w:r w:rsidRPr="002273DF">
                              <w:t>Лектор: Айсачева Мафтунабону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Полилиния: Фигура 8"/>
                      <wps:cNvSpPr/>
                      <wps:spPr>
                        <a:xfrm>
                          <a:off x="2872292" y="0"/>
                          <a:ext cx="1217295" cy="1542415"/>
                        </a:xfrm>
                        <a:custGeom>
                          <a:avLst/>
                          <a:gdLst>
                            <a:gd name="connsiteX0" fmla="*/ 0 w 1217675"/>
                            <a:gd name="connsiteY0" fmla="*/ 0 h 1542668"/>
                            <a:gd name="connsiteX1" fmla="*/ 330287 w 1217675"/>
                            <a:gd name="connsiteY1" fmla="*/ 0 h 1542668"/>
                            <a:gd name="connsiteX2" fmla="*/ 1217675 w 1217675"/>
                            <a:gd name="connsiteY2" fmla="*/ 1542668 h 1542668"/>
                            <a:gd name="connsiteX3" fmla="*/ 888533 w 1217675"/>
                            <a:gd name="connsiteY3" fmla="*/ 1542668 h 1542668"/>
                            <a:gd name="connsiteX4" fmla="*/ 0 w 1217675"/>
                            <a:gd name="connsiteY4" fmla="*/ 0 h 15426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Полилиния: Фигура 7"/>
                      <wps:cNvSpPr/>
                      <wps:spPr>
                        <a:xfrm>
                          <a:off x="3474720" y="0"/>
                          <a:ext cx="1225138" cy="1542664"/>
                        </a:xfrm>
                        <a:custGeom>
                          <a:avLst/>
                          <a:gdLst>
                            <a:gd name="connsiteX0" fmla="*/ 0 w 1225138"/>
                            <a:gd name="connsiteY0" fmla="*/ 0 h 1542664"/>
                            <a:gd name="connsiteX1" fmla="*/ 330265 w 1225138"/>
                            <a:gd name="connsiteY1" fmla="*/ 0 h 1542664"/>
                            <a:gd name="connsiteX2" fmla="*/ 1225138 w 1225138"/>
                            <a:gd name="connsiteY2" fmla="*/ 1542664 h 1542664"/>
                            <a:gd name="connsiteX3" fmla="*/ 895208 w 1225138"/>
                            <a:gd name="connsiteY3" fmla="*/ 1542664 h 1542664"/>
                            <a:gd name="connsiteX4" fmla="*/ 0 w 1225138"/>
                            <a:gd name="connsiteY4" fmla="*/ 0 h 15426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group w14:anchorId="3E98740C" id="Группа 29" o:spid="_x0000_s1027" style="position:absolute;margin-left:0;margin-top:0;width:595pt;height:855.55pt;z-index:-251657216;mso-width-percent:1000;mso-height-percent:1016;mso-position-horizontal:center;mso-position-horizontal-relative:page;mso-position-vertical:center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">
              <v:shape id="Полилиния: Фигура 8" o:spid="_x0000_s1028" style="position:absolute;left:41201;width:34367;height:8964;visibility:visible;mso-wrap-style:square;v-text-anchor:middle" coordsize="3436678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" path="m3429208,12451r,876575l497239,889026,12452,12451r3416756,xe" fillcolor="#373545 [3215]" stroked="f">
                <v:stroke joinstyle="miter"/>
                <v:path arrowok="t" o:connecttype="custom" o:connectlocs="3429209,12451;3429209,889027;497239,889027;12452,12451" o:connectangles="0,0,0,0"/>
              </v:shape>
              <v:shape id="Полилиния: Фигура 9" o:spid="_x0000_s1029" style="position:absolute;top:6562;width:35196;height:8965;visibility:visible;mso-wrap-style:square;v-text-anchor:middle" coordsize="3519690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" path="m12452,890686r,-878235l3030752,12451r484788,878235l12452,890686xe" fillcolor="#373545 [3215]" stroked="f">
                <v:stroke joinstyle="miter"/>
                <v:path arrowok="t" o:connecttype="custom" o:connectlocs="12452,890687;12452,12451;3030752,12451;3515540,890687" o:connectangles="0,0,0,0"/>
              </v:shape>
              <v:shape id="Полилиния: Фигура 12" o:spid="_x0000_s1030" style="position:absolute;left:33994;top:98862;width:9125;height:9792;visibility:visible;mso-wrap-style:square;v-text-anchor:middle" coordsize="913127,97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" path="m12452,981997l575270,12451r330386,l342838,981997r-330386,xe" fillcolor="#58b6c0 [3205]" stroked="f">
                <v:stroke joinstyle="miter"/>
                <v:path arrowok="t" o:connecttype="custom" o:connectlocs="12443,981661;574872,12447;905029,12447;342601,981661" o:connectangles="0,0,0,0"/>
              </v:shape>
              <v:shape id="Полилиния: Фигура 13" o:spid="_x0000_s1031" style="position:absolute;left:28292;top:98862;width:9131;height:9795;visibility:visible;mso-wrap-style:square;v-text-anchor:middle" coordsize="913127,97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" path="m12452,981997l570289,12451r330386,l342838,981997r-330386,xe" fillcolor="#58b6c0 [3205]" stroked="f">
                <v:stroke joinstyle="miter"/>
                <v:path arrowok="t" o:connecttype="custom" o:connectlocs="12452,981998;570289,12451;900675,12451;342838,981998" o:connectangles="0,0,0,0"/>
              </v:shape>
              <v:shape id="Полилиния: фигура 14" o:spid="_x0000_s1032" style="position:absolute;left:40341;top:98862;width:35197;height:8965;visibility:visible;mso-wrap-style:square;v-text-anchor:middle" coordsize="3519690,8964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" adj="-11796480,,5400" path="m3515540,889026r,-876575l497239,12451,12452,889026r3503088,xe" fillcolor="#373545 [3215]" stroked="f">
                <v:stroke joinstyle="miter"/>
                <v:formulas/>
                <v:path arrowok="t" o:connecttype="custom" o:connectlocs="3515540,889027;3515540,12451;497239,12451;12452,889027" o:connectangles="0,0,0,0" textboxrect="0,0,3519690,896496"/>
                <v:textbox>
                  <w:txbxContent>
                    <w:p w:rsidR="00AD04A1" w:rsidRDefault="00AD04A1" w:rsidP="002273DF">
                      <w:pPr>
                        <w:jc w:val="center"/>
                      </w:pPr>
                      <w:r w:rsidRPr="002273DF">
                        <w:t xml:space="preserve">Лектор: </w:t>
                      </w:r>
                      <w:proofErr w:type="spellStart"/>
                      <w:r w:rsidRPr="002273DF">
                        <w:t>Айсачева</w:t>
                      </w:r>
                      <w:proofErr w:type="spellEnd"/>
                      <w:r w:rsidRPr="002273DF">
                        <w:t xml:space="preserve"> </w:t>
                      </w:r>
                      <w:proofErr w:type="spellStart"/>
                      <w:r w:rsidRPr="002273DF">
                        <w:t>Мафтунабону</w:t>
                      </w:r>
                      <w:proofErr w:type="spellEnd"/>
                    </w:p>
                  </w:txbxContent>
                </v:textbox>
              </v:shape>
              <v:shape id="Полилиния: Фигура 8" o:spid="_x0000_s1033" style="position:absolute;left:28722;width:12173;height:15424;visibility:visible;mso-wrap-style:square;v-text-anchor:middle" coordsize="1217675,154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" path="m,l330287,r887388,1542668l888533,1542668,,xe" fillcolor="#58b6c0 [3205]" stroked="f">
                <v:stroke joinstyle="miter"/>
                <v:path arrowok="t" o:connecttype="custom" o:connectlocs="0,0;330184,0;1217295,1542415;888256,1542415;0,0" o:connectangles="0,0,0,0,0"/>
              </v:shape>
              <v:shape id="Полилиния: Фигура 7" o:spid="_x0000_s1034" style="position:absolute;left:34747;width:12251;height:15426;visibility:visible;mso-wrap-style:square;v-text-anchor:middle" coordsize="1225138,1542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" path="m,l330265,r894873,1542664l895208,1542664,,xe" fillcolor="#58b6c0 [3205]" stroked="f">
                <v:stroke joinstyle="miter"/>
                <v:path arrowok="t" o:connecttype="custom" o:connectlocs="0,0;330265,0;1225138,1542664;895208,1542664;0,0" o:connectangles="0,0,0,0,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4A1" w:rsidRDefault="00AD04A1">
    <w:pPr>
      <w:pStyle w:val="afff1"/>
    </w:pPr>
    <w:r w:rsidRPr="00FE777E">
      <w:rPr>
        <w:b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43E87FA0" wp14:editId="4974EDF9">
          <wp:simplePos x="0" y="0"/>
          <wp:positionH relativeFrom="margin">
            <wp:align>right</wp:align>
          </wp:positionH>
          <wp:positionV relativeFrom="paragraph">
            <wp:posOffset>89192</wp:posOffset>
          </wp:positionV>
          <wp:extent cx="1266825" cy="1243330"/>
          <wp:effectExtent l="0" t="0" r="9525" b="0"/>
          <wp:wrapTight wrapText="bothSides">
            <wp:wrapPolygon edited="0">
              <wp:start x="8445" y="0"/>
              <wp:lineTo x="6821" y="331"/>
              <wp:lineTo x="1624" y="4302"/>
              <wp:lineTo x="0" y="9598"/>
              <wp:lineTo x="1624" y="15886"/>
              <wp:lineTo x="1624" y="17540"/>
              <wp:lineTo x="5847" y="21181"/>
              <wp:lineTo x="7795" y="21181"/>
              <wp:lineTo x="14292" y="21181"/>
              <wp:lineTo x="16241" y="21181"/>
              <wp:lineTo x="20788" y="17540"/>
              <wp:lineTo x="21438" y="9928"/>
              <wp:lineTo x="20463" y="4633"/>
              <wp:lineTo x="15591" y="662"/>
              <wp:lineTo x="13642" y="0"/>
              <wp:lineTo x="8445" y="0"/>
            </wp:wrapPolygon>
          </wp:wrapTight>
          <wp:docPr id="37" name="Рисунок 37" descr="C:\Users\User\Desktop\Без-имени-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Без-имени-1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243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F76DA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5DA42EC" wp14:editId="41462CEE">
              <wp:simplePos x="0" y="0"/>
              <wp:positionH relativeFrom="column">
                <wp:posOffset>-554973</wp:posOffset>
              </wp:positionH>
              <wp:positionV relativeFrom="paragraph">
                <wp:posOffset>571500</wp:posOffset>
              </wp:positionV>
              <wp:extent cx="2833370" cy="722630"/>
              <wp:effectExtent l="19050" t="19050" r="24130" b="20320"/>
              <wp:wrapTight wrapText="bothSides">
                <wp:wrapPolygon edited="0">
                  <wp:start x="-145" y="-569"/>
                  <wp:lineTo x="-145" y="21638"/>
                  <wp:lineTo x="21639" y="21638"/>
                  <wp:lineTo x="21639" y="-569"/>
                  <wp:lineTo x="-145" y="-569"/>
                </wp:wrapPolygon>
              </wp:wrapTight>
              <wp:docPr id="21" name="Фигура 61">
                <a:extLst xmlns:a="http://schemas.openxmlformats.org/drawingml/2006/main">
                  <a:ext uri="{C183D7F6-B498-43B3-948B-1728B52AA6E4}">
                    <adec:decorative xmlns:cx="http://schemas.microsoft.com/office/drawing/2014/chartex" xmlns:cx1="http://schemas.microsoft.com/office/drawing/2015/9/8/chartex" xmlns:w16se="http://schemas.microsoft.com/office/word/2015/wordml/symex"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33370" cy="722630"/>
                      </a:xfrm>
                      <a:prstGeom prst="rect">
                        <a:avLst/>
                      </a:prstGeom>
                      <a:ln w="38100">
                        <a:solidFill>
                          <a:schemeClr val="bg1"/>
                        </a:solidFill>
                        <a:miter lim="400000"/>
                      </a:ln>
                      <a:extLst>
                        <a:ext uri="{C572A759-6A51-4108-AA02-DFA0A04FC94B}">
                          <ma14:wrappingTextBoxFlag xmlns:cx="http://schemas.microsoft.com/office/drawing/2014/chartex" xmlns:cx1="http://schemas.microsoft.com/office/drawing/2015/9/8/chartex" xmlns:w16se="http://schemas.microsoft.com/office/word/2015/wordml/symex" xmlns="" xmlns:w="http://schemas.openxmlformats.org/wordprocessingml/2006/main" xmlns:o="urn:schemas-microsoft-com:office:office" xmlns:v="urn:schemas-microsoft-com:vml" xmlns:w10="urn:schemas-microsoft-com:office:word" xmlns:ma14="http://schemas.microsoft.com/office/mac/drawingml/2011/main" xmlns:lc="http://schemas.openxmlformats.org/drawingml/2006/lockedCanvas" xmlns:p="http://schemas.openxmlformats.org/presentation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val="1"/>
                        </a:ext>
                      </a:extLst>
                    </wps:spPr>
                    <wps:txbx>
                      <w:txbxContent>
                        <w:p w:rsidR="00AD04A1" w:rsidRPr="00FA3FA4" w:rsidRDefault="00AD04A1" w:rsidP="00FA3FA4">
                          <w:pPr>
                            <w:pStyle w:val="afffff4"/>
                            <w:shd w:val="clear" w:color="auto" w:fill="44546A"/>
                            <w:jc w:val="center"/>
                            <w:rPr>
                              <w:color w:val="FFFFFF"/>
                              <w:sz w:val="21"/>
                              <w:lang w:val="en-US"/>
                            </w:rPr>
                          </w:pPr>
                          <w:r w:rsidRPr="00FA3FA4">
                            <w:rPr>
                              <w:b/>
                              <w:color w:val="FFFFFF"/>
                              <w:sz w:val="26"/>
                              <w:szCs w:val="26"/>
                            </w:rPr>
                            <w:t>АНДИЖАНСКИЙ ГОСУДАРСТВЕННЫЙ МЕДИЦИНСКИЙ ИНСТИТУТ</w:t>
                          </w:r>
                        </w:p>
                      </w:txbxContent>
                    </wps:txbx>
                    <wps:bodyPr wrap="square" lIns="19050" tIns="19050" rIns="19050" bIns="1905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rect w14:anchorId="25DA42EC" id="_x0000_s1035" style="position:absolute;margin-left:-43.7pt;margin-top:45pt;width:223.1pt;height:56.9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" filled="f" strokecolor="white [3212]" strokeweight="3pt">
              <v:stroke miterlimit="4"/>
              <v:textbox inset="1.5pt,1.5pt,1.5pt,1.5pt">
                <w:txbxContent>
                  <w:p w:rsidR="00AD04A1" w:rsidRPr="00FA3FA4" w:rsidRDefault="00AD04A1" w:rsidP="00FA3FA4">
                    <w:pPr>
                      <w:pStyle w:val="afffff4"/>
                      <w:shd w:val="clear" w:color="auto" w:fill="44546A"/>
                      <w:jc w:val="center"/>
                      <w:rPr>
                        <w:color w:val="FFFFFF"/>
                        <w:sz w:val="21"/>
                        <w:lang w:val="en-US"/>
                      </w:rPr>
                    </w:pPr>
                    <w:r w:rsidRPr="00FA3FA4">
                      <w:rPr>
                        <w:b/>
                        <w:color w:val="FFFFFF"/>
                        <w:sz w:val="26"/>
                        <w:szCs w:val="26"/>
                      </w:rPr>
                      <w:t>АНДИЖАНСКИЙ ГОСУДАРСТВЕННЫЙ МЕДИЦИНСКИЙ ИНСТИТУТ</w:t>
                    </w:r>
                  </w:p>
                </w:txbxContent>
              </v:textbox>
              <w10:wrap type="tight"/>
            </v:rect>
          </w:pict>
        </mc:Fallback>
      </mc:AlternateContent>
    </w:r>
    <w:r w:rsidRPr="00084752"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3E599E5" wp14:editId="2A4DC60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556500" cy="10865485"/>
              <wp:effectExtent l="0" t="0" r="2540" b="14605"/>
              <wp:wrapNone/>
              <wp:docPr id="22" name="Группа 22">
                <a:extLst xmlns:a="http://schemas.openxmlformats.org/drawingml/2006/main">
                  <a:ext uri="{C183D7F6-B498-43B3-948B-1728B52AA6E4}">
                    <adec:decorative xmlns:cx="http://schemas.microsoft.com/office/drawing/2014/chartex" xmlns:cx1="http://schemas.microsoft.com/office/drawing/2015/9/8/chartex" xmlns:w16se="http://schemas.microsoft.com/office/word/2015/wordml/symex"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865485"/>
                        <a:chOff x="0" y="0"/>
                        <a:chExt cx="7556858" cy="10865783"/>
                      </a:xfrm>
                    </wpg:grpSpPr>
                    <wps:wsp>
                      <wps:cNvPr id="23" name="Полилиния: Фигура 23"/>
                      <wps:cNvSpPr/>
                      <wps:spPr>
                        <a:xfrm>
                          <a:off x="4120179" y="0"/>
                          <a:ext cx="3436679" cy="896497"/>
                        </a:xfrm>
                        <a:custGeom>
                          <a:avLst/>
                          <a:gdLst>
                            <a:gd name="connsiteX0" fmla="*/ 3429208 w 3436678"/>
                            <a:gd name="connsiteY0" fmla="*/ 12451 h 896496"/>
                            <a:gd name="connsiteX1" fmla="*/ 3429208 w 3436678"/>
                            <a:gd name="connsiteY1" fmla="*/ 889026 h 896496"/>
                            <a:gd name="connsiteX2" fmla="*/ 497239 w 3436678"/>
                            <a:gd name="connsiteY2" fmla="*/ 889026 h 896496"/>
                            <a:gd name="connsiteX3" fmla="*/ 12452 w 3436678"/>
                            <a:gd name="connsiteY3" fmla="*/ 12451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Полилиния: Форма 24"/>
                      <wps:cNvSpPr/>
                      <wps:spPr>
                        <a:xfrm>
                          <a:off x="0" y="656216"/>
                          <a:ext cx="3519690" cy="896497"/>
                        </a:xfrm>
                        <a:custGeom>
                          <a:avLst/>
                          <a:gdLst>
                            <a:gd name="connsiteX0" fmla="*/ 12452 w 3519690"/>
                            <a:gd name="connsiteY0" fmla="*/ 890686 h 896496"/>
                            <a:gd name="connsiteX1" fmla="*/ 12452 w 3519690"/>
                            <a:gd name="connsiteY1" fmla="*/ 12451 h 896496"/>
                            <a:gd name="connsiteX2" fmla="*/ 3030752 w 3519690"/>
                            <a:gd name="connsiteY2" fmla="*/ 12451 h 896496"/>
                            <a:gd name="connsiteX3" fmla="*/ 3515540 w 3519690"/>
                            <a:gd name="connsiteY3" fmla="*/ 89068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Полилиния: Форма 25"/>
                      <wps:cNvSpPr/>
                      <wps:spPr>
                        <a:xfrm>
                          <a:off x="3399416" y="9886277"/>
                          <a:ext cx="912495" cy="979170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5270 w 913127"/>
                            <a:gd name="connsiteY1" fmla="*/ 12451 h 979505"/>
                            <a:gd name="connsiteX2" fmla="*/ 905656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Полилиния: Форма 26"/>
                      <wps:cNvSpPr/>
                      <wps:spPr>
                        <a:xfrm>
                          <a:off x="2829261" y="9886277"/>
                          <a:ext cx="913127" cy="979506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0289 w 913127"/>
                            <a:gd name="connsiteY1" fmla="*/ 12451 h 979505"/>
                            <a:gd name="connsiteX2" fmla="*/ 900675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Полилиния: Форма 30"/>
                      <wps:cNvSpPr/>
                      <wps:spPr>
                        <a:xfrm>
                          <a:off x="4034118" y="9886277"/>
                          <a:ext cx="3519690" cy="896497"/>
                        </a:xfrm>
                        <a:custGeom>
                          <a:avLst/>
                          <a:gdLst>
                            <a:gd name="connsiteX0" fmla="*/ 3515540 w 3519690"/>
                            <a:gd name="connsiteY0" fmla="*/ 889026 h 896496"/>
                            <a:gd name="connsiteX1" fmla="*/ 3515540 w 3519690"/>
                            <a:gd name="connsiteY1" fmla="*/ 12451 h 896496"/>
                            <a:gd name="connsiteX2" fmla="*/ 497239 w 3519690"/>
                            <a:gd name="connsiteY2" fmla="*/ 12451 h 896496"/>
                            <a:gd name="connsiteX3" fmla="*/ 12452 w 3519690"/>
                            <a:gd name="connsiteY3" fmla="*/ 88902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AD04A1" w:rsidRDefault="00AD04A1" w:rsidP="002273DF">
                            <w:pPr>
                              <w:jc w:val="center"/>
                            </w:pPr>
                            <w:r w:rsidRPr="002273DF">
                              <w:t>Лектор: Айсачева Мафтунабону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Полилиния: Фигура 8"/>
                      <wps:cNvSpPr/>
                      <wps:spPr>
                        <a:xfrm>
                          <a:off x="2872292" y="0"/>
                          <a:ext cx="1217295" cy="1542415"/>
                        </a:xfrm>
                        <a:custGeom>
                          <a:avLst/>
                          <a:gdLst>
                            <a:gd name="connsiteX0" fmla="*/ 0 w 1217675"/>
                            <a:gd name="connsiteY0" fmla="*/ 0 h 1542668"/>
                            <a:gd name="connsiteX1" fmla="*/ 330287 w 1217675"/>
                            <a:gd name="connsiteY1" fmla="*/ 0 h 1542668"/>
                            <a:gd name="connsiteX2" fmla="*/ 1217675 w 1217675"/>
                            <a:gd name="connsiteY2" fmla="*/ 1542668 h 1542668"/>
                            <a:gd name="connsiteX3" fmla="*/ 888533 w 1217675"/>
                            <a:gd name="connsiteY3" fmla="*/ 1542668 h 1542668"/>
                            <a:gd name="connsiteX4" fmla="*/ 0 w 1217675"/>
                            <a:gd name="connsiteY4" fmla="*/ 0 h 15426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Полилиния: фигура 7"/>
                      <wps:cNvSpPr/>
                      <wps:spPr>
                        <a:xfrm>
                          <a:off x="3474720" y="0"/>
                          <a:ext cx="1225138" cy="1542664"/>
                        </a:xfrm>
                        <a:custGeom>
                          <a:avLst/>
                          <a:gdLst>
                            <a:gd name="connsiteX0" fmla="*/ 0 w 1225138"/>
                            <a:gd name="connsiteY0" fmla="*/ 0 h 1542664"/>
                            <a:gd name="connsiteX1" fmla="*/ 330265 w 1225138"/>
                            <a:gd name="connsiteY1" fmla="*/ 0 h 1542664"/>
                            <a:gd name="connsiteX2" fmla="*/ 1225138 w 1225138"/>
                            <a:gd name="connsiteY2" fmla="*/ 1542664 h 1542664"/>
                            <a:gd name="connsiteX3" fmla="*/ 895208 w 1225138"/>
                            <a:gd name="connsiteY3" fmla="*/ 1542664 h 1542664"/>
                            <a:gd name="connsiteX4" fmla="*/ 0 w 1225138"/>
                            <a:gd name="connsiteY4" fmla="*/ 0 h 15426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group w14:anchorId="53E599E5" id="Группа 22" o:spid="_x0000_s1036" style="position:absolute;margin-left:0;margin-top:0;width:595pt;height:855.55pt;z-index:-251655168;mso-width-percent:1000;mso-height-percent:1016;mso-position-horizontal:center;mso-position-horizontal-relative:page;mso-position-vertical:center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">
              <v:shape id="Полилиния: Фигура 23" o:spid="_x0000_s1037" style="position:absolute;left:41201;width:34367;height:8964;visibility:visible;mso-wrap-style:square;v-text-anchor:middle" coordsize="3436678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" path="m3429208,12451r,876575l497239,889026,12452,12451r3416756,xe" fillcolor="#373545 [3215]" stroked="f">
                <v:stroke joinstyle="miter"/>
                <v:path arrowok="t" o:connecttype="custom" o:connectlocs="3429209,12451;3429209,889027;497239,889027;12452,12451" o:connectangles="0,0,0,0"/>
              </v:shape>
              <v:shape id="Полилиния: Форма 24" o:spid="_x0000_s1038" style="position:absolute;top:6562;width:35196;height:8965;visibility:visible;mso-wrap-style:square;v-text-anchor:middle" coordsize="3519690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" path="m12452,890686r,-878235l3030752,12451r484788,878235l12452,890686xe" fillcolor="#373545 [3215]" stroked="f">
                <v:stroke joinstyle="miter"/>
                <v:path arrowok="t" o:connecttype="custom" o:connectlocs="12452,890687;12452,12451;3030752,12451;3515540,890687" o:connectangles="0,0,0,0"/>
              </v:shape>
              <v:shape id="Полилиния: Форма 25" o:spid="_x0000_s1039" style="position:absolute;left:33994;top:98862;width:9125;height:9792;visibility:visible;mso-wrap-style:square;v-text-anchor:middle" coordsize="913127,97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" path="m12452,981997l575270,12451r330386,l342838,981997r-330386,xe" fillcolor="#58b6c0 [3205]" stroked="f">
                <v:stroke joinstyle="miter"/>
                <v:path arrowok="t" o:connecttype="custom" o:connectlocs="12443,981661;574872,12447;905029,12447;342601,981661" o:connectangles="0,0,0,0"/>
              </v:shape>
              <v:shape id="Полилиния: Форма 26" o:spid="_x0000_s1040" style="position:absolute;left:28292;top:98862;width:9131;height:9795;visibility:visible;mso-wrap-style:square;v-text-anchor:middle" coordsize="913127,97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" path="m12452,981997l570289,12451r330386,l342838,981997r-330386,xe" fillcolor="#58b6c0 [3205]" stroked="f">
                <v:stroke joinstyle="miter"/>
                <v:path arrowok="t" o:connecttype="custom" o:connectlocs="12452,981998;570289,12451;900675,12451;342838,981998" o:connectangles="0,0,0,0"/>
              </v:shape>
              <v:shape id="Полилиния: Форма 30" o:spid="_x0000_s1041" style="position:absolute;left:40341;top:98862;width:35197;height:8965;visibility:visible;mso-wrap-style:square;v-text-anchor:middle" coordsize="3519690,8964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" adj="-11796480,,5400" path="m3515540,889026r,-876575l497239,12451,12452,889026r3503088,xe" fillcolor="#373545 [3215]" stroked="f">
                <v:stroke joinstyle="miter"/>
                <v:formulas/>
                <v:path arrowok="t" o:connecttype="custom" o:connectlocs="3515540,889027;3515540,12451;497239,12451;12452,889027" o:connectangles="0,0,0,0" textboxrect="0,0,3519690,896496"/>
                <v:textbox>
                  <w:txbxContent>
                    <w:p w:rsidR="00AD04A1" w:rsidRDefault="00AD04A1" w:rsidP="002273DF">
                      <w:pPr>
                        <w:jc w:val="center"/>
                      </w:pPr>
                      <w:r w:rsidRPr="002273DF">
                        <w:t xml:space="preserve">Лектор: </w:t>
                      </w:r>
                      <w:proofErr w:type="spellStart"/>
                      <w:r w:rsidRPr="002273DF">
                        <w:t>Айсачева</w:t>
                      </w:r>
                      <w:proofErr w:type="spellEnd"/>
                      <w:r w:rsidRPr="002273DF">
                        <w:t xml:space="preserve"> </w:t>
                      </w:r>
                      <w:proofErr w:type="spellStart"/>
                      <w:r w:rsidRPr="002273DF">
                        <w:t>Мафтунабону</w:t>
                      </w:r>
                      <w:proofErr w:type="spellEnd"/>
                    </w:p>
                  </w:txbxContent>
                </v:textbox>
              </v:shape>
              <v:shape id="Полилиния: Фигура 8" o:spid="_x0000_s1042" style="position:absolute;left:28722;width:12173;height:15424;visibility:visible;mso-wrap-style:square;v-text-anchor:middle" coordsize="1217675,154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" path="m,l330287,r887388,1542668l888533,1542668,,xe" fillcolor="#58b6c0 [3205]" stroked="f">
                <v:stroke joinstyle="miter"/>
                <v:path arrowok="t" o:connecttype="custom" o:connectlocs="0,0;330184,0;1217295,1542415;888256,1542415;0,0" o:connectangles="0,0,0,0,0"/>
              </v:shape>
              <v:shape id="Полилиния: фигура 7" o:spid="_x0000_s1043" style="position:absolute;left:34747;width:12251;height:15426;visibility:visible;mso-wrap-style:square;v-text-anchor:middle" coordsize="1225138,1542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" path="m,l330265,r894873,1542664l895208,1542664,,xe" fillcolor="#58b6c0 [3205]" stroked="f">
                <v:stroke joinstyle="miter"/>
                <v:path arrowok="t" o:connecttype="custom" o:connectlocs="0,0;330265,0;1225138,1542664;895208,1542664;0,0" o:connectangles="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80"/>
    <w:multiLevelType w:val="singleLevel"/>
    <w:tmpl w:val="6314739A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55DEA4B6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760AC8EA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8A38F804"/>
    <w:lvl w:ilvl="0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9"/>
    <w:multiLevelType w:val="singleLevel"/>
    <w:tmpl w:val="0C6E2CD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84C061E"/>
    <w:multiLevelType w:val="hybridMultilevel"/>
    <w:tmpl w:val="DDBAB88E"/>
    <w:lvl w:ilvl="0" w:tplc="D076F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CA6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5EB2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4A40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A211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5E33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E6E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FAB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82F8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0B4100DF"/>
    <w:multiLevelType w:val="hybridMultilevel"/>
    <w:tmpl w:val="2D5812C4"/>
    <w:lvl w:ilvl="0" w:tplc="2C9474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EEA3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80D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B60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746F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B29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ACF7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087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8CEE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17890B8C"/>
    <w:multiLevelType w:val="hybridMultilevel"/>
    <w:tmpl w:val="749E56B8"/>
    <w:lvl w:ilvl="0" w:tplc="55B22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F66B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0C3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A6CE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3E96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08FD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42E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1445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42B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1BC62CB8"/>
    <w:multiLevelType w:val="hybridMultilevel"/>
    <w:tmpl w:val="A7D07C32"/>
    <w:lvl w:ilvl="0" w:tplc="2B9C5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220F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B412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44B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FAF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F22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925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A8B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48C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1F5F32D2"/>
    <w:multiLevelType w:val="hybridMultilevel"/>
    <w:tmpl w:val="DFBCE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81E7A"/>
    <w:multiLevelType w:val="hybridMultilevel"/>
    <w:tmpl w:val="B38453B0"/>
    <w:lvl w:ilvl="0" w:tplc="EB884B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6065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5821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960A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7A33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1C31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A4E3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381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944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9240394"/>
    <w:multiLevelType w:val="hybridMultilevel"/>
    <w:tmpl w:val="033A049A"/>
    <w:lvl w:ilvl="0" w:tplc="DD3E2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FA86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D88D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082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DA1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D420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140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BA1F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488F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3202067"/>
    <w:multiLevelType w:val="hybridMultilevel"/>
    <w:tmpl w:val="70D051C4"/>
    <w:lvl w:ilvl="0" w:tplc="2E00FC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16D5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449E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7E98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789D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B049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40069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6ABE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CE5F7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4326C6"/>
    <w:multiLevelType w:val="hybridMultilevel"/>
    <w:tmpl w:val="7F229894"/>
    <w:lvl w:ilvl="0" w:tplc="001EB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DA5C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9CEC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4822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4017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0298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5CCE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9803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4A4B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74E6086"/>
    <w:multiLevelType w:val="hybridMultilevel"/>
    <w:tmpl w:val="9E6CFB0E"/>
    <w:lvl w:ilvl="0" w:tplc="F25C7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223E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AC2F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AE1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62D7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923B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8C6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A32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6AA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856772"/>
    <w:multiLevelType w:val="multilevel"/>
    <w:tmpl w:val="4E88364C"/>
    <w:lvl w:ilvl="0">
      <w:start w:val="1"/>
      <w:numFmt w:val="upperRoman"/>
      <w:pStyle w:val="a0"/>
      <w:lvlText w:val="%1."/>
      <w:lvlJc w:val="right"/>
      <w:pPr>
        <w:ind w:left="173" w:hanging="173"/>
      </w:pPr>
      <w:rPr>
        <w:rFonts w:asciiTheme="minorHAnsi" w:hAnsiTheme="minorHAnsi" w:hint="default"/>
        <w:b/>
        <w:i w:val="0"/>
        <w:sz w:val="24"/>
      </w:rPr>
    </w:lvl>
    <w:lvl w:ilvl="1">
      <w:start w:val="1"/>
      <w:numFmt w:val="lowerLetter"/>
      <w:pStyle w:val="20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0" w15:restartNumberingAfterBreak="0">
    <w:nsid w:val="44176042"/>
    <w:multiLevelType w:val="hybridMultilevel"/>
    <w:tmpl w:val="30BE3BA8"/>
    <w:lvl w:ilvl="0" w:tplc="E422B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227C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F2CE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C2A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646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D04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A87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7CB4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C8E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69E646F"/>
    <w:multiLevelType w:val="hybridMultilevel"/>
    <w:tmpl w:val="6BC27868"/>
    <w:lvl w:ilvl="0" w:tplc="89BA1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E08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926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44A6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40C8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82CE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BA8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508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988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587B22F0"/>
    <w:multiLevelType w:val="hybridMultilevel"/>
    <w:tmpl w:val="00FAE5CE"/>
    <w:lvl w:ilvl="0" w:tplc="B1383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D42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0276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96F6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6ED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E80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CCD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14EB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867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5DE67920"/>
    <w:multiLevelType w:val="hybridMultilevel"/>
    <w:tmpl w:val="411E7B96"/>
    <w:lvl w:ilvl="0" w:tplc="AA7AB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9E6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9E8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0C3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CC92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E280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188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2AAF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029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60C52790"/>
    <w:multiLevelType w:val="hybridMultilevel"/>
    <w:tmpl w:val="09C05FAE"/>
    <w:lvl w:ilvl="0" w:tplc="124C67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863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0CD4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9C8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DEA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5443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266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F6F6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B25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62DB3915"/>
    <w:multiLevelType w:val="hybridMultilevel"/>
    <w:tmpl w:val="2354C824"/>
    <w:lvl w:ilvl="0" w:tplc="A634C6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6A55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D02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662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185A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1867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CEA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382B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9C6E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66563EAE"/>
    <w:multiLevelType w:val="hybridMultilevel"/>
    <w:tmpl w:val="92E87160"/>
    <w:lvl w:ilvl="0" w:tplc="FD263D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809A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60E9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BE2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0A92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4AA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E8B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B088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3AD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68C10718"/>
    <w:multiLevelType w:val="multilevel"/>
    <w:tmpl w:val="04090023"/>
    <w:styleLink w:val="a1"/>
    <w:lvl w:ilvl="0">
      <w:start w:val="1"/>
      <w:numFmt w:val="upperRoman"/>
      <w:lvlText w:val="Статья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6DCD25EA"/>
    <w:multiLevelType w:val="hybridMultilevel"/>
    <w:tmpl w:val="5FEA0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621DF8"/>
    <w:multiLevelType w:val="hybridMultilevel"/>
    <w:tmpl w:val="EBFE15B2"/>
    <w:lvl w:ilvl="0" w:tplc="CF1621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AE5B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48BE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2EA7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BC8F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B27E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FC43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C26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DE39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7C0D5CEB"/>
    <w:multiLevelType w:val="hybridMultilevel"/>
    <w:tmpl w:val="BADE698C"/>
    <w:lvl w:ilvl="0" w:tplc="970C48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72F4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6453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103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2E3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78FB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166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ACBF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2A2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19"/>
  </w:num>
  <w:num w:numId="10">
    <w:abstractNumId w:val="15"/>
  </w:num>
  <w:num w:numId="11">
    <w:abstractNumId w:val="21"/>
  </w:num>
  <w:num w:numId="12">
    <w:abstractNumId w:val="28"/>
  </w:num>
  <w:num w:numId="13">
    <w:abstractNumId w:val="29"/>
  </w:num>
  <w:num w:numId="14">
    <w:abstractNumId w:val="12"/>
  </w:num>
  <w:num w:numId="15">
    <w:abstractNumId w:val="16"/>
  </w:num>
  <w:num w:numId="16">
    <w:abstractNumId w:val="8"/>
  </w:num>
  <w:num w:numId="17">
    <w:abstractNumId w:val="27"/>
  </w:num>
  <w:num w:numId="18">
    <w:abstractNumId w:val="14"/>
  </w:num>
  <w:num w:numId="19">
    <w:abstractNumId w:val="25"/>
  </w:num>
  <w:num w:numId="20">
    <w:abstractNumId w:val="20"/>
  </w:num>
  <w:num w:numId="21">
    <w:abstractNumId w:val="18"/>
  </w:num>
  <w:num w:numId="22">
    <w:abstractNumId w:val="24"/>
  </w:num>
  <w:num w:numId="23">
    <w:abstractNumId w:val="22"/>
  </w:num>
  <w:num w:numId="24">
    <w:abstractNumId w:val="10"/>
  </w:num>
  <w:num w:numId="25">
    <w:abstractNumId w:val="26"/>
  </w:num>
  <w:num w:numId="26">
    <w:abstractNumId w:val="9"/>
  </w:num>
  <w:num w:numId="27">
    <w:abstractNumId w:val="11"/>
  </w:num>
  <w:num w:numId="28">
    <w:abstractNumId w:val="31"/>
  </w:num>
  <w:num w:numId="29">
    <w:abstractNumId w:val="17"/>
  </w:num>
  <w:num w:numId="30">
    <w:abstractNumId w:val="13"/>
  </w:num>
  <w:num w:numId="31">
    <w:abstractNumId w:val="23"/>
  </w:num>
  <w:num w:numId="32">
    <w:abstractNumId w:val="3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4"/>
  <w:removePersonalInformation/>
  <w:removeDateAndTime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7E"/>
    <w:rsid w:val="0000418E"/>
    <w:rsid w:val="00016839"/>
    <w:rsid w:val="00042528"/>
    <w:rsid w:val="00042FB3"/>
    <w:rsid w:val="00057671"/>
    <w:rsid w:val="00084752"/>
    <w:rsid w:val="00086540"/>
    <w:rsid w:val="000D445D"/>
    <w:rsid w:val="000E0B00"/>
    <w:rsid w:val="000E16FF"/>
    <w:rsid w:val="000E46E6"/>
    <w:rsid w:val="000F4987"/>
    <w:rsid w:val="000F65EC"/>
    <w:rsid w:val="00103670"/>
    <w:rsid w:val="0010487E"/>
    <w:rsid w:val="00110BBD"/>
    <w:rsid w:val="001112C7"/>
    <w:rsid w:val="0011573E"/>
    <w:rsid w:val="00125E33"/>
    <w:rsid w:val="0012634B"/>
    <w:rsid w:val="001269DE"/>
    <w:rsid w:val="001351F7"/>
    <w:rsid w:val="00140DAE"/>
    <w:rsid w:val="0015180F"/>
    <w:rsid w:val="00156128"/>
    <w:rsid w:val="001574C3"/>
    <w:rsid w:val="001746FC"/>
    <w:rsid w:val="00193653"/>
    <w:rsid w:val="001A4470"/>
    <w:rsid w:val="001A6AC0"/>
    <w:rsid w:val="001A76E2"/>
    <w:rsid w:val="001B0576"/>
    <w:rsid w:val="001B1D0E"/>
    <w:rsid w:val="001C329C"/>
    <w:rsid w:val="001D1758"/>
    <w:rsid w:val="001E7D29"/>
    <w:rsid w:val="002142C8"/>
    <w:rsid w:val="00215269"/>
    <w:rsid w:val="00222713"/>
    <w:rsid w:val="0022366B"/>
    <w:rsid w:val="00227316"/>
    <w:rsid w:val="002273DF"/>
    <w:rsid w:val="00230B3D"/>
    <w:rsid w:val="002404F5"/>
    <w:rsid w:val="0025449B"/>
    <w:rsid w:val="00275260"/>
    <w:rsid w:val="00276FA1"/>
    <w:rsid w:val="00280C04"/>
    <w:rsid w:val="00285B87"/>
    <w:rsid w:val="00291B4A"/>
    <w:rsid w:val="002C3D7E"/>
    <w:rsid w:val="002D0AAD"/>
    <w:rsid w:val="002E4F42"/>
    <w:rsid w:val="002F234B"/>
    <w:rsid w:val="002F76DA"/>
    <w:rsid w:val="00303179"/>
    <w:rsid w:val="0032131A"/>
    <w:rsid w:val="00330439"/>
    <w:rsid w:val="003310BF"/>
    <w:rsid w:val="00333DF8"/>
    <w:rsid w:val="003377F9"/>
    <w:rsid w:val="00352B99"/>
    <w:rsid w:val="00357641"/>
    <w:rsid w:val="003603AA"/>
    <w:rsid w:val="00360B6E"/>
    <w:rsid w:val="00361DEE"/>
    <w:rsid w:val="00394EF4"/>
    <w:rsid w:val="003A1CB3"/>
    <w:rsid w:val="003B7F92"/>
    <w:rsid w:val="003D1740"/>
    <w:rsid w:val="003D4FEB"/>
    <w:rsid w:val="003E5EB5"/>
    <w:rsid w:val="00410612"/>
    <w:rsid w:val="00411F8B"/>
    <w:rsid w:val="004203B0"/>
    <w:rsid w:val="004230D9"/>
    <w:rsid w:val="00450670"/>
    <w:rsid w:val="00451440"/>
    <w:rsid w:val="004527B8"/>
    <w:rsid w:val="004701E1"/>
    <w:rsid w:val="004724BD"/>
    <w:rsid w:val="00477352"/>
    <w:rsid w:val="00477835"/>
    <w:rsid w:val="00491C23"/>
    <w:rsid w:val="004B5C09"/>
    <w:rsid w:val="004C733F"/>
    <w:rsid w:val="004D454D"/>
    <w:rsid w:val="004E227E"/>
    <w:rsid w:val="004F7FED"/>
    <w:rsid w:val="00500DD1"/>
    <w:rsid w:val="00507378"/>
    <w:rsid w:val="00521AE3"/>
    <w:rsid w:val="00535B54"/>
    <w:rsid w:val="00554276"/>
    <w:rsid w:val="0056094A"/>
    <w:rsid w:val="00564D17"/>
    <w:rsid w:val="00570173"/>
    <w:rsid w:val="005762AB"/>
    <w:rsid w:val="00587101"/>
    <w:rsid w:val="005A72D4"/>
    <w:rsid w:val="005B3A9C"/>
    <w:rsid w:val="005D1C1F"/>
    <w:rsid w:val="005D3902"/>
    <w:rsid w:val="005E0ED9"/>
    <w:rsid w:val="005E2C92"/>
    <w:rsid w:val="005F25B0"/>
    <w:rsid w:val="00616B41"/>
    <w:rsid w:val="00620AE8"/>
    <w:rsid w:val="00622B83"/>
    <w:rsid w:val="0062682A"/>
    <w:rsid w:val="0064628C"/>
    <w:rsid w:val="0065214E"/>
    <w:rsid w:val="00655EE2"/>
    <w:rsid w:val="00680296"/>
    <w:rsid w:val="006811CE"/>
    <w:rsid w:val="00683EA4"/>
    <w:rsid w:val="006853BC"/>
    <w:rsid w:val="00687389"/>
    <w:rsid w:val="006928C1"/>
    <w:rsid w:val="006C639B"/>
    <w:rsid w:val="006D0C8C"/>
    <w:rsid w:val="006D5463"/>
    <w:rsid w:val="006E015E"/>
    <w:rsid w:val="006F03D4"/>
    <w:rsid w:val="006F36A7"/>
    <w:rsid w:val="00700B1F"/>
    <w:rsid w:val="0072228D"/>
    <w:rsid w:val="007257E9"/>
    <w:rsid w:val="00740105"/>
    <w:rsid w:val="00744B1E"/>
    <w:rsid w:val="00756AD4"/>
    <w:rsid w:val="00756D9C"/>
    <w:rsid w:val="007619BD"/>
    <w:rsid w:val="00771C24"/>
    <w:rsid w:val="00781863"/>
    <w:rsid w:val="00792701"/>
    <w:rsid w:val="007D0BC1"/>
    <w:rsid w:val="007D5836"/>
    <w:rsid w:val="007F34A4"/>
    <w:rsid w:val="00800BDB"/>
    <w:rsid w:val="0080454F"/>
    <w:rsid w:val="00815563"/>
    <w:rsid w:val="008240DA"/>
    <w:rsid w:val="008429E5"/>
    <w:rsid w:val="00867EA4"/>
    <w:rsid w:val="0088077C"/>
    <w:rsid w:val="00880C14"/>
    <w:rsid w:val="00890EFA"/>
    <w:rsid w:val="00897D88"/>
    <w:rsid w:val="008A0319"/>
    <w:rsid w:val="008A059E"/>
    <w:rsid w:val="008D0732"/>
    <w:rsid w:val="008D43E9"/>
    <w:rsid w:val="008E3C0E"/>
    <w:rsid w:val="008E421A"/>
    <w:rsid w:val="008E476B"/>
    <w:rsid w:val="008F0672"/>
    <w:rsid w:val="008F0F63"/>
    <w:rsid w:val="00927C63"/>
    <w:rsid w:val="00932F50"/>
    <w:rsid w:val="0093563E"/>
    <w:rsid w:val="0094637B"/>
    <w:rsid w:val="00951D01"/>
    <w:rsid w:val="00955A78"/>
    <w:rsid w:val="00956233"/>
    <w:rsid w:val="009602EE"/>
    <w:rsid w:val="009902D2"/>
    <w:rsid w:val="009921B8"/>
    <w:rsid w:val="0099313D"/>
    <w:rsid w:val="009C0E53"/>
    <w:rsid w:val="009D4984"/>
    <w:rsid w:val="009D6901"/>
    <w:rsid w:val="009F4E19"/>
    <w:rsid w:val="009F7D3C"/>
    <w:rsid w:val="00A02E28"/>
    <w:rsid w:val="00A07662"/>
    <w:rsid w:val="00A1006B"/>
    <w:rsid w:val="00A207BA"/>
    <w:rsid w:val="00A21B71"/>
    <w:rsid w:val="00A25111"/>
    <w:rsid w:val="00A3439E"/>
    <w:rsid w:val="00A37F9E"/>
    <w:rsid w:val="00A40085"/>
    <w:rsid w:val="00A426DC"/>
    <w:rsid w:val="00A47DF6"/>
    <w:rsid w:val="00A60E11"/>
    <w:rsid w:val="00A63D35"/>
    <w:rsid w:val="00A9231C"/>
    <w:rsid w:val="00AA2532"/>
    <w:rsid w:val="00AA4144"/>
    <w:rsid w:val="00AA46B7"/>
    <w:rsid w:val="00AB33D5"/>
    <w:rsid w:val="00AC72FB"/>
    <w:rsid w:val="00AD04A1"/>
    <w:rsid w:val="00AD589B"/>
    <w:rsid w:val="00AE1F88"/>
    <w:rsid w:val="00AE361F"/>
    <w:rsid w:val="00AE5370"/>
    <w:rsid w:val="00AF0EFF"/>
    <w:rsid w:val="00B247A9"/>
    <w:rsid w:val="00B435B5"/>
    <w:rsid w:val="00B43F0B"/>
    <w:rsid w:val="00B50C2F"/>
    <w:rsid w:val="00B54E12"/>
    <w:rsid w:val="00B565D8"/>
    <w:rsid w:val="00B5779A"/>
    <w:rsid w:val="00B60818"/>
    <w:rsid w:val="00B64D24"/>
    <w:rsid w:val="00B7147D"/>
    <w:rsid w:val="00B75CFC"/>
    <w:rsid w:val="00B77A94"/>
    <w:rsid w:val="00B853F9"/>
    <w:rsid w:val="00B92231"/>
    <w:rsid w:val="00B9319F"/>
    <w:rsid w:val="00BA2CE6"/>
    <w:rsid w:val="00BB018B"/>
    <w:rsid w:val="00BD1747"/>
    <w:rsid w:val="00BD1B3B"/>
    <w:rsid w:val="00BD2B06"/>
    <w:rsid w:val="00BE367F"/>
    <w:rsid w:val="00BF01F4"/>
    <w:rsid w:val="00BF363B"/>
    <w:rsid w:val="00BF49DD"/>
    <w:rsid w:val="00C05872"/>
    <w:rsid w:val="00C078AF"/>
    <w:rsid w:val="00C14973"/>
    <w:rsid w:val="00C1643D"/>
    <w:rsid w:val="00C16505"/>
    <w:rsid w:val="00C261A9"/>
    <w:rsid w:val="00C37607"/>
    <w:rsid w:val="00C42793"/>
    <w:rsid w:val="00C47362"/>
    <w:rsid w:val="00C601ED"/>
    <w:rsid w:val="00C63F12"/>
    <w:rsid w:val="00C916B2"/>
    <w:rsid w:val="00CA3D88"/>
    <w:rsid w:val="00CA4B57"/>
    <w:rsid w:val="00CD246E"/>
    <w:rsid w:val="00CE4271"/>
    <w:rsid w:val="00CE5A5C"/>
    <w:rsid w:val="00CF0EC4"/>
    <w:rsid w:val="00CF2DF9"/>
    <w:rsid w:val="00D14CC6"/>
    <w:rsid w:val="00D21E3F"/>
    <w:rsid w:val="00D31AB7"/>
    <w:rsid w:val="00D50D23"/>
    <w:rsid w:val="00D512BB"/>
    <w:rsid w:val="00D53571"/>
    <w:rsid w:val="00D92FF2"/>
    <w:rsid w:val="00DA3B1A"/>
    <w:rsid w:val="00DB3110"/>
    <w:rsid w:val="00DC6078"/>
    <w:rsid w:val="00DC79AD"/>
    <w:rsid w:val="00DD2075"/>
    <w:rsid w:val="00DD6D8B"/>
    <w:rsid w:val="00DE700F"/>
    <w:rsid w:val="00DF2868"/>
    <w:rsid w:val="00E25736"/>
    <w:rsid w:val="00E3437B"/>
    <w:rsid w:val="00E553ED"/>
    <w:rsid w:val="00E557A0"/>
    <w:rsid w:val="00E74942"/>
    <w:rsid w:val="00E907BC"/>
    <w:rsid w:val="00EA3AA9"/>
    <w:rsid w:val="00EE4283"/>
    <w:rsid w:val="00EF6435"/>
    <w:rsid w:val="00F062BA"/>
    <w:rsid w:val="00F10F6B"/>
    <w:rsid w:val="00F12121"/>
    <w:rsid w:val="00F23697"/>
    <w:rsid w:val="00F34140"/>
    <w:rsid w:val="00F36BB7"/>
    <w:rsid w:val="00F414E4"/>
    <w:rsid w:val="00F41B1F"/>
    <w:rsid w:val="00F50B79"/>
    <w:rsid w:val="00F86699"/>
    <w:rsid w:val="00F87EAA"/>
    <w:rsid w:val="00F92B25"/>
    <w:rsid w:val="00F93D79"/>
    <w:rsid w:val="00FA08A0"/>
    <w:rsid w:val="00FA3FA4"/>
    <w:rsid w:val="00FA6E87"/>
    <w:rsid w:val="00FB3809"/>
    <w:rsid w:val="00FD6CAB"/>
    <w:rsid w:val="00FE4063"/>
    <w:rsid w:val="00FE6B6C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E777E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2"/>
    <w:link w:val="10"/>
    <w:uiPriority w:val="9"/>
    <w:qFormat/>
    <w:rsid w:val="005F25B0"/>
    <w:pPr>
      <w:keepNext/>
      <w:spacing w:before="480" w:after="60"/>
      <w:contextualSpacing/>
      <w:jc w:val="center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paragraph" w:styleId="21">
    <w:name w:val="heading 2"/>
    <w:basedOn w:val="a2"/>
    <w:link w:val="22"/>
    <w:uiPriority w:val="9"/>
    <w:unhideWhenUsed/>
    <w:qFormat/>
    <w:rsid w:val="004230D9"/>
    <w:pPr>
      <w:keepNext/>
      <w:spacing w:before="240" w:after="6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31">
    <w:name w:val="heading 3"/>
    <w:basedOn w:val="a2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41">
    <w:name w:val="heading 4"/>
    <w:basedOn w:val="a2"/>
    <w:link w:val="42"/>
    <w:uiPriority w:val="9"/>
    <w:semiHidden/>
    <w:unhideWhenUsed/>
    <w:qFormat/>
    <w:rsid w:val="004230D9"/>
    <w:pPr>
      <w:keepNext/>
      <w:keepLines/>
      <w:spacing w:before="40"/>
      <w:contextualSpacing/>
      <w:outlineLvl w:val="3"/>
    </w:pPr>
    <w:rPr>
      <w:rFonts w:ascii="Arial" w:eastAsiaTheme="majorEastAsia" w:hAnsi="Arial" w:cs="Arial"/>
      <w:i/>
      <w:iCs/>
      <w:color w:val="276E8B" w:themeColor="accent1" w:themeShade="BF"/>
    </w:rPr>
  </w:style>
  <w:style w:type="paragraph" w:styleId="51">
    <w:name w:val="heading 5"/>
    <w:basedOn w:val="a2"/>
    <w:link w:val="52"/>
    <w:uiPriority w:val="9"/>
    <w:semiHidden/>
    <w:unhideWhenUsed/>
    <w:qFormat/>
    <w:rsid w:val="004230D9"/>
    <w:pPr>
      <w:keepNext/>
      <w:keepLines/>
      <w:spacing w:before="40"/>
      <w:contextualSpacing/>
      <w:outlineLvl w:val="4"/>
    </w:pPr>
    <w:rPr>
      <w:rFonts w:ascii="Arial" w:eastAsiaTheme="majorEastAsia" w:hAnsi="Arial" w:cs="Arial"/>
      <w:color w:val="276E8B" w:themeColor="accent1" w:themeShade="BF"/>
    </w:rPr>
  </w:style>
  <w:style w:type="paragraph" w:styleId="6">
    <w:name w:val="heading 6"/>
    <w:basedOn w:val="a2"/>
    <w:link w:val="60"/>
    <w:uiPriority w:val="9"/>
    <w:semiHidden/>
    <w:unhideWhenUsed/>
    <w:qFormat/>
    <w:rsid w:val="004230D9"/>
    <w:pPr>
      <w:keepNext/>
      <w:keepLines/>
      <w:spacing w:before="40"/>
      <w:contextualSpacing/>
      <w:outlineLvl w:val="5"/>
    </w:pPr>
    <w:rPr>
      <w:rFonts w:ascii="Arial" w:eastAsiaTheme="majorEastAsia" w:hAnsi="Arial" w:cs="Arial"/>
      <w:color w:val="1A495C" w:themeColor="accent1" w:themeShade="7F"/>
    </w:rPr>
  </w:style>
  <w:style w:type="paragraph" w:styleId="7">
    <w:name w:val="heading 7"/>
    <w:basedOn w:val="a2"/>
    <w:link w:val="70"/>
    <w:uiPriority w:val="9"/>
    <w:semiHidden/>
    <w:unhideWhenUsed/>
    <w:qFormat/>
    <w:rsid w:val="004230D9"/>
    <w:pPr>
      <w:keepNext/>
      <w:keepLines/>
      <w:spacing w:before="40"/>
      <w:contextualSpacing/>
      <w:outlineLvl w:val="6"/>
    </w:pPr>
    <w:rPr>
      <w:rFonts w:ascii="Arial" w:eastAsiaTheme="majorEastAsia" w:hAnsi="Arial" w:cs="Arial"/>
      <w:i/>
      <w:iCs/>
      <w:color w:val="1A495C" w:themeColor="accent1" w:themeShade="7F"/>
    </w:rPr>
  </w:style>
  <w:style w:type="paragraph" w:styleId="8">
    <w:name w:val="heading 8"/>
    <w:basedOn w:val="a2"/>
    <w:link w:val="80"/>
    <w:uiPriority w:val="9"/>
    <w:semiHidden/>
    <w:unhideWhenUsed/>
    <w:qFormat/>
    <w:rsid w:val="004230D9"/>
    <w:pPr>
      <w:keepNext/>
      <w:keepLines/>
      <w:spacing w:before="4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9">
    <w:name w:val="heading 9"/>
    <w:basedOn w:val="a2"/>
    <w:link w:val="90"/>
    <w:uiPriority w:val="9"/>
    <w:semiHidden/>
    <w:unhideWhenUsed/>
    <w:qFormat/>
    <w:rsid w:val="004230D9"/>
    <w:pPr>
      <w:keepNext/>
      <w:keepLines/>
      <w:spacing w:before="4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0">
    <w:name w:val="List Number"/>
    <w:basedOn w:val="a2"/>
    <w:uiPriority w:val="12"/>
    <w:qFormat/>
    <w:rsid w:val="002F76DA"/>
    <w:pPr>
      <w:numPr>
        <w:numId w:val="9"/>
      </w:numPr>
    </w:pPr>
    <w:rPr>
      <w:b/>
    </w:rPr>
  </w:style>
  <w:style w:type="character" w:styleId="a6">
    <w:name w:val="Placeholder Text"/>
    <w:basedOn w:val="a3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a7">
    <w:name w:val="Date"/>
    <w:basedOn w:val="a2"/>
    <w:next w:val="a2"/>
    <w:link w:val="a8"/>
    <w:uiPriority w:val="10"/>
    <w:qFormat/>
    <w:rsid w:val="004230D9"/>
    <w:pPr>
      <w:spacing w:after="480"/>
      <w:jc w:val="center"/>
    </w:pPr>
  </w:style>
  <w:style w:type="paragraph" w:styleId="a9">
    <w:name w:val="Balloon Text"/>
    <w:basedOn w:val="a2"/>
    <w:link w:val="aa"/>
    <w:uiPriority w:val="99"/>
    <w:semiHidden/>
    <w:unhideWhenUsed/>
    <w:rsid w:val="004230D9"/>
    <w:rPr>
      <w:rFonts w:ascii="Tahoma" w:hAnsi="Tahoma" w:cs="Tahoma"/>
      <w:sz w:val="22"/>
      <w:szCs w:val="16"/>
    </w:rPr>
  </w:style>
  <w:style w:type="character" w:customStyle="1" w:styleId="aa">
    <w:name w:val="Текст выноски Знак"/>
    <w:basedOn w:val="a3"/>
    <w:link w:val="a9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a">
    <w:name w:val="List Bullet"/>
    <w:basedOn w:val="a2"/>
    <w:uiPriority w:val="13"/>
    <w:qFormat/>
    <w:rsid w:val="004230D9"/>
    <w:pPr>
      <w:numPr>
        <w:numId w:val="1"/>
      </w:numPr>
      <w:contextualSpacing/>
    </w:pPr>
    <w:rPr>
      <w:b/>
    </w:rPr>
  </w:style>
  <w:style w:type="character" w:customStyle="1" w:styleId="42">
    <w:name w:val="Заголовок 4 Знак"/>
    <w:basedOn w:val="a3"/>
    <w:link w:val="41"/>
    <w:uiPriority w:val="9"/>
    <w:semiHidden/>
    <w:rsid w:val="004230D9"/>
    <w:rPr>
      <w:rFonts w:ascii="Arial" w:eastAsiaTheme="majorEastAsia" w:hAnsi="Arial" w:cs="Arial"/>
      <w:i/>
      <w:iCs/>
      <w:color w:val="276E8B" w:themeColor="accent1" w:themeShade="BF"/>
    </w:rPr>
  </w:style>
  <w:style w:type="character" w:styleId="ab">
    <w:name w:val="Emphasis"/>
    <w:basedOn w:val="a3"/>
    <w:uiPriority w:val="20"/>
    <w:qFormat/>
    <w:rsid w:val="005F25B0"/>
    <w:rPr>
      <w:rFonts w:asciiTheme="minorHAnsi" w:hAnsiTheme="minorHAnsi" w:cs="Times New Roman"/>
      <w:b/>
      <w:i w:val="0"/>
      <w:iCs/>
      <w:color w:val="FFFFFF" w:themeColor="background1"/>
    </w:rPr>
  </w:style>
  <w:style w:type="character" w:customStyle="1" w:styleId="52">
    <w:name w:val="Заголовок 5 Знак"/>
    <w:basedOn w:val="a3"/>
    <w:link w:val="51"/>
    <w:uiPriority w:val="9"/>
    <w:semiHidden/>
    <w:rsid w:val="004230D9"/>
    <w:rPr>
      <w:rFonts w:ascii="Arial" w:eastAsiaTheme="majorEastAsia" w:hAnsi="Arial" w:cs="Arial"/>
      <w:color w:val="276E8B" w:themeColor="accent1" w:themeShade="BF"/>
    </w:rPr>
  </w:style>
  <w:style w:type="character" w:customStyle="1" w:styleId="60">
    <w:name w:val="Заголовок 6 Знак"/>
    <w:basedOn w:val="a3"/>
    <w:link w:val="6"/>
    <w:uiPriority w:val="9"/>
    <w:semiHidden/>
    <w:rsid w:val="004230D9"/>
    <w:rPr>
      <w:rFonts w:ascii="Arial" w:eastAsiaTheme="majorEastAsia" w:hAnsi="Arial" w:cs="Arial"/>
      <w:color w:val="1A495C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4230D9"/>
    <w:rPr>
      <w:rFonts w:ascii="Arial" w:eastAsiaTheme="majorEastAsia" w:hAnsi="Arial" w:cs="Arial"/>
      <w:i/>
      <w:iCs/>
      <w:color w:val="1A495C" w:themeColor="accent1" w:themeShade="7F"/>
    </w:rPr>
  </w:style>
  <w:style w:type="character" w:customStyle="1" w:styleId="80">
    <w:name w:val="Заголовок 8 Знак"/>
    <w:basedOn w:val="a3"/>
    <w:link w:val="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90">
    <w:name w:val="Заголовок 9 Знак"/>
    <w:basedOn w:val="a3"/>
    <w:link w:val="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ac">
    <w:name w:val="Title"/>
    <w:basedOn w:val="a2"/>
    <w:link w:val="ad"/>
    <w:uiPriority w:val="10"/>
    <w:semiHidden/>
    <w:unhideWhenUsed/>
    <w:qFormat/>
    <w:rsid w:val="004230D9"/>
    <w:pPr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ad">
    <w:name w:val="Название Знак"/>
    <w:basedOn w:val="a3"/>
    <w:link w:val="ac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ae">
    <w:name w:val="Subtitle"/>
    <w:basedOn w:val="a2"/>
    <w:link w:val="af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af">
    <w:name w:val="Подзаголовок Знак"/>
    <w:basedOn w:val="a3"/>
    <w:link w:val="ae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af0">
    <w:name w:val="Subtle Emphasis"/>
    <w:basedOn w:val="a3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af1">
    <w:name w:val="Intense Emphasis"/>
    <w:basedOn w:val="a3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af2">
    <w:name w:val="Strong"/>
    <w:basedOn w:val="a3"/>
    <w:uiPriority w:val="22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23">
    <w:name w:val="Quote"/>
    <w:basedOn w:val="a2"/>
    <w:link w:val="24"/>
    <w:uiPriority w:val="29"/>
    <w:semiHidden/>
    <w:unhideWhenUsed/>
    <w:qFormat/>
    <w:rsid w:val="004230D9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3"/>
    <w:link w:val="23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af3">
    <w:name w:val="Intense Quote"/>
    <w:basedOn w:val="a2"/>
    <w:next w:val="a2"/>
    <w:link w:val="af4"/>
    <w:uiPriority w:val="30"/>
    <w:semiHidden/>
    <w:unhideWhenUsed/>
    <w:qFormat/>
    <w:rsid w:val="004230D9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jc w:val="center"/>
    </w:pPr>
    <w:rPr>
      <w:i/>
      <w:iCs/>
      <w:color w:val="276E8B" w:themeColor="accent1" w:themeShade="BF"/>
    </w:rPr>
  </w:style>
  <w:style w:type="character" w:customStyle="1" w:styleId="af4">
    <w:name w:val="Выделенная цитата Знак"/>
    <w:basedOn w:val="a3"/>
    <w:link w:val="af3"/>
    <w:uiPriority w:val="30"/>
    <w:semiHidden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af5">
    <w:name w:val="Subtle Reference"/>
    <w:basedOn w:val="a3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af6">
    <w:name w:val="Intense Reference"/>
    <w:basedOn w:val="a3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276E8B" w:themeColor="accent1" w:themeShade="BF"/>
      <w:spacing w:val="0"/>
    </w:rPr>
  </w:style>
  <w:style w:type="character" w:styleId="af7">
    <w:name w:val="Book Title"/>
    <w:basedOn w:val="a3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af8">
    <w:name w:val="List Paragraph"/>
    <w:basedOn w:val="a2"/>
    <w:uiPriority w:val="34"/>
    <w:unhideWhenUsed/>
    <w:qFormat/>
    <w:rsid w:val="004230D9"/>
    <w:pPr>
      <w:ind w:left="720"/>
      <w:contextualSpacing/>
    </w:pPr>
  </w:style>
  <w:style w:type="paragraph" w:styleId="af9">
    <w:name w:val="caption"/>
    <w:basedOn w:val="a2"/>
    <w:next w:val="a2"/>
    <w:uiPriority w:val="35"/>
    <w:semiHidden/>
    <w:unhideWhenUsed/>
    <w:qFormat/>
    <w:rsid w:val="004230D9"/>
    <w:rPr>
      <w:i/>
      <w:iCs/>
      <w:color w:val="373545" w:themeColor="text2"/>
      <w:sz w:val="22"/>
      <w:szCs w:val="18"/>
    </w:rPr>
  </w:style>
  <w:style w:type="paragraph" w:styleId="afa">
    <w:name w:val="Bibliography"/>
    <w:basedOn w:val="a2"/>
    <w:next w:val="a2"/>
    <w:uiPriority w:val="37"/>
    <w:semiHidden/>
    <w:unhideWhenUsed/>
    <w:rsid w:val="004230D9"/>
  </w:style>
  <w:style w:type="paragraph" w:styleId="11">
    <w:name w:val="toc 1"/>
    <w:basedOn w:val="a2"/>
    <w:next w:val="a2"/>
    <w:autoRedefine/>
    <w:uiPriority w:val="39"/>
    <w:unhideWhenUsed/>
    <w:rsid w:val="004230D9"/>
    <w:pPr>
      <w:spacing w:after="100"/>
    </w:pPr>
  </w:style>
  <w:style w:type="paragraph" w:styleId="91">
    <w:name w:val="toc 9"/>
    <w:basedOn w:val="a2"/>
    <w:next w:val="a2"/>
    <w:autoRedefine/>
    <w:uiPriority w:val="39"/>
    <w:unhideWhenUsed/>
    <w:rsid w:val="004230D9"/>
    <w:pPr>
      <w:spacing w:after="100"/>
      <w:ind w:left="1920"/>
    </w:pPr>
  </w:style>
  <w:style w:type="paragraph" w:styleId="afb">
    <w:name w:val="TOC Heading"/>
    <w:basedOn w:val="1"/>
    <w:next w:val="1"/>
    <w:link w:val="afc"/>
    <w:uiPriority w:val="39"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afd">
    <w:name w:val="Block Text"/>
    <w:basedOn w:val="a2"/>
    <w:uiPriority w:val="99"/>
    <w:semiHidden/>
    <w:unhideWhenUsed/>
    <w:rsid w:val="004230D9"/>
    <w:pPr>
      <w:pBdr>
        <w:top w:val="single" w:sz="2" w:space="10" w:color="276E8B" w:themeColor="accent1" w:themeShade="BF"/>
        <w:left w:val="single" w:sz="2" w:space="10" w:color="276E8B" w:themeColor="accent1" w:themeShade="BF"/>
        <w:bottom w:val="single" w:sz="2" w:space="10" w:color="276E8B" w:themeColor="accent1" w:themeShade="BF"/>
        <w:right w:val="single" w:sz="2" w:space="10" w:color="276E8B" w:themeColor="accent1" w:themeShade="BF"/>
      </w:pBdr>
      <w:ind w:left="1152" w:right="1152"/>
    </w:pPr>
    <w:rPr>
      <w:rFonts w:eastAsiaTheme="minorEastAsia"/>
      <w:i/>
      <w:iCs/>
      <w:color w:val="276E8B" w:themeColor="accent1" w:themeShade="BF"/>
    </w:rPr>
  </w:style>
  <w:style w:type="paragraph" w:styleId="afe">
    <w:name w:val="Body Text"/>
    <w:basedOn w:val="a2"/>
    <w:link w:val="aff"/>
    <w:uiPriority w:val="99"/>
    <w:semiHidden/>
    <w:unhideWhenUsed/>
    <w:rsid w:val="004230D9"/>
    <w:pPr>
      <w:spacing w:after="120"/>
    </w:pPr>
  </w:style>
  <w:style w:type="character" w:customStyle="1" w:styleId="aff">
    <w:name w:val="Основной текст Знак"/>
    <w:basedOn w:val="a3"/>
    <w:link w:val="afe"/>
    <w:uiPriority w:val="99"/>
    <w:semiHidden/>
    <w:rsid w:val="004230D9"/>
    <w:rPr>
      <w:rFonts w:ascii="Times New Roman" w:hAnsi="Times New Roman" w:cs="Times New Roman"/>
    </w:rPr>
  </w:style>
  <w:style w:type="paragraph" w:styleId="25">
    <w:name w:val="Body Text 2"/>
    <w:basedOn w:val="a2"/>
    <w:link w:val="26"/>
    <w:uiPriority w:val="99"/>
    <w:semiHidden/>
    <w:unhideWhenUsed/>
    <w:rsid w:val="004230D9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rsid w:val="004230D9"/>
    <w:rPr>
      <w:rFonts w:ascii="Times New Roman" w:hAnsi="Times New Roman" w:cs="Times New Roman"/>
    </w:rPr>
  </w:style>
  <w:style w:type="paragraph" w:styleId="32">
    <w:name w:val="Body Text 3"/>
    <w:basedOn w:val="a2"/>
    <w:link w:val="33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33">
    <w:name w:val="Основной текст 3 Знак"/>
    <w:basedOn w:val="a3"/>
    <w:link w:val="32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34">
    <w:name w:val="Body Text Indent 3"/>
    <w:basedOn w:val="a2"/>
    <w:link w:val="35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aff0">
    <w:name w:val="annotation reference"/>
    <w:basedOn w:val="a3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aff1">
    <w:name w:val="annotation text"/>
    <w:basedOn w:val="a2"/>
    <w:link w:val="aff2"/>
    <w:uiPriority w:val="99"/>
    <w:semiHidden/>
    <w:unhideWhenUsed/>
    <w:rsid w:val="004230D9"/>
    <w:rPr>
      <w:sz w:val="22"/>
    </w:rPr>
  </w:style>
  <w:style w:type="character" w:customStyle="1" w:styleId="aff2">
    <w:name w:val="Текст примечания Знак"/>
    <w:basedOn w:val="a3"/>
    <w:link w:val="aff1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4230D9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aff5">
    <w:name w:val="Document Map"/>
    <w:basedOn w:val="a2"/>
    <w:link w:val="aff6"/>
    <w:uiPriority w:val="99"/>
    <w:semiHidden/>
    <w:unhideWhenUsed/>
    <w:rsid w:val="004230D9"/>
    <w:rPr>
      <w:rFonts w:ascii="Segoe UI" w:hAnsi="Segoe UI" w:cs="Segoe UI"/>
      <w:sz w:val="22"/>
      <w:szCs w:val="16"/>
    </w:rPr>
  </w:style>
  <w:style w:type="character" w:customStyle="1" w:styleId="aff6">
    <w:name w:val="Схема документа Знак"/>
    <w:basedOn w:val="a3"/>
    <w:link w:val="aff5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aff7">
    <w:name w:val="endnote reference"/>
    <w:basedOn w:val="a3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aff8">
    <w:name w:val="endnote text"/>
    <w:basedOn w:val="a2"/>
    <w:link w:val="aff9"/>
    <w:uiPriority w:val="99"/>
    <w:semiHidden/>
    <w:unhideWhenUsed/>
    <w:rsid w:val="004230D9"/>
    <w:rPr>
      <w:sz w:val="22"/>
    </w:rPr>
  </w:style>
  <w:style w:type="character" w:customStyle="1" w:styleId="aff9">
    <w:name w:val="Текст концевой сноски Знак"/>
    <w:basedOn w:val="a3"/>
    <w:link w:val="aff8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27">
    <w:name w:val="envelope return"/>
    <w:basedOn w:val="a2"/>
    <w:uiPriority w:val="99"/>
    <w:semiHidden/>
    <w:unhideWhenUsed/>
    <w:rsid w:val="004230D9"/>
    <w:rPr>
      <w:rFonts w:ascii="Arial" w:eastAsiaTheme="majorEastAsia" w:hAnsi="Arial" w:cs="Arial"/>
      <w:sz w:val="22"/>
    </w:rPr>
  </w:style>
  <w:style w:type="paragraph" w:styleId="affa">
    <w:name w:val="envelope address"/>
    <w:basedOn w:val="a2"/>
    <w:uiPriority w:val="99"/>
    <w:semiHidden/>
    <w:unhideWhenUsed/>
    <w:rsid w:val="004230D9"/>
    <w:pPr>
      <w:framePr w:w="7920" w:h="1980" w:hRule="exact" w:hSpace="180" w:wrap="auto" w:hAnchor="page" w:xAlign="center" w:yAlign="bottom"/>
      <w:ind w:left="2880"/>
    </w:pPr>
    <w:rPr>
      <w:rFonts w:ascii="Arial" w:eastAsiaTheme="majorEastAsia" w:hAnsi="Arial" w:cs="Arial"/>
    </w:rPr>
  </w:style>
  <w:style w:type="character" w:styleId="affb">
    <w:name w:val="FollowedHyperlink"/>
    <w:basedOn w:val="a3"/>
    <w:uiPriority w:val="99"/>
    <w:semiHidden/>
    <w:unhideWhenUsed/>
    <w:rsid w:val="004230D9"/>
    <w:rPr>
      <w:rFonts w:ascii="Times New Roman" w:hAnsi="Times New Roman" w:cs="Times New Roman"/>
      <w:color w:val="9F6715" w:themeColor="followedHyperlink"/>
      <w:u w:val="single"/>
    </w:rPr>
  </w:style>
  <w:style w:type="paragraph" w:styleId="affc">
    <w:name w:val="footer"/>
    <w:basedOn w:val="a2"/>
    <w:link w:val="affd"/>
    <w:uiPriority w:val="99"/>
    <w:rsid w:val="004230D9"/>
  </w:style>
  <w:style w:type="character" w:customStyle="1" w:styleId="affd">
    <w:name w:val="Нижний колонтитул Знак"/>
    <w:basedOn w:val="a3"/>
    <w:link w:val="affc"/>
    <w:uiPriority w:val="99"/>
    <w:rsid w:val="004701E1"/>
  </w:style>
  <w:style w:type="character" w:styleId="affe">
    <w:name w:val="footnote reference"/>
    <w:basedOn w:val="a3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afff">
    <w:name w:val="footnote text"/>
    <w:basedOn w:val="a2"/>
    <w:link w:val="afff0"/>
    <w:uiPriority w:val="99"/>
    <w:semiHidden/>
    <w:unhideWhenUsed/>
    <w:rsid w:val="004230D9"/>
    <w:rPr>
      <w:sz w:val="22"/>
    </w:rPr>
  </w:style>
  <w:style w:type="character" w:customStyle="1" w:styleId="afff0">
    <w:name w:val="Текст сноски Знак"/>
    <w:basedOn w:val="a3"/>
    <w:link w:val="afff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customStyle="1" w:styleId="Hashtag">
    <w:name w:val="Hashtag"/>
    <w:basedOn w:val="a3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afff1">
    <w:name w:val="header"/>
    <w:basedOn w:val="a2"/>
    <w:link w:val="afff2"/>
    <w:uiPriority w:val="99"/>
    <w:unhideWhenUsed/>
    <w:rsid w:val="00222713"/>
    <w:rPr>
      <w:sz w:val="16"/>
    </w:rPr>
  </w:style>
  <w:style w:type="character" w:customStyle="1" w:styleId="afff2">
    <w:name w:val="Верхний колонтитул Знак"/>
    <w:basedOn w:val="a3"/>
    <w:link w:val="afff1"/>
    <w:uiPriority w:val="99"/>
    <w:rsid w:val="00222713"/>
    <w:rPr>
      <w:sz w:val="16"/>
    </w:rPr>
  </w:style>
  <w:style w:type="character" w:styleId="HTML">
    <w:name w:val="HTML Acronym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HTML0">
    <w:name w:val="HTML Address"/>
    <w:basedOn w:val="a2"/>
    <w:link w:val="HTML1"/>
    <w:uiPriority w:val="99"/>
    <w:semiHidden/>
    <w:unhideWhenUsed/>
    <w:rsid w:val="004230D9"/>
    <w:rPr>
      <w:i/>
      <w:iCs/>
    </w:rPr>
  </w:style>
  <w:style w:type="character" w:customStyle="1" w:styleId="HTML1">
    <w:name w:val="Адрес HTML Знак"/>
    <w:basedOn w:val="a3"/>
    <w:link w:val="HTML0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HTML2">
    <w:name w:val="HTML Cite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3">
    <w:name w:val="HTML Code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4">
    <w:name w:val="HTML Definition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5">
    <w:name w:val="HTML Keyboard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HTML6">
    <w:name w:val="HTML Preformatted"/>
    <w:basedOn w:val="a2"/>
    <w:link w:val="HTML7"/>
    <w:uiPriority w:val="99"/>
    <w:semiHidden/>
    <w:unhideWhenUsed/>
    <w:rsid w:val="004230D9"/>
    <w:rPr>
      <w:rFonts w:ascii="Consolas" w:hAnsi="Consolas"/>
      <w:sz w:val="22"/>
    </w:rPr>
  </w:style>
  <w:style w:type="character" w:customStyle="1" w:styleId="HTML7">
    <w:name w:val="Стандартный HTML Знак"/>
    <w:basedOn w:val="a3"/>
    <w:link w:val="HTML6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HTML8">
    <w:name w:val="HTML Typewriter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9">
    <w:name w:val="HTML Variable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afff3">
    <w:name w:val="Hyperlink"/>
    <w:basedOn w:val="a3"/>
    <w:uiPriority w:val="99"/>
    <w:unhideWhenUsed/>
    <w:rsid w:val="004230D9"/>
    <w:rPr>
      <w:rFonts w:ascii="Times New Roman" w:hAnsi="Times New Roman" w:cs="Times New Roman"/>
      <w:color w:val="6B9F25" w:themeColor="hyperlink"/>
      <w:u w:val="single"/>
    </w:rPr>
  </w:style>
  <w:style w:type="paragraph" w:styleId="12">
    <w:name w:val="index 1"/>
    <w:basedOn w:val="a2"/>
    <w:next w:val="a2"/>
    <w:autoRedefine/>
    <w:uiPriority w:val="99"/>
    <w:semiHidden/>
    <w:unhideWhenUsed/>
    <w:rsid w:val="004230D9"/>
    <w:pPr>
      <w:ind w:left="240" w:hanging="240"/>
    </w:pPr>
  </w:style>
  <w:style w:type="paragraph" w:styleId="afff4">
    <w:name w:val="index heading"/>
    <w:basedOn w:val="a2"/>
    <w:next w:val="12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afff5">
    <w:name w:val="line number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afff6">
    <w:name w:val="macro"/>
    <w:link w:val="afff7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afff7">
    <w:name w:val="Текст макроса Знак"/>
    <w:basedOn w:val="a3"/>
    <w:link w:val="afff6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customStyle="1" w:styleId="Mention">
    <w:name w:val="Mention"/>
    <w:basedOn w:val="a3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afff8">
    <w:name w:val="Message Header"/>
    <w:basedOn w:val="a2"/>
    <w:link w:val="afff9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Theme="majorEastAsia" w:hAnsi="Arial" w:cs="Arial"/>
    </w:rPr>
  </w:style>
  <w:style w:type="character" w:customStyle="1" w:styleId="afff9">
    <w:name w:val="Шапка Знак"/>
    <w:basedOn w:val="a3"/>
    <w:link w:val="afff8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afffa">
    <w:name w:val="Note Heading"/>
    <w:basedOn w:val="a2"/>
    <w:next w:val="a2"/>
    <w:link w:val="afffb"/>
    <w:uiPriority w:val="99"/>
    <w:semiHidden/>
    <w:unhideWhenUsed/>
    <w:rsid w:val="004230D9"/>
  </w:style>
  <w:style w:type="character" w:customStyle="1" w:styleId="afffb">
    <w:name w:val="Заголовок записки Знак"/>
    <w:basedOn w:val="a3"/>
    <w:link w:val="afffa"/>
    <w:uiPriority w:val="99"/>
    <w:semiHidden/>
    <w:rsid w:val="004230D9"/>
    <w:rPr>
      <w:rFonts w:ascii="Times New Roman" w:hAnsi="Times New Roman" w:cs="Times New Roman"/>
    </w:rPr>
  </w:style>
  <w:style w:type="paragraph" w:styleId="afffc">
    <w:name w:val="Plain Text"/>
    <w:basedOn w:val="a2"/>
    <w:link w:val="afffd"/>
    <w:uiPriority w:val="99"/>
    <w:semiHidden/>
    <w:unhideWhenUsed/>
    <w:rsid w:val="004230D9"/>
    <w:rPr>
      <w:rFonts w:ascii="Consolas" w:hAnsi="Consolas"/>
      <w:sz w:val="22"/>
      <w:szCs w:val="21"/>
    </w:rPr>
  </w:style>
  <w:style w:type="character" w:customStyle="1" w:styleId="afffd">
    <w:name w:val="Текст Знак"/>
    <w:basedOn w:val="a3"/>
    <w:link w:val="afffc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afffe">
    <w:name w:val="Salutation"/>
    <w:basedOn w:val="a2"/>
    <w:next w:val="a2"/>
    <w:link w:val="affff"/>
    <w:uiPriority w:val="99"/>
    <w:semiHidden/>
    <w:unhideWhenUsed/>
    <w:rsid w:val="004230D9"/>
  </w:style>
  <w:style w:type="character" w:customStyle="1" w:styleId="affff">
    <w:name w:val="Приветствие Знак"/>
    <w:basedOn w:val="a3"/>
    <w:link w:val="afffe"/>
    <w:uiPriority w:val="99"/>
    <w:semiHidden/>
    <w:rsid w:val="004230D9"/>
    <w:rPr>
      <w:rFonts w:ascii="Times New Roman" w:hAnsi="Times New Roman" w:cs="Times New Roman"/>
    </w:rPr>
  </w:style>
  <w:style w:type="paragraph" w:styleId="affff0">
    <w:name w:val="Signature"/>
    <w:basedOn w:val="a2"/>
    <w:link w:val="affff1"/>
    <w:uiPriority w:val="99"/>
    <w:semiHidden/>
    <w:unhideWhenUsed/>
    <w:rsid w:val="004230D9"/>
    <w:pPr>
      <w:ind w:left="4252"/>
    </w:pPr>
  </w:style>
  <w:style w:type="character" w:customStyle="1" w:styleId="affff1">
    <w:name w:val="Подпись Знак"/>
    <w:basedOn w:val="a3"/>
    <w:link w:val="affff0"/>
    <w:uiPriority w:val="99"/>
    <w:semiHidden/>
    <w:rsid w:val="004230D9"/>
    <w:rPr>
      <w:rFonts w:ascii="Times New Roman" w:hAnsi="Times New Roman" w:cs="Times New Roman"/>
    </w:rPr>
  </w:style>
  <w:style w:type="character" w:customStyle="1" w:styleId="SmartHyperlink">
    <w:name w:val="Smart Hyperlink"/>
    <w:basedOn w:val="a3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customStyle="1" w:styleId="UnresolvedMention">
    <w:name w:val="Unresolved Mention"/>
    <w:basedOn w:val="a3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20">
    <w:name w:val="List Number 2"/>
    <w:basedOn w:val="a2"/>
    <w:uiPriority w:val="12"/>
    <w:unhideWhenUsed/>
    <w:qFormat/>
    <w:rsid w:val="002E4F42"/>
    <w:pPr>
      <w:numPr>
        <w:ilvl w:val="1"/>
        <w:numId w:val="9"/>
      </w:numPr>
    </w:pPr>
  </w:style>
  <w:style w:type="numbering" w:styleId="111111">
    <w:name w:val="Outline List 2"/>
    <w:basedOn w:val="a5"/>
    <w:uiPriority w:val="99"/>
    <w:semiHidden/>
    <w:unhideWhenUsed/>
    <w:rsid w:val="004230D9"/>
    <w:pPr>
      <w:numPr>
        <w:numId w:val="10"/>
      </w:numPr>
    </w:pPr>
  </w:style>
  <w:style w:type="numbering" w:styleId="1ai">
    <w:name w:val="Outline List 1"/>
    <w:basedOn w:val="a5"/>
    <w:uiPriority w:val="99"/>
    <w:semiHidden/>
    <w:unhideWhenUsed/>
    <w:rsid w:val="004230D9"/>
    <w:pPr>
      <w:numPr>
        <w:numId w:val="11"/>
      </w:numPr>
    </w:pPr>
  </w:style>
  <w:style w:type="numbering" w:styleId="a1">
    <w:name w:val="Outline List 3"/>
    <w:basedOn w:val="a5"/>
    <w:uiPriority w:val="99"/>
    <w:semiHidden/>
    <w:unhideWhenUsed/>
    <w:rsid w:val="004230D9"/>
    <w:pPr>
      <w:numPr>
        <w:numId w:val="12"/>
      </w:numPr>
    </w:pPr>
  </w:style>
  <w:style w:type="paragraph" w:styleId="affff2">
    <w:name w:val="Body Text First Indent"/>
    <w:basedOn w:val="afe"/>
    <w:link w:val="affff3"/>
    <w:uiPriority w:val="99"/>
    <w:semiHidden/>
    <w:unhideWhenUsed/>
    <w:rsid w:val="004230D9"/>
    <w:pPr>
      <w:spacing w:after="200"/>
      <w:ind w:firstLine="360"/>
    </w:pPr>
  </w:style>
  <w:style w:type="character" w:customStyle="1" w:styleId="affff3">
    <w:name w:val="Красная строка Знак"/>
    <w:basedOn w:val="aff"/>
    <w:link w:val="affff2"/>
    <w:uiPriority w:val="99"/>
    <w:semiHidden/>
    <w:rsid w:val="004230D9"/>
    <w:rPr>
      <w:rFonts w:ascii="Times New Roman" w:hAnsi="Times New Roman" w:cs="Times New Roman"/>
    </w:rPr>
  </w:style>
  <w:style w:type="paragraph" w:styleId="affff4">
    <w:name w:val="Body Text Indent"/>
    <w:basedOn w:val="a2"/>
    <w:link w:val="affff5"/>
    <w:uiPriority w:val="99"/>
    <w:semiHidden/>
    <w:unhideWhenUsed/>
    <w:rsid w:val="004230D9"/>
    <w:pPr>
      <w:spacing w:after="120"/>
      <w:ind w:left="360"/>
    </w:pPr>
  </w:style>
  <w:style w:type="character" w:customStyle="1" w:styleId="affff5">
    <w:name w:val="Основной текст с отступом Знак"/>
    <w:basedOn w:val="a3"/>
    <w:link w:val="affff4"/>
    <w:uiPriority w:val="99"/>
    <w:semiHidden/>
    <w:rsid w:val="004230D9"/>
    <w:rPr>
      <w:rFonts w:ascii="Times New Roman" w:hAnsi="Times New Roman" w:cs="Times New Roman"/>
    </w:rPr>
  </w:style>
  <w:style w:type="paragraph" w:styleId="28">
    <w:name w:val="Body Text First Indent 2"/>
    <w:basedOn w:val="affff4"/>
    <w:link w:val="29"/>
    <w:uiPriority w:val="99"/>
    <w:semiHidden/>
    <w:unhideWhenUsed/>
    <w:rsid w:val="004230D9"/>
    <w:pPr>
      <w:spacing w:after="200"/>
      <w:ind w:firstLine="360"/>
    </w:pPr>
  </w:style>
  <w:style w:type="character" w:customStyle="1" w:styleId="29">
    <w:name w:val="Красная строка 2 Знак"/>
    <w:basedOn w:val="affff5"/>
    <w:link w:val="28"/>
    <w:uiPriority w:val="99"/>
    <w:semiHidden/>
    <w:rsid w:val="004230D9"/>
    <w:rPr>
      <w:rFonts w:ascii="Times New Roman" w:hAnsi="Times New Roman" w:cs="Times New Roman"/>
    </w:rPr>
  </w:style>
  <w:style w:type="paragraph" w:styleId="2a">
    <w:name w:val="Body Text Indent 2"/>
    <w:basedOn w:val="a2"/>
    <w:link w:val="2b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2b">
    <w:name w:val="Основной текст с отступом 2 Знак"/>
    <w:basedOn w:val="a3"/>
    <w:link w:val="2a"/>
    <w:uiPriority w:val="99"/>
    <w:semiHidden/>
    <w:rsid w:val="004230D9"/>
    <w:rPr>
      <w:rFonts w:ascii="Times New Roman" w:hAnsi="Times New Roman" w:cs="Times New Roman"/>
    </w:rPr>
  </w:style>
  <w:style w:type="paragraph" w:styleId="affff6">
    <w:name w:val="Closing"/>
    <w:basedOn w:val="a2"/>
    <w:link w:val="affff7"/>
    <w:uiPriority w:val="99"/>
    <w:semiHidden/>
    <w:unhideWhenUsed/>
    <w:rsid w:val="004230D9"/>
    <w:pPr>
      <w:ind w:left="4320"/>
    </w:pPr>
  </w:style>
  <w:style w:type="character" w:customStyle="1" w:styleId="affff7">
    <w:name w:val="Прощание Знак"/>
    <w:basedOn w:val="a3"/>
    <w:link w:val="affff6"/>
    <w:uiPriority w:val="99"/>
    <w:semiHidden/>
    <w:rsid w:val="004230D9"/>
    <w:rPr>
      <w:rFonts w:ascii="Times New Roman" w:hAnsi="Times New Roman" w:cs="Times New Roman"/>
    </w:rPr>
  </w:style>
  <w:style w:type="table" w:styleId="affff8">
    <w:name w:val="Colorful Grid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</w:rPr>
      <w:tblPr/>
      <w:tcPr>
        <w:shd w:val="clear" w:color="auto" w:fill="A9D5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5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</w:rPr>
      <w:tblPr/>
      <w:tcPr>
        <w:shd w:val="clear" w:color="auto" w:fill="BCE1E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E1E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</w:rPr>
      <w:tblPr/>
      <w:tcPr>
        <w:shd w:val="clear" w:color="auto" w:fill="C7E4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4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-4">
    <w:name w:val="Colorful Grid Accent 4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</w:rPr>
      <w:tblPr/>
      <w:tcPr>
        <w:shd w:val="clear" w:color="auto" w:fill="C9D0D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D0D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-5">
    <w:name w:val="Colorful Grid Accent 5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</w:rPr>
      <w:tblPr/>
      <w:tcPr>
        <w:shd w:val="clear" w:color="auto" w:fill="CDDD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DD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</w:rPr>
      <w:tblPr/>
      <w:tcPr>
        <w:shd w:val="clear" w:color="auto" w:fill="A3CEE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CEE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affff9">
    <w:name w:val="Colorful List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4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7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8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7072" w:themeFill="accent4" w:themeFillShade="CC"/>
      </w:tcPr>
    </w:tblStylePr>
    <w:tblStylePr w:type="lastRow">
      <w:rPr>
        <w:b/>
        <w:bCs/>
        <w:color w:val="61707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FA58B" w:themeFill="accent3" w:themeFillShade="CC"/>
      </w:tcPr>
    </w:tblStylePr>
    <w:tblStylePr w:type="lastRow">
      <w:rPr>
        <w:b/>
        <w:bCs/>
        <w:color w:val="4FA58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6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89E" w:themeFill="accent6" w:themeFillShade="CC"/>
      </w:tcPr>
    </w:tblStylePr>
    <w:tblStylePr w:type="lastRow">
      <w:rPr>
        <w:b/>
        <w:bCs/>
        <w:color w:val="1E689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2F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909D" w:themeFill="accent5" w:themeFillShade="CC"/>
      </w:tcPr>
    </w:tblStylePr>
    <w:tblStylePr w:type="lastRow">
      <w:rPr>
        <w:b/>
        <w:bCs/>
        <w:color w:val="5D909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affffa">
    <w:name w:val="Colorful Shading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86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86F" w:themeColor="accent1" w:themeShade="99"/>
          <w:insideV w:val="nil"/>
        </w:tcBorders>
        <w:shd w:val="clear" w:color="auto" w:fill="1F586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86F" w:themeFill="accent1" w:themeFillShade="99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94CB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7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2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279" w:themeColor="accent2" w:themeShade="99"/>
          <w:insideV w:val="nil"/>
        </w:tcBorders>
        <w:shd w:val="clear" w:color="auto" w:fill="2E72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279" w:themeFill="accent2" w:themeFillShade="99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ABDAD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8C8E" w:themeColor="accent4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8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7C6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7C68" w:themeColor="accent3" w:themeShade="99"/>
          <w:insideV w:val="nil"/>
        </w:tcBorders>
        <w:shd w:val="clear" w:color="auto" w:fill="3B7C6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7C68" w:themeFill="accent3" w:themeFillShade="99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5BDA7" w:themeColor="accent3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8545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85455" w:themeColor="accent4" w:themeShade="99"/>
          <w:insideV w:val="nil"/>
        </w:tcBorders>
        <w:shd w:val="clear" w:color="auto" w:fill="48545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5455" w:themeFill="accent4" w:themeFillShade="99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BCC5C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3C6" w:themeColor="accent6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6C7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6C76" w:themeColor="accent5" w:themeShade="99"/>
          <w:insideV w:val="nil"/>
        </w:tcBorders>
        <w:shd w:val="clear" w:color="auto" w:fill="466C7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6C76" w:themeFill="accent5" w:themeFillShade="99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1D5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4ACB6" w:themeColor="accent5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F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E7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E76" w:themeColor="accent6" w:themeShade="99"/>
          <w:insideV w:val="nil"/>
        </w:tcBorders>
        <w:shd w:val="clear" w:color="auto" w:fill="164E7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E76" w:themeFill="accent6" w:themeFillShade="99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8CC2E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b">
    <w:name w:val="Dark List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95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6E8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E6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8E9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6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9A8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</w:style>
  <w:style w:type="table" w:styleId="-42">
    <w:name w:val="Dark List Accent 4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454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696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</w:style>
  <w:style w:type="table" w:styleId="-52">
    <w:name w:val="Dark List Accent 5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5A6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879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16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9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</w:style>
  <w:style w:type="paragraph" w:styleId="affffc">
    <w:name w:val="E-mail Signature"/>
    <w:basedOn w:val="a2"/>
    <w:link w:val="affffd"/>
    <w:uiPriority w:val="99"/>
    <w:semiHidden/>
    <w:unhideWhenUsed/>
    <w:rsid w:val="004230D9"/>
  </w:style>
  <w:style w:type="character" w:customStyle="1" w:styleId="affffd">
    <w:name w:val="Электронная подпись Знак"/>
    <w:basedOn w:val="a3"/>
    <w:link w:val="affffc"/>
    <w:uiPriority w:val="99"/>
    <w:semiHidden/>
    <w:rsid w:val="004230D9"/>
    <w:rPr>
      <w:rFonts w:ascii="Times New Roman" w:hAnsi="Times New Roman" w:cs="Times New Roman"/>
    </w:rPr>
  </w:style>
  <w:style w:type="table" w:customStyle="1" w:styleId="-110">
    <w:name w:val="Таблица-сетка 1 светлая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1">
    <w:name w:val="Таблица-сетка 1 светлая — акцент 1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">
    <w:name w:val="Таблица-сетка 1 светлая — акцент 2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CE1E5" w:themeColor="accent2" w:themeTint="66"/>
        <w:left w:val="single" w:sz="4" w:space="0" w:color="BCE1E5" w:themeColor="accent2" w:themeTint="66"/>
        <w:bottom w:val="single" w:sz="4" w:space="0" w:color="BCE1E5" w:themeColor="accent2" w:themeTint="66"/>
        <w:right w:val="single" w:sz="4" w:space="0" w:color="BCE1E5" w:themeColor="accent2" w:themeTint="66"/>
        <w:insideH w:val="single" w:sz="4" w:space="0" w:color="BCE1E5" w:themeColor="accent2" w:themeTint="66"/>
        <w:insideV w:val="single" w:sz="4" w:space="0" w:color="BCE1E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">
    <w:name w:val="Таблица-сетка 1 светлая — акцент 3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E4DB" w:themeColor="accent3" w:themeTint="66"/>
        <w:left w:val="single" w:sz="4" w:space="0" w:color="C7E4DB" w:themeColor="accent3" w:themeTint="66"/>
        <w:bottom w:val="single" w:sz="4" w:space="0" w:color="C7E4DB" w:themeColor="accent3" w:themeTint="66"/>
        <w:right w:val="single" w:sz="4" w:space="0" w:color="C7E4DB" w:themeColor="accent3" w:themeTint="66"/>
        <w:insideH w:val="single" w:sz="4" w:space="0" w:color="C7E4DB" w:themeColor="accent3" w:themeTint="66"/>
        <w:insideV w:val="single" w:sz="4" w:space="0" w:color="C7E4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">
    <w:name w:val="Таблица-сетка 1 светлая — акцент 4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D0D1" w:themeColor="accent4" w:themeTint="66"/>
        <w:left w:val="single" w:sz="4" w:space="0" w:color="C9D0D1" w:themeColor="accent4" w:themeTint="66"/>
        <w:bottom w:val="single" w:sz="4" w:space="0" w:color="C9D0D1" w:themeColor="accent4" w:themeTint="66"/>
        <w:right w:val="single" w:sz="4" w:space="0" w:color="C9D0D1" w:themeColor="accent4" w:themeTint="66"/>
        <w:insideH w:val="single" w:sz="4" w:space="0" w:color="C9D0D1" w:themeColor="accent4" w:themeTint="66"/>
        <w:insideV w:val="single" w:sz="4" w:space="0" w:color="C9D0D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51">
    <w:name w:val="Таблица-сетка 1 светлая — акцент 5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DDDE1" w:themeColor="accent5" w:themeTint="66"/>
        <w:left w:val="single" w:sz="4" w:space="0" w:color="CDDDE1" w:themeColor="accent5" w:themeTint="66"/>
        <w:bottom w:val="single" w:sz="4" w:space="0" w:color="CDDDE1" w:themeColor="accent5" w:themeTint="66"/>
        <w:right w:val="single" w:sz="4" w:space="0" w:color="CDDDE1" w:themeColor="accent5" w:themeTint="66"/>
        <w:insideH w:val="single" w:sz="4" w:space="0" w:color="CDDDE1" w:themeColor="accent5" w:themeTint="66"/>
        <w:insideV w:val="single" w:sz="4" w:space="0" w:color="CDDD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61">
    <w:name w:val="Таблица-сетка 1 светлая — акцент 6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CEED" w:themeColor="accent6" w:themeTint="66"/>
        <w:left w:val="single" w:sz="4" w:space="0" w:color="A3CEED" w:themeColor="accent6" w:themeTint="66"/>
        <w:bottom w:val="single" w:sz="4" w:space="0" w:color="A3CEED" w:themeColor="accent6" w:themeTint="66"/>
        <w:right w:val="single" w:sz="4" w:space="0" w:color="A3CEED" w:themeColor="accent6" w:themeTint="66"/>
        <w:insideH w:val="single" w:sz="4" w:space="0" w:color="A3CEED" w:themeColor="accent6" w:themeTint="66"/>
        <w:insideV w:val="single" w:sz="4" w:space="0" w:color="A3CEE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0">
    <w:name w:val="Таблица-сетка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FC0DB" w:themeColor="accent1" w:themeTint="99"/>
        <w:bottom w:val="single" w:sz="2" w:space="0" w:color="7FC0DB" w:themeColor="accent1" w:themeTint="99"/>
        <w:insideH w:val="single" w:sz="2" w:space="0" w:color="7FC0DB" w:themeColor="accent1" w:themeTint="99"/>
        <w:insideV w:val="single" w:sz="2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C0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221">
    <w:name w:val="Таблица-сетка 2 — акцент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AD3D9" w:themeColor="accent2" w:themeTint="99"/>
        <w:bottom w:val="single" w:sz="2" w:space="0" w:color="9AD3D9" w:themeColor="accent2" w:themeTint="99"/>
        <w:insideH w:val="single" w:sz="2" w:space="0" w:color="9AD3D9" w:themeColor="accent2" w:themeTint="99"/>
        <w:insideV w:val="single" w:sz="2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D3D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231">
    <w:name w:val="Таблица-сетка 2 — акцент 3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241">
    <w:name w:val="Таблица-сетка 2 — акцент 4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FB9BB" w:themeColor="accent4" w:themeTint="99"/>
        <w:bottom w:val="single" w:sz="2" w:space="0" w:color="AFB9BB" w:themeColor="accent4" w:themeTint="99"/>
        <w:insideH w:val="single" w:sz="2" w:space="0" w:color="AFB9BB" w:themeColor="accent4" w:themeTint="99"/>
        <w:insideV w:val="single" w:sz="2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B9B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251">
    <w:name w:val="Таблица-сетка 2 — акцент 5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B5CDD3" w:themeColor="accent5" w:themeTint="99"/>
        <w:bottom w:val="single" w:sz="2" w:space="0" w:color="B5CDD3" w:themeColor="accent5" w:themeTint="99"/>
        <w:insideH w:val="single" w:sz="2" w:space="0" w:color="B5CDD3" w:themeColor="accent5" w:themeTint="99"/>
        <w:insideV w:val="single" w:sz="2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CDD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261">
    <w:name w:val="Таблица-сетка 2 — акцент 6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4B5E4" w:themeColor="accent6" w:themeTint="99"/>
        <w:bottom w:val="single" w:sz="2" w:space="0" w:color="74B5E4" w:themeColor="accent6" w:themeTint="99"/>
        <w:insideH w:val="single" w:sz="2" w:space="0" w:color="74B5E4" w:themeColor="accent6" w:themeTint="99"/>
        <w:insideV w:val="single" w:sz="2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310">
    <w:name w:val="Таблица-сетка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-321">
    <w:name w:val="Таблица-сетка 3 — акцент 2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-331">
    <w:name w:val="Таблица-сетка 3 — акцент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-341">
    <w:name w:val="Таблица-сетка 3 — акцент 4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-351">
    <w:name w:val="Таблица-сетка 3 — акцент 5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-361">
    <w:name w:val="Таблица-сетка 3 — акцент 6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customStyle="1" w:styleId="-410">
    <w:name w:val="Таблица-сетка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421">
    <w:name w:val="Таблица-сетка 4 — акцент 2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431">
    <w:name w:val="Таблица-сетка 4 — акцент 3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441">
    <w:name w:val="Таблица-сетка 4 — акцент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451">
    <w:name w:val="Таблица-сетка 4 — акцент 5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461">
    <w:name w:val="Таблица-сетка 4 — акцент 6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510">
    <w:name w:val="Таблица-сетка 5 темная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A9D5E7" w:themeFill="accent1" w:themeFillTint="66"/>
      </w:tcPr>
    </w:tblStylePr>
  </w:style>
  <w:style w:type="table" w:customStyle="1" w:styleId="-521">
    <w:name w:val="Таблица-сетка 5 темная — акцент 2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BCE1E5" w:themeFill="accent2" w:themeFillTint="66"/>
      </w:tcPr>
    </w:tblStylePr>
  </w:style>
  <w:style w:type="table" w:customStyle="1" w:styleId="-531">
    <w:name w:val="Таблица-сетка 5 темная — акцент 3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customStyle="1" w:styleId="-541">
    <w:name w:val="Таблица-сетка 5 темная — акцент 4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customStyle="1" w:styleId="-551">
    <w:name w:val="Таблица-сетка 5 темная — акцент 5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customStyle="1" w:styleId="-561">
    <w:name w:val="Таблица-сетка 5 темная — акцент 6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customStyle="1" w:styleId="-610">
    <w:name w:val="Таблица-сетка 6 цветная1"/>
    <w:basedOn w:val="a4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a4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621">
    <w:name w:val="Таблица-сетка 6 цветная — акцент 21"/>
    <w:basedOn w:val="a4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631">
    <w:name w:val="Таблица-сетка 6 цветная — акцент 31"/>
    <w:basedOn w:val="a4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641">
    <w:name w:val="Таблица-сетка 6 цветная — акцент 41"/>
    <w:basedOn w:val="a4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651">
    <w:name w:val="Таблица-сетка 6 цветная — акцент 51"/>
    <w:basedOn w:val="a4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661">
    <w:name w:val="Таблица-сетка 6 цветная — акцент 61"/>
    <w:basedOn w:val="a4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71">
    <w:name w:val="Таблица-сетка 7 цветная1"/>
    <w:basedOn w:val="a4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a4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a4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a4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a4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a4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a4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character" w:styleId="HTMLa">
    <w:name w:val="HTML Sample"/>
    <w:basedOn w:val="a3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2c">
    <w:name w:val="index 2"/>
    <w:basedOn w:val="a2"/>
    <w:next w:val="a2"/>
    <w:autoRedefine/>
    <w:uiPriority w:val="99"/>
    <w:semiHidden/>
    <w:unhideWhenUsed/>
    <w:rsid w:val="004230D9"/>
    <w:pPr>
      <w:ind w:left="480" w:hanging="240"/>
    </w:pPr>
  </w:style>
  <w:style w:type="paragraph" w:styleId="36">
    <w:name w:val="index 3"/>
    <w:basedOn w:val="a2"/>
    <w:next w:val="a2"/>
    <w:autoRedefine/>
    <w:uiPriority w:val="99"/>
    <w:semiHidden/>
    <w:unhideWhenUsed/>
    <w:rsid w:val="004230D9"/>
    <w:pPr>
      <w:ind w:left="720" w:hanging="240"/>
    </w:pPr>
  </w:style>
  <w:style w:type="paragraph" w:styleId="43">
    <w:name w:val="index 4"/>
    <w:basedOn w:val="a2"/>
    <w:next w:val="a2"/>
    <w:autoRedefine/>
    <w:uiPriority w:val="99"/>
    <w:semiHidden/>
    <w:unhideWhenUsed/>
    <w:rsid w:val="004230D9"/>
    <w:pPr>
      <w:ind w:left="960" w:hanging="240"/>
    </w:pPr>
  </w:style>
  <w:style w:type="paragraph" w:styleId="53">
    <w:name w:val="index 5"/>
    <w:basedOn w:val="a2"/>
    <w:next w:val="a2"/>
    <w:autoRedefine/>
    <w:uiPriority w:val="99"/>
    <w:semiHidden/>
    <w:unhideWhenUsed/>
    <w:rsid w:val="004230D9"/>
    <w:pPr>
      <w:ind w:left="1200" w:hanging="240"/>
    </w:pPr>
  </w:style>
  <w:style w:type="paragraph" w:styleId="61">
    <w:name w:val="index 6"/>
    <w:basedOn w:val="a2"/>
    <w:next w:val="a2"/>
    <w:autoRedefine/>
    <w:uiPriority w:val="99"/>
    <w:semiHidden/>
    <w:unhideWhenUsed/>
    <w:rsid w:val="004230D9"/>
    <w:pPr>
      <w:ind w:left="1440" w:hanging="240"/>
    </w:pPr>
  </w:style>
  <w:style w:type="paragraph" w:styleId="71">
    <w:name w:val="index 7"/>
    <w:basedOn w:val="a2"/>
    <w:next w:val="a2"/>
    <w:autoRedefine/>
    <w:uiPriority w:val="99"/>
    <w:semiHidden/>
    <w:unhideWhenUsed/>
    <w:rsid w:val="004230D9"/>
    <w:pPr>
      <w:ind w:left="1680" w:hanging="240"/>
    </w:pPr>
  </w:style>
  <w:style w:type="paragraph" w:styleId="81">
    <w:name w:val="index 8"/>
    <w:basedOn w:val="a2"/>
    <w:next w:val="a2"/>
    <w:autoRedefine/>
    <w:uiPriority w:val="99"/>
    <w:semiHidden/>
    <w:unhideWhenUsed/>
    <w:rsid w:val="004230D9"/>
    <w:pPr>
      <w:ind w:left="1920" w:hanging="240"/>
    </w:pPr>
  </w:style>
  <w:style w:type="paragraph" w:styleId="92">
    <w:name w:val="index 9"/>
    <w:basedOn w:val="a2"/>
    <w:next w:val="a2"/>
    <w:autoRedefine/>
    <w:uiPriority w:val="99"/>
    <w:semiHidden/>
    <w:unhideWhenUsed/>
    <w:rsid w:val="004230D9"/>
    <w:pPr>
      <w:ind w:left="2160" w:hanging="240"/>
    </w:pPr>
  </w:style>
  <w:style w:type="table" w:styleId="affffe">
    <w:name w:val="Light Grid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1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  <w:shd w:val="clear" w:color="auto" w:fill="CAE5F0" w:themeFill="accent1" w:themeFillTint="3F"/>
      </w:tcPr>
    </w:tblStylePr>
    <w:tblStylePr w:type="band2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</w:tcPr>
    </w:tblStylePr>
  </w:style>
  <w:style w:type="table" w:styleId="-23">
    <w:name w:val="Light Grid Accent 2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1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  <w:shd w:val="clear" w:color="auto" w:fill="D5ECEF" w:themeFill="accent2" w:themeFillTint="3F"/>
      </w:tcPr>
    </w:tblStylePr>
    <w:tblStylePr w:type="band2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</w:tcPr>
    </w:tblStylePr>
  </w:style>
  <w:style w:type="table" w:styleId="-33">
    <w:name w:val="Light Grid Accent 3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1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  <w:shd w:val="clear" w:color="auto" w:fill="DCEEE9" w:themeFill="accent3" w:themeFillTint="3F"/>
      </w:tcPr>
    </w:tblStylePr>
    <w:tblStylePr w:type="band2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</w:tcPr>
    </w:tblStylePr>
  </w:style>
  <w:style w:type="table" w:styleId="-43">
    <w:name w:val="Light Grid Accent 4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1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  <w:shd w:val="clear" w:color="auto" w:fill="DEE2E3" w:themeFill="accent4" w:themeFillTint="3F"/>
      </w:tcPr>
    </w:tblStylePr>
    <w:tblStylePr w:type="band2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</w:tcPr>
    </w:tblStylePr>
  </w:style>
  <w:style w:type="table" w:styleId="-53">
    <w:name w:val="Light Grid Accent 5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1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  <w:shd w:val="clear" w:color="auto" w:fill="E0EAED" w:themeFill="accent5" w:themeFillTint="3F"/>
      </w:tcPr>
    </w:tblStylePr>
    <w:tblStylePr w:type="band2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</w:tcPr>
    </w:tblStylePr>
  </w:style>
  <w:style w:type="table" w:styleId="-63">
    <w:name w:val="Light Grid Accent 6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1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  <w:shd w:val="clear" w:color="auto" w:fill="C5E0F4" w:themeFill="accent6" w:themeFillTint="3F"/>
      </w:tcPr>
    </w:tblStylePr>
    <w:tblStylePr w:type="band2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</w:tcPr>
    </w:tblStylePr>
  </w:style>
  <w:style w:type="table" w:styleId="afffff">
    <w:name w:val="Light List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</w:style>
  <w:style w:type="table" w:styleId="-24">
    <w:name w:val="Light List Accent 2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</w:style>
  <w:style w:type="table" w:styleId="-34">
    <w:name w:val="Light List Accent 3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</w:style>
  <w:style w:type="table" w:styleId="-44">
    <w:name w:val="Light List Accent 4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</w:style>
  <w:style w:type="table" w:styleId="-54">
    <w:name w:val="Light List Accent 5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</w:style>
  <w:style w:type="table" w:styleId="-64">
    <w:name w:val="Light List Accent 6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</w:style>
  <w:style w:type="table" w:styleId="afffff0">
    <w:name w:val="Light Shading"/>
    <w:basedOn w:val="a4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4"/>
    <w:uiPriority w:val="60"/>
    <w:semiHidden/>
    <w:unhideWhenUsed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</w:style>
  <w:style w:type="table" w:styleId="-25">
    <w:name w:val="Light Shading Accent 2"/>
    <w:basedOn w:val="a4"/>
    <w:uiPriority w:val="60"/>
    <w:semiHidden/>
    <w:unhideWhenUsed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</w:style>
  <w:style w:type="table" w:styleId="-35">
    <w:name w:val="Light Shading Accent 3"/>
    <w:basedOn w:val="a4"/>
    <w:uiPriority w:val="60"/>
    <w:semiHidden/>
    <w:unhideWhenUsed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</w:style>
  <w:style w:type="table" w:styleId="-45">
    <w:name w:val="Light Shading Accent 4"/>
    <w:basedOn w:val="a4"/>
    <w:uiPriority w:val="60"/>
    <w:semiHidden/>
    <w:unhideWhenUsed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</w:style>
  <w:style w:type="table" w:styleId="-55">
    <w:name w:val="Light Shading Accent 5"/>
    <w:basedOn w:val="a4"/>
    <w:uiPriority w:val="60"/>
    <w:semiHidden/>
    <w:unhideWhenUsed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</w:style>
  <w:style w:type="table" w:styleId="-65">
    <w:name w:val="Light Shading Accent 6"/>
    <w:basedOn w:val="a4"/>
    <w:uiPriority w:val="60"/>
    <w:semiHidden/>
    <w:unhideWhenUsed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</w:style>
  <w:style w:type="paragraph" w:styleId="afffff1">
    <w:name w:val="List"/>
    <w:basedOn w:val="a2"/>
    <w:uiPriority w:val="99"/>
    <w:semiHidden/>
    <w:unhideWhenUsed/>
    <w:rsid w:val="004230D9"/>
    <w:pPr>
      <w:ind w:left="360" w:hanging="360"/>
      <w:contextualSpacing/>
    </w:pPr>
  </w:style>
  <w:style w:type="paragraph" w:styleId="2d">
    <w:name w:val="List 2"/>
    <w:basedOn w:val="a2"/>
    <w:uiPriority w:val="99"/>
    <w:semiHidden/>
    <w:unhideWhenUsed/>
    <w:rsid w:val="004230D9"/>
    <w:pPr>
      <w:ind w:left="720" w:hanging="360"/>
      <w:contextualSpacing/>
    </w:pPr>
  </w:style>
  <w:style w:type="paragraph" w:styleId="37">
    <w:name w:val="List 3"/>
    <w:basedOn w:val="a2"/>
    <w:uiPriority w:val="99"/>
    <w:semiHidden/>
    <w:unhideWhenUsed/>
    <w:rsid w:val="004230D9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4230D9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4230D9"/>
    <w:pPr>
      <w:ind w:left="1800" w:hanging="360"/>
      <w:contextualSpacing/>
    </w:pPr>
  </w:style>
  <w:style w:type="paragraph" w:styleId="2">
    <w:name w:val="List Bullet 2"/>
    <w:basedOn w:val="a2"/>
    <w:uiPriority w:val="99"/>
    <w:semiHidden/>
    <w:unhideWhenUsed/>
    <w:rsid w:val="004230D9"/>
    <w:pPr>
      <w:numPr>
        <w:numId w:val="2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4230D9"/>
    <w:pPr>
      <w:numPr>
        <w:numId w:val="3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4230D9"/>
    <w:pPr>
      <w:numPr>
        <w:numId w:val="4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4230D9"/>
    <w:pPr>
      <w:numPr>
        <w:numId w:val="5"/>
      </w:numPr>
      <w:contextualSpacing/>
    </w:pPr>
  </w:style>
  <w:style w:type="paragraph" w:styleId="afffff2">
    <w:name w:val="List Continue"/>
    <w:basedOn w:val="a2"/>
    <w:uiPriority w:val="99"/>
    <w:semiHidden/>
    <w:unhideWhenUsed/>
    <w:rsid w:val="004230D9"/>
    <w:pPr>
      <w:spacing w:after="120"/>
      <w:ind w:left="360"/>
      <w:contextualSpacing/>
    </w:pPr>
  </w:style>
  <w:style w:type="paragraph" w:styleId="2e">
    <w:name w:val="List Continue 2"/>
    <w:basedOn w:val="a2"/>
    <w:uiPriority w:val="99"/>
    <w:semiHidden/>
    <w:unhideWhenUsed/>
    <w:rsid w:val="004230D9"/>
    <w:pPr>
      <w:spacing w:after="120"/>
      <w:ind w:left="720"/>
      <w:contextualSpacing/>
    </w:pPr>
  </w:style>
  <w:style w:type="paragraph" w:styleId="38">
    <w:name w:val="List Continue 3"/>
    <w:basedOn w:val="a2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3">
    <w:name w:val="List Number 3"/>
    <w:basedOn w:val="a2"/>
    <w:uiPriority w:val="99"/>
    <w:semiHidden/>
    <w:unhideWhenUsed/>
    <w:rsid w:val="004230D9"/>
    <w:pPr>
      <w:numPr>
        <w:numId w:val="6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4230D9"/>
    <w:pPr>
      <w:numPr>
        <w:numId w:val="8"/>
      </w:numPr>
      <w:contextualSpacing/>
    </w:pPr>
  </w:style>
  <w:style w:type="table" w:customStyle="1" w:styleId="-112">
    <w:name w:val="Список-таблица 1 светлая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1210">
    <w:name w:val="Список-таблица 1 светлая — акцент 2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1310">
    <w:name w:val="Список-таблица 1 светлая — акцент 3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1410">
    <w:name w:val="Список-таблица 1 светлая — акцент 4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1510">
    <w:name w:val="Список-таблица 1 светлая — акцент 5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1610">
    <w:name w:val="Список-таблица 1 светлая — акцент 6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212">
    <w:name w:val="Список-таблица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bottom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2210">
    <w:name w:val="Список-таблица 2 — акцент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bottom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2310">
    <w:name w:val="Список-таблица 2 — акцент 3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bottom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2410">
    <w:name w:val="Список-таблица 2 — акцент 4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bottom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2510">
    <w:name w:val="Список-таблица 2 — акцент 5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bottom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2610">
    <w:name w:val="Список-таблица 2 — акцент 6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bottom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312">
    <w:name w:val="Список-таблица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8B6C0" w:themeColor="accent2"/>
          <w:right w:val="single" w:sz="4" w:space="0" w:color="58B6C0" w:themeColor="accent2"/>
        </w:tcBorders>
      </w:tcPr>
    </w:tblStylePr>
    <w:tblStylePr w:type="band1Horz">
      <w:tblPr/>
      <w:tcPr>
        <w:tcBorders>
          <w:top w:val="single" w:sz="4" w:space="0" w:color="58B6C0" w:themeColor="accent2"/>
          <w:bottom w:val="single" w:sz="4" w:space="0" w:color="58B6C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8B6C0" w:themeColor="accent2"/>
          <w:left w:val="nil"/>
        </w:tcBorders>
      </w:tcPr>
    </w:tblStylePr>
    <w:tblStylePr w:type="swCell">
      <w:tblPr/>
      <w:tcPr>
        <w:tcBorders>
          <w:top w:val="double" w:sz="4" w:space="0" w:color="58B6C0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A8C8E" w:themeColor="accent4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8C8E" w:themeColor="accent4"/>
          <w:right w:val="single" w:sz="4" w:space="0" w:color="7A8C8E" w:themeColor="accent4"/>
        </w:tcBorders>
      </w:tcPr>
    </w:tblStylePr>
    <w:tblStylePr w:type="band1Horz">
      <w:tblPr/>
      <w:tcPr>
        <w:tcBorders>
          <w:top w:val="single" w:sz="4" w:space="0" w:color="7A8C8E" w:themeColor="accent4"/>
          <w:bottom w:val="single" w:sz="4" w:space="0" w:color="7A8C8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8C8E" w:themeColor="accent4"/>
          <w:left w:val="nil"/>
        </w:tcBorders>
      </w:tcPr>
    </w:tblStylePr>
    <w:tblStylePr w:type="swCell">
      <w:tblPr/>
      <w:tcPr>
        <w:tcBorders>
          <w:top w:val="double" w:sz="4" w:space="0" w:color="7A8C8E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customStyle="1" w:styleId="-412">
    <w:name w:val="Список-таблица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4210">
    <w:name w:val="Список-таблица 4 — акцент 2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4310">
    <w:name w:val="Список-таблица 4 — акцент 3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4410">
    <w:name w:val="Список-таблица 4 — акцент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4510">
    <w:name w:val="Список-таблица 4 — акцент 5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4610">
    <w:name w:val="Список-таблица 4 — акцент 6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512">
    <w:name w:val="Список-таблица 5 темная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110">
    <w:name w:val="Список-таблица 5 темная — акцент 1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tblBorders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210">
    <w:name w:val="Список-таблица 5 темная — акцент 2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8B6C0" w:themeColor="accent2"/>
        <w:left w:val="single" w:sz="24" w:space="0" w:color="58B6C0" w:themeColor="accent2"/>
        <w:bottom w:val="single" w:sz="24" w:space="0" w:color="58B6C0" w:themeColor="accent2"/>
        <w:right w:val="single" w:sz="24" w:space="0" w:color="58B6C0" w:themeColor="accent2"/>
      </w:tblBorders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310">
    <w:name w:val="Список-таблица 5 темная — акцент 3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5BDA7" w:themeColor="accent3"/>
        <w:left w:val="single" w:sz="24" w:space="0" w:color="75BDA7" w:themeColor="accent3"/>
        <w:bottom w:val="single" w:sz="24" w:space="0" w:color="75BDA7" w:themeColor="accent3"/>
        <w:right w:val="single" w:sz="24" w:space="0" w:color="75BDA7" w:themeColor="accent3"/>
      </w:tblBorders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410">
    <w:name w:val="Список-таблица 5 темная — акцент 4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8C8E" w:themeColor="accent4"/>
        <w:left w:val="single" w:sz="24" w:space="0" w:color="7A8C8E" w:themeColor="accent4"/>
        <w:bottom w:val="single" w:sz="24" w:space="0" w:color="7A8C8E" w:themeColor="accent4"/>
        <w:right w:val="single" w:sz="24" w:space="0" w:color="7A8C8E" w:themeColor="accent4"/>
      </w:tblBorders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510">
    <w:name w:val="Список-таблица 5 темная — акцент 5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4ACB6" w:themeColor="accent5"/>
        <w:left w:val="single" w:sz="24" w:space="0" w:color="84ACB6" w:themeColor="accent5"/>
        <w:bottom w:val="single" w:sz="24" w:space="0" w:color="84ACB6" w:themeColor="accent5"/>
        <w:right w:val="single" w:sz="24" w:space="0" w:color="84ACB6" w:themeColor="accent5"/>
      </w:tblBorders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610">
    <w:name w:val="Список-таблица 5 темная — акцент 6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3C6" w:themeColor="accent6"/>
        <w:left w:val="single" w:sz="24" w:space="0" w:color="2683C6" w:themeColor="accent6"/>
        <w:bottom w:val="single" w:sz="24" w:space="0" w:color="2683C6" w:themeColor="accent6"/>
        <w:right w:val="single" w:sz="24" w:space="0" w:color="2683C6" w:themeColor="accent6"/>
      </w:tblBorders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2">
    <w:name w:val="Список-таблица 6 цветная1"/>
    <w:basedOn w:val="a4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a4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3494BA" w:themeColor="accent1"/>
        <w:bottom w:val="single" w:sz="4" w:space="0" w:color="3494B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494B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6210">
    <w:name w:val="Список-таблица 6 цветная — акцент 21"/>
    <w:basedOn w:val="a4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58B6C0" w:themeColor="accent2"/>
        <w:bottom w:val="single" w:sz="4" w:space="0" w:color="58B6C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8B6C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6310">
    <w:name w:val="Список-таблица 6 цветная — акцент 31"/>
    <w:basedOn w:val="a4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75BDA7" w:themeColor="accent3"/>
        <w:bottom w:val="single" w:sz="4" w:space="0" w:color="75BDA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5BDA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6410">
    <w:name w:val="Список-таблица 6 цветная — акцент 41"/>
    <w:basedOn w:val="a4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7A8C8E" w:themeColor="accent4"/>
        <w:bottom w:val="single" w:sz="4" w:space="0" w:color="7A8C8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A8C8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6510">
    <w:name w:val="Список-таблица 6 цветная — акцент 51"/>
    <w:basedOn w:val="a4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84ACB6" w:themeColor="accent5"/>
        <w:bottom w:val="single" w:sz="4" w:space="0" w:color="84ACB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4ACB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6610">
    <w:name w:val="Список-таблица 6 цветная — акцент 61"/>
    <w:basedOn w:val="a4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2683C6" w:themeColor="accent6"/>
        <w:bottom w:val="single" w:sz="4" w:space="0" w:color="2683C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683C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710">
    <w:name w:val="Список-таблица 7 цветная1"/>
    <w:basedOn w:val="a4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a4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494B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494B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494B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494B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a4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8B6C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8B6C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8B6C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8B6C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a4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5BDA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5BDA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5BDA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5BDA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a4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8C8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8C8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8C8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8C8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a4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4ACB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4ACB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4ACB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4ACB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a4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3C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3C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3C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3C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3">
    <w:name w:val="Medium Grid 1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  <w:insideV w:val="single" w:sz="8" w:space="0" w:color="5FB1D2" w:themeColor="accent1" w:themeTint="BF"/>
      </w:tblBorders>
    </w:tblPr>
    <w:tcPr>
      <w:shd w:val="clear" w:color="auto" w:fill="CAE5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FB1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1-2">
    <w:name w:val="Medium Grid 1 Accent 2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  <w:insideV w:val="single" w:sz="8" w:space="0" w:color="81C8CF" w:themeColor="accent2" w:themeTint="BF"/>
      </w:tblBorders>
    </w:tblPr>
    <w:tcPr>
      <w:shd w:val="clear" w:color="auto" w:fill="D5EC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C8C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1-3">
    <w:name w:val="Medium Grid 1 Accent 3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  <w:insideV w:val="single" w:sz="8" w:space="0" w:color="97CDBC" w:themeColor="accent3" w:themeTint="BF"/>
      </w:tblBorders>
    </w:tblPr>
    <w:tcPr>
      <w:shd w:val="clear" w:color="auto" w:fill="DCEE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CD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1-4">
    <w:name w:val="Medium Grid 1 Accent 4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  <w:insideV w:val="single" w:sz="8" w:space="0" w:color="9BA8AA" w:themeColor="accent4" w:themeTint="BF"/>
      </w:tblBorders>
    </w:tblPr>
    <w:tcPr>
      <w:shd w:val="clear" w:color="auto" w:fill="DEE2E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A8A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1-5">
    <w:name w:val="Medium Grid 1 Accent 5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  <w:insideV w:val="single" w:sz="8" w:space="0" w:color="A2C0C8" w:themeColor="accent5" w:themeTint="BF"/>
      </w:tblBorders>
    </w:tblPr>
    <w:tcPr>
      <w:shd w:val="clear" w:color="auto" w:fill="E0EA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C0C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1-6">
    <w:name w:val="Medium Grid 1 Accent 6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  <w:insideV w:val="single" w:sz="8" w:space="0" w:color="52A3DE" w:themeColor="accent6" w:themeTint="BF"/>
      </w:tblBorders>
    </w:tblPr>
    <w:tcPr>
      <w:shd w:val="clear" w:color="auto" w:fill="C5E0F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A3D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2f">
    <w:name w:val="Medium Grid 2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cPr>
      <w:shd w:val="clear" w:color="auto" w:fill="CAE5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4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AF3" w:themeFill="accent1" w:themeFillTint="33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tcBorders>
          <w:insideH w:val="single" w:sz="6" w:space="0" w:color="3494BA" w:themeColor="accent1"/>
          <w:insideV w:val="single" w:sz="6" w:space="0" w:color="3494BA" w:themeColor="accent1"/>
        </w:tcBorders>
        <w:shd w:val="clear" w:color="auto" w:fill="94CB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cPr>
      <w:shd w:val="clear" w:color="auto" w:fill="D5EC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7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0F2" w:themeFill="accent2" w:themeFillTint="33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tcBorders>
          <w:insideH w:val="single" w:sz="6" w:space="0" w:color="58B6C0" w:themeColor="accent2"/>
          <w:insideV w:val="single" w:sz="6" w:space="0" w:color="58B6C0" w:themeColor="accent2"/>
        </w:tcBorders>
        <w:shd w:val="clear" w:color="auto" w:fill="ABDAD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cPr>
      <w:shd w:val="clear" w:color="auto" w:fill="DCEE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1F8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1ED" w:themeFill="accent3" w:themeFillTint="33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tcBorders>
          <w:insideH w:val="single" w:sz="6" w:space="0" w:color="75BDA7" w:themeColor="accent3"/>
          <w:insideV w:val="single" w:sz="6" w:space="0" w:color="75BDA7" w:themeColor="accent3"/>
        </w:tcBorders>
        <w:shd w:val="clear" w:color="auto" w:fill="BADED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cPr>
      <w:shd w:val="clear" w:color="auto" w:fill="DEE2E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7E8" w:themeFill="accent4" w:themeFillTint="33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tcBorders>
          <w:insideH w:val="single" w:sz="6" w:space="0" w:color="7A8C8E" w:themeColor="accent4"/>
          <w:insideV w:val="single" w:sz="6" w:space="0" w:color="7A8C8E" w:themeColor="accent4"/>
        </w:tcBorders>
        <w:shd w:val="clear" w:color="auto" w:fill="BCC5C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cPr>
      <w:shd w:val="clear" w:color="auto" w:fill="E0EA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F0" w:themeFill="accent5" w:themeFillTint="33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tcBorders>
          <w:insideH w:val="single" w:sz="6" w:space="0" w:color="84ACB6" w:themeColor="accent5"/>
          <w:insideV w:val="single" w:sz="6" w:space="0" w:color="84ACB6" w:themeColor="accent5"/>
        </w:tcBorders>
        <w:shd w:val="clear" w:color="auto" w:fill="C1D5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cPr>
      <w:shd w:val="clear" w:color="auto" w:fill="C5E0F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2F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6F6" w:themeFill="accent6" w:themeFillTint="33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tcBorders>
          <w:insideH w:val="single" w:sz="6" w:space="0" w:color="2683C6" w:themeColor="accent6"/>
          <w:insideV w:val="single" w:sz="6" w:space="0" w:color="2683C6" w:themeColor="accent6"/>
        </w:tcBorders>
        <w:shd w:val="clear" w:color="auto" w:fill="8CC2E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9">
    <w:name w:val="Medium Grid 3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5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CB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CBE1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C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DAD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DADF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E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DED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DED3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2E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C5C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C5C6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A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D5D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D5DA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0F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C2E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C2E9" w:themeFill="accent6" w:themeFillTint="7F"/>
      </w:tcPr>
    </w:tblStylePr>
  </w:style>
  <w:style w:type="table" w:styleId="14">
    <w:name w:val="Medium List 1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494BA" w:themeColor="accen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shd w:val="clear" w:color="auto" w:fill="CAE5F0" w:themeFill="accent1" w:themeFillTint="3F"/>
      </w:tcPr>
    </w:tblStylePr>
  </w:style>
  <w:style w:type="table" w:styleId="1-20">
    <w:name w:val="Medium List 1 Accent 2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B6C0" w:themeColor="accent2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shd w:val="clear" w:color="auto" w:fill="D5ECEF" w:themeFill="accent2" w:themeFillTint="3F"/>
      </w:tcPr>
    </w:tblStylePr>
  </w:style>
  <w:style w:type="table" w:styleId="1-30">
    <w:name w:val="Medium List 1 Accent 3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BDA7" w:themeColor="accent3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shd w:val="clear" w:color="auto" w:fill="DCEEE9" w:themeFill="accent3" w:themeFillTint="3F"/>
      </w:tcPr>
    </w:tblStylePr>
  </w:style>
  <w:style w:type="table" w:styleId="1-40">
    <w:name w:val="Medium List 1 Accent 4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8C8E" w:themeColor="accent4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shd w:val="clear" w:color="auto" w:fill="DEE2E3" w:themeFill="accent4" w:themeFillTint="3F"/>
      </w:tcPr>
    </w:tblStylePr>
  </w:style>
  <w:style w:type="table" w:styleId="1-50">
    <w:name w:val="Medium List 1 Accent 5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4ACB6" w:themeColor="accent5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shd w:val="clear" w:color="auto" w:fill="E0EAED" w:themeFill="accent5" w:themeFillTint="3F"/>
      </w:tcPr>
    </w:tblStylePr>
  </w:style>
  <w:style w:type="table" w:styleId="1-60">
    <w:name w:val="Medium List 1 Accent 6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3C6" w:themeColor="accent6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shd w:val="clear" w:color="auto" w:fill="C5E0F4" w:themeFill="accent6" w:themeFillTint="3F"/>
      </w:tcPr>
    </w:tblStylePr>
  </w:style>
  <w:style w:type="table" w:styleId="2f0">
    <w:name w:val="Medium List 2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494B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494B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494B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5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B6C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B6C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C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BDA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BDA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E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8C8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8C8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2E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4ACB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4ACB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A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3C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3C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0F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5">
    <w:name w:val="Medium Shading 1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5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C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E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2E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A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0F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1">
    <w:name w:val="Medium Shading 2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f3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afffff4">
    <w:name w:val="Normal (Web)"/>
    <w:basedOn w:val="a2"/>
    <w:uiPriority w:val="99"/>
    <w:unhideWhenUsed/>
    <w:rsid w:val="004230D9"/>
  </w:style>
  <w:style w:type="paragraph" w:styleId="afffff5">
    <w:name w:val="Normal Indent"/>
    <w:basedOn w:val="a2"/>
    <w:uiPriority w:val="99"/>
    <w:semiHidden/>
    <w:unhideWhenUsed/>
    <w:rsid w:val="004230D9"/>
    <w:pPr>
      <w:ind w:left="708"/>
    </w:pPr>
  </w:style>
  <w:style w:type="character" w:styleId="afffff6">
    <w:name w:val="page number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table" w:customStyle="1" w:styleId="110">
    <w:name w:val="Таблица простая 11"/>
    <w:basedOn w:val="a4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0">
    <w:name w:val="Таблица простая 21"/>
    <w:basedOn w:val="a4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0">
    <w:name w:val="Таблица простая 31"/>
    <w:basedOn w:val="a4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Таблица простая 41"/>
    <w:basedOn w:val="a4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0">
    <w:name w:val="Таблица простая 51"/>
    <w:basedOn w:val="a4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6">
    <w:name w:val="Table 3D effects 1"/>
    <w:basedOn w:val="a4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3D effects 2"/>
    <w:basedOn w:val="a4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3D effects 3"/>
    <w:basedOn w:val="a4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lassic 2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4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orful 2"/>
    <w:basedOn w:val="a4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4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7">
    <w:name w:val="Table Contemporary"/>
    <w:basedOn w:val="a4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8">
    <w:name w:val="Table Elegant"/>
    <w:basedOn w:val="a4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9">
    <w:name w:val="Table Grid"/>
    <w:basedOn w:val="a4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a">
    <w:name w:val="Table Grid 1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Grid 2"/>
    <w:basedOn w:val="a4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Grid 3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Grid 4"/>
    <w:basedOn w:val="a4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7">
    <w:name w:val="Table Grid 5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b">
    <w:name w:val="Сетка таблицы светлая1"/>
    <w:basedOn w:val="a4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6">
    <w:name w:val="Table List 1"/>
    <w:basedOn w:val="a4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6">
    <w:name w:val="Table List 2"/>
    <w:basedOn w:val="a4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6">
    <w:name w:val="Table List 3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6">
    <w:name w:val="Table List 4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6">
    <w:name w:val="Table List 5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6">
    <w:name w:val="Table List 6"/>
    <w:basedOn w:val="a4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a">
    <w:name w:val="table of authorities"/>
    <w:basedOn w:val="a2"/>
    <w:next w:val="a2"/>
    <w:uiPriority w:val="99"/>
    <w:semiHidden/>
    <w:unhideWhenUsed/>
    <w:rsid w:val="004230D9"/>
    <w:pPr>
      <w:ind w:left="240" w:hanging="240"/>
    </w:pPr>
  </w:style>
  <w:style w:type="paragraph" w:styleId="afffffb">
    <w:name w:val="table of figures"/>
    <w:basedOn w:val="a2"/>
    <w:next w:val="a2"/>
    <w:uiPriority w:val="99"/>
    <w:semiHidden/>
    <w:unhideWhenUsed/>
    <w:rsid w:val="004230D9"/>
  </w:style>
  <w:style w:type="table" w:styleId="afffffc">
    <w:name w:val="Table Professional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imple 1"/>
    <w:basedOn w:val="a4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imple 2"/>
    <w:basedOn w:val="a4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Simple 3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4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ubtle 2"/>
    <w:basedOn w:val="a4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4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7">
    <w:name w:val="Table Web 1"/>
    <w:basedOn w:val="a4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7">
    <w:name w:val="Table Web 2"/>
    <w:basedOn w:val="a4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7">
    <w:name w:val="Table Web 3"/>
    <w:basedOn w:val="a4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e">
    <w:name w:val="toa heading"/>
    <w:basedOn w:val="a2"/>
    <w:next w:val="a2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2f9">
    <w:name w:val="toc 2"/>
    <w:basedOn w:val="a2"/>
    <w:next w:val="a2"/>
    <w:autoRedefine/>
    <w:uiPriority w:val="39"/>
    <w:unhideWhenUsed/>
    <w:rsid w:val="004230D9"/>
    <w:pPr>
      <w:spacing w:after="100"/>
      <w:ind w:left="240"/>
    </w:pPr>
  </w:style>
  <w:style w:type="paragraph" w:styleId="3f0">
    <w:name w:val="toc 3"/>
    <w:basedOn w:val="a2"/>
    <w:next w:val="a2"/>
    <w:autoRedefine/>
    <w:uiPriority w:val="39"/>
    <w:unhideWhenUsed/>
    <w:rsid w:val="004230D9"/>
    <w:pPr>
      <w:spacing w:after="100"/>
      <w:ind w:left="480"/>
    </w:pPr>
  </w:style>
  <w:style w:type="paragraph" w:styleId="49">
    <w:name w:val="toc 4"/>
    <w:basedOn w:val="a2"/>
    <w:next w:val="a2"/>
    <w:autoRedefine/>
    <w:uiPriority w:val="39"/>
    <w:unhideWhenUsed/>
    <w:rsid w:val="004230D9"/>
    <w:pPr>
      <w:spacing w:after="100"/>
      <w:ind w:left="720"/>
    </w:pPr>
  </w:style>
  <w:style w:type="paragraph" w:styleId="58">
    <w:name w:val="toc 5"/>
    <w:basedOn w:val="a2"/>
    <w:next w:val="a2"/>
    <w:autoRedefine/>
    <w:uiPriority w:val="39"/>
    <w:unhideWhenUsed/>
    <w:rsid w:val="004230D9"/>
    <w:pPr>
      <w:spacing w:after="100"/>
      <w:ind w:left="960"/>
    </w:pPr>
  </w:style>
  <w:style w:type="paragraph" w:styleId="63">
    <w:name w:val="toc 6"/>
    <w:basedOn w:val="a2"/>
    <w:next w:val="a2"/>
    <w:autoRedefine/>
    <w:uiPriority w:val="39"/>
    <w:unhideWhenUsed/>
    <w:rsid w:val="004230D9"/>
    <w:pPr>
      <w:spacing w:after="100"/>
      <w:ind w:left="1200"/>
    </w:pPr>
  </w:style>
  <w:style w:type="paragraph" w:styleId="73">
    <w:name w:val="toc 7"/>
    <w:basedOn w:val="a2"/>
    <w:next w:val="a2"/>
    <w:autoRedefine/>
    <w:uiPriority w:val="39"/>
    <w:unhideWhenUsed/>
    <w:rsid w:val="004230D9"/>
    <w:pPr>
      <w:spacing w:after="100"/>
      <w:ind w:left="1440"/>
    </w:pPr>
  </w:style>
  <w:style w:type="paragraph" w:styleId="83">
    <w:name w:val="toc 8"/>
    <w:basedOn w:val="a2"/>
    <w:next w:val="a2"/>
    <w:autoRedefine/>
    <w:uiPriority w:val="39"/>
    <w:unhideWhenUsed/>
    <w:rsid w:val="004230D9"/>
    <w:pPr>
      <w:spacing w:after="100"/>
      <w:ind w:left="1680"/>
    </w:pPr>
  </w:style>
  <w:style w:type="character" w:customStyle="1" w:styleId="a8">
    <w:name w:val="Дата Знак"/>
    <w:basedOn w:val="a3"/>
    <w:link w:val="a7"/>
    <w:uiPriority w:val="10"/>
    <w:rsid w:val="00C47362"/>
    <w:rPr>
      <w:rFonts w:ascii="Times New Roman" w:hAnsi="Times New Roman"/>
    </w:rPr>
  </w:style>
  <w:style w:type="paragraph" w:customStyle="1" w:styleId="affffff">
    <w:name w:val="МестоДатаВремя"/>
    <w:basedOn w:val="a2"/>
    <w:qFormat/>
    <w:rsid w:val="00F50B79"/>
    <w:pPr>
      <w:framePr w:wrap="around" w:vAnchor="page" w:hAnchor="text" w:xAlign="right" w:y="318"/>
      <w:spacing w:line="220" w:lineRule="exact"/>
      <w:ind w:left="431" w:hanging="431"/>
    </w:pPr>
    <w:rPr>
      <w:rFonts w:asciiTheme="majorHAnsi" w:hAnsiTheme="majorHAnsi"/>
      <w:color w:val="FFFFFF" w:themeColor="background1"/>
      <w:sz w:val="16"/>
    </w:rPr>
  </w:style>
  <w:style w:type="numbering" w:customStyle="1" w:styleId="1e">
    <w:name w:val="Нет списка1"/>
    <w:next w:val="a5"/>
    <w:uiPriority w:val="99"/>
    <w:semiHidden/>
    <w:unhideWhenUsed/>
    <w:rsid w:val="00FA3FA4"/>
  </w:style>
  <w:style w:type="character" w:customStyle="1" w:styleId="10">
    <w:name w:val="Заголовок 1 Знак"/>
    <w:basedOn w:val="a3"/>
    <w:link w:val="1"/>
    <w:uiPriority w:val="9"/>
    <w:rsid w:val="00FA3FA4"/>
    <w:rPr>
      <w:rFonts w:asciiTheme="majorHAnsi" w:hAnsiTheme="majorHAnsi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3"/>
    <w:link w:val="21"/>
    <w:uiPriority w:val="9"/>
    <w:rsid w:val="00FA3FA4"/>
    <w:rPr>
      <w:rFonts w:ascii="Arial" w:hAnsi="Arial" w:cs="Arial"/>
      <w:b/>
      <w:bCs/>
      <w:iCs/>
      <w:sz w:val="20"/>
      <w:szCs w:val="28"/>
      <w:lang w:eastAsia="ru-RU"/>
    </w:rPr>
  </w:style>
  <w:style w:type="numbering" w:customStyle="1" w:styleId="111">
    <w:name w:val="Нет списка11"/>
    <w:next w:val="a5"/>
    <w:uiPriority w:val="99"/>
    <w:semiHidden/>
    <w:unhideWhenUsed/>
    <w:rsid w:val="00FA3FA4"/>
  </w:style>
  <w:style w:type="paragraph" w:customStyle="1" w:styleId="FR1">
    <w:name w:val="FR1"/>
    <w:uiPriority w:val="99"/>
    <w:rsid w:val="00FA3FA4"/>
    <w:pPr>
      <w:widowControl w:val="0"/>
      <w:spacing w:after="0" w:line="240" w:lineRule="auto"/>
      <w:ind w:left="0"/>
      <w:jc w:val="center"/>
    </w:pPr>
    <w:rPr>
      <w:rFonts w:ascii="Arial" w:hAnsi="Arial"/>
      <w:b/>
      <w:sz w:val="16"/>
      <w:szCs w:val="20"/>
      <w:lang w:eastAsia="ru-RU"/>
    </w:rPr>
  </w:style>
  <w:style w:type="paragraph" w:customStyle="1" w:styleId="FR2">
    <w:name w:val="FR2"/>
    <w:uiPriority w:val="99"/>
    <w:rsid w:val="00FA3FA4"/>
    <w:pPr>
      <w:widowControl w:val="0"/>
      <w:spacing w:after="0" w:line="240" w:lineRule="auto"/>
      <w:ind w:left="0"/>
      <w:jc w:val="both"/>
    </w:pPr>
    <w:rPr>
      <w:rFonts w:ascii="Arial" w:hAnsi="Arial"/>
      <w:sz w:val="12"/>
      <w:szCs w:val="20"/>
      <w:lang w:eastAsia="ru-RU"/>
    </w:rPr>
  </w:style>
  <w:style w:type="paragraph" w:customStyle="1" w:styleId="FR3">
    <w:name w:val="FR3"/>
    <w:uiPriority w:val="99"/>
    <w:rsid w:val="00FA3FA4"/>
    <w:pPr>
      <w:widowControl w:val="0"/>
      <w:autoSpaceDE w:val="0"/>
      <w:autoSpaceDN w:val="0"/>
      <w:adjustRightInd w:val="0"/>
      <w:spacing w:after="0" w:line="240" w:lineRule="auto"/>
      <w:ind w:left="0" w:right="200"/>
      <w:jc w:val="center"/>
    </w:pPr>
    <w:rPr>
      <w:rFonts w:ascii="Arial" w:hAnsi="Arial" w:cs="Arial"/>
      <w:sz w:val="12"/>
      <w:szCs w:val="12"/>
      <w:lang w:eastAsia="ru-RU"/>
    </w:rPr>
  </w:style>
  <w:style w:type="paragraph" w:customStyle="1" w:styleId="heading2">
    <w:name w:val="heading2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36"/>
      <w:szCs w:val="36"/>
    </w:rPr>
  </w:style>
  <w:style w:type="paragraph" w:customStyle="1" w:styleId="author">
    <w:name w:val="author"/>
    <w:basedOn w:val="a2"/>
    <w:rsid w:val="00FA3FA4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7"/>
      <w:szCs w:val="27"/>
    </w:rPr>
  </w:style>
  <w:style w:type="paragraph" w:customStyle="1" w:styleId="authors">
    <w:name w:val="authors"/>
    <w:basedOn w:val="a2"/>
    <w:rsid w:val="00FA3FA4"/>
    <w:pPr>
      <w:widowControl/>
      <w:autoSpaceDE/>
      <w:autoSpaceDN/>
      <w:adjustRightInd/>
      <w:spacing w:before="100" w:beforeAutospacing="1"/>
    </w:pPr>
    <w:rPr>
      <w:sz w:val="24"/>
      <w:szCs w:val="24"/>
    </w:rPr>
  </w:style>
  <w:style w:type="paragraph" w:customStyle="1" w:styleId="level00">
    <w:name w:val="level00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ing1">
    <w:name w:val="heading1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48"/>
      <w:szCs w:val="48"/>
    </w:rPr>
  </w:style>
  <w:style w:type="paragraph" w:customStyle="1" w:styleId="literature">
    <w:name w:val="literature"/>
    <w:basedOn w:val="a2"/>
    <w:rsid w:val="00FA3FA4"/>
    <w:pPr>
      <w:widowControl/>
      <w:autoSpaceDE/>
      <w:autoSpaceDN/>
      <w:adjustRightInd/>
      <w:spacing w:before="30"/>
      <w:ind w:left="300" w:hanging="300"/>
    </w:pPr>
    <w:rPr>
      <w:sz w:val="24"/>
      <w:szCs w:val="24"/>
    </w:rPr>
  </w:style>
  <w:style w:type="paragraph" w:customStyle="1" w:styleId="level10">
    <w:name w:val="level10"/>
    <w:basedOn w:val="a2"/>
    <w:rsid w:val="00FA3FA4"/>
    <w:pPr>
      <w:widowControl/>
      <w:autoSpaceDE/>
      <w:autoSpaceDN/>
      <w:adjustRightInd/>
      <w:spacing w:before="30"/>
      <w:ind w:left="300" w:hanging="300"/>
    </w:pPr>
    <w:rPr>
      <w:sz w:val="24"/>
      <w:szCs w:val="24"/>
    </w:rPr>
  </w:style>
  <w:style w:type="paragraph" w:customStyle="1" w:styleId="level11">
    <w:name w:val="level11"/>
    <w:basedOn w:val="a2"/>
    <w:rsid w:val="00FA3FA4"/>
    <w:pPr>
      <w:widowControl/>
      <w:autoSpaceDE/>
      <w:autoSpaceDN/>
      <w:adjustRightInd/>
      <w:spacing w:before="30"/>
      <w:ind w:left="300"/>
    </w:pPr>
    <w:rPr>
      <w:sz w:val="24"/>
      <w:szCs w:val="24"/>
    </w:rPr>
  </w:style>
  <w:style w:type="paragraph" w:customStyle="1" w:styleId="level20">
    <w:name w:val="level20"/>
    <w:basedOn w:val="a2"/>
    <w:rsid w:val="00FA3FA4"/>
    <w:pPr>
      <w:widowControl/>
      <w:autoSpaceDE/>
      <w:autoSpaceDN/>
      <w:adjustRightInd/>
      <w:spacing w:before="30"/>
      <w:ind w:left="600" w:hanging="300"/>
    </w:pPr>
    <w:rPr>
      <w:sz w:val="24"/>
      <w:szCs w:val="24"/>
    </w:rPr>
  </w:style>
  <w:style w:type="paragraph" w:customStyle="1" w:styleId="level21">
    <w:name w:val="level21"/>
    <w:basedOn w:val="a2"/>
    <w:rsid w:val="00FA3FA4"/>
    <w:pPr>
      <w:widowControl/>
      <w:autoSpaceDE/>
      <w:autoSpaceDN/>
      <w:adjustRightInd/>
      <w:spacing w:before="30"/>
      <w:ind w:left="600"/>
    </w:pPr>
    <w:rPr>
      <w:sz w:val="24"/>
      <w:szCs w:val="24"/>
    </w:rPr>
  </w:style>
  <w:style w:type="paragraph" w:customStyle="1" w:styleId="level30">
    <w:name w:val="level30"/>
    <w:basedOn w:val="a2"/>
    <w:rsid w:val="00FA3FA4"/>
    <w:pPr>
      <w:widowControl/>
      <w:autoSpaceDE/>
      <w:autoSpaceDN/>
      <w:adjustRightInd/>
      <w:spacing w:before="30"/>
      <w:ind w:left="900" w:hanging="300"/>
    </w:pPr>
    <w:rPr>
      <w:sz w:val="24"/>
      <w:szCs w:val="24"/>
    </w:rPr>
  </w:style>
  <w:style w:type="paragraph" w:customStyle="1" w:styleId="level40">
    <w:name w:val="level40"/>
    <w:basedOn w:val="a2"/>
    <w:rsid w:val="00FA3FA4"/>
    <w:pPr>
      <w:widowControl/>
      <w:autoSpaceDE/>
      <w:autoSpaceDN/>
      <w:adjustRightInd/>
      <w:spacing w:before="30"/>
      <w:ind w:left="1200" w:hanging="300"/>
    </w:pPr>
    <w:rPr>
      <w:sz w:val="24"/>
      <w:szCs w:val="24"/>
    </w:rPr>
  </w:style>
  <w:style w:type="paragraph" w:customStyle="1" w:styleId="level50">
    <w:name w:val="level50"/>
    <w:basedOn w:val="a2"/>
    <w:rsid w:val="00FA3FA4"/>
    <w:pPr>
      <w:widowControl/>
      <w:autoSpaceDE/>
      <w:autoSpaceDN/>
      <w:adjustRightInd/>
      <w:spacing w:before="30"/>
      <w:ind w:left="1500" w:hanging="300"/>
    </w:pPr>
    <w:rPr>
      <w:sz w:val="24"/>
      <w:szCs w:val="24"/>
    </w:rPr>
  </w:style>
  <w:style w:type="paragraph" w:customStyle="1" w:styleId="level31">
    <w:name w:val="level31"/>
    <w:basedOn w:val="a2"/>
    <w:rsid w:val="00FA3FA4"/>
    <w:pPr>
      <w:widowControl/>
      <w:autoSpaceDE/>
      <w:autoSpaceDN/>
      <w:adjustRightInd/>
      <w:spacing w:before="30"/>
      <w:ind w:left="900"/>
    </w:pPr>
    <w:rPr>
      <w:sz w:val="24"/>
      <w:szCs w:val="24"/>
    </w:rPr>
  </w:style>
  <w:style w:type="paragraph" w:customStyle="1" w:styleId="level60">
    <w:name w:val="level60"/>
    <w:basedOn w:val="a2"/>
    <w:rsid w:val="00FA3FA4"/>
    <w:pPr>
      <w:widowControl/>
      <w:autoSpaceDE/>
      <w:autoSpaceDN/>
      <w:adjustRightInd/>
      <w:spacing w:before="30"/>
      <w:ind w:left="1800" w:hanging="300"/>
    </w:pPr>
    <w:rPr>
      <w:sz w:val="24"/>
      <w:szCs w:val="24"/>
    </w:rPr>
  </w:style>
  <w:style w:type="paragraph" w:customStyle="1" w:styleId="level41">
    <w:name w:val="level41"/>
    <w:basedOn w:val="a2"/>
    <w:rsid w:val="00FA3FA4"/>
    <w:pPr>
      <w:widowControl/>
      <w:autoSpaceDE/>
      <w:autoSpaceDN/>
      <w:adjustRightInd/>
      <w:spacing w:before="30"/>
      <w:ind w:left="1200"/>
    </w:pPr>
    <w:rPr>
      <w:sz w:val="24"/>
      <w:szCs w:val="24"/>
    </w:rPr>
  </w:style>
  <w:style w:type="paragraph" w:customStyle="1" w:styleId="level51">
    <w:name w:val="level51"/>
    <w:basedOn w:val="a2"/>
    <w:rsid w:val="00FA3FA4"/>
    <w:pPr>
      <w:widowControl/>
      <w:autoSpaceDE/>
      <w:autoSpaceDN/>
      <w:adjustRightInd/>
      <w:spacing w:before="30"/>
      <w:ind w:left="1500"/>
    </w:pPr>
    <w:rPr>
      <w:sz w:val="24"/>
      <w:szCs w:val="24"/>
    </w:rPr>
  </w:style>
  <w:style w:type="paragraph" w:customStyle="1" w:styleId="level61">
    <w:name w:val="level61"/>
    <w:basedOn w:val="a2"/>
    <w:rsid w:val="00FA3FA4"/>
    <w:pPr>
      <w:widowControl/>
      <w:autoSpaceDE/>
      <w:autoSpaceDN/>
      <w:adjustRightInd/>
      <w:spacing w:before="30"/>
      <w:ind w:left="1800"/>
    </w:pPr>
    <w:rPr>
      <w:sz w:val="24"/>
      <w:szCs w:val="24"/>
    </w:rPr>
  </w:style>
  <w:style w:type="paragraph" w:customStyle="1" w:styleId="tblnorm">
    <w:name w:val="tblnorm"/>
    <w:basedOn w:val="a2"/>
    <w:rsid w:val="00FA3FA4"/>
    <w:pPr>
      <w:widowControl/>
      <w:autoSpaceDE/>
      <w:autoSpaceDN/>
      <w:adjustRightInd/>
    </w:pPr>
    <w:rPr>
      <w:sz w:val="24"/>
      <w:szCs w:val="24"/>
    </w:rPr>
  </w:style>
  <w:style w:type="paragraph" w:customStyle="1" w:styleId="tblshift">
    <w:name w:val="tblshift"/>
    <w:basedOn w:val="a2"/>
    <w:rsid w:val="00FA3FA4"/>
    <w:pPr>
      <w:widowControl/>
      <w:autoSpaceDE/>
      <w:autoSpaceDN/>
      <w:adjustRightInd/>
      <w:ind w:left="300"/>
    </w:pPr>
    <w:rPr>
      <w:sz w:val="24"/>
      <w:szCs w:val="24"/>
    </w:rPr>
  </w:style>
  <w:style w:type="paragraph" w:customStyle="1" w:styleId="figurelegend">
    <w:name w:val="figurelegend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blshift1">
    <w:name w:val="tblshift1"/>
    <w:basedOn w:val="a2"/>
    <w:rsid w:val="00FA3FA4"/>
    <w:pPr>
      <w:widowControl/>
      <w:autoSpaceDE/>
      <w:autoSpaceDN/>
      <w:adjustRightInd/>
      <w:ind w:left="600"/>
    </w:pPr>
    <w:rPr>
      <w:sz w:val="24"/>
      <w:szCs w:val="24"/>
    </w:rPr>
  </w:style>
  <w:style w:type="paragraph" w:customStyle="1" w:styleId="1f">
    <w:name w:val="Стиль1"/>
    <w:basedOn w:val="afb"/>
    <w:link w:val="1f0"/>
    <w:qFormat/>
    <w:rsid w:val="00FA3FA4"/>
    <w:pPr>
      <w:keepLines/>
      <w:framePr w:wrap="auto" w:vAnchor="margin" w:yAlign="inline"/>
      <w:widowControl/>
      <w:autoSpaceDE/>
      <w:autoSpaceDN/>
      <w:adjustRightInd/>
      <w:spacing w:after="0" w:line="276" w:lineRule="auto"/>
      <w:contextualSpacing w:val="0"/>
      <w:jc w:val="left"/>
      <w:outlineLvl w:val="9"/>
    </w:pPr>
    <w:rPr>
      <w:rFonts w:ascii="Cambria" w:hAnsi="Cambria"/>
    </w:rPr>
  </w:style>
  <w:style w:type="character" w:customStyle="1" w:styleId="afc">
    <w:name w:val="Заголовок оглавления Знак"/>
    <w:basedOn w:val="10"/>
    <w:link w:val="afb"/>
    <w:uiPriority w:val="39"/>
    <w:rsid w:val="00FA3FA4"/>
    <w:rPr>
      <w:rFonts w:asciiTheme="majorHAnsi" w:eastAsiaTheme="majorEastAsia" w:hAnsiTheme="majorHAnsi" w:cs="Arial"/>
      <w:b/>
      <w:bCs w:val="0"/>
      <w:kern w:val="32"/>
      <w:sz w:val="32"/>
      <w:szCs w:val="32"/>
      <w:lang w:eastAsia="ru-RU"/>
    </w:rPr>
  </w:style>
  <w:style w:type="character" w:customStyle="1" w:styleId="1f0">
    <w:name w:val="Стиль1 Знак"/>
    <w:basedOn w:val="afc"/>
    <w:link w:val="1f"/>
    <w:rsid w:val="00FA3FA4"/>
    <w:rPr>
      <w:rFonts w:ascii="Cambria" w:eastAsiaTheme="majorEastAsia" w:hAnsi="Cambria" w:cs="Arial"/>
      <w:b/>
      <w:bCs w:val="0"/>
      <w:kern w:val="32"/>
      <w:sz w:val="32"/>
      <w:szCs w:val="32"/>
      <w:lang w:eastAsia="ru-RU"/>
    </w:rPr>
  </w:style>
  <w:style w:type="paragraph" w:customStyle="1" w:styleId="Default">
    <w:name w:val="Default"/>
    <w:rsid w:val="00AD04A1"/>
    <w:pPr>
      <w:autoSpaceDE w:val="0"/>
      <w:autoSpaceDN w:val="0"/>
      <w:adjustRightInd w:val="0"/>
      <w:spacing w:after="0" w:line="240" w:lineRule="auto"/>
      <w:ind w:left="0"/>
    </w:pPr>
    <w:rPr>
      <w:rFonts w:ascii="Cambria" w:hAnsi="Cambria" w:cs="Cambri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09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8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4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7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10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5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1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0391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081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96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40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69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790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45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11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21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53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60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57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7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86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9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031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03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3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9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83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4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95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f23071820.dotx" TargetMode="Externa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Custom 1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D00AEE-3F06-4626-AB25-35C6D09AE97B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664D29EE-BCA5-4847-AAAA-8D9E4282C1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F9A439-08CB-4BF0-B5C9-E9020D5951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7F0EF93-4F30-4CE5-B11B-BF770DCD5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tf23071820.dotx</Template>
  <TotalTime>0</TotalTime>
  <Pages>27</Pages>
  <Words>10709</Words>
  <Characters>61043</Characters>
  <Application>Microsoft Office Word</Application>
  <DocSecurity>0</DocSecurity>
  <Lines>508</Lines>
  <Paragraphs>143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cp:lastModifiedBy/>
  <cp:revision>1</cp:revision>
  <dcterms:created xsi:type="dcterms:W3CDTF">2022-06-08T14:26:00Z</dcterms:created>
  <dcterms:modified xsi:type="dcterms:W3CDTF">2022-06-08T14:56:00Z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