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640239" w14:textId="2A68F690" w:rsidR="009847EE" w:rsidRDefault="00736926">
      <w:pPr>
        <w:jc w:val="both"/>
        <w:rPr>
          <w:rFonts w:ascii="Arial" w:eastAsia="Arial" w:hAnsi="Arial" w:cs="Arial"/>
          <w:b/>
        </w:rPr>
      </w:pPr>
      <w:bookmarkStart w:id="0" w:name="_GoBack"/>
      <w:bookmarkEnd w:id="0"/>
      <w:r>
        <w:rPr>
          <w:rFonts w:ascii="Arial" w:eastAsia="Arial" w:hAnsi="Arial" w:cs="Arial"/>
          <w:b/>
        </w:rPr>
        <w:t>CHANGE MANAGEMENT – LECTURE 4</w:t>
      </w:r>
      <w:r w:rsidR="007C199E">
        <w:rPr>
          <w:rFonts w:ascii="Arial" w:eastAsia="Arial" w:hAnsi="Arial" w:cs="Arial"/>
          <w:b/>
        </w:rPr>
        <w:t xml:space="preserve"> </w:t>
      </w:r>
    </w:p>
    <w:p w14:paraId="43B602E6" w14:textId="12E57AAA" w:rsidR="009847EE" w:rsidRPr="00D0194A" w:rsidRDefault="007C199E">
      <w:pPr>
        <w:jc w:val="both"/>
        <w:rPr>
          <w:rFonts w:ascii="Arial" w:eastAsia="Arial" w:hAnsi="Arial" w:cs="Arial"/>
          <w:b/>
        </w:rPr>
      </w:pPr>
      <w:r w:rsidRPr="00D0194A">
        <w:rPr>
          <w:rFonts w:ascii="Arial" w:eastAsia="Arial" w:hAnsi="Arial" w:cs="Arial"/>
          <w:b/>
        </w:rPr>
        <w:t xml:space="preserve">CHAPTER </w:t>
      </w:r>
      <w:r w:rsidR="00736926" w:rsidRPr="00D0194A">
        <w:rPr>
          <w:rFonts w:ascii="Arial" w:eastAsia="Arial" w:hAnsi="Arial" w:cs="Arial"/>
          <w:b/>
        </w:rPr>
        <w:t>4</w:t>
      </w:r>
      <w:r w:rsidRPr="00D0194A">
        <w:rPr>
          <w:rFonts w:ascii="Arial" w:eastAsia="Arial" w:hAnsi="Arial" w:cs="Arial"/>
          <w:b/>
        </w:rPr>
        <w:t xml:space="preserve"> – </w:t>
      </w:r>
      <w:r w:rsidR="00736926" w:rsidRPr="00D0194A">
        <w:rPr>
          <w:rFonts w:ascii="Arial" w:eastAsia="Arial" w:hAnsi="Arial" w:cs="Arial"/>
          <w:b/>
        </w:rPr>
        <w:t>Recognizing the Need or Opportunity for Change</w:t>
      </w:r>
    </w:p>
    <w:p w14:paraId="389A0241" w14:textId="77777777" w:rsidR="009847EE" w:rsidRPr="00D0194A" w:rsidRDefault="009847EE">
      <w:pPr>
        <w:jc w:val="both"/>
        <w:rPr>
          <w:rFonts w:ascii="Arial" w:eastAsia="Arial" w:hAnsi="Arial" w:cs="Arial"/>
          <w:b/>
        </w:rPr>
      </w:pPr>
    </w:p>
    <w:p w14:paraId="07554325" w14:textId="77777777" w:rsidR="009847EE" w:rsidRDefault="007C199E">
      <w:pPr>
        <w:spacing w:line="360" w:lineRule="auto"/>
        <w:jc w:val="both"/>
        <w:rPr>
          <w:rFonts w:ascii="Arial" w:eastAsia="Arial" w:hAnsi="Arial" w:cs="Arial"/>
        </w:rPr>
      </w:pPr>
      <w:r>
        <w:rPr>
          <w:rFonts w:ascii="Arial" w:eastAsia="Arial" w:hAnsi="Arial" w:cs="Arial"/>
        </w:rPr>
        <w:t>LESSON 1</w:t>
      </w:r>
    </w:p>
    <w:p w14:paraId="6CFD9983" w14:textId="499C8AC8" w:rsidR="009847EE" w:rsidRPr="00D0194A" w:rsidRDefault="00736926">
      <w:pPr>
        <w:spacing w:line="360" w:lineRule="auto"/>
        <w:jc w:val="both"/>
        <w:rPr>
          <w:rFonts w:ascii="Arial" w:eastAsia="Arial" w:hAnsi="Arial" w:cs="Arial"/>
          <w:b/>
          <w:color w:val="000000"/>
          <w:u w:val="single"/>
        </w:rPr>
      </w:pPr>
      <w:r w:rsidRPr="00D0194A">
        <w:rPr>
          <w:rFonts w:ascii="Arial" w:eastAsia="Arial" w:hAnsi="Arial" w:cs="Arial"/>
          <w:b/>
          <w:color w:val="000000"/>
          <w:u w:val="single"/>
        </w:rPr>
        <w:t xml:space="preserve">External Sources of Change </w:t>
      </w:r>
    </w:p>
    <w:p w14:paraId="1DADD96C" w14:textId="253BA4DF" w:rsidR="00D0194A" w:rsidRDefault="00D0194A" w:rsidP="00D0194A">
      <w:pPr>
        <w:spacing w:line="360" w:lineRule="auto"/>
        <w:jc w:val="both"/>
      </w:pPr>
      <w:r>
        <w:t>Some managers display a greater aptitude for recognizing opportunities and threats in the external environment compared to others. Successful entrepreneurs, in particular, excel in this regard and often rely on intuition to identify opportunities even in seemingly chaotic or contradictory situations (</w:t>
      </w:r>
      <w:proofErr w:type="spellStart"/>
      <w:r>
        <w:t>Allinson</w:t>
      </w:r>
      <w:proofErr w:type="spellEnd"/>
      <w:r>
        <w:t xml:space="preserve"> et al., 2000). However, there are valuable analytical tools available that can assist anyone in scanning the external environment for opportunities and threats.</w:t>
      </w:r>
    </w:p>
    <w:p w14:paraId="4BB2D51E" w14:textId="77777777" w:rsidR="00D0194A" w:rsidRDefault="00D0194A" w:rsidP="00D0194A">
      <w:pPr>
        <w:spacing w:line="360" w:lineRule="auto"/>
        <w:jc w:val="both"/>
      </w:pPr>
      <w:r>
        <w:t>One such tool is the acronym PEST, which directs attention towards political, economic, sociocultural, and technological trends that are essential for managers to be mindful of:</w:t>
      </w:r>
    </w:p>
    <w:p w14:paraId="64BD5E81" w14:textId="77777777" w:rsidR="00D0194A" w:rsidRDefault="00D0194A" w:rsidP="00D0194A">
      <w:pPr>
        <w:spacing w:line="360" w:lineRule="auto"/>
        <w:jc w:val="both"/>
      </w:pPr>
      <w:r>
        <w:t>Political factors encompass aspects like new legislation concerning environmental management, consumer protection, and employment, as well as regulations affecting markets such as banking, telecommunications, and broadcasting. Organizations operating internationally must consider how legislative changes or shifts in political stability worldwide may impact their operations.</w:t>
      </w:r>
    </w:p>
    <w:p w14:paraId="4764FC2E" w14:textId="77777777" w:rsidR="00D0194A" w:rsidRDefault="00D0194A" w:rsidP="00D0194A">
      <w:pPr>
        <w:spacing w:line="360" w:lineRule="auto"/>
        <w:jc w:val="both"/>
      </w:pPr>
      <w:r>
        <w:t>Economic factors involve considerations such as the ongoing effects of the credit crunch, exchange rates, borrowing costs, changes in disposable income levels, raw material costs, supply security, new competitors, and the business cycle.</w:t>
      </w:r>
    </w:p>
    <w:p w14:paraId="019840B9" w14:textId="77777777" w:rsidR="00D0194A" w:rsidRDefault="00D0194A" w:rsidP="00D0194A">
      <w:pPr>
        <w:spacing w:line="360" w:lineRule="auto"/>
        <w:jc w:val="both"/>
      </w:pPr>
      <w:r>
        <w:t>Sociocultural factors pertain to demographic trends like declining birth rates or aging populations. They also include evolving attitudes towards education, training, work, and leisure, which can influence the availability of skilled labor, consumption patterns, and more. Cultural factors may also impact business ethics and practices in different regions.</w:t>
      </w:r>
    </w:p>
    <w:p w14:paraId="61FBB7FC" w14:textId="77777777" w:rsidR="00D0194A" w:rsidRDefault="00D0194A" w:rsidP="00D0194A">
      <w:pPr>
        <w:spacing w:line="360" w:lineRule="auto"/>
        <w:jc w:val="both"/>
      </w:pPr>
      <w:r>
        <w:t>Technological factors cover matters such as competitors' investments in research and development, outcomes of such investments, the availability of new materials, products, production processes, distribution methods, obsolescence rates, and the need for reinvestment in infrastructure and personnel.</w:t>
      </w:r>
    </w:p>
    <w:p w14:paraId="510E1728" w14:textId="77777777" w:rsidR="00D0194A" w:rsidRDefault="00D0194A" w:rsidP="00D0194A">
      <w:pPr>
        <w:spacing w:line="360" w:lineRule="auto"/>
        <w:jc w:val="both"/>
      </w:pPr>
      <w:r>
        <w:lastRenderedPageBreak/>
        <w:t>The innovative phase of the cycle starts with a significant divergence in offerings between competitors when one introduces an innovation that creates a new business opportunity. This sparks innovation among others, leading to a wider variety of products and services for customers. Eventually, when further innovation offers limited added value to suppliers or customers, the divergence in offerings diminishes as competitors imitate successful features of past innovations.</w:t>
      </w:r>
    </w:p>
    <w:p w14:paraId="73281CFF" w14:textId="77777777" w:rsidR="00D0194A" w:rsidRDefault="00D0194A" w:rsidP="00D0194A">
      <w:pPr>
        <w:spacing w:line="360" w:lineRule="auto"/>
        <w:jc w:val="both"/>
      </w:pPr>
      <w:r>
        <w:t>The subsequent phase begins when some providers shift their focus from innovation to efficiency. Cost reduction becomes crucial for maintaining market share and increasing profits. This is achieved by enhancing systems and processes to lower overall costs. Each phase of the cycle presents opportunities for some but threats for others, particularly in the efficiency phase where only the most efficient competitors survive.</w:t>
      </w:r>
    </w:p>
    <w:p w14:paraId="01630A61" w14:textId="77777777" w:rsidR="00D0194A" w:rsidRDefault="00D0194A" w:rsidP="00D0194A">
      <w:pPr>
        <w:spacing w:line="360" w:lineRule="auto"/>
        <w:jc w:val="both"/>
      </w:pPr>
      <w:r>
        <w:t xml:space="preserve">Once most efficiency-based advantages have been exhausted, attention may return to innovation, and the cycle repeats itself. </w:t>
      </w:r>
      <w:proofErr w:type="spellStart"/>
      <w:r>
        <w:t>Strebel</w:t>
      </w:r>
      <w:proofErr w:type="spellEnd"/>
      <w:r>
        <w:t xml:space="preserve"> (1996) notes that anticipating convergence, the phase focused on efficiencies, is usually easier than predicting divergence, which revolves around potential new offerings that might not be known until a competitor introduces them.</w:t>
      </w:r>
    </w:p>
    <w:p w14:paraId="04B8BC63" w14:textId="27092776" w:rsidR="00992AB3" w:rsidRDefault="00D0194A" w:rsidP="00D0194A">
      <w:pPr>
        <w:spacing w:line="360" w:lineRule="auto"/>
        <w:jc w:val="both"/>
      </w:pPr>
      <w:r>
        <w:t>Up to this point, the discussion has centered on aligning the organization with its external environment. However, managers must also consider internal alignment and how internal misalignments can trigger the need for change.</w:t>
      </w:r>
    </w:p>
    <w:p w14:paraId="3E1FE6C0" w14:textId="32ED4759" w:rsidR="00992AB3" w:rsidRDefault="00992AB3">
      <w:pPr>
        <w:spacing w:line="360" w:lineRule="auto"/>
        <w:jc w:val="both"/>
      </w:pPr>
      <w:r>
        <w:rPr>
          <w:noProof/>
          <w:lang w:val="en-PH" w:eastAsia="en-PH"/>
        </w:rPr>
        <mc:AlternateContent>
          <mc:Choice Requires="wps">
            <w:drawing>
              <wp:anchor distT="0" distB="0" distL="114300" distR="114300" simplePos="0" relativeHeight="251661312" behindDoc="0" locked="0" layoutInCell="1" hidden="0" allowOverlap="1" wp14:anchorId="12B01FFF" wp14:editId="257D10E5">
                <wp:simplePos x="0" y="0"/>
                <wp:positionH relativeFrom="column">
                  <wp:posOffset>1409700</wp:posOffset>
                </wp:positionH>
                <wp:positionV relativeFrom="paragraph">
                  <wp:posOffset>2484755</wp:posOffset>
                </wp:positionV>
                <wp:extent cx="3988435" cy="389088"/>
                <wp:effectExtent l="0" t="0" r="0" b="0"/>
                <wp:wrapNone/>
                <wp:docPr id="2" name="Rectangle 2"/>
                <wp:cNvGraphicFramePr/>
                <a:graphic xmlns:a="http://schemas.openxmlformats.org/drawingml/2006/main">
                  <a:graphicData uri="http://schemas.microsoft.com/office/word/2010/wordprocessingShape">
                    <wps:wsp>
                      <wps:cNvSpPr/>
                      <wps:spPr>
                        <a:xfrm>
                          <a:off x="0" y="0"/>
                          <a:ext cx="3988435" cy="389088"/>
                        </a:xfrm>
                        <a:prstGeom prst="rect">
                          <a:avLst/>
                        </a:prstGeom>
                        <a:solidFill>
                          <a:schemeClr val="lt1"/>
                        </a:solidFill>
                        <a:ln>
                          <a:noFill/>
                        </a:ln>
                      </wps:spPr>
                      <wps:txbx>
                        <w:txbxContent>
                          <w:p w14:paraId="40F3D62D" w14:textId="614AF60B" w:rsidR="00992AB3" w:rsidRDefault="00992AB3" w:rsidP="00992AB3">
                            <w:pPr>
                              <w:spacing w:line="360" w:lineRule="auto"/>
                              <w:textDirection w:val="btLr"/>
                            </w:pPr>
                            <w:r>
                              <w:rPr>
                                <w:rFonts w:ascii="Arial" w:eastAsia="Arial" w:hAnsi="Arial" w:cs="Arial"/>
                                <w:color w:val="000000"/>
                                <w:sz w:val="14"/>
                              </w:rPr>
                              <w:t>Source: Hayes, John. The theory and practice of change management 4</w:t>
                            </w:r>
                            <w:r>
                              <w:rPr>
                                <w:rFonts w:ascii="Arial" w:eastAsia="Arial" w:hAnsi="Arial" w:cs="Arial"/>
                                <w:color w:val="000000"/>
                                <w:sz w:val="14"/>
                                <w:vertAlign w:val="superscript"/>
                              </w:rPr>
                              <w:t>th</w:t>
                            </w:r>
                            <w:r>
                              <w:rPr>
                                <w:rFonts w:ascii="Arial" w:eastAsia="Arial" w:hAnsi="Arial" w:cs="Arial"/>
                                <w:color w:val="000000"/>
                                <w:sz w:val="14"/>
                              </w:rPr>
                              <w:t xml:space="preserve"> edition. pp 70</w:t>
                            </w:r>
                          </w:p>
                          <w:p w14:paraId="656C524A" w14:textId="77777777" w:rsidR="00992AB3" w:rsidRDefault="00992AB3" w:rsidP="00992AB3">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12B01FFF" id="Rectangle 2" o:spid="_x0000_s1026" style="position:absolute;left:0;text-align:left;margin-left:111pt;margin-top:195.65pt;width:314.05pt;height:30.6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" fillcolor="white [3201]" stroked="f">
                <v:textbox inset="2.53958mm,1.2694mm,2.53958mm,1.2694mm">
                  <w:txbxContent>
                    <w:p w14:paraId="40F3D62D" w14:textId="614AF60B" w:rsidR="00992AB3" w:rsidRDefault="00992AB3" w:rsidP="00992AB3">
                      <w:pPr>
                        <w:spacing w:line="360" w:lineRule="auto"/>
                        <w:textDirection w:val="btLr"/>
                      </w:pPr>
                      <w:r>
                        <w:rPr>
                          <w:rFonts w:ascii="Arial" w:eastAsia="Arial" w:hAnsi="Arial" w:cs="Arial"/>
                          <w:color w:val="000000"/>
                          <w:sz w:val="14"/>
                        </w:rPr>
                        <w:t>Source</w:t>
                      </w:r>
                      <w:r>
                        <w:rPr>
                          <w:rFonts w:ascii="Arial" w:eastAsia="Arial" w:hAnsi="Arial" w:cs="Arial"/>
                          <w:color w:val="000000"/>
                          <w:sz w:val="14"/>
                        </w:rPr>
                        <w:t>: Hayes, John. The theory and practice of change management 4</w:t>
                      </w:r>
                      <w:r>
                        <w:rPr>
                          <w:rFonts w:ascii="Arial" w:eastAsia="Arial" w:hAnsi="Arial" w:cs="Arial"/>
                          <w:color w:val="000000"/>
                          <w:sz w:val="14"/>
                          <w:vertAlign w:val="superscript"/>
                        </w:rPr>
                        <w:t>th</w:t>
                      </w:r>
                      <w:r>
                        <w:rPr>
                          <w:rFonts w:ascii="Arial" w:eastAsia="Arial" w:hAnsi="Arial" w:cs="Arial"/>
                          <w:color w:val="000000"/>
                          <w:sz w:val="14"/>
                        </w:rPr>
                        <w:t xml:space="preserve"> edition. pp 70</w:t>
                      </w:r>
                    </w:p>
                    <w:p w14:paraId="656C524A" w14:textId="77777777" w:rsidR="00992AB3" w:rsidRDefault="00992AB3" w:rsidP="00992AB3">
                      <w:pPr>
                        <w:spacing w:line="258" w:lineRule="auto"/>
                        <w:textDirection w:val="btLr"/>
                      </w:pPr>
                    </w:p>
                  </w:txbxContent>
                </v:textbox>
              </v:rect>
            </w:pict>
          </mc:Fallback>
        </mc:AlternateContent>
      </w:r>
      <w:r>
        <w:rPr>
          <w:noProof/>
          <w:lang w:val="en-PH" w:eastAsia="en-PH"/>
        </w:rPr>
        <w:drawing>
          <wp:inline distT="0" distB="0" distL="0" distR="0" wp14:anchorId="2F5526AC" wp14:editId="53D6F2A1">
            <wp:extent cx="4962525" cy="2466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62525" cy="2466975"/>
                    </a:xfrm>
                    <a:prstGeom prst="rect">
                      <a:avLst/>
                    </a:prstGeom>
                  </pic:spPr>
                </pic:pic>
              </a:graphicData>
            </a:graphic>
          </wp:inline>
        </w:drawing>
      </w:r>
    </w:p>
    <w:p w14:paraId="552482A5" w14:textId="77777777" w:rsidR="00992AB3" w:rsidRDefault="00992AB3">
      <w:pPr>
        <w:spacing w:line="360" w:lineRule="auto"/>
        <w:jc w:val="both"/>
      </w:pPr>
    </w:p>
    <w:p w14:paraId="483DF0CE" w14:textId="77777777" w:rsidR="009847EE" w:rsidRDefault="007C199E">
      <w:pPr>
        <w:spacing w:line="360" w:lineRule="auto"/>
        <w:jc w:val="both"/>
        <w:rPr>
          <w:rFonts w:ascii="Arial" w:eastAsia="Arial" w:hAnsi="Arial" w:cs="Arial"/>
        </w:rPr>
      </w:pPr>
      <w:r>
        <w:rPr>
          <w:rFonts w:ascii="Arial" w:eastAsia="Arial" w:hAnsi="Arial" w:cs="Arial"/>
        </w:rPr>
        <w:lastRenderedPageBreak/>
        <w:t>Lesson 2</w:t>
      </w:r>
    </w:p>
    <w:p w14:paraId="19CBAA84" w14:textId="77777777" w:rsidR="00992AB3" w:rsidRDefault="00992AB3">
      <w:pPr>
        <w:spacing w:after="0" w:line="360" w:lineRule="auto"/>
        <w:jc w:val="both"/>
        <w:rPr>
          <w:rFonts w:ascii="Arial" w:eastAsia="Arial" w:hAnsi="Arial" w:cs="Arial"/>
          <w:b/>
          <w:color w:val="000000"/>
          <w:u w:val="single"/>
        </w:rPr>
      </w:pPr>
      <w:r w:rsidRPr="00992AB3">
        <w:rPr>
          <w:rFonts w:ascii="Arial" w:eastAsia="Arial" w:hAnsi="Arial" w:cs="Arial"/>
          <w:b/>
          <w:color w:val="000000"/>
          <w:u w:val="single"/>
        </w:rPr>
        <w:t>Internal sources of change</w:t>
      </w:r>
    </w:p>
    <w:p w14:paraId="3BB05578" w14:textId="77777777" w:rsidR="00992AB3" w:rsidRDefault="00992AB3">
      <w:pPr>
        <w:spacing w:after="0" w:line="360" w:lineRule="auto"/>
        <w:jc w:val="both"/>
        <w:rPr>
          <w:rFonts w:ascii="Arial" w:eastAsia="Arial" w:hAnsi="Arial" w:cs="Arial"/>
          <w:b/>
          <w:color w:val="000000"/>
          <w:u w:val="single"/>
        </w:rPr>
      </w:pPr>
    </w:p>
    <w:p w14:paraId="6009C295" w14:textId="77777777" w:rsidR="00A47338" w:rsidRPr="00A47338" w:rsidRDefault="00A47338" w:rsidP="00A47338">
      <w:pPr>
        <w:spacing w:after="0" w:line="360" w:lineRule="auto"/>
        <w:jc w:val="both"/>
        <w:rPr>
          <w:rFonts w:ascii="Arial" w:eastAsia="Arial" w:hAnsi="Arial" w:cs="Arial"/>
        </w:rPr>
      </w:pPr>
      <w:r w:rsidRPr="00A47338">
        <w:rPr>
          <w:rFonts w:ascii="Arial" w:eastAsia="Arial" w:hAnsi="Arial" w:cs="Arial"/>
        </w:rPr>
        <w:t>In 1972, Greiner issued a warning to managers regarding their exclusive focus on the external environment and the future. He emphasized that, for many organizations, their most pressing challenges are deeply rooted in past decisions rather than current circumstances and external forces. Greiner proposed that organizations follow a predictable five-stage developmental path, with each stage introducing alignment-related issues that demand effective management for the organization to remain successful. Each phase of Greiner's organizational life cycle is marked by extended periods of evolutionary growth, characterized by incremental changes, and punctuated by internal misalignments that culminate in crises and revolutions.</w:t>
      </w:r>
    </w:p>
    <w:p w14:paraId="717AA63E" w14:textId="77777777" w:rsidR="00A47338" w:rsidRPr="00A47338" w:rsidRDefault="00A47338" w:rsidP="00A47338">
      <w:pPr>
        <w:spacing w:after="0" w:line="360" w:lineRule="auto"/>
        <w:jc w:val="both"/>
        <w:rPr>
          <w:rFonts w:ascii="Arial" w:eastAsia="Arial" w:hAnsi="Arial" w:cs="Arial"/>
        </w:rPr>
      </w:pPr>
    </w:p>
    <w:p w14:paraId="094889BE" w14:textId="77777777" w:rsidR="00A47338" w:rsidRPr="00A47338" w:rsidRDefault="00A47338" w:rsidP="00A47338">
      <w:pPr>
        <w:spacing w:after="0" w:line="360" w:lineRule="auto"/>
        <w:jc w:val="both"/>
        <w:rPr>
          <w:rFonts w:ascii="Arial" w:eastAsia="Arial" w:hAnsi="Arial" w:cs="Arial"/>
        </w:rPr>
      </w:pPr>
      <w:r w:rsidRPr="00A47338">
        <w:rPr>
          <w:rFonts w:ascii="Arial" w:eastAsia="Arial" w:hAnsi="Arial" w:cs="Arial"/>
        </w:rPr>
        <w:t xml:space="preserve">Contrary to the perspective of Romanelli and </w:t>
      </w:r>
      <w:proofErr w:type="spellStart"/>
      <w:r w:rsidRPr="00A47338">
        <w:rPr>
          <w:rFonts w:ascii="Arial" w:eastAsia="Arial" w:hAnsi="Arial" w:cs="Arial"/>
        </w:rPr>
        <w:t>Tushman</w:t>
      </w:r>
      <w:proofErr w:type="spellEnd"/>
      <w:r w:rsidRPr="00A47338">
        <w:rPr>
          <w:rFonts w:ascii="Arial" w:eastAsia="Arial" w:hAnsi="Arial" w:cs="Arial"/>
        </w:rPr>
        <w:t xml:space="preserve"> (1994), who argue that external changes trigger discontinuous revolutionary changes, Greiner posited that internal problems are the catalysts for crises and disruptive shifts. The way these crises are handled determines the organization's survival and progression into the next phase of growth. Therefore, managers should be cognizant of their organization's current developmental stage and identify the specific problems that need attention.</w:t>
      </w:r>
    </w:p>
    <w:p w14:paraId="3ED9032F" w14:textId="77777777" w:rsidR="00A47338" w:rsidRPr="00A47338" w:rsidRDefault="00A47338" w:rsidP="00A47338">
      <w:pPr>
        <w:spacing w:after="0" w:line="360" w:lineRule="auto"/>
        <w:jc w:val="both"/>
        <w:rPr>
          <w:rFonts w:ascii="Arial" w:eastAsia="Arial" w:hAnsi="Arial" w:cs="Arial"/>
        </w:rPr>
      </w:pPr>
    </w:p>
    <w:p w14:paraId="265BEEA7" w14:textId="77777777" w:rsidR="00A47338" w:rsidRPr="00A47338" w:rsidRDefault="00A47338" w:rsidP="00A47338">
      <w:pPr>
        <w:spacing w:after="0" w:line="360" w:lineRule="auto"/>
        <w:jc w:val="both"/>
        <w:rPr>
          <w:rFonts w:ascii="Arial" w:eastAsia="Arial" w:hAnsi="Arial" w:cs="Arial"/>
        </w:rPr>
      </w:pPr>
      <w:r w:rsidRPr="00A47338">
        <w:rPr>
          <w:rFonts w:ascii="Arial" w:eastAsia="Arial" w:hAnsi="Arial" w:cs="Arial"/>
        </w:rPr>
        <w:t>Greiner (1972) asserted that each evolutionary period corresponds to a dominant management style, and each revolution presents a dominant management challenge that must be resolved for the organization to continue its growth trajectory.</w:t>
      </w:r>
    </w:p>
    <w:p w14:paraId="2FDF4892" w14:textId="77777777" w:rsidR="00A47338" w:rsidRPr="00A47338" w:rsidRDefault="00A47338" w:rsidP="00A47338">
      <w:pPr>
        <w:spacing w:after="0" w:line="360" w:lineRule="auto"/>
        <w:jc w:val="both"/>
        <w:rPr>
          <w:rFonts w:ascii="Arial" w:eastAsia="Arial" w:hAnsi="Arial" w:cs="Arial"/>
        </w:rPr>
      </w:pPr>
    </w:p>
    <w:p w14:paraId="23EFE2F4" w14:textId="77777777" w:rsidR="00A47338" w:rsidRPr="00A47338" w:rsidRDefault="00A47338" w:rsidP="00A47338">
      <w:pPr>
        <w:spacing w:after="0" w:line="360" w:lineRule="auto"/>
        <w:jc w:val="both"/>
        <w:rPr>
          <w:rFonts w:ascii="Arial" w:eastAsia="Arial" w:hAnsi="Arial" w:cs="Arial"/>
        </w:rPr>
      </w:pPr>
      <w:r w:rsidRPr="00A47338">
        <w:rPr>
          <w:rFonts w:ascii="Arial" w:eastAsia="Arial" w:hAnsi="Arial" w:cs="Arial"/>
        </w:rPr>
        <w:t>The five phases are as follows:</w:t>
      </w:r>
    </w:p>
    <w:p w14:paraId="44E28348" w14:textId="77777777" w:rsidR="00A47338" w:rsidRPr="00A47338" w:rsidRDefault="00A47338" w:rsidP="00A47338">
      <w:pPr>
        <w:spacing w:after="0" w:line="360" w:lineRule="auto"/>
        <w:jc w:val="both"/>
        <w:rPr>
          <w:rFonts w:ascii="Arial" w:eastAsia="Arial" w:hAnsi="Arial" w:cs="Arial"/>
        </w:rPr>
      </w:pPr>
    </w:p>
    <w:p w14:paraId="40D3366D" w14:textId="77777777" w:rsidR="00A47338" w:rsidRPr="00A47338" w:rsidRDefault="00A47338" w:rsidP="00A47338">
      <w:pPr>
        <w:spacing w:after="0" w:line="360" w:lineRule="auto"/>
        <w:jc w:val="both"/>
        <w:rPr>
          <w:rFonts w:ascii="Arial" w:eastAsia="Arial" w:hAnsi="Arial" w:cs="Arial"/>
        </w:rPr>
      </w:pPr>
      <w:r w:rsidRPr="00A47338">
        <w:rPr>
          <w:rFonts w:ascii="Arial" w:eastAsia="Arial" w:hAnsi="Arial" w:cs="Arial"/>
        </w:rPr>
        <w:t>Growth through Creativity Leading to a Leadership Crisis: Initially, organizations focus on identifying a market and product creation. Founders are typically entrepreneurial and technically skilled, and the organizational structure, systems, and culture are informal. However, as the organization expands, the need for greater knowledge of manufacturing efficiency, professional financial control, and formal personnel management arises, leading to a leadership crisis. A new management approach is required, which may involve bringing in an external business manager.</w:t>
      </w:r>
    </w:p>
    <w:p w14:paraId="01DBC234" w14:textId="77777777" w:rsidR="00A47338" w:rsidRPr="00A47338" w:rsidRDefault="00A47338" w:rsidP="00A47338">
      <w:pPr>
        <w:spacing w:after="0" w:line="360" w:lineRule="auto"/>
        <w:jc w:val="both"/>
        <w:rPr>
          <w:rFonts w:ascii="Arial" w:eastAsia="Arial" w:hAnsi="Arial" w:cs="Arial"/>
        </w:rPr>
      </w:pPr>
    </w:p>
    <w:p w14:paraId="66B5E6C2" w14:textId="77777777" w:rsidR="00A47338" w:rsidRPr="00A47338" w:rsidRDefault="00A47338" w:rsidP="00A47338">
      <w:pPr>
        <w:spacing w:after="0" w:line="360" w:lineRule="auto"/>
        <w:jc w:val="both"/>
        <w:rPr>
          <w:rFonts w:ascii="Arial" w:eastAsia="Arial" w:hAnsi="Arial" w:cs="Arial"/>
        </w:rPr>
      </w:pPr>
      <w:r w:rsidRPr="00A47338">
        <w:rPr>
          <w:rFonts w:ascii="Arial" w:eastAsia="Arial" w:hAnsi="Arial" w:cs="Arial"/>
        </w:rPr>
        <w:lastRenderedPageBreak/>
        <w:t>Growth through Direction Leading to an Autonomy Crisis: In the second growth phase, organizations differentiate activities and establish a functional organizational structure with a clear hierarchy and more formal systems. While this enhances efficiency, continued growth can lead to reduced effectiveness.</w:t>
      </w:r>
    </w:p>
    <w:p w14:paraId="6B627E36" w14:textId="77777777" w:rsidR="00A47338" w:rsidRPr="00A47338" w:rsidRDefault="00A47338" w:rsidP="00A47338">
      <w:pPr>
        <w:spacing w:after="0" w:line="360" w:lineRule="auto"/>
        <w:jc w:val="both"/>
        <w:rPr>
          <w:rFonts w:ascii="Arial" w:eastAsia="Arial" w:hAnsi="Arial" w:cs="Arial"/>
        </w:rPr>
      </w:pPr>
    </w:p>
    <w:p w14:paraId="3C90D760" w14:textId="77777777" w:rsidR="00A47338" w:rsidRPr="00A47338" w:rsidRDefault="00A47338" w:rsidP="00A47338">
      <w:pPr>
        <w:spacing w:after="0" w:line="360" w:lineRule="auto"/>
        <w:jc w:val="both"/>
        <w:rPr>
          <w:rFonts w:ascii="Arial" w:eastAsia="Arial" w:hAnsi="Arial" w:cs="Arial"/>
        </w:rPr>
      </w:pPr>
      <w:r w:rsidRPr="00A47338">
        <w:rPr>
          <w:rFonts w:ascii="Arial" w:eastAsia="Arial" w:hAnsi="Arial" w:cs="Arial"/>
        </w:rPr>
        <w:t>Growth through Delegation Leading to a Control Crisis: Delegation offers various benefits, including employee motivation and faster decision-making. Nevertheless, as the organization decentralizes, employees may lose sight of overarching goals, develop parochial mindsets, and work too independently, necessitating increased coordination across the organization.</w:t>
      </w:r>
    </w:p>
    <w:p w14:paraId="1BA35E29" w14:textId="77777777" w:rsidR="00A47338" w:rsidRPr="00A47338" w:rsidRDefault="00A47338" w:rsidP="00A47338">
      <w:pPr>
        <w:spacing w:after="0" w:line="360" w:lineRule="auto"/>
        <w:jc w:val="both"/>
        <w:rPr>
          <w:rFonts w:ascii="Arial" w:eastAsia="Arial" w:hAnsi="Arial" w:cs="Arial"/>
        </w:rPr>
      </w:pPr>
    </w:p>
    <w:p w14:paraId="65600E07" w14:textId="77777777" w:rsidR="00A47338" w:rsidRPr="00A47338" w:rsidRDefault="00A47338" w:rsidP="00A47338">
      <w:pPr>
        <w:spacing w:after="0" w:line="360" w:lineRule="auto"/>
        <w:jc w:val="both"/>
        <w:rPr>
          <w:rFonts w:ascii="Arial" w:eastAsia="Arial" w:hAnsi="Arial" w:cs="Arial"/>
        </w:rPr>
      </w:pPr>
      <w:r w:rsidRPr="00A47338">
        <w:rPr>
          <w:rFonts w:ascii="Arial" w:eastAsia="Arial" w:hAnsi="Arial" w:cs="Arial"/>
        </w:rPr>
        <w:t>Growth through Coordination Leading to a 'Red Tape' Crisis: To facilitate greater coordination, formal systems and procedures are introduced. While these measures align various functions, departments, and work groups with corporate goals, excessive bureaucratization can stifle initiative and hinder growth.</w:t>
      </w:r>
    </w:p>
    <w:p w14:paraId="31071928" w14:textId="77777777" w:rsidR="00A47338" w:rsidRPr="00A47338" w:rsidRDefault="00A47338" w:rsidP="00A47338">
      <w:pPr>
        <w:spacing w:after="0" w:line="360" w:lineRule="auto"/>
        <w:jc w:val="both"/>
        <w:rPr>
          <w:rFonts w:ascii="Arial" w:eastAsia="Arial" w:hAnsi="Arial" w:cs="Arial"/>
        </w:rPr>
      </w:pPr>
    </w:p>
    <w:p w14:paraId="785CDB9C" w14:textId="77777777" w:rsidR="00A47338" w:rsidRPr="00A47338" w:rsidRDefault="00A47338" w:rsidP="00A47338">
      <w:pPr>
        <w:spacing w:after="0" w:line="360" w:lineRule="auto"/>
        <w:jc w:val="both"/>
        <w:rPr>
          <w:rFonts w:ascii="Arial" w:eastAsia="Arial" w:hAnsi="Arial" w:cs="Arial"/>
        </w:rPr>
      </w:pPr>
      <w:r w:rsidRPr="00A47338">
        <w:rPr>
          <w:rFonts w:ascii="Arial" w:eastAsia="Arial" w:hAnsi="Arial" w:cs="Arial"/>
        </w:rPr>
        <w:t>Growth through Collaboration: This phase encourages spontaneity through the development of interpersonal skills, matrix and network structures, and associated systems that rely more on social control and self-discipline than formal control and top-down monitoring.</w:t>
      </w:r>
    </w:p>
    <w:p w14:paraId="1D61E5D6" w14:textId="77777777" w:rsidR="00A47338" w:rsidRPr="00A47338" w:rsidRDefault="00A47338" w:rsidP="00A47338">
      <w:pPr>
        <w:spacing w:after="0" w:line="360" w:lineRule="auto"/>
        <w:jc w:val="both"/>
        <w:rPr>
          <w:rFonts w:ascii="Arial" w:eastAsia="Arial" w:hAnsi="Arial" w:cs="Arial"/>
        </w:rPr>
      </w:pPr>
    </w:p>
    <w:p w14:paraId="3337916E" w14:textId="4FBB0773" w:rsidR="00992AB3" w:rsidRDefault="00A47338" w:rsidP="00A47338">
      <w:pPr>
        <w:spacing w:after="0" w:line="360" w:lineRule="auto"/>
        <w:jc w:val="both"/>
      </w:pPr>
      <w:r w:rsidRPr="00A47338">
        <w:rPr>
          <w:rFonts w:ascii="Arial" w:eastAsia="Arial" w:hAnsi="Arial" w:cs="Arial"/>
        </w:rPr>
        <w:t>Figure 4.2 illustrates Greiner's five phases of evolutionary growth, characterized by a continuous stream of low-intensity incremental changes, overlaying the pattern of punctuated equilibrium seen in Figure 3.3. The periods of equilibrium are disrupted by revolutionary change periods that must be navigated successfully for the organization to thrive. Greiner argued that, during these critical transition points, change managers should be aware of the organization's history, its current developmental phase, and identify the new organizational practices that will guide the journey into the next phase of evolutionary growth.</w:t>
      </w:r>
    </w:p>
    <w:p w14:paraId="75D2E739" w14:textId="4F00AA0F" w:rsidR="00992AB3" w:rsidRDefault="00992AB3">
      <w:pPr>
        <w:spacing w:after="0" w:line="360" w:lineRule="auto"/>
        <w:jc w:val="both"/>
        <w:rPr>
          <w:rFonts w:ascii="Arial" w:eastAsia="Arial" w:hAnsi="Arial" w:cs="Arial"/>
          <w:b/>
        </w:rPr>
      </w:pPr>
      <w:r>
        <w:rPr>
          <w:noProof/>
          <w:lang w:val="en-PH" w:eastAsia="en-PH"/>
        </w:rPr>
        <w:lastRenderedPageBreak/>
        <w:drawing>
          <wp:inline distT="0" distB="0" distL="0" distR="0" wp14:anchorId="6788D5AB" wp14:editId="0779E142">
            <wp:extent cx="4495800" cy="2809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95800" cy="2809875"/>
                    </a:xfrm>
                    <a:prstGeom prst="rect">
                      <a:avLst/>
                    </a:prstGeom>
                  </pic:spPr>
                </pic:pic>
              </a:graphicData>
            </a:graphic>
          </wp:inline>
        </w:drawing>
      </w:r>
    </w:p>
    <w:p w14:paraId="69C3562C" w14:textId="7BE0D267" w:rsidR="00992AB3" w:rsidRDefault="00992AB3">
      <w:pPr>
        <w:spacing w:after="0" w:line="360" w:lineRule="auto"/>
        <w:jc w:val="both"/>
        <w:rPr>
          <w:rFonts w:ascii="Arial" w:eastAsia="Arial" w:hAnsi="Arial" w:cs="Arial"/>
          <w:b/>
        </w:rPr>
      </w:pPr>
      <w:r>
        <w:rPr>
          <w:noProof/>
          <w:lang w:val="en-PH" w:eastAsia="en-PH"/>
        </w:rPr>
        <mc:AlternateContent>
          <mc:Choice Requires="wps">
            <w:drawing>
              <wp:anchor distT="0" distB="0" distL="114300" distR="114300" simplePos="0" relativeHeight="251663360" behindDoc="0" locked="0" layoutInCell="1" hidden="0" allowOverlap="1" wp14:anchorId="3ACEC6A1" wp14:editId="2FD103B4">
                <wp:simplePos x="0" y="0"/>
                <wp:positionH relativeFrom="column">
                  <wp:posOffset>1562100</wp:posOffset>
                </wp:positionH>
                <wp:positionV relativeFrom="paragraph">
                  <wp:posOffset>8255</wp:posOffset>
                </wp:positionV>
                <wp:extent cx="3988435" cy="389088"/>
                <wp:effectExtent l="0" t="0" r="0" b="0"/>
                <wp:wrapNone/>
                <wp:docPr id="4" name="Rectangle 4"/>
                <wp:cNvGraphicFramePr/>
                <a:graphic xmlns:a="http://schemas.openxmlformats.org/drawingml/2006/main">
                  <a:graphicData uri="http://schemas.microsoft.com/office/word/2010/wordprocessingShape">
                    <wps:wsp>
                      <wps:cNvSpPr/>
                      <wps:spPr>
                        <a:xfrm>
                          <a:off x="0" y="0"/>
                          <a:ext cx="3988435" cy="389088"/>
                        </a:xfrm>
                        <a:prstGeom prst="rect">
                          <a:avLst/>
                        </a:prstGeom>
                        <a:solidFill>
                          <a:schemeClr val="lt1"/>
                        </a:solidFill>
                        <a:ln>
                          <a:noFill/>
                        </a:ln>
                      </wps:spPr>
                      <wps:txbx>
                        <w:txbxContent>
                          <w:p w14:paraId="213763BA" w14:textId="77FB3912" w:rsidR="00992AB3" w:rsidRDefault="00992AB3" w:rsidP="00992AB3">
                            <w:pPr>
                              <w:spacing w:line="360" w:lineRule="auto"/>
                              <w:textDirection w:val="btLr"/>
                            </w:pPr>
                            <w:r>
                              <w:rPr>
                                <w:rFonts w:ascii="Arial" w:eastAsia="Arial" w:hAnsi="Arial" w:cs="Arial"/>
                                <w:color w:val="000000"/>
                                <w:sz w:val="14"/>
                              </w:rPr>
                              <w:t>Source: Hayes, John. The theory and practice of change management 4</w:t>
                            </w:r>
                            <w:r>
                              <w:rPr>
                                <w:rFonts w:ascii="Arial" w:eastAsia="Arial" w:hAnsi="Arial" w:cs="Arial"/>
                                <w:color w:val="000000"/>
                                <w:sz w:val="14"/>
                                <w:vertAlign w:val="superscript"/>
                              </w:rPr>
                              <w:t>th</w:t>
                            </w:r>
                            <w:r>
                              <w:rPr>
                                <w:rFonts w:ascii="Arial" w:eastAsia="Arial" w:hAnsi="Arial" w:cs="Arial"/>
                                <w:color w:val="000000"/>
                                <w:sz w:val="14"/>
                              </w:rPr>
                              <w:t xml:space="preserve"> edition. pp 72</w:t>
                            </w:r>
                          </w:p>
                          <w:p w14:paraId="64F9A4F2" w14:textId="77777777" w:rsidR="00992AB3" w:rsidRDefault="00992AB3" w:rsidP="00992AB3">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3ACEC6A1" id="Rectangle 4" o:spid="_x0000_s1027" style="position:absolute;left:0;text-align:left;margin-left:123pt;margin-top:.65pt;width:314.05pt;height:30.6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" fillcolor="white [3201]" stroked="f">
                <v:textbox inset="2.53958mm,1.2694mm,2.53958mm,1.2694mm">
                  <w:txbxContent>
                    <w:p w14:paraId="213763BA" w14:textId="77FB3912" w:rsidR="00992AB3" w:rsidRDefault="00992AB3" w:rsidP="00992AB3">
                      <w:pPr>
                        <w:spacing w:line="360" w:lineRule="auto"/>
                        <w:textDirection w:val="btLr"/>
                      </w:pPr>
                      <w:r>
                        <w:rPr>
                          <w:rFonts w:ascii="Arial" w:eastAsia="Arial" w:hAnsi="Arial" w:cs="Arial"/>
                          <w:color w:val="000000"/>
                          <w:sz w:val="14"/>
                        </w:rPr>
                        <w:t>Source: Hayes, John. The theory and practice of change management 4</w:t>
                      </w:r>
                      <w:r>
                        <w:rPr>
                          <w:rFonts w:ascii="Arial" w:eastAsia="Arial" w:hAnsi="Arial" w:cs="Arial"/>
                          <w:color w:val="000000"/>
                          <w:sz w:val="14"/>
                          <w:vertAlign w:val="superscript"/>
                        </w:rPr>
                        <w:t>th</w:t>
                      </w:r>
                      <w:r>
                        <w:rPr>
                          <w:rFonts w:ascii="Arial" w:eastAsia="Arial" w:hAnsi="Arial" w:cs="Arial"/>
                          <w:color w:val="000000"/>
                          <w:sz w:val="14"/>
                        </w:rPr>
                        <w:t xml:space="preserve"> edition. pp 72</w:t>
                      </w:r>
                    </w:p>
                    <w:p w14:paraId="64F9A4F2" w14:textId="77777777" w:rsidR="00992AB3" w:rsidRDefault="00992AB3" w:rsidP="00992AB3">
                      <w:pPr>
                        <w:spacing w:line="258" w:lineRule="auto"/>
                        <w:textDirection w:val="btLr"/>
                      </w:pPr>
                    </w:p>
                  </w:txbxContent>
                </v:textbox>
              </v:rect>
            </w:pict>
          </mc:Fallback>
        </mc:AlternateContent>
      </w:r>
    </w:p>
    <w:p w14:paraId="50BA46E3" w14:textId="77777777" w:rsidR="00992AB3" w:rsidRDefault="00992AB3">
      <w:pPr>
        <w:spacing w:after="0" w:line="360" w:lineRule="auto"/>
        <w:jc w:val="both"/>
        <w:rPr>
          <w:rFonts w:ascii="Arial" w:eastAsia="Arial" w:hAnsi="Arial" w:cs="Arial"/>
          <w:b/>
        </w:rPr>
      </w:pPr>
    </w:p>
    <w:p w14:paraId="2262B803" w14:textId="77777777" w:rsidR="009847EE" w:rsidRDefault="007C199E">
      <w:pPr>
        <w:spacing w:after="0" w:line="360" w:lineRule="auto"/>
        <w:jc w:val="both"/>
        <w:rPr>
          <w:rFonts w:ascii="Arial" w:eastAsia="Arial" w:hAnsi="Arial" w:cs="Arial"/>
          <w:b/>
          <w:color w:val="000000"/>
        </w:rPr>
      </w:pPr>
      <w:r>
        <w:rPr>
          <w:rFonts w:ascii="Arial" w:eastAsia="Arial" w:hAnsi="Arial" w:cs="Arial"/>
          <w:b/>
          <w:color w:val="000000"/>
        </w:rPr>
        <w:t>Lesson 3</w:t>
      </w:r>
    </w:p>
    <w:p w14:paraId="403A14BF" w14:textId="61EE6920" w:rsidR="009847EE" w:rsidRDefault="00992AB3">
      <w:pPr>
        <w:spacing w:after="0" w:line="360" w:lineRule="auto"/>
        <w:jc w:val="both"/>
        <w:rPr>
          <w:rFonts w:ascii="Arial" w:eastAsia="Arial" w:hAnsi="Arial" w:cs="Arial"/>
          <w:b/>
          <w:color w:val="000000"/>
          <w:u w:val="single"/>
        </w:rPr>
      </w:pPr>
      <w:r w:rsidRPr="00992AB3">
        <w:rPr>
          <w:rFonts w:ascii="Arial" w:eastAsia="Arial" w:hAnsi="Arial" w:cs="Arial"/>
          <w:b/>
          <w:color w:val="000000"/>
          <w:u w:val="single"/>
        </w:rPr>
        <w:t>Recognizing the need for change</w:t>
      </w:r>
    </w:p>
    <w:p w14:paraId="46BC106A" w14:textId="77777777" w:rsidR="00CB08AA" w:rsidRDefault="00CB08AA">
      <w:pPr>
        <w:spacing w:after="0" w:line="360" w:lineRule="auto"/>
        <w:jc w:val="both"/>
        <w:rPr>
          <w:rFonts w:ascii="Arial" w:eastAsia="Arial" w:hAnsi="Arial" w:cs="Arial"/>
          <w:b/>
          <w:color w:val="000000"/>
          <w:u w:val="single"/>
        </w:rPr>
      </w:pPr>
    </w:p>
    <w:p w14:paraId="5F2F81BB" w14:textId="77777777" w:rsidR="00A47338" w:rsidRDefault="00A47338" w:rsidP="00A47338">
      <w:pPr>
        <w:spacing w:after="0" w:line="360" w:lineRule="auto"/>
        <w:jc w:val="both"/>
      </w:pPr>
      <w:r>
        <w:t>Failure to acknowledge the necessity for change can result in both internal and external misalignments that have the potential to undermine the effectiveness of an organization. Hickman and Silva (1984) made the observation that most struggling organizations are oblivious to their own issues. They argue that, in most instances, these organizations are not in distress because they lack the ability to resolve their problems; rather, they are in distress because they are unable to perceive their problems. To address this, organizations must cultivate what Egan (1988) describes as a 'culture of vigilance.' However, this vigilance can be compromised by various factors, including cognitive biases, looking back and rationalizing past decisions, and a short-term perspective that encourages managers to adhere to a successful formula for too long without giving due consideration to how the situation may evolve over a more extended period.</w:t>
      </w:r>
    </w:p>
    <w:p w14:paraId="3C90CC19" w14:textId="77777777" w:rsidR="00A47338" w:rsidRDefault="00A47338" w:rsidP="00A47338">
      <w:pPr>
        <w:spacing w:after="0" w:line="360" w:lineRule="auto"/>
        <w:jc w:val="both"/>
      </w:pPr>
    </w:p>
    <w:p w14:paraId="19F29F1F" w14:textId="77777777" w:rsidR="00A47338" w:rsidRDefault="00A47338" w:rsidP="00A47338">
      <w:pPr>
        <w:spacing w:after="0" w:line="360" w:lineRule="auto"/>
        <w:jc w:val="both"/>
      </w:pPr>
      <w:r>
        <w:t xml:space="preserve">Nadler and Shaw (1995) lend support to </w:t>
      </w:r>
      <w:proofErr w:type="spellStart"/>
      <w:r>
        <w:t>Sydow</w:t>
      </w:r>
      <w:proofErr w:type="spellEnd"/>
      <w:r>
        <w:t xml:space="preserve"> et al.'s (2009) concept of organizational path dependence by highlighting a paradox in organizational life: success often paves the way for failure. This phenomenon occurs because, when organizations achieve success, managers tend to become entrenched in the behaviors that initially led to that success. These behaviors become ingrained or institutionalized and are </w:t>
      </w:r>
      <w:r>
        <w:lastRenderedPageBreak/>
        <w:t>rarely questioned. Nadler and Shaw expand on this argument by suggesting that success frequently results in growth, which in turn leads to increased complexity and differentiation within the organization.</w:t>
      </w:r>
    </w:p>
    <w:p w14:paraId="0BCF190B" w14:textId="77777777" w:rsidR="00A47338" w:rsidRDefault="00A47338" w:rsidP="00A47338">
      <w:pPr>
        <w:spacing w:after="0" w:line="360" w:lineRule="auto"/>
        <w:jc w:val="both"/>
      </w:pPr>
    </w:p>
    <w:p w14:paraId="1A21285F" w14:textId="230077FD" w:rsidR="00E60EA9" w:rsidRDefault="00A47338" w:rsidP="00A47338">
      <w:pPr>
        <w:spacing w:after="0" w:line="360" w:lineRule="auto"/>
        <w:jc w:val="both"/>
      </w:pPr>
      <w:r>
        <w:t>As this complexity grows, attention shifts away from how the organization interacts with its external environment, with the assumption that this interaction will continue to be successful. Instead, the focus shifts to managing the new and more intricate relationships within the organization. Customers and suppliers may receive less attention, and the competitive advantages of rival organizations, such as cost reduction or faster time-to-market, may be insufficiently considered. If this complacency and internal focus result in declining performance, the organization may mistakenly believe that the solution is to continue the strategies that previously led to success. Nadler and Shaw (1995, p. 11) describe this situation as the organization becoming 'learning disabled.' Managers become incapable of looking beyond their internal boundaries, reflecting on both successes and failures, embracing new ideas, and gaining fresh insights. Left unchecked, this trap of success can ultimately lead to what they term the 'death spiral' (see Figure 4.3).</w:t>
      </w:r>
    </w:p>
    <w:p w14:paraId="051693A4" w14:textId="4B535499" w:rsidR="00E60EA9" w:rsidRDefault="00E60EA9" w:rsidP="00E60EA9">
      <w:pPr>
        <w:spacing w:after="0" w:line="360" w:lineRule="auto"/>
        <w:jc w:val="both"/>
      </w:pPr>
      <w:r>
        <w:rPr>
          <w:noProof/>
          <w:lang w:val="en-PH" w:eastAsia="en-PH"/>
        </w:rPr>
        <w:drawing>
          <wp:inline distT="0" distB="0" distL="0" distR="0" wp14:anchorId="0E45EDF1" wp14:editId="1EBDA163">
            <wp:extent cx="4743450" cy="2819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43450" cy="2819400"/>
                    </a:xfrm>
                    <a:prstGeom prst="rect">
                      <a:avLst/>
                    </a:prstGeom>
                  </pic:spPr>
                </pic:pic>
              </a:graphicData>
            </a:graphic>
          </wp:inline>
        </w:drawing>
      </w:r>
    </w:p>
    <w:p w14:paraId="4494F9B0" w14:textId="56E15D1A" w:rsidR="00E60EA9" w:rsidRDefault="00E60EA9" w:rsidP="00E60EA9">
      <w:pPr>
        <w:spacing w:after="0" w:line="360" w:lineRule="auto"/>
        <w:jc w:val="both"/>
      </w:pPr>
      <w:r>
        <w:rPr>
          <w:noProof/>
          <w:lang w:val="en-PH" w:eastAsia="en-PH"/>
        </w:rPr>
        <mc:AlternateContent>
          <mc:Choice Requires="wps">
            <w:drawing>
              <wp:anchor distT="0" distB="0" distL="114300" distR="114300" simplePos="0" relativeHeight="251665408" behindDoc="0" locked="0" layoutInCell="1" hidden="0" allowOverlap="1" wp14:anchorId="5531486D" wp14:editId="43A66C50">
                <wp:simplePos x="0" y="0"/>
                <wp:positionH relativeFrom="column">
                  <wp:posOffset>1447800</wp:posOffset>
                </wp:positionH>
                <wp:positionV relativeFrom="paragraph">
                  <wp:posOffset>8890</wp:posOffset>
                </wp:positionV>
                <wp:extent cx="3988435" cy="389088"/>
                <wp:effectExtent l="0" t="0" r="0" b="0"/>
                <wp:wrapNone/>
                <wp:docPr id="6" name="Rectangle 6"/>
                <wp:cNvGraphicFramePr/>
                <a:graphic xmlns:a="http://schemas.openxmlformats.org/drawingml/2006/main">
                  <a:graphicData uri="http://schemas.microsoft.com/office/word/2010/wordprocessingShape">
                    <wps:wsp>
                      <wps:cNvSpPr/>
                      <wps:spPr>
                        <a:xfrm>
                          <a:off x="0" y="0"/>
                          <a:ext cx="3988435" cy="389088"/>
                        </a:xfrm>
                        <a:prstGeom prst="rect">
                          <a:avLst/>
                        </a:prstGeom>
                        <a:solidFill>
                          <a:schemeClr val="lt1"/>
                        </a:solidFill>
                        <a:ln>
                          <a:noFill/>
                        </a:ln>
                      </wps:spPr>
                      <wps:txbx>
                        <w:txbxContent>
                          <w:p w14:paraId="69E1C283" w14:textId="38DEC4D3" w:rsidR="00E60EA9" w:rsidRDefault="00E60EA9" w:rsidP="00E60EA9">
                            <w:pPr>
                              <w:spacing w:line="360" w:lineRule="auto"/>
                              <w:textDirection w:val="btLr"/>
                            </w:pPr>
                            <w:r>
                              <w:rPr>
                                <w:rFonts w:ascii="Arial" w:eastAsia="Arial" w:hAnsi="Arial" w:cs="Arial"/>
                                <w:color w:val="000000"/>
                                <w:sz w:val="14"/>
                              </w:rPr>
                              <w:t>Source: Hayes, John. The theory and practice of change management 4</w:t>
                            </w:r>
                            <w:r>
                              <w:rPr>
                                <w:rFonts w:ascii="Arial" w:eastAsia="Arial" w:hAnsi="Arial" w:cs="Arial"/>
                                <w:color w:val="000000"/>
                                <w:sz w:val="14"/>
                                <w:vertAlign w:val="superscript"/>
                              </w:rPr>
                              <w:t>th</w:t>
                            </w:r>
                            <w:r>
                              <w:rPr>
                                <w:rFonts w:ascii="Arial" w:eastAsia="Arial" w:hAnsi="Arial" w:cs="Arial"/>
                                <w:color w:val="000000"/>
                                <w:sz w:val="14"/>
                              </w:rPr>
                              <w:t xml:space="preserve"> edition. pp 73</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5531486D" id="Rectangle 6" o:spid="_x0000_s1028" style="position:absolute;left:0;text-align:left;margin-left:114pt;margin-top:.7pt;width:314.05pt;height:30.6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" fillcolor="white [3201]" stroked="f">
                <v:textbox inset="2.53958mm,1.2694mm,2.53958mm,1.2694mm">
                  <w:txbxContent>
                    <w:p w14:paraId="69E1C283" w14:textId="38DEC4D3" w:rsidR="00E60EA9" w:rsidRDefault="00E60EA9" w:rsidP="00E60EA9">
                      <w:pPr>
                        <w:spacing w:line="360" w:lineRule="auto"/>
                        <w:textDirection w:val="btLr"/>
                      </w:pPr>
                      <w:r>
                        <w:rPr>
                          <w:rFonts w:ascii="Arial" w:eastAsia="Arial" w:hAnsi="Arial" w:cs="Arial"/>
                          <w:color w:val="000000"/>
                          <w:sz w:val="14"/>
                        </w:rPr>
                        <w:t>Source: Hayes, John. The theory and practice of change management 4</w:t>
                      </w:r>
                      <w:r>
                        <w:rPr>
                          <w:rFonts w:ascii="Arial" w:eastAsia="Arial" w:hAnsi="Arial" w:cs="Arial"/>
                          <w:color w:val="000000"/>
                          <w:sz w:val="14"/>
                          <w:vertAlign w:val="superscript"/>
                        </w:rPr>
                        <w:t>th</w:t>
                      </w:r>
                      <w:r>
                        <w:rPr>
                          <w:rFonts w:ascii="Arial" w:eastAsia="Arial" w:hAnsi="Arial" w:cs="Arial"/>
                          <w:color w:val="000000"/>
                          <w:sz w:val="14"/>
                        </w:rPr>
                        <w:t xml:space="preserve"> edition. pp 7</w:t>
                      </w:r>
                      <w:r>
                        <w:rPr>
                          <w:rFonts w:ascii="Arial" w:eastAsia="Arial" w:hAnsi="Arial" w:cs="Arial"/>
                          <w:color w:val="000000"/>
                          <w:sz w:val="14"/>
                        </w:rPr>
                        <w:t>3</w:t>
                      </w:r>
                    </w:p>
                  </w:txbxContent>
                </v:textbox>
              </v:rect>
            </w:pict>
          </mc:Fallback>
        </mc:AlternateContent>
      </w:r>
    </w:p>
    <w:p w14:paraId="20F026FF" w14:textId="77777777" w:rsidR="00A47338" w:rsidRDefault="00A47338" w:rsidP="00E60EA9">
      <w:pPr>
        <w:spacing w:line="360" w:lineRule="auto"/>
        <w:jc w:val="both"/>
        <w:rPr>
          <w:rFonts w:ascii="Arial" w:eastAsia="Arial" w:hAnsi="Arial" w:cs="Arial"/>
        </w:rPr>
      </w:pPr>
    </w:p>
    <w:p w14:paraId="0D8C0659" w14:textId="77777777" w:rsidR="00A47338" w:rsidRDefault="00A47338" w:rsidP="00E60EA9">
      <w:pPr>
        <w:spacing w:line="360" w:lineRule="auto"/>
        <w:jc w:val="both"/>
        <w:rPr>
          <w:rFonts w:ascii="Arial" w:eastAsia="Arial" w:hAnsi="Arial" w:cs="Arial"/>
        </w:rPr>
      </w:pPr>
    </w:p>
    <w:p w14:paraId="50C875AD" w14:textId="77777777" w:rsidR="00A47338" w:rsidRDefault="00A47338" w:rsidP="00E60EA9">
      <w:pPr>
        <w:spacing w:line="360" w:lineRule="auto"/>
        <w:jc w:val="both"/>
        <w:rPr>
          <w:rFonts w:ascii="Arial" w:eastAsia="Arial" w:hAnsi="Arial" w:cs="Arial"/>
        </w:rPr>
      </w:pPr>
    </w:p>
    <w:p w14:paraId="786A0447" w14:textId="4FDC4824" w:rsidR="00E60EA9" w:rsidRDefault="00E60EA9" w:rsidP="00E60EA9">
      <w:pPr>
        <w:spacing w:line="360" w:lineRule="auto"/>
        <w:jc w:val="both"/>
        <w:rPr>
          <w:rFonts w:ascii="Arial" w:eastAsia="Arial" w:hAnsi="Arial" w:cs="Arial"/>
        </w:rPr>
      </w:pPr>
      <w:r>
        <w:rPr>
          <w:rFonts w:ascii="Arial" w:eastAsia="Arial" w:hAnsi="Arial" w:cs="Arial"/>
        </w:rPr>
        <w:lastRenderedPageBreak/>
        <w:t>Lesson 4</w:t>
      </w:r>
    </w:p>
    <w:p w14:paraId="4FB153E9" w14:textId="0059C0FE" w:rsidR="00E60EA9" w:rsidRDefault="00E60EA9">
      <w:pPr>
        <w:spacing w:after="0" w:line="360" w:lineRule="auto"/>
        <w:jc w:val="both"/>
        <w:rPr>
          <w:rFonts w:ascii="Arial" w:eastAsia="Arial" w:hAnsi="Arial" w:cs="Arial"/>
          <w:b/>
          <w:color w:val="000000"/>
          <w:u w:val="single"/>
        </w:rPr>
      </w:pPr>
      <w:r w:rsidRPr="00E60EA9">
        <w:rPr>
          <w:rFonts w:ascii="Arial" w:eastAsia="Arial" w:hAnsi="Arial" w:cs="Arial"/>
          <w:b/>
          <w:color w:val="000000"/>
          <w:u w:val="single"/>
        </w:rPr>
        <w:t>Improving the organization’s ability to sense the need for change</w:t>
      </w:r>
    </w:p>
    <w:p w14:paraId="7F40411E" w14:textId="77777777" w:rsidR="00E60EA9" w:rsidRDefault="00E60EA9">
      <w:pPr>
        <w:spacing w:after="0" w:line="360" w:lineRule="auto"/>
        <w:jc w:val="both"/>
        <w:rPr>
          <w:rFonts w:ascii="Arial" w:eastAsia="Arial" w:hAnsi="Arial" w:cs="Arial"/>
          <w:b/>
          <w:color w:val="000000"/>
          <w:u w:val="single"/>
        </w:rPr>
      </w:pPr>
    </w:p>
    <w:p w14:paraId="038AD054" w14:textId="77777777" w:rsidR="00A47338" w:rsidRDefault="00A47338" w:rsidP="00A47338">
      <w:pPr>
        <w:spacing w:line="360" w:lineRule="auto"/>
        <w:jc w:val="both"/>
      </w:pPr>
      <w:r>
        <w:t>The process of recognizing the necessity for change and crafting a plan for change initiation commences when individuals become aware of and respond to what they perceive as significant events either in the external environment or within the organization. Pitt et al. (2002) point out that at times, the signals or occurrences that prompt individuals to realize the importance or urgency of an issue may appear relatively faint. Nonetheless, drawing on their intuition and context-specific experiences, some individuals can anticipate the ramifications of these signals.</w:t>
      </w:r>
    </w:p>
    <w:p w14:paraId="7F66D9FD" w14:textId="77777777" w:rsidR="00A47338" w:rsidRDefault="00A47338" w:rsidP="00A47338">
      <w:pPr>
        <w:spacing w:line="360" w:lineRule="auto"/>
        <w:jc w:val="both"/>
      </w:pPr>
    </w:p>
    <w:p w14:paraId="27C5B6F2" w14:textId="77777777" w:rsidR="00A47338" w:rsidRDefault="00A47338" w:rsidP="00A47338">
      <w:pPr>
        <w:spacing w:line="360" w:lineRule="auto"/>
        <w:jc w:val="both"/>
      </w:pPr>
      <w:r>
        <w:t>Monitoring Indicators of Effectiveness</w:t>
      </w:r>
    </w:p>
    <w:p w14:paraId="67083B74" w14:textId="77777777" w:rsidR="00A47338" w:rsidRDefault="00A47338" w:rsidP="00A47338">
      <w:pPr>
        <w:spacing w:line="360" w:lineRule="auto"/>
        <w:jc w:val="both"/>
      </w:pPr>
    </w:p>
    <w:p w14:paraId="06E6ED90" w14:textId="77777777" w:rsidR="00A47338" w:rsidRDefault="00A47338" w:rsidP="00A47338">
      <w:pPr>
        <w:spacing w:line="360" w:lineRule="auto"/>
        <w:jc w:val="both"/>
      </w:pPr>
      <w:r>
        <w:t>Managers bear the responsibility of ensuring the effective performance of the organization or the specific segment of the organization under their purview. Discrepancies between the actual performance and the desired level of performance serve as signals for the need for change. However, challenges may arise when such discrepancies go unnoticed because managers limit their attention to a narrow set of indicators and disregard others that might be equally or even more critical.</w:t>
      </w:r>
    </w:p>
    <w:p w14:paraId="4871F70E" w14:textId="77777777" w:rsidR="00A47338" w:rsidRDefault="00A47338" w:rsidP="00A47338">
      <w:pPr>
        <w:spacing w:line="360" w:lineRule="auto"/>
        <w:jc w:val="both"/>
      </w:pPr>
    </w:p>
    <w:p w14:paraId="7925C94B" w14:textId="643460C9" w:rsidR="00D0194A" w:rsidRPr="00D0194A" w:rsidRDefault="00D0194A" w:rsidP="00A47338">
      <w:pPr>
        <w:spacing w:line="360" w:lineRule="auto"/>
        <w:jc w:val="both"/>
        <w:rPr>
          <w:rFonts w:ascii="Arial" w:eastAsia="Arial" w:hAnsi="Arial" w:cs="Arial"/>
          <w:b/>
        </w:rPr>
      </w:pPr>
      <w:r w:rsidRPr="00D0194A">
        <w:rPr>
          <w:rFonts w:ascii="Arial" w:eastAsia="Arial" w:hAnsi="Arial" w:cs="Arial"/>
          <w:b/>
        </w:rPr>
        <w:t>The balanced scorecard</w:t>
      </w:r>
    </w:p>
    <w:p w14:paraId="5D1A0E73" w14:textId="77777777" w:rsidR="00684DD6" w:rsidRPr="00684DD6" w:rsidRDefault="00684DD6" w:rsidP="00684DD6">
      <w:pPr>
        <w:spacing w:line="360" w:lineRule="auto"/>
        <w:jc w:val="both"/>
        <w:rPr>
          <w:rFonts w:ascii="Arial" w:eastAsia="Arial" w:hAnsi="Arial" w:cs="Arial"/>
        </w:rPr>
      </w:pPr>
      <w:r w:rsidRPr="00684DD6">
        <w:rPr>
          <w:rFonts w:ascii="Arial" w:eastAsia="Arial" w:hAnsi="Arial" w:cs="Arial"/>
        </w:rPr>
        <w:t xml:space="preserve">Many organizations have embraced the balanced scorecard as a tool to assist managers in broadening the criteria used to evaluate performance. Kaplan and Norton (2004, p. ix) developed the balanced scorecard after observing that managers and other stakeholders tend to focus their attention on measurable aspects of performance, often neglecting those facets of organizational functioning that lack quantifiable metrics. They noted that most organizations primarily rely on financial accounting as their primary measurement system, which treats investments in employee skills, databases, information systems, customer relationships, quality, responsive processes, and innovative products and services as immediate expenses. According to their perspective, </w:t>
      </w:r>
      <w:r w:rsidRPr="00684DD6">
        <w:rPr>
          <w:rFonts w:ascii="Arial" w:eastAsia="Arial" w:hAnsi="Arial" w:cs="Arial"/>
        </w:rPr>
        <w:lastRenderedPageBreak/>
        <w:t>these financial reporting systems fall short in quantifying or providing a basis for managing the value generated by an organization's intangible assets.</w:t>
      </w:r>
    </w:p>
    <w:p w14:paraId="4BA926F8" w14:textId="77777777" w:rsidR="00684DD6" w:rsidRPr="00684DD6" w:rsidRDefault="00684DD6" w:rsidP="00684DD6">
      <w:pPr>
        <w:spacing w:line="360" w:lineRule="auto"/>
        <w:jc w:val="both"/>
        <w:rPr>
          <w:rFonts w:ascii="Arial" w:eastAsia="Arial" w:hAnsi="Arial" w:cs="Arial"/>
        </w:rPr>
      </w:pPr>
    </w:p>
    <w:p w14:paraId="3348E617" w14:textId="77777777" w:rsidR="00684DD6" w:rsidRPr="00684DD6" w:rsidRDefault="00684DD6" w:rsidP="00684DD6">
      <w:pPr>
        <w:spacing w:line="360" w:lineRule="auto"/>
        <w:jc w:val="both"/>
        <w:rPr>
          <w:rFonts w:ascii="Arial" w:eastAsia="Arial" w:hAnsi="Arial" w:cs="Arial"/>
        </w:rPr>
      </w:pPr>
      <w:r w:rsidRPr="00684DD6">
        <w:rPr>
          <w:rFonts w:ascii="Arial" w:eastAsia="Arial" w:hAnsi="Arial" w:cs="Arial"/>
        </w:rPr>
        <w:t>Diversity in the Senior Leadership Team</w:t>
      </w:r>
    </w:p>
    <w:p w14:paraId="0EAFCCB6" w14:textId="77777777" w:rsidR="00684DD6" w:rsidRPr="00684DD6" w:rsidRDefault="00684DD6" w:rsidP="00684DD6">
      <w:pPr>
        <w:spacing w:line="360" w:lineRule="auto"/>
        <w:jc w:val="both"/>
        <w:rPr>
          <w:rFonts w:ascii="Arial" w:eastAsia="Arial" w:hAnsi="Arial" w:cs="Arial"/>
        </w:rPr>
      </w:pPr>
    </w:p>
    <w:p w14:paraId="094D191E" w14:textId="77777777" w:rsidR="00684DD6" w:rsidRPr="00684DD6" w:rsidRDefault="00684DD6" w:rsidP="00684DD6">
      <w:pPr>
        <w:spacing w:line="360" w:lineRule="auto"/>
        <w:jc w:val="both"/>
        <w:rPr>
          <w:rFonts w:ascii="Arial" w:eastAsia="Arial" w:hAnsi="Arial" w:cs="Arial"/>
        </w:rPr>
      </w:pPr>
      <w:r w:rsidRPr="00684DD6">
        <w:rPr>
          <w:rFonts w:ascii="Arial" w:eastAsia="Arial" w:hAnsi="Arial" w:cs="Arial"/>
        </w:rPr>
        <w:t xml:space="preserve">It is frequently argued that when senior leadership teams consist of executives with diverse backgrounds, they are more likely to be attuned to a broader spectrum of internal and external factors that could influence future performance. This is in contrast to teams composed of individuals with similar backgrounds, which may be more prone to becoming "learning disabled" and trapped in the cycle of success. This proposition is rooted in the belief that an individual's functional background (current and past functional experience) shapes their cause-and-effect beliefs and influences their attention toward issues related to those beliefs. Several studies support this perspective. For example, Cohen and </w:t>
      </w:r>
      <w:proofErr w:type="spellStart"/>
      <w:r w:rsidRPr="00684DD6">
        <w:rPr>
          <w:rFonts w:ascii="Arial" w:eastAsia="Arial" w:hAnsi="Arial" w:cs="Arial"/>
        </w:rPr>
        <w:t>Ebbesen</w:t>
      </w:r>
      <w:proofErr w:type="spellEnd"/>
      <w:r w:rsidRPr="00684DD6">
        <w:rPr>
          <w:rFonts w:ascii="Arial" w:eastAsia="Arial" w:hAnsi="Arial" w:cs="Arial"/>
        </w:rPr>
        <w:t xml:space="preserve"> (1979) discovered that goals that are prominent during a task enhance the salience of information linked to those goals, suggesting that executives with varied functional backgrounds are influenced by information and issues tied to their diverse experiences. However, Chattopadhyay et al. (1999), in a study involving 371 executives across 58 businesses spanning 26 industrial sectors, found limited support for this perspective. A key finding in their research was that the beliefs of other top team members had a more significant impact on collective sense-making than the members' individual functional experiences.</w:t>
      </w:r>
    </w:p>
    <w:p w14:paraId="6DC953CF" w14:textId="77777777" w:rsidR="00684DD6" w:rsidRPr="00684DD6" w:rsidRDefault="00684DD6" w:rsidP="00684DD6">
      <w:pPr>
        <w:spacing w:line="360" w:lineRule="auto"/>
        <w:jc w:val="both"/>
        <w:rPr>
          <w:rFonts w:ascii="Arial" w:eastAsia="Arial" w:hAnsi="Arial" w:cs="Arial"/>
        </w:rPr>
      </w:pPr>
    </w:p>
    <w:p w14:paraId="5FA12A14" w14:textId="77777777" w:rsidR="00684DD6" w:rsidRPr="00684DD6" w:rsidRDefault="00684DD6" w:rsidP="00684DD6">
      <w:pPr>
        <w:spacing w:line="360" w:lineRule="auto"/>
        <w:jc w:val="both"/>
        <w:rPr>
          <w:rFonts w:ascii="Arial" w:eastAsia="Arial" w:hAnsi="Arial" w:cs="Arial"/>
        </w:rPr>
      </w:pPr>
      <w:r w:rsidRPr="00684DD6">
        <w:rPr>
          <w:rFonts w:ascii="Arial" w:eastAsia="Arial" w:hAnsi="Arial" w:cs="Arial"/>
        </w:rPr>
        <w:t>Shaping the Change Agenda</w:t>
      </w:r>
    </w:p>
    <w:p w14:paraId="44D82119" w14:textId="77777777" w:rsidR="00684DD6" w:rsidRPr="00684DD6" w:rsidRDefault="00684DD6" w:rsidP="00684DD6">
      <w:pPr>
        <w:spacing w:line="360" w:lineRule="auto"/>
        <w:jc w:val="both"/>
        <w:rPr>
          <w:rFonts w:ascii="Arial" w:eastAsia="Arial" w:hAnsi="Arial" w:cs="Arial"/>
        </w:rPr>
      </w:pPr>
    </w:p>
    <w:p w14:paraId="327AA223" w14:textId="77777777" w:rsidR="00684DD6" w:rsidRPr="00684DD6" w:rsidRDefault="00684DD6" w:rsidP="00684DD6">
      <w:pPr>
        <w:spacing w:line="360" w:lineRule="auto"/>
        <w:jc w:val="both"/>
        <w:rPr>
          <w:rFonts w:ascii="Arial" w:eastAsia="Arial" w:hAnsi="Arial" w:cs="Arial"/>
        </w:rPr>
      </w:pPr>
      <w:r w:rsidRPr="00684DD6">
        <w:rPr>
          <w:rFonts w:ascii="Arial" w:eastAsia="Arial" w:hAnsi="Arial" w:cs="Arial"/>
        </w:rPr>
        <w:t xml:space="preserve">According to Pitt et al. (2002), issues emerge and take shape to form the "agenda for change" through various forms of individual initiative. While these initiatives are often associated with senior managers at the organization's helm, individuals at multiple levels within the hierarchy can also make valuable contributions. Thompson (2012) shares this perspective and asserts that employees who directly engage with customers can be the first to detect product shortcomings or discern the strategies competitors employ to expand their market share. He further argues that </w:t>
      </w:r>
      <w:r w:rsidRPr="00684DD6">
        <w:rPr>
          <w:rFonts w:ascii="Arial" w:eastAsia="Arial" w:hAnsi="Arial" w:cs="Arial"/>
        </w:rPr>
        <w:lastRenderedPageBreak/>
        <w:t>individuals throughout the organization can offer valuable insights into opportunities for change, but these contributions often go untapped.</w:t>
      </w:r>
    </w:p>
    <w:p w14:paraId="25AADB54" w14:textId="77777777" w:rsidR="00684DD6" w:rsidRPr="00684DD6" w:rsidRDefault="00684DD6" w:rsidP="00684DD6">
      <w:pPr>
        <w:spacing w:line="360" w:lineRule="auto"/>
        <w:jc w:val="both"/>
        <w:rPr>
          <w:rFonts w:ascii="Arial" w:eastAsia="Arial" w:hAnsi="Arial" w:cs="Arial"/>
        </w:rPr>
      </w:pPr>
    </w:p>
    <w:p w14:paraId="26ACEB5A" w14:textId="77777777" w:rsidR="00684DD6" w:rsidRPr="00684DD6" w:rsidRDefault="00684DD6" w:rsidP="00684DD6">
      <w:pPr>
        <w:spacing w:line="360" w:lineRule="auto"/>
        <w:jc w:val="both"/>
        <w:rPr>
          <w:rFonts w:ascii="Arial" w:eastAsia="Arial" w:hAnsi="Arial" w:cs="Arial"/>
        </w:rPr>
      </w:pPr>
      <w:r w:rsidRPr="00684DD6">
        <w:rPr>
          <w:rFonts w:ascii="Arial" w:eastAsia="Arial" w:hAnsi="Arial" w:cs="Arial"/>
        </w:rPr>
        <w:t>The Role of "Playmakers"</w:t>
      </w:r>
    </w:p>
    <w:p w14:paraId="52CD9A42" w14:textId="77777777" w:rsidR="00684DD6" w:rsidRPr="00684DD6" w:rsidRDefault="00684DD6" w:rsidP="00684DD6">
      <w:pPr>
        <w:spacing w:line="360" w:lineRule="auto"/>
        <w:jc w:val="both"/>
        <w:rPr>
          <w:rFonts w:ascii="Arial" w:eastAsia="Arial" w:hAnsi="Arial" w:cs="Arial"/>
        </w:rPr>
      </w:pPr>
    </w:p>
    <w:p w14:paraId="34A3C984" w14:textId="77777777" w:rsidR="00684DD6" w:rsidRPr="00684DD6" w:rsidRDefault="00684DD6" w:rsidP="00684DD6">
      <w:pPr>
        <w:spacing w:line="360" w:lineRule="auto"/>
        <w:jc w:val="both"/>
        <w:rPr>
          <w:rFonts w:ascii="Arial" w:eastAsia="Arial" w:hAnsi="Arial" w:cs="Arial"/>
        </w:rPr>
      </w:pPr>
      <w:r w:rsidRPr="00684DD6">
        <w:rPr>
          <w:rFonts w:ascii="Arial" w:eastAsia="Arial" w:hAnsi="Arial" w:cs="Arial"/>
        </w:rPr>
        <w:t>Pitt et al. (2002) refer to the individuals who influence the organizational agenda as "playmakers," borrowing the term from football, where it signifies the dynamic midfield role that connects play, energizes the team, and instigates action. They contend that these playmakers need not always constitute an exclusive elite group. Senior managers can encourage other members of the organization to assume playmaker roles by seeking relevant opinions from those closely connected to the operational realities. However, in many organizations, this proactive approach is not practiced.</w:t>
      </w:r>
    </w:p>
    <w:p w14:paraId="0A76AA3E" w14:textId="77777777" w:rsidR="00684DD6" w:rsidRPr="00684DD6" w:rsidRDefault="00684DD6" w:rsidP="00684DD6">
      <w:pPr>
        <w:spacing w:line="360" w:lineRule="auto"/>
        <w:jc w:val="both"/>
        <w:rPr>
          <w:rFonts w:ascii="Arial" w:eastAsia="Arial" w:hAnsi="Arial" w:cs="Arial"/>
        </w:rPr>
      </w:pPr>
    </w:p>
    <w:p w14:paraId="330DB777" w14:textId="5F3D683B" w:rsidR="00684DD6" w:rsidRDefault="00684DD6" w:rsidP="00684DD6">
      <w:pPr>
        <w:spacing w:line="360" w:lineRule="auto"/>
        <w:jc w:val="both"/>
        <w:rPr>
          <w:rFonts w:ascii="Arial" w:eastAsia="Arial" w:hAnsi="Arial" w:cs="Arial"/>
        </w:rPr>
      </w:pPr>
      <w:r w:rsidRPr="00684DD6">
        <w:rPr>
          <w:rFonts w:ascii="Arial" w:eastAsia="Arial" w:hAnsi="Arial" w:cs="Arial"/>
        </w:rPr>
        <w:t>Challenges related to recognizing the need for change are more likely to arise in organizations where alternative perspectives and interpretations are disregarded or suppressed, as opposed to organizations that actively seek out and engage in debates over these perspectives. These debates may not necessarily result in major changes, but they do ensure that the potential for new threats or opportunities is thoroughly considered. Numerous examples exist of companies that have continued to capitalize on their competitive advantages for extended periods. While this can be a positive state of affairs, it is crucial to exercise caution to prevent complacency and avoid falling into the trap of success.</w:t>
      </w:r>
    </w:p>
    <w:p w14:paraId="51D47EE4" w14:textId="77777777" w:rsidR="00684DD6" w:rsidRDefault="00684DD6" w:rsidP="00684DD6">
      <w:pPr>
        <w:spacing w:line="360" w:lineRule="auto"/>
        <w:jc w:val="both"/>
        <w:rPr>
          <w:rFonts w:ascii="Arial" w:eastAsia="Arial" w:hAnsi="Arial" w:cs="Arial"/>
        </w:rPr>
      </w:pPr>
    </w:p>
    <w:p w14:paraId="0F51FA8F" w14:textId="0C926639" w:rsidR="00D0194A" w:rsidRPr="00D0194A" w:rsidRDefault="00D0194A" w:rsidP="00D0194A">
      <w:pPr>
        <w:spacing w:line="360" w:lineRule="auto"/>
        <w:jc w:val="both"/>
        <w:rPr>
          <w:rFonts w:ascii="Arial" w:eastAsia="Arial" w:hAnsi="Arial" w:cs="Arial"/>
          <w:b/>
          <w:sz w:val="24"/>
        </w:rPr>
      </w:pPr>
      <w:r w:rsidRPr="00D0194A">
        <w:rPr>
          <w:rFonts w:ascii="Arial" w:eastAsia="Arial" w:hAnsi="Arial" w:cs="Arial"/>
          <w:b/>
          <w:sz w:val="24"/>
        </w:rPr>
        <w:t xml:space="preserve">Summary </w:t>
      </w:r>
    </w:p>
    <w:p w14:paraId="53C0BCAE" w14:textId="77777777" w:rsidR="00D0194A" w:rsidRPr="00684DD6" w:rsidRDefault="00D0194A" w:rsidP="00D0194A">
      <w:pPr>
        <w:spacing w:line="360" w:lineRule="auto"/>
        <w:jc w:val="both"/>
        <w:rPr>
          <w:rFonts w:ascii="Arial" w:eastAsia="Arial" w:hAnsi="Arial" w:cs="Arial"/>
        </w:rPr>
      </w:pPr>
      <w:r w:rsidRPr="00684DD6">
        <w:rPr>
          <w:rFonts w:ascii="Arial" w:eastAsia="Arial" w:hAnsi="Arial" w:cs="Arial"/>
        </w:rPr>
        <w:t xml:space="preserve">This chapter explores various factors influencing the recognition of a need for change within an organization. It begins by discussing sources of change, both external and internal. External sources are identified using tools like the PEST acronym and </w:t>
      </w:r>
      <w:proofErr w:type="spellStart"/>
      <w:r w:rsidRPr="00684DD6">
        <w:rPr>
          <w:rFonts w:ascii="Arial" w:eastAsia="Arial" w:hAnsi="Arial" w:cs="Arial"/>
        </w:rPr>
        <w:t>Strebel's</w:t>
      </w:r>
      <w:proofErr w:type="spellEnd"/>
      <w:r w:rsidRPr="00684DD6">
        <w:rPr>
          <w:rFonts w:ascii="Arial" w:eastAsia="Arial" w:hAnsi="Arial" w:cs="Arial"/>
        </w:rPr>
        <w:t xml:space="preserve"> cycle of competitive behavior, while Greiner's organizational life cycle is presented as a model to recognize internal sources of change.</w:t>
      </w:r>
    </w:p>
    <w:p w14:paraId="24134963" w14:textId="77777777" w:rsidR="00D0194A" w:rsidRPr="00684DD6" w:rsidRDefault="00D0194A" w:rsidP="00D0194A">
      <w:pPr>
        <w:spacing w:line="360" w:lineRule="auto"/>
        <w:jc w:val="both"/>
        <w:rPr>
          <w:rFonts w:ascii="Arial" w:eastAsia="Arial" w:hAnsi="Arial" w:cs="Arial"/>
        </w:rPr>
      </w:pPr>
    </w:p>
    <w:p w14:paraId="12F31D34" w14:textId="77777777" w:rsidR="00D0194A" w:rsidRPr="00684DD6" w:rsidRDefault="00D0194A" w:rsidP="00D0194A">
      <w:pPr>
        <w:spacing w:line="360" w:lineRule="auto"/>
        <w:jc w:val="both"/>
        <w:rPr>
          <w:rFonts w:ascii="Arial" w:eastAsia="Arial" w:hAnsi="Arial" w:cs="Arial"/>
        </w:rPr>
      </w:pPr>
      <w:r w:rsidRPr="00684DD6">
        <w:rPr>
          <w:rFonts w:ascii="Arial" w:eastAsia="Arial" w:hAnsi="Arial" w:cs="Arial"/>
        </w:rPr>
        <w:t>The process of recognizing a need for change and formulating a change agenda is initiated when individuals perceive significant external or organizational events. Discrepancies between current and desired performance levels serve as indicators for change. However, problems may arise if these discrepancies go unnoticed due to a narrow focus on specific indicators. Key indicators that need monitoring include organizational purpose and outcomes, stakeholder perspectives, assessment levels (organization, department, workgroup, or individual), alignment of indicators, timeframes, benchmark standards, and special constraints or enabling factors.</w:t>
      </w:r>
    </w:p>
    <w:p w14:paraId="13B41D40" w14:textId="77777777" w:rsidR="00D0194A" w:rsidRPr="00684DD6" w:rsidRDefault="00D0194A" w:rsidP="00D0194A">
      <w:pPr>
        <w:spacing w:line="360" w:lineRule="auto"/>
        <w:jc w:val="both"/>
        <w:rPr>
          <w:rFonts w:ascii="Arial" w:eastAsia="Arial" w:hAnsi="Arial" w:cs="Arial"/>
        </w:rPr>
      </w:pPr>
    </w:p>
    <w:p w14:paraId="3D031B16" w14:textId="7FD2CD0E" w:rsidR="00D0194A" w:rsidRPr="00684DD6" w:rsidRDefault="00D0194A" w:rsidP="00D0194A">
      <w:pPr>
        <w:spacing w:line="360" w:lineRule="auto"/>
        <w:jc w:val="both"/>
        <w:rPr>
          <w:rFonts w:ascii="Arial" w:eastAsia="Arial" w:hAnsi="Arial" w:cs="Arial"/>
        </w:rPr>
      </w:pPr>
      <w:r w:rsidRPr="00684DD6">
        <w:rPr>
          <w:rFonts w:ascii="Arial" w:eastAsia="Arial" w:hAnsi="Arial" w:cs="Arial"/>
        </w:rPr>
        <w:t>The chapter also introduces the balanced scorecard as an approach for comprehensive performance assessment. In the final part, it emphasizes that the agenda for change is typically formulated by senior managers but acknowledges that input from individuals at various hierarchical levels can be valuable. However, such contributions may not guarantee that the organization will address the identified issues effectively.</w:t>
      </w:r>
    </w:p>
    <w:p w14:paraId="604C2A0F" w14:textId="77777777" w:rsidR="00824E65" w:rsidRDefault="00824E65">
      <w:pPr>
        <w:spacing w:line="360" w:lineRule="auto"/>
        <w:jc w:val="both"/>
        <w:rPr>
          <w:rFonts w:ascii="Arial" w:eastAsia="Arial" w:hAnsi="Arial" w:cs="Arial"/>
          <w:b/>
        </w:rPr>
      </w:pPr>
    </w:p>
    <w:p w14:paraId="64F661CF" w14:textId="77777777" w:rsidR="00824E65" w:rsidRDefault="00824E65">
      <w:pPr>
        <w:spacing w:line="360" w:lineRule="auto"/>
        <w:jc w:val="both"/>
        <w:rPr>
          <w:rFonts w:ascii="Arial" w:eastAsia="Arial" w:hAnsi="Arial" w:cs="Arial"/>
          <w:b/>
        </w:rPr>
      </w:pPr>
    </w:p>
    <w:p w14:paraId="5B13234E" w14:textId="77777777" w:rsidR="00824E65" w:rsidRDefault="00824E65">
      <w:pPr>
        <w:spacing w:line="360" w:lineRule="auto"/>
        <w:jc w:val="both"/>
        <w:rPr>
          <w:rFonts w:ascii="Arial" w:eastAsia="Arial" w:hAnsi="Arial" w:cs="Arial"/>
          <w:b/>
        </w:rPr>
      </w:pPr>
    </w:p>
    <w:p w14:paraId="083E50C4" w14:textId="77777777" w:rsidR="00824E65" w:rsidRDefault="00824E65">
      <w:pPr>
        <w:spacing w:line="360" w:lineRule="auto"/>
        <w:jc w:val="both"/>
        <w:rPr>
          <w:rFonts w:ascii="Arial" w:eastAsia="Arial" w:hAnsi="Arial" w:cs="Arial"/>
          <w:b/>
        </w:rPr>
      </w:pPr>
    </w:p>
    <w:p w14:paraId="59AD121E" w14:textId="77777777" w:rsidR="00824E65" w:rsidRDefault="00824E65">
      <w:pPr>
        <w:spacing w:line="360" w:lineRule="auto"/>
        <w:jc w:val="both"/>
        <w:rPr>
          <w:rFonts w:ascii="Arial" w:eastAsia="Arial" w:hAnsi="Arial" w:cs="Arial"/>
          <w:b/>
        </w:rPr>
      </w:pPr>
    </w:p>
    <w:p w14:paraId="5F9CFB76" w14:textId="6014DA67" w:rsidR="00824E65" w:rsidRDefault="00824E65">
      <w:pPr>
        <w:spacing w:line="360" w:lineRule="auto"/>
        <w:jc w:val="both"/>
        <w:rPr>
          <w:rFonts w:ascii="Arial" w:eastAsia="Arial" w:hAnsi="Arial" w:cs="Arial"/>
          <w:b/>
        </w:rPr>
      </w:pPr>
    </w:p>
    <w:p w14:paraId="1B0B78A3" w14:textId="221FC92D" w:rsidR="00684DD6" w:rsidRDefault="00684DD6">
      <w:pPr>
        <w:spacing w:line="360" w:lineRule="auto"/>
        <w:jc w:val="both"/>
        <w:rPr>
          <w:rFonts w:ascii="Arial" w:eastAsia="Arial" w:hAnsi="Arial" w:cs="Arial"/>
          <w:b/>
        </w:rPr>
      </w:pPr>
    </w:p>
    <w:p w14:paraId="38759386" w14:textId="11A93CCC" w:rsidR="00684DD6" w:rsidRDefault="00684DD6">
      <w:pPr>
        <w:spacing w:line="360" w:lineRule="auto"/>
        <w:jc w:val="both"/>
        <w:rPr>
          <w:rFonts w:ascii="Arial" w:eastAsia="Arial" w:hAnsi="Arial" w:cs="Arial"/>
          <w:b/>
        </w:rPr>
      </w:pPr>
    </w:p>
    <w:p w14:paraId="248E0BAB" w14:textId="78626361" w:rsidR="00684DD6" w:rsidRDefault="00684DD6">
      <w:pPr>
        <w:spacing w:line="360" w:lineRule="auto"/>
        <w:jc w:val="both"/>
        <w:rPr>
          <w:rFonts w:ascii="Arial" w:eastAsia="Arial" w:hAnsi="Arial" w:cs="Arial"/>
          <w:b/>
        </w:rPr>
      </w:pPr>
    </w:p>
    <w:p w14:paraId="718B6C48" w14:textId="0CC603AA" w:rsidR="00684DD6" w:rsidRDefault="00684DD6">
      <w:pPr>
        <w:spacing w:line="360" w:lineRule="auto"/>
        <w:jc w:val="both"/>
        <w:rPr>
          <w:rFonts w:ascii="Arial" w:eastAsia="Arial" w:hAnsi="Arial" w:cs="Arial"/>
          <w:b/>
        </w:rPr>
      </w:pPr>
    </w:p>
    <w:p w14:paraId="23874DD4" w14:textId="77777777" w:rsidR="00684DD6" w:rsidRDefault="00684DD6">
      <w:pPr>
        <w:spacing w:line="360" w:lineRule="auto"/>
        <w:jc w:val="both"/>
        <w:rPr>
          <w:rFonts w:ascii="Arial" w:eastAsia="Arial" w:hAnsi="Arial" w:cs="Arial"/>
          <w:b/>
        </w:rPr>
      </w:pPr>
    </w:p>
    <w:p w14:paraId="2467D3A8" w14:textId="77777777" w:rsidR="00824E65" w:rsidRDefault="00824E65">
      <w:pPr>
        <w:spacing w:line="360" w:lineRule="auto"/>
        <w:jc w:val="both"/>
        <w:rPr>
          <w:rFonts w:ascii="Arial" w:eastAsia="Arial" w:hAnsi="Arial" w:cs="Arial"/>
          <w:b/>
        </w:rPr>
      </w:pPr>
    </w:p>
    <w:p w14:paraId="1E6AFF2F" w14:textId="77777777" w:rsidR="009847EE" w:rsidRDefault="009847EE">
      <w:pPr>
        <w:spacing w:line="360" w:lineRule="auto"/>
        <w:jc w:val="both"/>
        <w:rPr>
          <w:rFonts w:ascii="Arial" w:eastAsia="Arial" w:hAnsi="Arial" w:cs="Arial"/>
          <w:b/>
        </w:rPr>
      </w:pPr>
    </w:p>
    <w:p w14:paraId="53C00A7C" w14:textId="77777777" w:rsidR="009847EE" w:rsidRDefault="007C199E">
      <w:pPr>
        <w:spacing w:line="360" w:lineRule="auto"/>
        <w:jc w:val="both"/>
        <w:rPr>
          <w:rFonts w:ascii="Arial" w:eastAsia="Arial" w:hAnsi="Arial" w:cs="Arial"/>
          <w:b/>
          <w:color w:val="000000"/>
        </w:rPr>
      </w:pPr>
      <w:r>
        <w:rPr>
          <w:rFonts w:ascii="Arial" w:eastAsia="Arial" w:hAnsi="Arial" w:cs="Arial"/>
          <w:b/>
          <w:color w:val="000000"/>
        </w:rPr>
        <w:t xml:space="preserve">REFERENCES </w:t>
      </w:r>
    </w:p>
    <w:p w14:paraId="095F28A4" w14:textId="77777777" w:rsidR="009847EE" w:rsidRDefault="009847EE">
      <w:pPr>
        <w:spacing w:after="0" w:line="360" w:lineRule="auto"/>
        <w:ind w:left="567"/>
        <w:jc w:val="both"/>
        <w:rPr>
          <w:rFonts w:ascii="Arial" w:eastAsia="Arial" w:hAnsi="Arial" w:cs="Arial"/>
          <w:color w:val="000000"/>
        </w:rPr>
      </w:pPr>
    </w:p>
    <w:p w14:paraId="22A6DD24" w14:textId="77777777" w:rsidR="009847EE" w:rsidRDefault="007C199E">
      <w:pPr>
        <w:numPr>
          <w:ilvl w:val="0"/>
          <w:numId w:val="5"/>
        </w:numPr>
        <w:spacing w:after="0" w:line="360" w:lineRule="auto"/>
        <w:jc w:val="both"/>
        <w:rPr>
          <w:rFonts w:ascii="Arial" w:eastAsia="Arial" w:hAnsi="Arial" w:cs="Arial"/>
          <w:color w:val="000000"/>
        </w:rPr>
      </w:pPr>
      <w:r>
        <w:rPr>
          <w:rFonts w:ascii="Arial" w:eastAsia="Arial" w:hAnsi="Arial" w:cs="Arial"/>
          <w:color w:val="000000"/>
        </w:rPr>
        <w:t>Hayes, John (2022) The Theory and Practice of Change Management 6</w:t>
      </w:r>
      <w:r>
        <w:rPr>
          <w:rFonts w:ascii="Arial" w:eastAsia="Arial" w:hAnsi="Arial" w:cs="Arial"/>
          <w:color w:val="000000"/>
          <w:vertAlign w:val="superscript"/>
        </w:rPr>
        <w:t>th</w:t>
      </w:r>
      <w:r>
        <w:rPr>
          <w:rFonts w:ascii="Arial" w:eastAsia="Arial" w:hAnsi="Arial" w:cs="Arial"/>
          <w:color w:val="000000"/>
        </w:rPr>
        <w:t xml:space="preserve"> Edition. Bloomsbury Publishing PLC.</w:t>
      </w:r>
    </w:p>
    <w:p w14:paraId="767E8571" w14:textId="77777777" w:rsidR="009847EE" w:rsidRDefault="007C199E">
      <w:pPr>
        <w:numPr>
          <w:ilvl w:val="0"/>
          <w:numId w:val="5"/>
        </w:numPr>
        <w:spacing w:after="0" w:line="360" w:lineRule="auto"/>
        <w:jc w:val="both"/>
        <w:rPr>
          <w:rFonts w:ascii="Arial" w:eastAsia="Arial" w:hAnsi="Arial" w:cs="Arial"/>
          <w:color w:val="000000"/>
        </w:rPr>
      </w:pPr>
      <w:r>
        <w:rPr>
          <w:rFonts w:ascii="Arial" w:eastAsia="Arial" w:hAnsi="Arial" w:cs="Arial"/>
          <w:color w:val="000000"/>
        </w:rPr>
        <w:t>Hayes, John (2014) The Theory and Practice of Change Management 4</w:t>
      </w:r>
      <w:r>
        <w:rPr>
          <w:rFonts w:ascii="Arial" w:eastAsia="Arial" w:hAnsi="Arial" w:cs="Arial"/>
          <w:color w:val="000000"/>
          <w:vertAlign w:val="superscript"/>
        </w:rPr>
        <w:t>th</w:t>
      </w:r>
      <w:r>
        <w:rPr>
          <w:rFonts w:ascii="Arial" w:eastAsia="Arial" w:hAnsi="Arial" w:cs="Arial"/>
          <w:color w:val="000000"/>
        </w:rPr>
        <w:t xml:space="preserve"> Edition. Palgrave Macmillan. United Kingdom</w:t>
      </w:r>
    </w:p>
    <w:p w14:paraId="6ED2384F" w14:textId="77777777" w:rsidR="009847EE" w:rsidRDefault="007C199E">
      <w:pPr>
        <w:numPr>
          <w:ilvl w:val="0"/>
          <w:numId w:val="5"/>
        </w:numPr>
        <w:spacing w:after="0" w:line="360" w:lineRule="auto"/>
        <w:jc w:val="both"/>
        <w:rPr>
          <w:rFonts w:ascii="Arial" w:eastAsia="Arial" w:hAnsi="Arial" w:cs="Arial"/>
          <w:color w:val="000000"/>
        </w:rPr>
      </w:pPr>
      <w:r>
        <w:rPr>
          <w:rFonts w:ascii="Arial" w:eastAsia="Arial" w:hAnsi="Arial" w:cs="Arial"/>
          <w:color w:val="000000"/>
        </w:rPr>
        <w:t>Hayes, John (2010) The Theory and Practice of Change Management 3</w:t>
      </w:r>
      <w:proofErr w:type="gramStart"/>
      <w:r>
        <w:rPr>
          <w:rFonts w:ascii="Arial" w:eastAsia="Arial" w:hAnsi="Arial" w:cs="Arial"/>
          <w:color w:val="000000"/>
          <w:vertAlign w:val="superscript"/>
        </w:rPr>
        <w:t>rd</w:t>
      </w:r>
      <w:r>
        <w:rPr>
          <w:rFonts w:ascii="Arial" w:eastAsia="Arial" w:hAnsi="Arial" w:cs="Arial"/>
          <w:color w:val="000000"/>
        </w:rPr>
        <w:t xml:space="preserve">  Edition</w:t>
      </w:r>
      <w:proofErr w:type="gramEnd"/>
      <w:r>
        <w:rPr>
          <w:rFonts w:ascii="Arial" w:eastAsia="Arial" w:hAnsi="Arial" w:cs="Arial"/>
          <w:color w:val="000000"/>
        </w:rPr>
        <w:t>. Palgrave Macmillan. United Kingdom</w:t>
      </w:r>
    </w:p>
    <w:p w14:paraId="11C71D12" w14:textId="77777777" w:rsidR="009847EE" w:rsidRDefault="007C199E">
      <w:pPr>
        <w:numPr>
          <w:ilvl w:val="0"/>
          <w:numId w:val="5"/>
        </w:numPr>
        <w:spacing w:after="0" w:line="360" w:lineRule="auto"/>
        <w:jc w:val="both"/>
        <w:rPr>
          <w:rFonts w:ascii="Arial" w:eastAsia="Arial" w:hAnsi="Arial" w:cs="Arial"/>
          <w:color w:val="000000"/>
        </w:rPr>
      </w:pPr>
      <w:r>
        <w:rPr>
          <w:rFonts w:ascii="Arial" w:eastAsia="Arial" w:hAnsi="Arial" w:cs="Arial"/>
          <w:color w:val="000000"/>
        </w:rPr>
        <w:t>Kotter, John P. (1996) Leading Change. Harvard Business School Press. USA. ISBN 10: 0875847471 / ISBN 13: 9780875847474</w:t>
      </w:r>
    </w:p>
    <w:p w14:paraId="1EB30472" w14:textId="77777777" w:rsidR="009847EE" w:rsidRDefault="009847EE">
      <w:pPr>
        <w:spacing w:after="0" w:line="360" w:lineRule="auto"/>
        <w:jc w:val="both"/>
        <w:rPr>
          <w:rFonts w:ascii="Arial" w:eastAsia="Arial" w:hAnsi="Arial" w:cs="Arial"/>
          <w:color w:val="000000"/>
        </w:rPr>
      </w:pPr>
    </w:p>
    <w:p w14:paraId="54BE5923" w14:textId="77777777" w:rsidR="009847EE" w:rsidRDefault="009847EE">
      <w:pPr>
        <w:pBdr>
          <w:top w:val="nil"/>
          <w:left w:val="nil"/>
          <w:bottom w:val="nil"/>
          <w:right w:val="nil"/>
          <w:between w:val="nil"/>
        </w:pBdr>
        <w:spacing w:line="360" w:lineRule="auto"/>
        <w:ind w:left="1440"/>
        <w:jc w:val="both"/>
        <w:rPr>
          <w:rFonts w:ascii="Arial" w:eastAsia="Arial" w:hAnsi="Arial" w:cs="Arial"/>
          <w:color w:val="000000"/>
        </w:rPr>
      </w:pPr>
    </w:p>
    <w:p w14:paraId="256E77BF" w14:textId="77777777" w:rsidR="009847EE" w:rsidRDefault="007C199E">
      <w:pPr>
        <w:spacing w:line="360" w:lineRule="auto"/>
        <w:jc w:val="both"/>
        <w:rPr>
          <w:rFonts w:ascii="Arial" w:eastAsia="Arial" w:hAnsi="Arial" w:cs="Arial"/>
          <w:color w:val="000000"/>
        </w:rPr>
      </w:pPr>
      <w:r>
        <w:rPr>
          <w:rFonts w:ascii="Arial" w:eastAsia="Arial" w:hAnsi="Arial" w:cs="Arial"/>
          <w:color w:val="000000"/>
        </w:rPr>
        <w:t>Online Sources</w:t>
      </w:r>
    </w:p>
    <w:p w14:paraId="19F4A0AC" w14:textId="77777777" w:rsidR="009847EE" w:rsidRDefault="009847EE">
      <w:pPr>
        <w:spacing w:line="360" w:lineRule="auto"/>
        <w:jc w:val="both"/>
        <w:rPr>
          <w:rFonts w:ascii="Arial" w:eastAsia="Arial" w:hAnsi="Arial" w:cs="Arial"/>
          <w:color w:val="000000"/>
        </w:rPr>
      </w:pPr>
    </w:p>
    <w:p w14:paraId="58C4A87F"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https://slideplayer.com/slide/13711905/</w:t>
      </w:r>
    </w:p>
    <w:p w14:paraId="0B80EAF4"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https://online.hbs.edu/blog/post/change-management-process</w:t>
      </w:r>
    </w:p>
    <w:p w14:paraId="6BC24BCF"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https://asq.org/quality-resources/change-management</w:t>
      </w:r>
    </w:p>
    <w:p w14:paraId="17E334BF"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https://www.mindtools.com/ahpnreq/the-four-principles-of-change-management</w:t>
      </w:r>
    </w:p>
    <w:p w14:paraId="026B3046"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https://whatfix.com/change-management/</w:t>
      </w:r>
    </w:p>
    <w:p w14:paraId="65279956"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https://www.michiganstateuniversityonline.com/resources/leadership/what-is-change-management/</w:t>
      </w:r>
    </w:p>
    <w:p w14:paraId="3B326305"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https://hbr.org/2005/10/the-hard-side-of-change-management</w:t>
      </w:r>
    </w:p>
    <w:p w14:paraId="170D7B14"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https://www.shrm.org/resourcesandtools/tools-and-samples/toolkits/pages/managingorganizationalchange.aspx</w:t>
      </w:r>
    </w:p>
    <w:p w14:paraId="7B3773F2"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https://www.coursera.org/articles/change-management-process</w:t>
      </w:r>
    </w:p>
    <w:p w14:paraId="19680846"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https://www.apm.org.uk/resources/what-is-project-management/what-is-change-management/</w:t>
      </w:r>
    </w:p>
    <w:p w14:paraId="4712148F"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https://www.imd.org/reflections/change-management/</w:t>
      </w:r>
    </w:p>
    <w:p w14:paraId="1BAB9575" w14:textId="77777777" w:rsidR="009847EE" w:rsidRDefault="009847EE">
      <w:pPr>
        <w:pBdr>
          <w:top w:val="nil"/>
          <w:left w:val="nil"/>
          <w:bottom w:val="nil"/>
          <w:right w:val="nil"/>
          <w:between w:val="nil"/>
        </w:pBdr>
        <w:spacing w:after="0" w:line="360" w:lineRule="auto"/>
        <w:ind w:left="1080"/>
        <w:jc w:val="both"/>
        <w:rPr>
          <w:rFonts w:ascii="Arial" w:eastAsia="Arial" w:hAnsi="Arial" w:cs="Arial"/>
          <w:color w:val="000000"/>
        </w:rPr>
      </w:pPr>
    </w:p>
    <w:p w14:paraId="20916560" w14:textId="77777777" w:rsidR="009847EE" w:rsidRDefault="009847EE">
      <w:pPr>
        <w:pBdr>
          <w:top w:val="nil"/>
          <w:left w:val="nil"/>
          <w:bottom w:val="nil"/>
          <w:right w:val="nil"/>
          <w:between w:val="nil"/>
        </w:pBdr>
        <w:spacing w:after="0" w:line="360" w:lineRule="auto"/>
        <w:ind w:left="1080"/>
        <w:jc w:val="both"/>
        <w:rPr>
          <w:rFonts w:ascii="Arial" w:eastAsia="Arial" w:hAnsi="Arial" w:cs="Arial"/>
          <w:color w:val="000000"/>
        </w:rPr>
      </w:pPr>
    </w:p>
    <w:p w14:paraId="04EACC60" w14:textId="77777777" w:rsidR="009847EE" w:rsidRDefault="009847EE">
      <w:pPr>
        <w:pBdr>
          <w:top w:val="nil"/>
          <w:left w:val="nil"/>
          <w:bottom w:val="nil"/>
          <w:right w:val="nil"/>
          <w:between w:val="nil"/>
        </w:pBdr>
        <w:spacing w:after="0" w:line="360" w:lineRule="auto"/>
        <w:ind w:left="1080"/>
        <w:jc w:val="both"/>
        <w:rPr>
          <w:rFonts w:ascii="Arial" w:eastAsia="Arial" w:hAnsi="Arial" w:cs="Arial"/>
          <w:color w:val="000000"/>
        </w:rPr>
      </w:pPr>
    </w:p>
    <w:p w14:paraId="3EAF30B4" w14:textId="77777777" w:rsidR="009847EE" w:rsidRDefault="009847EE">
      <w:pPr>
        <w:pBdr>
          <w:top w:val="nil"/>
          <w:left w:val="nil"/>
          <w:bottom w:val="nil"/>
          <w:right w:val="nil"/>
          <w:between w:val="nil"/>
        </w:pBdr>
        <w:spacing w:after="0" w:line="360" w:lineRule="auto"/>
        <w:ind w:left="1080"/>
        <w:jc w:val="both"/>
        <w:rPr>
          <w:rFonts w:ascii="Arial" w:eastAsia="Arial" w:hAnsi="Arial" w:cs="Arial"/>
          <w:color w:val="000000"/>
        </w:rPr>
      </w:pPr>
    </w:p>
    <w:p w14:paraId="61EC3B36" w14:textId="77777777" w:rsidR="009847EE" w:rsidRDefault="009847EE">
      <w:pPr>
        <w:pBdr>
          <w:top w:val="nil"/>
          <w:left w:val="nil"/>
          <w:bottom w:val="nil"/>
          <w:right w:val="nil"/>
          <w:between w:val="nil"/>
        </w:pBdr>
        <w:spacing w:after="0" w:line="360" w:lineRule="auto"/>
        <w:ind w:left="1080"/>
        <w:jc w:val="both"/>
        <w:rPr>
          <w:rFonts w:ascii="Arial" w:eastAsia="Arial" w:hAnsi="Arial" w:cs="Arial"/>
          <w:color w:val="000000"/>
        </w:rPr>
      </w:pPr>
      <w:bookmarkStart w:id="1" w:name="_heading=h.gjdgxs" w:colFirst="0" w:colLast="0"/>
      <w:bookmarkEnd w:id="1"/>
    </w:p>
    <w:p w14:paraId="42507684" w14:textId="77777777" w:rsidR="009847EE" w:rsidRDefault="007C199E">
      <w:pPr>
        <w:spacing w:line="360" w:lineRule="auto"/>
        <w:jc w:val="both"/>
        <w:rPr>
          <w:rFonts w:ascii="Arial" w:eastAsia="Arial" w:hAnsi="Arial" w:cs="Arial"/>
          <w:b/>
        </w:rPr>
      </w:pPr>
      <w:r>
        <w:rPr>
          <w:rFonts w:ascii="Arial" w:eastAsia="Arial" w:hAnsi="Arial" w:cs="Arial"/>
          <w:b/>
        </w:rPr>
        <w:lastRenderedPageBreak/>
        <w:t>Questions</w:t>
      </w:r>
    </w:p>
    <w:p w14:paraId="69293492" w14:textId="097AADE1" w:rsidR="009847EE" w:rsidRDefault="007C199E" w:rsidP="00523053">
      <w:pPr>
        <w:spacing w:line="360" w:lineRule="auto"/>
        <w:jc w:val="both"/>
        <w:rPr>
          <w:rFonts w:ascii="Arial" w:eastAsia="Arial" w:hAnsi="Arial" w:cs="Arial"/>
          <w:color w:val="000000"/>
        </w:rPr>
      </w:pPr>
      <w:r>
        <w:rPr>
          <w:rFonts w:ascii="Arial" w:eastAsia="Arial" w:hAnsi="Arial" w:cs="Arial"/>
          <w:b/>
          <w:u w:val="single"/>
        </w:rPr>
        <w:t xml:space="preserve">Quiz </w:t>
      </w:r>
      <w:r w:rsidR="00523053">
        <w:rPr>
          <w:rFonts w:ascii="Arial" w:eastAsia="Arial" w:hAnsi="Arial" w:cs="Arial"/>
          <w:b/>
          <w:u w:val="single"/>
        </w:rPr>
        <w:t>4</w:t>
      </w:r>
    </w:p>
    <w:p w14:paraId="60456E72" w14:textId="7D8B9787" w:rsidR="00B93EE8" w:rsidRPr="00B93EE8" w:rsidRDefault="00B93EE8" w:rsidP="00B93EE8">
      <w:pPr>
        <w:spacing w:line="360" w:lineRule="auto"/>
        <w:jc w:val="both"/>
        <w:rPr>
          <w:rFonts w:ascii="Arial" w:eastAsia="Arial" w:hAnsi="Arial" w:cs="Arial"/>
          <w:b/>
        </w:rPr>
      </w:pPr>
      <w:r>
        <w:rPr>
          <w:rFonts w:ascii="Arial" w:eastAsia="Arial" w:hAnsi="Arial" w:cs="Arial"/>
          <w:b/>
        </w:rPr>
        <w:t>M</w:t>
      </w:r>
      <w:r w:rsidRPr="00B93EE8">
        <w:rPr>
          <w:rFonts w:ascii="Arial" w:eastAsia="Arial" w:hAnsi="Arial" w:cs="Arial"/>
          <w:b/>
        </w:rPr>
        <w:t xml:space="preserve">ultiple-choice questions </w:t>
      </w:r>
    </w:p>
    <w:p w14:paraId="54545BD0"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What does the PEST acronym stand for in the context of analyzing the external environment?</w:t>
      </w:r>
    </w:p>
    <w:p w14:paraId="43532F13"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a. Progress, Efficiency, Strategy, Technology</w:t>
      </w:r>
    </w:p>
    <w:p w14:paraId="6941D70C"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b. Political, Economic, Sociocultural, Technological</w:t>
      </w:r>
    </w:p>
    <w:p w14:paraId="1DE3DDD3"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c. People, Environment, Systems, Trends</w:t>
      </w:r>
    </w:p>
    <w:p w14:paraId="49C1A1CC"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d. Planning, Execution, Sustainability, Trends</w:t>
      </w:r>
    </w:p>
    <w:p w14:paraId="2468E727" w14:textId="77777777" w:rsidR="00B93EE8" w:rsidRPr="00B93EE8" w:rsidRDefault="00B93EE8" w:rsidP="00B93EE8">
      <w:pPr>
        <w:spacing w:line="360" w:lineRule="auto"/>
        <w:jc w:val="both"/>
        <w:rPr>
          <w:rFonts w:ascii="Arial" w:eastAsia="Arial" w:hAnsi="Arial" w:cs="Arial"/>
        </w:rPr>
      </w:pPr>
    </w:p>
    <w:p w14:paraId="6778870D"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According to Greiner's organizational growth phases, which phase is characterized by the need for a new management approach, possibly involving an external business manager?</w:t>
      </w:r>
    </w:p>
    <w:p w14:paraId="15E1ED4B"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a. Growth through Creativity Leading to a Leadership Crisis</w:t>
      </w:r>
    </w:p>
    <w:p w14:paraId="17591B7C"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b. Growth through Direction Leading to an Autonomy Crisis</w:t>
      </w:r>
    </w:p>
    <w:p w14:paraId="5080113A"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c. Growth through Delegation Leading to a Control Crisis</w:t>
      </w:r>
    </w:p>
    <w:p w14:paraId="5C21CC37"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d. Growth through Coordination Leading to a 'Red Tape' Crisis</w:t>
      </w:r>
    </w:p>
    <w:p w14:paraId="17A43446" w14:textId="77777777" w:rsidR="00B93EE8" w:rsidRPr="00B93EE8" w:rsidRDefault="00B93EE8" w:rsidP="00B93EE8">
      <w:pPr>
        <w:spacing w:line="360" w:lineRule="auto"/>
        <w:jc w:val="both"/>
        <w:rPr>
          <w:rFonts w:ascii="Arial" w:eastAsia="Arial" w:hAnsi="Arial" w:cs="Arial"/>
        </w:rPr>
      </w:pPr>
    </w:p>
    <w:p w14:paraId="11761030"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In Greiner's model, what is the focus of the "Growth through Collaboration" phase?</w:t>
      </w:r>
    </w:p>
    <w:p w14:paraId="7957C219"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a. Developing a clear hierarchy</w:t>
      </w:r>
    </w:p>
    <w:p w14:paraId="36BE2FEB"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b. Decentralizing the organization</w:t>
      </w:r>
    </w:p>
    <w:p w14:paraId="39412782"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c. Enhancing coordination</w:t>
      </w:r>
    </w:p>
    <w:p w14:paraId="1395779A"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d. Emphasizing interpersonal skills</w:t>
      </w:r>
    </w:p>
    <w:p w14:paraId="681A0C76" w14:textId="77777777" w:rsidR="00B93EE8" w:rsidRPr="00B93EE8" w:rsidRDefault="00B93EE8" w:rsidP="00B93EE8">
      <w:pPr>
        <w:spacing w:line="360" w:lineRule="auto"/>
        <w:jc w:val="both"/>
        <w:rPr>
          <w:rFonts w:ascii="Arial" w:eastAsia="Arial" w:hAnsi="Arial" w:cs="Arial"/>
        </w:rPr>
      </w:pPr>
    </w:p>
    <w:p w14:paraId="4A5CE994"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What is the potential consequence of an organization becoming "learning disabled," as described by Nadler and Shaw?</w:t>
      </w:r>
    </w:p>
    <w:p w14:paraId="69799D04"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lastRenderedPageBreak/>
        <w:t>a. Rapid growth</w:t>
      </w:r>
    </w:p>
    <w:p w14:paraId="7989A2E1"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b. Declining performance</w:t>
      </w:r>
    </w:p>
    <w:p w14:paraId="303A7851"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c. Increased external focus</w:t>
      </w:r>
    </w:p>
    <w:p w14:paraId="4E268887"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d. Strong innovation</w:t>
      </w:r>
    </w:p>
    <w:p w14:paraId="3750795C" w14:textId="77777777" w:rsidR="00B93EE8" w:rsidRPr="00B93EE8" w:rsidRDefault="00B93EE8" w:rsidP="00B93EE8">
      <w:pPr>
        <w:spacing w:line="360" w:lineRule="auto"/>
        <w:jc w:val="both"/>
        <w:rPr>
          <w:rFonts w:ascii="Arial" w:eastAsia="Arial" w:hAnsi="Arial" w:cs="Arial"/>
        </w:rPr>
      </w:pPr>
    </w:p>
    <w:p w14:paraId="254CA1DB"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What type of factors do sociocultural factors in the PEST analysis primarily pertain to?</w:t>
      </w:r>
    </w:p>
    <w:p w14:paraId="07EA0376"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a. Factors related to government regulations</w:t>
      </w:r>
    </w:p>
    <w:p w14:paraId="3793827C"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b. Economic factors affecting disposable income</w:t>
      </w:r>
    </w:p>
    <w:p w14:paraId="3101A6DD"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c. Demographic trends and evolving attitudes</w:t>
      </w:r>
    </w:p>
    <w:p w14:paraId="276B41A1"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d. Technological advancements</w:t>
      </w:r>
    </w:p>
    <w:p w14:paraId="58C1930E" w14:textId="77777777" w:rsidR="00B93EE8" w:rsidRPr="00B93EE8" w:rsidRDefault="00B93EE8" w:rsidP="00B93EE8">
      <w:pPr>
        <w:spacing w:line="360" w:lineRule="auto"/>
        <w:jc w:val="both"/>
        <w:rPr>
          <w:rFonts w:ascii="Arial" w:eastAsia="Arial" w:hAnsi="Arial" w:cs="Arial"/>
        </w:rPr>
      </w:pPr>
    </w:p>
    <w:p w14:paraId="15336A90"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According to the passage, what is the key difference between the gradualist paradigm and punctuated equilibrium in responding to change?</w:t>
      </w:r>
    </w:p>
    <w:p w14:paraId="708BCE0E"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a. The gradualist paradigm involves revolutionary changes, while punctuated equilibrium involves incremental changes.</w:t>
      </w:r>
    </w:p>
    <w:p w14:paraId="3E6CF4AF"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b. The gradualist paradigm emphasizes internal problems, while punctuated equilibrium focuses on external forces.</w:t>
      </w:r>
    </w:p>
    <w:p w14:paraId="74F3B251"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c. The gradualist paradigm advocates for continuous incremental adaptations, while punctuated equilibrium alternates between equilibrium and discontinuous change.</w:t>
      </w:r>
    </w:p>
    <w:p w14:paraId="440CB7F9"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d. The gradualist paradigm is suitable for entrepreneurs, while punctuated equilibrium is for established organizations.</w:t>
      </w:r>
    </w:p>
    <w:p w14:paraId="36FAB0B0" w14:textId="77777777" w:rsidR="00B93EE8" w:rsidRPr="00B93EE8" w:rsidRDefault="00B93EE8" w:rsidP="00B93EE8">
      <w:pPr>
        <w:spacing w:line="360" w:lineRule="auto"/>
        <w:jc w:val="both"/>
        <w:rPr>
          <w:rFonts w:ascii="Arial" w:eastAsia="Arial" w:hAnsi="Arial" w:cs="Arial"/>
        </w:rPr>
      </w:pPr>
    </w:p>
    <w:p w14:paraId="4A5912A0"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Which of the following is NOT one of Greiner's organizational growth phases?</w:t>
      </w:r>
    </w:p>
    <w:p w14:paraId="562C50ED"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a. Growth through Autonomy Leading to a Coordination Crisis</w:t>
      </w:r>
    </w:p>
    <w:p w14:paraId="7D2974E7"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b. Growth through Direction Leading to an Autonomy Crisis</w:t>
      </w:r>
    </w:p>
    <w:p w14:paraId="3A76B5D5"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lastRenderedPageBreak/>
        <w:t>c. Growth through Collaboration Leading to Spontaneity</w:t>
      </w:r>
    </w:p>
    <w:p w14:paraId="772A8637"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d. Growth through Coordination Leading to 'Red Tape' Crisis</w:t>
      </w:r>
    </w:p>
    <w:p w14:paraId="356BE404" w14:textId="77777777" w:rsidR="00B93EE8" w:rsidRPr="00B93EE8" w:rsidRDefault="00B93EE8" w:rsidP="00B93EE8">
      <w:pPr>
        <w:spacing w:line="360" w:lineRule="auto"/>
        <w:jc w:val="both"/>
        <w:rPr>
          <w:rFonts w:ascii="Arial" w:eastAsia="Arial" w:hAnsi="Arial" w:cs="Arial"/>
        </w:rPr>
      </w:pPr>
    </w:p>
    <w:p w14:paraId="071746FF"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In Greiner's model, what type of crisis occurs during the "Growth through Delegation Leading to a Control Crisis" phase?</w:t>
      </w:r>
    </w:p>
    <w:p w14:paraId="230B5A70"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a. Leadership Crisis</w:t>
      </w:r>
    </w:p>
    <w:p w14:paraId="05993E34"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b. Autonomy Crisis</w:t>
      </w:r>
    </w:p>
    <w:p w14:paraId="62F3F741"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c. Control Crisis</w:t>
      </w:r>
    </w:p>
    <w:p w14:paraId="44615274"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d. Red Tape Crisis</w:t>
      </w:r>
    </w:p>
    <w:p w14:paraId="64A4FDD0" w14:textId="77777777" w:rsidR="00B93EE8" w:rsidRPr="00B93EE8" w:rsidRDefault="00B93EE8" w:rsidP="00B93EE8">
      <w:pPr>
        <w:spacing w:line="360" w:lineRule="auto"/>
        <w:jc w:val="both"/>
        <w:rPr>
          <w:rFonts w:ascii="Arial" w:eastAsia="Arial" w:hAnsi="Arial" w:cs="Arial"/>
        </w:rPr>
      </w:pPr>
    </w:p>
    <w:p w14:paraId="28A9EDF4"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What is the role of the PEST analysis in strategic management?</w:t>
      </w:r>
    </w:p>
    <w:p w14:paraId="1A1A77DE"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a. Identifying internal problems within organizations</w:t>
      </w:r>
    </w:p>
    <w:p w14:paraId="04754B68"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b. Focusing solely on economic factors for decision-making</w:t>
      </w:r>
    </w:p>
    <w:p w14:paraId="22DA7A66"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c. Analyzing the external environment for opportunities and threats</w:t>
      </w:r>
    </w:p>
    <w:p w14:paraId="32965593"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d. Assessing employee satisfaction and motivation</w:t>
      </w:r>
    </w:p>
    <w:p w14:paraId="4C5DBCEC" w14:textId="77777777" w:rsidR="00B93EE8" w:rsidRPr="00B93EE8" w:rsidRDefault="00B93EE8" w:rsidP="00B93EE8">
      <w:pPr>
        <w:spacing w:line="360" w:lineRule="auto"/>
        <w:jc w:val="both"/>
        <w:rPr>
          <w:rFonts w:ascii="Arial" w:eastAsia="Arial" w:hAnsi="Arial" w:cs="Arial"/>
        </w:rPr>
      </w:pPr>
    </w:p>
    <w:p w14:paraId="43257F61"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According to Nadler and Shaw, what can success often lead to in organizations?</w:t>
      </w:r>
    </w:p>
    <w:p w14:paraId="10947752"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a. Increased external focus</w:t>
      </w:r>
    </w:p>
    <w:p w14:paraId="2AB2386B"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b. Declining complexity</w:t>
      </w:r>
    </w:p>
    <w:p w14:paraId="122B1A1F"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c. Complacency and internal focus</w:t>
      </w:r>
    </w:p>
    <w:p w14:paraId="1A95C20C" w14:textId="77777777" w:rsidR="00B93EE8" w:rsidRPr="00B93EE8" w:rsidRDefault="00B93EE8" w:rsidP="00B93EE8">
      <w:pPr>
        <w:spacing w:line="360" w:lineRule="auto"/>
        <w:jc w:val="both"/>
        <w:rPr>
          <w:rFonts w:ascii="Arial" w:eastAsia="Arial" w:hAnsi="Arial" w:cs="Arial"/>
        </w:rPr>
      </w:pPr>
      <w:r w:rsidRPr="00B93EE8">
        <w:rPr>
          <w:rFonts w:ascii="Arial" w:eastAsia="Arial" w:hAnsi="Arial" w:cs="Arial"/>
        </w:rPr>
        <w:t>d. Rapid innovation</w:t>
      </w:r>
    </w:p>
    <w:p w14:paraId="7E421555" w14:textId="6F410828" w:rsidR="00B93EE8" w:rsidRDefault="00B93EE8" w:rsidP="00B93EE8">
      <w:pPr>
        <w:spacing w:line="360" w:lineRule="auto"/>
        <w:jc w:val="both"/>
        <w:rPr>
          <w:rFonts w:ascii="Arial" w:eastAsia="Arial" w:hAnsi="Arial" w:cs="Arial"/>
          <w:b/>
        </w:rPr>
      </w:pPr>
    </w:p>
    <w:p w14:paraId="2CE2D8F3" w14:textId="77777777" w:rsidR="00B93EE8" w:rsidRPr="00B93EE8" w:rsidRDefault="00B93EE8" w:rsidP="00B93EE8">
      <w:pPr>
        <w:spacing w:line="360" w:lineRule="auto"/>
        <w:jc w:val="both"/>
        <w:rPr>
          <w:rFonts w:ascii="Arial" w:eastAsia="Arial" w:hAnsi="Arial" w:cs="Arial"/>
          <w:b/>
        </w:rPr>
      </w:pPr>
    </w:p>
    <w:p w14:paraId="483948F4" w14:textId="77777777" w:rsidR="00B93EE8" w:rsidRPr="00B93EE8" w:rsidRDefault="00B93EE8" w:rsidP="00B93EE8">
      <w:pPr>
        <w:spacing w:line="360" w:lineRule="auto"/>
        <w:jc w:val="both"/>
        <w:rPr>
          <w:rFonts w:ascii="Arial" w:eastAsia="Arial" w:hAnsi="Arial" w:cs="Arial"/>
          <w:b/>
        </w:rPr>
      </w:pPr>
      <w:r w:rsidRPr="00B93EE8">
        <w:rPr>
          <w:rFonts w:ascii="Arial" w:eastAsia="Arial" w:hAnsi="Arial" w:cs="Arial"/>
          <w:b/>
        </w:rPr>
        <w:lastRenderedPageBreak/>
        <w:t>Answers:</w:t>
      </w:r>
    </w:p>
    <w:p w14:paraId="58B081D8" w14:textId="77777777" w:rsidR="00B93EE8" w:rsidRPr="00B93EE8" w:rsidRDefault="00B93EE8" w:rsidP="00B93EE8">
      <w:pPr>
        <w:spacing w:line="360" w:lineRule="auto"/>
        <w:jc w:val="both"/>
        <w:rPr>
          <w:rFonts w:ascii="Arial" w:eastAsia="Arial" w:hAnsi="Arial" w:cs="Arial"/>
          <w:b/>
        </w:rPr>
      </w:pPr>
    </w:p>
    <w:p w14:paraId="06722712" w14:textId="77777777" w:rsidR="00B93EE8" w:rsidRPr="00B93EE8" w:rsidRDefault="00B93EE8" w:rsidP="00B93EE8">
      <w:pPr>
        <w:spacing w:line="360" w:lineRule="auto"/>
        <w:jc w:val="both"/>
        <w:rPr>
          <w:rFonts w:ascii="Arial" w:eastAsia="Arial" w:hAnsi="Arial" w:cs="Arial"/>
          <w:b/>
        </w:rPr>
      </w:pPr>
      <w:r w:rsidRPr="00B93EE8">
        <w:rPr>
          <w:rFonts w:ascii="Arial" w:eastAsia="Arial" w:hAnsi="Arial" w:cs="Arial"/>
          <w:b/>
        </w:rPr>
        <w:t>b</w:t>
      </w:r>
    </w:p>
    <w:p w14:paraId="64518AB8" w14:textId="77777777" w:rsidR="00B93EE8" w:rsidRPr="00B93EE8" w:rsidRDefault="00B93EE8" w:rsidP="00B93EE8">
      <w:pPr>
        <w:spacing w:line="360" w:lineRule="auto"/>
        <w:jc w:val="both"/>
        <w:rPr>
          <w:rFonts w:ascii="Arial" w:eastAsia="Arial" w:hAnsi="Arial" w:cs="Arial"/>
          <w:b/>
        </w:rPr>
      </w:pPr>
      <w:r w:rsidRPr="00B93EE8">
        <w:rPr>
          <w:rFonts w:ascii="Arial" w:eastAsia="Arial" w:hAnsi="Arial" w:cs="Arial"/>
          <w:b/>
        </w:rPr>
        <w:t>a</w:t>
      </w:r>
    </w:p>
    <w:p w14:paraId="2743A2FD" w14:textId="77777777" w:rsidR="00B93EE8" w:rsidRPr="00B93EE8" w:rsidRDefault="00B93EE8" w:rsidP="00B93EE8">
      <w:pPr>
        <w:spacing w:line="360" w:lineRule="auto"/>
        <w:jc w:val="both"/>
        <w:rPr>
          <w:rFonts w:ascii="Arial" w:eastAsia="Arial" w:hAnsi="Arial" w:cs="Arial"/>
          <w:b/>
        </w:rPr>
      </w:pPr>
      <w:r w:rsidRPr="00B93EE8">
        <w:rPr>
          <w:rFonts w:ascii="Arial" w:eastAsia="Arial" w:hAnsi="Arial" w:cs="Arial"/>
          <w:b/>
        </w:rPr>
        <w:t>d</w:t>
      </w:r>
    </w:p>
    <w:p w14:paraId="68D09E32" w14:textId="77777777" w:rsidR="00B93EE8" w:rsidRPr="00B93EE8" w:rsidRDefault="00B93EE8" w:rsidP="00B93EE8">
      <w:pPr>
        <w:spacing w:line="360" w:lineRule="auto"/>
        <w:jc w:val="both"/>
        <w:rPr>
          <w:rFonts w:ascii="Arial" w:eastAsia="Arial" w:hAnsi="Arial" w:cs="Arial"/>
          <w:b/>
        </w:rPr>
      </w:pPr>
      <w:r w:rsidRPr="00B93EE8">
        <w:rPr>
          <w:rFonts w:ascii="Arial" w:eastAsia="Arial" w:hAnsi="Arial" w:cs="Arial"/>
          <w:b/>
        </w:rPr>
        <w:t>b</w:t>
      </w:r>
    </w:p>
    <w:p w14:paraId="2651DFA6" w14:textId="77777777" w:rsidR="00B93EE8" w:rsidRPr="00B93EE8" w:rsidRDefault="00B93EE8" w:rsidP="00B93EE8">
      <w:pPr>
        <w:spacing w:line="360" w:lineRule="auto"/>
        <w:jc w:val="both"/>
        <w:rPr>
          <w:rFonts w:ascii="Arial" w:eastAsia="Arial" w:hAnsi="Arial" w:cs="Arial"/>
          <w:b/>
        </w:rPr>
      </w:pPr>
      <w:r w:rsidRPr="00B93EE8">
        <w:rPr>
          <w:rFonts w:ascii="Arial" w:eastAsia="Arial" w:hAnsi="Arial" w:cs="Arial"/>
          <w:b/>
        </w:rPr>
        <w:t>c</w:t>
      </w:r>
    </w:p>
    <w:p w14:paraId="2DFDA3F8" w14:textId="77777777" w:rsidR="00B93EE8" w:rsidRPr="00B93EE8" w:rsidRDefault="00B93EE8" w:rsidP="00B93EE8">
      <w:pPr>
        <w:spacing w:line="360" w:lineRule="auto"/>
        <w:jc w:val="both"/>
        <w:rPr>
          <w:rFonts w:ascii="Arial" w:eastAsia="Arial" w:hAnsi="Arial" w:cs="Arial"/>
          <w:b/>
        </w:rPr>
      </w:pPr>
      <w:r w:rsidRPr="00B93EE8">
        <w:rPr>
          <w:rFonts w:ascii="Arial" w:eastAsia="Arial" w:hAnsi="Arial" w:cs="Arial"/>
          <w:b/>
        </w:rPr>
        <w:t>c</w:t>
      </w:r>
    </w:p>
    <w:p w14:paraId="76883190" w14:textId="77777777" w:rsidR="00B93EE8" w:rsidRPr="00B93EE8" w:rsidRDefault="00B93EE8" w:rsidP="00B93EE8">
      <w:pPr>
        <w:spacing w:line="360" w:lineRule="auto"/>
        <w:jc w:val="both"/>
        <w:rPr>
          <w:rFonts w:ascii="Arial" w:eastAsia="Arial" w:hAnsi="Arial" w:cs="Arial"/>
          <w:b/>
        </w:rPr>
      </w:pPr>
      <w:r w:rsidRPr="00B93EE8">
        <w:rPr>
          <w:rFonts w:ascii="Arial" w:eastAsia="Arial" w:hAnsi="Arial" w:cs="Arial"/>
          <w:b/>
        </w:rPr>
        <w:t>a</w:t>
      </w:r>
    </w:p>
    <w:p w14:paraId="61E264A9" w14:textId="77777777" w:rsidR="00B93EE8" w:rsidRPr="00B93EE8" w:rsidRDefault="00B93EE8" w:rsidP="00B93EE8">
      <w:pPr>
        <w:spacing w:line="360" w:lineRule="auto"/>
        <w:jc w:val="both"/>
        <w:rPr>
          <w:rFonts w:ascii="Arial" w:eastAsia="Arial" w:hAnsi="Arial" w:cs="Arial"/>
          <w:b/>
        </w:rPr>
      </w:pPr>
      <w:r w:rsidRPr="00B93EE8">
        <w:rPr>
          <w:rFonts w:ascii="Arial" w:eastAsia="Arial" w:hAnsi="Arial" w:cs="Arial"/>
          <w:b/>
        </w:rPr>
        <w:t>c</w:t>
      </w:r>
    </w:p>
    <w:p w14:paraId="453C9145" w14:textId="77777777" w:rsidR="00B93EE8" w:rsidRPr="00B93EE8" w:rsidRDefault="00B93EE8" w:rsidP="00B93EE8">
      <w:pPr>
        <w:spacing w:line="360" w:lineRule="auto"/>
        <w:jc w:val="both"/>
        <w:rPr>
          <w:rFonts w:ascii="Arial" w:eastAsia="Arial" w:hAnsi="Arial" w:cs="Arial"/>
          <w:b/>
        </w:rPr>
      </w:pPr>
      <w:r w:rsidRPr="00B93EE8">
        <w:rPr>
          <w:rFonts w:ascii="Arial" w:eastAsia="Arial" w:hAnsi="Arial" w:cs="Arial"/>
          <w:b/>
        </w:rPr>
        <w:t>c</w:t>
      </w:r>
    </w:p>
    <w:p w14:paraId="6CD2A3BF" w14:textId="3F9DD0CB" w:rsidR="009847EE" w:rsidRDefault="00B93EE8" w:rsidP="00B93EE8">
      <w:pPr>
        <w:spacing w:line="360" w:lineRule="auto"/>
        <w:jc w:val="both"/>
        <w:rPr>
          <w:rFonts w:ascii="Arial" w:eastAsia="Arial" w:hAnsi="Arial" w:cs="Arial"/>
          <w:b/>
        </w:rPr>
      </w:pPr>
      <w:r w:rsidRPr="00B93EE8">
        <w:rPr>
          <w:rFonts w:ascii="Arial" w:eastAsia="Arial" w:hAnsi="Arial" w:cs="Arial"/>
          <w:b/>
        </w:rPr>
        <w:t>c</w:t>
      </w:r>
    </w:p>
    <w:sectPr w:rsidR="009847EE">
      <w:headerReference w:type="default" r:id="rId11"/>
      <w:footerReference w:type="default" r:id="rId12"/>
      <w:pgSz w:w="12240" w:h="15840"/>
      <w:pgMar w:top="1440" w:right="1440" w:bottom="1440" w:left="1440" w:header="36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4221D0" w14:textId="77777777" w:rsidR="00447163" w:rsidRDefault="00447163">
      <w:pPr>
        <w:spacing w:after="0" w:line="240" w:lineRule="auto"/>
      </w:pPr>
      <w:r>
        <w:separator/>
      </w:r>
    </w:p>
  </w:endnote>
  <w:endnote w:type="continuationSeparator" w:id="0">
    <w:p w14:paraId="78FDCE99" w14:textId="77777777" w:rsidR="00447163" w:rsidRDefault="00447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24640" w14:textId="719E8C82" w:rsidR="009847EE" w:rsidRDefault="007C199E">
    <w:pPr>
      <w:pBdr>
        <w:top w:val="nil"/>
        <w:left w:val="nil"/>
        <w:bottom w:val="nil"/>
        <w:right w:val="nil"/>
        <w:between w:val="nil"/>
      </w:pBdr>
      <w:tabs>
        <w:tab w:val="center" w:pos="4680"/>
        <w:tab w:val="right" w:pos="9360"/>
      </w:tabs>
      <w:spacing w:after="0" w:line="240" w:lineRule="auto"/>
      <w:jc w:val="center"/>
      <w:rPr>
        <w:color w:val="000000"/>
        <w:sz w:val="24"/>
        <w:szCs w:val="24"/>
      </w:rPr>
    </w:pPr>
    <w:r>
      <w:rPr>
        <w:color w:val="000000"/>
        <w:sz w:val="24"/>
        <w:szCs w:val="24"/>
      </w:rPr>
      <w:t xml:space="preserve">Change Management Week </w:t>
    </w:r>
    <w:r w:rsidR="00824E65">
      <w:rPr>
        <w:color w:val="000000"/>
        <w:sz w:val="24"/>
        <w:szCs w:val="24"/>
      </w:rPr>
      <w:t>4</w:t>
    </w:r>
    <w:r>
      <w:rPr>
        <w:color w:val="000000"/>
        <w:sz w:val="24"/>
        <w:szCs w:val="24"/>
      </w:rPr>
      <w:t xml:space="preserve"> - </w:t>
    </w:r>
    <w:r>
      <w:rPr>
        <w:color w:val="000000"/>
        <w:sz w:val="24"/>
        <w:szCs w:val="24"/>
      </w:rPr>
      <w:fldChar w:fldCharType="begin"/>
    </w:r>
    <w:r>
      <w:rPr>
        <w:color w:val="000000"/>
        <w:sz w:val="24"/>
        <w:szCs w:val="24"/>
      </w:rPr>
      <w:instrText>PAGE</w:instrText>
    </w:r>
    <w:r>
      <w:rPr>
        <w:color w:val="000000"/>
        <w:sz w:val="24"/>
        <w:szCs w:val="24"/>
      </w:rPr>
      <w:fldChar w:fldCharType="separate"/>
    </w:r>
    <w:r w:rsidR="008B5380">
      <w:rPr>
        <w:noProof/>
        <w:color w:val="000000"/>
        <w:sz w:val="24"/>
        <w:szCs w:val="24"/>
      </w:rPr>
      <w:t>13</w:t>
    </w:r>
    <w:r>
      <w:rPr>
        <w:color w:val="000000"/>
        <w:sz w:val="24"/>
        <w:szCs w:val="24"/>
      </w:rPr>
      <w:fldChar w:fldCharType="end"/>
    </w:r>
  </w:p>
  <w:p w14:paraId="042DF5A5" w14:textId="77777777" w:rsidR="009847EE" w:rsidRDefault="009847E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482F0" w14:textId="77777777" w:rsidR="00447163" w:rsidRDefault="00447163">
      <w:pPr>
        <w:spacing w:after="0" w:line="240" w:lineRule="auto"/>
      </w:pPr>
      <w:r>
        <w:separator/>
      </w:r>
    </w:p>
  </w:footnote>
  <w:footnote w:type="continuationSeparator" w:id="0">
    <w:p w14:paraId="0A8562E9" w14:textId="77777777" w:rsidR="00447163" w:rsidRDefault="004471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8C73C" w14:textId="28B2719A" w:rsidR="009847EE" w:rsidRDefault="008E43E8">
    <w:pPr>
      <w:pBdr>
        <w:top w:val="nil"/>
        <w:left w:val="nil"/>
        <w:bottom w:val="nil"/>
        <w:right w:val="nil"/>
        <w:between w:val="nil"/>
      </w:pBdr>
      <w:tabs>
        <w:tab w:val="center" w:pos="4680"/>
        <w:tab w:val="right" w:pos="9360"/>
      </w:tabs>
      <w:spacing w:after="0" w:line="240" w:lineRule="auto"/>
      <w:rPr>
        <w:b/>
        <w:color w:val="000000"/>
      </w:rPr>
    </w:pPr>
    <w:r>
      <w:rPr>
        <w:b/>
        <w:color w:val="000000"/>
      </w:rPr>
      <w:t>Change Management</w:t>
    </w:r>
  </w:p>
  <w:p w14:paraId="61800304" w14:textId="5C9008F6" w:rsidR="009847EE" w:rsidRDefault="00736926">
    <w:pPr>
      <w:pBdr>
        <w:top w:val="nil"/>
        <w:left w:val="nil"/>
        <w:bottom w:val="nil"/>
        <w:right w:val="nil"/>
        <w:between w:val="nil"/>
      </w:pBdr>
      <w:tabs>
        <w:tab w:val="center" w:pos="4680"/>
        <w:tab w:val="right" w:pos="9360"/>
      </w:tabs>
      <w:spacing w:after="0" w:line="240" w:lineRule="auto"/>
      <w:rPr>
        <w:b/>
        <w:color w:val="000000"/>
      </w:rPr>
    </w:pPr>
    <w:r>
      <w:rPr>
        <w:b/>
        <w:color w:val="000000"/>
      </w:rPr>
      <w:t>Chapter 4</w:t>
    </w:r>
  </w:p>
  <w:p w14:paraId="07008F77" w14:textId="449F1351" w:rsidR="009847EE" w:rsidRDefault="00736926">
    <w:pPr>
      <w:pBdr>
        <w:top w:val="nil"/>
        <w:left w:val="nil"/>
        <w:bottom w:val="nil"/>
        <w:right w:val="nil"/>
        <w:between w:val="nil"/>
      </w:pBdr>
      <w:tabs>
        <w:tab w:val="center" w:pos="4680"/>
        <w:tab w:val="right" w:pos="9360"/>
      </w:tabs>
      <w:spacing w:after="0" w:line="240" w:lineRule="auto"/>
      <w:rPr>
        <w:b/>
        <w:color w:val="000000"/>
      </w:rPr>
    </w:pPr>
    <w:r>
      <w:rPr>
        <w:b/>
        <w:color w:val="000000"/>
      </w:rPr>
      <w:t xml:space="preserve">Recognizing a Need or Opportunity for </w:t>
    </w:r>
    <w:r w:rsidR="007C199E">
      <w:rPr>
        <w:b/>
        <w:color w:val="000000"/>
      </w:rPr>
      <w:t>Change</w:t>
    </w:r>
  </w:p>
  <w:p w14:paraId="3B8C87FF" w14:textId="77777777" w:rsidR="009847EE" w:rsidRDefault="007C199E">
    <w:pPr>
      <w:pBdr>
        <w:top w:val="nil"/>
        <w:left w:val="nil"/>
        <w:bottom w:val="nil"/>
        <w:right w:val="nil"/>
        <w:between w:val="nil"/>
      </w:pBdr>
      <w:tabs>
        <w:tab w:val="center" w:pos="4680"/>
        <w:tab w:val="right" w:pos="9360"/>
      </w:tabs>
      <w:spacing w:after="0" w:line="240" w:lineRule="auto"/>
      <w:rPr>
        <w:b/>
        <w:color w:val="000000"/>
      </w:rPr>
    </w:pPr>
    <w:r>
      <w:rPr>
        <w:b/>
        <w:color w:val="000000"/>
      </w:rPr>
      <w:t xml:space="preserve">Lecturer: </w:t>
    </w:r>
    <w:proofErr w:type="spellStart"/>
    <w:r>
      <w:rPr>
        <w:b/>
        <w:color w:val="000000"/>
      </w:rPr>
      <w:t>Michaella</w:t>
    </w:r>
    <w:proofErr w:type="spellEnd"/>
    <w:r>
      <w:rPr>
        <w:b/>
        <w:color w:val="000000"/>
      </w:rPr>
      <w:t xml:space="preserve"> DeLeon Castillo, DBA - Philippines</w:t>
    </w:r>
  </w:p>
  <w:p w14:paraId="194A0B38" w14:textId="77777777" w:rsidR="009847EE" w:rsidRDefault="009847EE">
    <w:pPr>
      <w:pBdr>
        <w:top w:val="nil"/>
        <w:left w:val="nil"/>
        <w:bottom w:val="nil"/>
        <w:right w:val="nil"/>
        <w:between w:val="nil"/>
      </w:pBdr>
      <w:tabs>
        <w:tab w:val="center" w:pos="4680"/>
        <w:tab w:val="right" w:pos="9360"/>
      </w:tabs>
      <w:spacing w:after="0" w:line="240" w:lineRule="auto"/>
      <w:rPr>
        <w:color w:val="000000"/>
      </w:rPr>
    </w:pPr>
  </w:p>
  <w:p w14:paraId="489D250E" w14:textId="77777777" w:rsidR="009847EE" w:rsidRDefault="009847EE">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2350"/>
    <w:multiLevelType w:val="multilevel"/>
    <w:tmpl w:val="F928243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563384"/>
    <w:multiLevelType w:val="hybridMultilevel"/>
    <w:tmpl w:val="F55C69C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15:restartNumberingAfterBreak="0">
    <w:nsid w:val="217E27BB"/>
    <w:multiLevelType w:val="multilevel"/>
    <w:tmpl w:val="DC148F5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3AB0B2A"/>
    <w:multiLevelType w:val="multilevel"/>
    <w:tmpl w:val="1AD2518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30711383"/>
    <w:multiLevelType w:val="multilevel"/>
    <w:tmpl w:val="613255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33C1438"/>
    <w:multiLevelType w:val="hybridMultilevel"/>
    <w:tmpl w:val="98E642B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555552AA"/>
    <w:multiLevelType w:val="hybridMultilevel"/>
    <w:tmpl w:val="F008E61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5F6734D9"/>
    <w:multiLevelType w:val="multilevel"/>
    <w:tmpl w:val="6096EF0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63F86EA6"/>
    <w:multiLevelType w:val="hybridMultilevel"/>
    <w:tmpl w:val="A2C01F4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71104ED6"/>
    <w:multiLevelType w:val="multilevel"/>
    <w:tmpl w:val="566E11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7"/>
  </w:num>
  <w:num w:numId="3">
    <w:abstractNumId w:val="3"/>
  </w:num>
  <w:num w:numId="4">
    <w:abstractNumId w:val="2"/>
  </w:num>
  <w:num w:numId="5">
    <w:abstractNumId w:val="9"/>
  </w:num>
  <w:num w:numId="6">
    <w:abstractNumId w:val="0"/>
  </w:num>
  <w:num w:numId="7">
    <w:abstractNumId w:val="1"/>
  </w:num>
  <w:num w:numId="8">
    <w:abstractNumId w:val="5"/>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7EE"/>
    <w:rsid w:val="003F1530"/>
    <w:rsid w:val="00447163"/>
    <w:rsid w:val="00523053"/>
    <w:rsid w:val="00590313"/>
    <w:rsid w:val="00621A28"/>
    <w:rsid w:val="00684DD6"/>
    <w:rsid w:val="00736926"/>
    <w:rsid w:val="007C199E"/>
    <w:rsid w:val="00806A6C"/>
    <w:rsid w:val="00824E65"/>
    <w:rsid w:val="008B5380"/>
    <w:rsid w:val="008E43E8"/>
    <w:rsid w:val="009847EE"/>
    <w:rsid w:val="00992AB3"/>
    <w:rsid w:val="00A47338"/>
    <w:rsid w:val="00B93EE8"/>
    <w:rsid w:val="00C66A9B"/>
    <w:rsid w:val="00CB08AA"/>
    <w:rsid w:val="00CC4F59"/>
    <w:rsid w:val="00D0194A"/>
    <w:rsid w:val="00E60EA9"/>
    <w:rsid w:val="00FB19D2"/>
    <w:rsid w:val="00FB6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E99A4"/>
  <w15:docId w15:val="{DB0F042A-95DB-4040-A3F3-C113ABDC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EE4"/>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B5D1C"/>
    <w:pPr>
      <w:ind w:left="720"/>
      <w:contextualSpacing/>
    </w:pPr>
  </w:style>
  <w:style w:type="paragraph" w:styleId="Header">
    <w:name w:val="header"/>
    <w:basedOn w:val="Normal"/>
    <w:link w:val="HeaderChar"/>
    <w:uiPriority w:val="99"/>
    <w:unhideWhenUsed/>
    <w:rsid w:val="00FA1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C2E"/>
  </w:style>
  <w:style w:type="paragraph" w:styleId="Footer">
    <w:name w:val="footer"/>
    <w:basedOn w:val="Normal"/>
    <w:link w:val="FooterChar"/>
    <w:uiPriority w:val="99"/>
    <w:unhideWhenUsed/>
    <w:rsid w:val="00FA1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C2E"/>
  </w:style>
  <w:style w:type="character" w:styleId="Hyperlink">
    <w:name w:val="Hyperlink"/>
    <w:basedOn w:val="DefaultParagraphFont"/>
    <w:uiPriority w:val="99"/>
    <w:unhideWhenUsed/>
    <w:rsid w:val="001D13EC"/>
    <w:rPr>
      <w:color w:val="0000FF"/>
      <w:u w:val="single"/>
    </w:rPr>
  </w:style>
  <w:style w:type="table" w:styleId="TableGrid">
    <w:name w:val="Table Grid"/>
    <w:basedOn w:val="TableNormal"/>
    <w:uiPriority w:val="39"/>
    <w:rsid w:val="001D13EC"/>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1">
    <w:name w:val="Unresolved Mention1"/>
    <w:basedOn w:val="DefaultParagraphFont"/>
    <w:uiPriority w:val="99"/>
    <w:semiHidden/>
    <w:unhideWhenUsed/>
    <w:rsid w:val="00951D9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oou1htgdzpp+P/yjSV05XxEJwA==">CgMxLjAyCGguZ2pkZ3hzOAByITFSVEI2b1MzVEdMZW9iM3FnZFFXYmN3R19JcFRaYXMxSg==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3212</Words>
  <Characters>18315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ella.castillo@yahoo.com</dc:creator>
  <cp:lastModifiedBy>Dr. Ella</cp:lastModifiedBy>
  <cp:revision>2</cp:revision>
  <dcterms:created xsi:type="dcterms:W3CDTF">2023-10-04T20:55:00Z</dcterms:created>
  <dcterms:modified xsi:type="dcterms:W3CDTF">2023-10-04T20:55:00Z</dcterms:modified>
</cp:coreProperties>
</file>