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40239" w14:textId="1EDAAD6A" w:rsidR="009847EE" w:rsidRPr="00F04BB5" w:rsidRDefault="007C199E" w:rsidP="00F04BB5">
      <w:pPr>
        <w:spacing w:line="360" w:lineRule="auto"/>
        <w:jc w:val="both"/>
        <w:rPr>
          <w:rFonts w:ascii="Arial" w:eastAsia="Arial" w:hAnsi="Arial" w:cs="Arial"/>
          <w:b/>
        </w:rPr>
      </w:pPr>
      <w:r w:rsidRPr="00F04BB5">
        <w:rPr>
          <w:rFonts w:ascii="Arial" w:eastAsia="Arial" w:hAnsi="Arial" w:cs="Arial"/>
          <w:b/>
        </w:rPr>
        <w:t xml:space="preserve">CHANGE MANAGEMENT – LECTURE </w:t>
      </w:r>
      <w:r w:rsidR="009F2547">
        <w:rPr>
          <w:rFonts w:ascii="Arial" w:eastAsia="Arial" w:hAnsi="Arial" w:cs="Arial"/>
          <w:b/>
        </w:rPr>
        <w:t>5</w:t>
      </w:r>
      <w:r w:rsidRPr="00F04BB5">
        <w:rPr>
          <w:rFonts w:ascii="Arial" w:eastAsia="Arial" w:hAnsi="Arial" w:cs="Arial"/>
          <w:b/>
        </w:rPr>
        <w:t xml:space="preserve"> </w:t>
      </w:r>
    </w:p>
    <w:p w14:paraId="43B602E6" w14:textId="0EA7DE7C" w:rsidR="009847EE" w:rsidRPr="00F04BB5" w:rsidRDefault="007C199E" w:rsidP="00F04BB5">
      <w:pPr>
        <w:spacing w:line="360" w:lineRule="auto"/>
        <w:jc w:val="both"/>
        <w:rPr>
          <w:rFonts w:ascii="Arial" w:eastAsia="Arial" w:hAnsi="Arial" w:cs="Arial"/>
          <w:b/>
        </w:rPr>
      </w:pPr>
      <w:r w:rsidRPr="00F04BB5">
        <w:rPr>
          <w:rFonts w:ascii="Arial" w:eastAsia="Arial" w:hAnsi="Arial" w:cs="Arial"/>
          <w:b/>
        </w:rPr>
        <w:t xml:space="preserve">CHAPTER </w:t>
      </w:r>
      <w:r w:rsidR="009F2547">
        <w:rPr>
          <w:rFonts w:ascii="Arial" w:eastAsia="Arial" w:hAnsi="Arial" w:cs="Arial"/>
          <w:b/>
        </w:rPr>
        <w:t>5</w:t>
      </w:r>
      <w:r w:rsidRPr="00F04BB5">
        <w:rPr>
          <w:rFonts w:ascii="Arial" w:eastAsia="Arial" w:hAnsi="Arial" w:cs="Arial"/>
          <w:b/>
        </w:rPr>
        <w:t xml:space="preserve"> – </w:t>
      </w:r>
      <w:r w:rsidR="009F2547">
        <w:rPr>
          <w:rFonts w:ascii="Arial" w:eastAsia="Arial" w:hAnsi="Arial" w:cs="Arial"/>
          <w:b/>
        </w:rPr>
        <w:t xml:space="preserve">Starting the </w:t>
      </w:r>
      <w:r w:rsidR="00700FB9">
        <w:rPr>
          <w:rFonts w:ascii="Arial" w:eastAsia="Arial" w:hAnsi="Arial" w:cs="Arial"/>
          <w:b/>
        </w:rPr>
        <w:t xml:space="preserve">Change </w:t>
      </w:r>
    </w:p>
    <w:p w14:paraId="07554325" w14:textId="2D73F5C2" w:rsidR="009847EE" w:rsidRDefault="007C199E" w:rsidP="00F04BB5">
      <w:pPr>
        <w:spacing w:line="360" w:lineRule="auto"/>
        <w:jc w:val="both"/>
        <w:rPr>
          <w:rFonts w:ascii="Arial" w:eastAsia="Arial" w:hAnsi="Arial" w:cs="Arial"/>
        </w:rPr>
      </w:pPr>
      <w:r w:rsidRPr="00F04BB5">
        <w:rPr>
          <w:rFonts w:ascii="Arial" w:eastAsia="Arial" w:hAnsi="Arial" w:cs="Arial"/>
        </w:rPr>
        <w:t xml:space="preserve">LESSON </w:t>
      </w:r>
      <w:r w:rsidR="009F2547">
        <w:rPr>
          <w:rFonts w:ascii="Arial" w:eastAsia="Arial" w:hAnsi="Arial" w:cs="Arial"/>
        </w:rPr>
        <w:t>5</w:t>
      </w:r>
    </w:p>
    <w:p w14:paraId="1C6A9706" w14:textId="4BDDD73B" w:rsidR="008A64AA" w:rsidRDefault="00794546" w:rsidP="00F04BB5">
      <w:pPr>
        <w:spacing w:after="0" w:line="360" w:lineRule="auto"/>
        <w:jc w:val="both"/>
        <w:rPr>
          <w:rFonts w:ascii="Arial" w:eastAsia="Arial" w:hAnsi="Arial" w:cs="Arial"/>
        </w:rPr>
      </w:pPr>
      <w:r w:rsidRPr="00794546">
        <w:rPr>
          <w:rFonts w:ascii="Arial" w:eastAsia="Arial" w:hAnsi="Arial" w:cs="Arial"/>
        </w:rPr>
        <w:t>In this chapter, we thoroughly explore the challenges associated with initiating the process of change.</w:t>
      </w:r>
      <w:r w:rsidRPr="00794546">
        <w:t xml:space="preserve"> </w:t>
      </w:r>
      <w:r w:rsidRPr="00794546">
        <w:rPr>
          <w:rFonts w:ascii="Arial" w:eastAsia="Arial" w:hAnsi="Arial" w:cs="Arial"/>
        </w:rPr>
        <w:t>A critical aspect is the transformation of the necessity for change into a genuine eagerness for it. Within organizations, individuals might exhibit hesitancy toward embracing change due to a lack of faith in both their own capabilities and those of their colleagues when it comes to effecting meaningful change. This chapter, as well as the entire book, adopts a '</w:t>
      </w:r>
      <w:proofErr w:type="spellStart"/>
      <w:r w:rsidRPr="00794546">
        <w:rPr>
          <w:rFonts w:ascii="Arial" w:eastAsia="Arial" w:hAnsi="Arial" w:cs="Arial"/>
        </w:rPr>
        <w:t>voluntaristic</w:t>
      </w:r>
      <w:proofErr w:type="spellEnd"/>
      <w:r w:rsidRPr="00794546">
        <w:rPr>
          <w:rFonts w:ascii="Arial" w:eastAsia="Arial" w:hAnsi="Arial" w:cs="Arial"/>
        </w:rPr>
        <w:t>' standpoint and contends that, in most instances, members within organizations are not merely passive entities devoid of influence; instead, they are autonomous agents with the capacity to actively engage and make a significant impact on the change process. To accomplish this, they require conceptual frameworks and theories to comprehend the dynamics of change and strategies for active participation. Additionally, they must possess confidence in their own abilities and those of their peers to steer outcomes in a positive direction. In the latter part of this chapter, we explore the question of who should assume leadership in the change process and how they can cultivate effective relationships conducive to driving change.</w:t>
      </w:r>
    </w:p>
    <w:p w14:paraId="1896D7D0" w14:textId="77777777" w:rsidR="00794546" w:rsidRDefault="00794546" w:rsidP="00F04BB5">
      <w:pPr>
        <w:spacing w:after="0" w:line="360" w:lineRule="auto"/>
        <w:jc w:val="both"/>
        <w:rPr>
          <w:rFonts w:ascii="Arial" w:eastAsia="Arial" w:hAnsi="Arial" w:cs="Arial"/>
          <w:color w:val="000000"/>
        </w:rPr>
      </w:pPr>
    </w:p>
    <w:p w14:paraId="0356852C" w14:textId="4B5BD0EB" w:rsidR="002977EC" w:rsidRDefault="002977EC" w:rsidP="00F04BB5">
      <w:pPr>
        <w:spacing w:after="0" w:line="360" w:lineRule="auto"/>
        <w:jc w:val="both"/>
        <w:rPr>
          <w:rFonts w:ascii="Arial" w:eastAsia="Arial" w:hAnsi="Arial" w:cs="Arial"/>
          <w:color w:val="000000"/>
        </w:rPr>
      </w:pPr>
      <w:r w:rsidRPr="00F04BB5">
        <w:rPr>
          <w:rFonts w:ascii="Arial" w:eastAsia="Arial" w:hAnsi="Arial" w:cs="Arial"/>
          <w:color w:val="000000"/>
        </w:rPr>
        <w:t>Learning Objective 1</w:t>
      </w:r>
    </w:p>
    <w:p w14:paraId="42AA6358" w14:textId="77777777" w:rsidR="00700FB9" w:rsidRPr="00F04BB5" w:rsidRDefault="00700FB9" w:rsidP="00F04BB5">
      <w:pPr>
        <w:spacing w:after="0" w:line="360" w:lineRule="auto"/>
        <w:jc w:val="both"/>
        <w:rPr>
          <w:rFonts w:ascii="Arial" w:eastAsia="Arial" w:hAnsi="Arial" w:cs="Arial"/>
          <w:color w:val="000000"/>
        </w:rPr>
      </w:pPr>
    </w:p>
    <w:p w14:paraId="52B63A4E" w14:textId="4F1BEA11" w:rsidR="008A64AA" w:rsidRDefault="009F2547" w:rsidP="00FD7518">
      <w:pPr>
        <w:spacing w:after="0" w:line="360" w:lineRule="auto"/>
        <w:jc w:val="both"/>
        <w:rPr>
          <w:rFonts w:ascii="Arial" w:eastAsia="Arial" w:hAnsi="Arial" w:cs="Arial"/>
          <w:b/>
          <w:color w:val="000000"/>
          <w:u w:val="single"/>
        </w:rPr>
      </w:pPr>
      <w:r w:rsidRPr="009F2547">
        <w:rPr>
          <w:rFonts w:ascii="Arial" w:eastAsia="Arial" w:hAnsi="Arial" w:cs="Arial"/>
          <w:b/>
          <w:color w:val="000000"/>
          <w:u w:val="single"/>
        </w:rPr>
        <w:t>Beliefs about change agency</w:t>
      </w:r>
    </w:p>
    <w:p w14:paraId="5A563B60" w14:textId="77777777" w:rsidR="00F62EA1" w:rsidRDefault="00F62EA1" w:rsidP="00F62EA1">
      <w:pPr>
        <w:spacing w:after="0" w:line="360" w:lineRule="auto"/>
        <w:jc w:val="both"/>
        <w:rPr>
          <w:rFonts w:ascii="Arial" w:hAnsi="Arial" w:cs="Arial"/>
        </w:rPr>
      </w:pPr>
    </w:p>
    <w:p w14:paraId="27921487" w14:textId="77777777" w:rsidR="00672DDD" w:rsidRPr="00672DDD" w:rsidRDefault="00672DDD" w:rsidP="00672DDD">
      <w:pPr>
        <w:spacing w:after="0" w:line="360" w:lineRule="auto"/>
        <w:jc w:val="both"/>
        <w:rPr>
          <w:rFonts w:ascii="Arial" w:hAnsi="Arial" w:cs="Arial"/>
        </w:rPr>
      </w:pPr>
      <w:r w:rsidRPr="00672DDD">
        <w:rPr>
          <w:rFonts w:ascii="Arial" w:hAnsi="Arial" w:cs="Arial"/>
        </w:rPr>
        <w:t>Change agency pertains to the capacity of a manager or any change agent to influence an organization's response to opportunities and threats. One perspective in the study of change and change management characterizes managers and organizational members as passive recipients of change rather than proactive instigators who can initiate and secure change. This perspective is termed 'determinism' as defined by Wilson (1992).</w:t>
      </w:r>
    </w:p>
    <w:p w14:paraId="2A2A543D" w14:textId="77777777" w:rsidR="00672DDD" w:rsidRPr="00672DDD" w:rsidRDefault="00672DDD" w:rsidP="00672DDD">
      <w:pPr>
        <w:spacing w:after="0" w:line="360" w:lineRule="auto"/>
        <w:jc w:val="both"/>
        <w:rPr>
          <w:rFonts w:ascii="Arial" w:hAnsi="Arial" w:cs="Arial"/>
        </w:rPr>
      </w:pPr>
    </w:p>
    <w:p w14:paraId="34EE6FCB" w14:textId="77777777" w:rsidR="00672DDD" w:rsidRPr="00672DDD" w:rsidRDefault="00672DDD" w:rsidP="00672DDD">
      <w:pPr>
        <w:spacing w:after="0" w:line="360" w:lineRule="auto"/>
        <w:jc w:val="both"/>
        <w:rPr>
          <w:rFonts w:ascii="Arial" w:hAnsi="Arial" w:cs="Arial"/>
        </w:rPr>
      </w:pPr>
      <w:r w:rsidRPr="00672DDD">
        <w:rPr>
          <w:rFonts w:ascii="Arial" w:hAnsi="Arial" w:cs="Arial"/>
        </w:rPr>
        <w:t xml:space="preserve">The deterministic viewpoint asserts that a manager's ability to shape change is restricted because the primary determining factors reside external to the organization and beyond the strategic choices available to managers (as discussed in Chapter 1 regarding predetermined change trajectories). According to Wilson (1992, p. 42), proponents of this approach view organizations as interconnected components of a larger open system, with the characteristics of the broader </w:t>
      </w:r>
      <w:r w:rsidRPr="00672DDD">
        <w:rPr>
          <w:rFonts w:ascii="Arial" w:hAnsi="Arial" w:cs="Arial"/>
        </w:rPr>
        <w:lastRenderedPageBreak/>
        <w:t xml:space="preserve">organization-environment connections serving as the primary driver of strategic change. For instance, regardless of the CEO's competence, when confronted with a significant downturn in the business cycle or unfavorable exchange rates, they may have limited capacity to immediately enhance the organization's fortunes. Greenwood and </w:t>
      </w:r>
      <w:proofErr w:type="spellStart"/>
      <w:r w:rsidRPr="00672DDD">
        <w:rPr>
          <w:rFonts w:ascii="Arial" w:hAnsi="Arial" w:cs="Arial"/>
        </w:rPr>
        <w:t>Hinings</w:t>
      </w:r>
      <w:proofErr w:type="spellEnd"/>
      <w:r w:rsidRPr="00672DDD">
        <w:rPr>
          <w:rFonts w:ascii="Arial" w:hAnsi="Arial" w:cs="Arial"/>
        </w:rPr>
        <w:t xml:space="preserve"> (1996) reinforce this perspective by highlighting how an organization's institutional context can curtail the potential for change, particularly when the organization is deeply embedded within a broader system characterized by tightly connected relationships. </w:t>
      </w:r>
      <w:proofErr w:type="spellStart"/>
      <w:r w:rsidRPr="00672DDD">
        <w:rPr>
          <w:rFonts w:ascii="Arial" w:hAnsi="Arial" w:cs="Arial"/>
        </w:rPr>
        <w:t>Mellahi</w:t>
      </w:r>
      <w:proofErr w:type="spellEnd"/>
      <w:r w:rsidRPr="00672DDD">
        <w:rPr>
          <w:rFonts w:ascii="Arial" w:hAnsi="Arial" w:cs="Arial"/>
        </w:rPr>
        <w:t xml:space="preserve"> and Wilkinson (2004) point out that classical industrial organization and organizational ecology scholars concur on the deterministic role of the environment in constraining managerial actions.</w:t>
      </w:r>
    </w:p>
    <w:p w14:paraId="3A438B19" w14:textId="77777777" w:rsidR="00672DDD" w:rsidRPr="00672DDD" w:rsidRDefault="00672DDD" w:rsidP="00672DDD">
      <w:pPr>
        <w:spacing w:after="0" w:line="360" w:lineRule="auto"/>
        <w:jc w:val="both"/>
        <w:rPr>
          <w:rFonts w:ascii="Arial" w:hAnsi="Arial" w:cs="Arial"/>
        </w:rPr>
      </w:pPr>
    </w:p>
    <w:p w14:paraId="4C3C1B71" w14:textId="77777777" w:rsidR="00672DDD" w:rsidRPr="00672DDD" w:rsidRDefault="00672DDD" w:rsidP="00672DDD">
      <w:pPr>
        <w:spacing w:after="0" w:line="360" w:lineRule="auto"/>
        <w:jc w:val="both"/>
        <w:rPr>
          <w:rFonts w:ascii="Arial" w:hAnsi="Arial" w:cs="Arial"/>
        </w:rPr>
      </w:pPr>
      <w:r w:rsidRPr="00672DDD">
        <w:rPr>
          <w:rFonts w:ascii="Arial" w:hAnsi="Arial" w:cs="Arial"/>
        </w:rPr>
        <w:t>In contrast, the voluntarist perspective supports the idea of constructed trajectories, as discussed in Chapter 1, and rejects the notion that managers are powerless. Advocates of this viewpoint contend that managers and other organizational members are the primary decision-makers determining the organization's destiny. The strategic choice framework (Child, 1972, 1997) highlights managers' capacity to make choices and offers an example of how the voluntarist approach operates. It challenges the idea that there exists an ideal organizational type or a single best management approach, recognizing functional equivalents and the potential for equifinality, where various approaches can lead to the same organizational outcomes. One crucial factor determining organizational effectiveness is the quality of strategic decisions made by members of the dominant coalition. This perspective underscores the role of human agency, asserting that managers can intervene to drive change in ways that either bolster or undermine organizational effectiveness.</w:t>
      </w:r>
    </w:p>
    <w:p w14:paraId="38F5A454" w14:textId="77777777" w:rsidR="00672DDD" w:rsidRPr="00672DDD" w:rsidRDefault="00672DDD" w:rsidP="00672DDD">
      <w:pPr>
        <w:spacing w:after="0" w:line="360" w:lineRule="auto"/>
        <w:jc w:val="both"/>
        <w:rPr>
          <w:rFonts w:ascii="Arial" w:hAnsi="Arial" w:cs="Arial"/>
        </w:rPr>
      </w:pPr>
    </w:p>
    <w:p w14:paraId="61F85798" w14:textId="2890CCBE" w:rsidR="009F2547" w:rsidRDefault="00672DDD" w:rsidP="00672DDD">
      <w:pPr>
        <w:spacing w:after="0" w:line="360" w:lineRule="auto"/>
        <w:jc w:val="both"/>
        <w:rPr>
          <w:rFonts w:ascii="Arial" w:hAnsi="Arial" w:cs="Arial"/>
        </w:rPr>
      </w:pPr>
      <w:r w:rsidRPr="00672DDD">
        <w:rPr>
          <w:rFonts w:ascii="Arial" w:hAnsi="Arial" w:cs="Arial"/>
        </w:rPr>
        <w:t>Nevertheless, Raynor et al. (2009) offer a word of caution about drawing lessons on how change leaders should act from "success studies," as not every success can be attributed to human agency; chance factors can also impact outcomes. They argue that some of the companies highlighted in management bestsellers like "In Search of Excellence" (Peters and Waterman, 1982) and "Good to Great" (Collins, 2001) may have simply been fortunate. Raynor et al. illustrate how easily one can fall into the trap of attributing significance to apparently meaningful outcomes that are purely random, citing an experiment conducted by one of them at the beginning of a strategic management class.</w:t>
      </w:r>
    </w:p>
    <w:p w14:paraId="560B54B6" w14:textId="77777777" w:rsidR="00672DDD" w:rsidRDefault="00672DDD" w:rsidP="00672DDD">
      <w:pPr>
        <w:spacing w:after="0" w:line="360" w:lineRule="auto"/>
        <w:jc w:val="both"/>
        <w:rPr>
          <w:noProof/>
        </w:rPr>
      </w:pPr>
    </w:p>
    <w:p w14:paraId="4E7EE176" w14:textId="09E60300" w:rsidR="009F2547" w:rsidRDefault="009F2547" w:rsidP="009F2547">
      <w:pPr>
        <w:spacing w:after="0" w:line="360" w:lineRule="auto"/>
        <w:jc w:val="both"/>
        <w:rPr>
          <w:rFonts w:ascii="Arial" w:eastAsia="Arial" w:hAnsi="Arial" w:cs="Arial"/>
        </w:rPr>
      </w:pPr>
    </w:p>
    <w:p w14:paraId="483DF0CE" w14:textId="153933A4" w:rsidR="009847EE" w:rsidRPr="00F04BB5" w:rsidRDefault="002977EC" w:rsidP="009F2547">
      <w:pPr>
        <w:spacing w:after="0" w:line="360" w:lineRule="auto"/>
        <w:jc w:val="both"/>
        <w:rPr>
          <w:rFonts w:ascii="Arial" w:eastAsia="Arial" w:hAnsi="Arial" w:cs="Arial"/>
        </w:rPr>
      </w:pPr>
      <w:r w:rsidRPr="00F04BB5">
        <w:rPr>
          <w:rFonts w:ascii="Arial" w:eastAsia="Arial" w:hAnsi="Arial" w:cs="Arial"/>
        </w:rPr>
        <w:lastRenderedPageBreak/>
        <w:t>Learning Objective 2</w:t>
      </w:r>
    </w:p>
    <w:p w14:paraId="2933CD8D" w14:textId="77777777" w:rsidR="009F2547" w:rsidRDefault="009F2547" w:rsidP="00700FB9">
      <w:pPr>
        <w:autoSpaceDE w:val="0"/>
        <w:autoSpaceDN w:val="0"/>
        <w:adjustRightInd w:val="0"/>
        <w:spacing w:after="0" w:line="360" w:lineRule="auto"/>
        <w:jc w:val="both"/>
        <w:rPr>
          <w:rFonts w:ascii="Arial" w:hAnsi="Arial" w:cs="Arial"/>
          <w:b/>
          <w:bCs/>
          <w:u w:val="single"/>
        </w:rPr>
      </w:pPr>
    </w:p>
    <w:p w14:paraId="7C0CAECF" w14:textId="16A2F8CC" w:rsidR="00FD7518" w:rsidRDefault="009F2547" w:rsidP="00700FB9">
      <w:pPr>
        <w:autoSpaceDE w:val="0"/>
        <w:autoSpaceDN w:val="0"/>
        <w:adjustRightInd w:val="0"/>
        <w:spacing w:after="0" w:line="360" w:lineRule="auto"/>
        <w:jc w:val="both"/>
        <w:rPr>
          <w:rFonts w:ascii="Arial" w:hAnsi="Arial" w:cs="Arial"/>
          <w:b/>
          <w:bCs/>
          <w:u w:val="single"/>
        </w:rPr>
      </w:pPr>
      <w:r w:rsidRPr="009F2547">
        <w:rPr>
          <w:rFonts w:ascii="Arial" w:hAnsi="Arial" w:cs="Arial"/>
          <w:b/>
          <w:bCs/>
          <w:u w:val="single"/>
        </w:rPr>
        <w:t>Voluntarism and change agency</w:t>
      </w:r>
    </w:p>
    <w:p w14:paraId="052F7A83" w14:textId="77777777" w:rsidR="009F2547" w:rsidRDefault="009F2547" w:rsidP="00700FB9">
      <w:pPr>
        <w:autoSpaceDE w:val="0"/>
        <w:autoSpaceDN w:val="0"/>
        <w:adjustRightInd w:val="0"/>
        <w:spacing w:after="0" w:line="360" w:lineRule="auto"/>
        <w:jc w:val="both"/>
        <w:rPr>
          <w:rFonts w:ascii="Arial" w:hAnsi="Arial" w:cs="Arial"/>
          <w:b/>
          <w:bCs/>
          <w:u w:val="single"/>
        </w:rPr>
      </w:pPr>
    </w:p>
    <w:p w14:paraId="50729AF4" w14:textId="77777777" w:rsidR="00672DDD" w:rsidRPr="00672DDD" w:rsidRDefault="00672DDD" w:rsidP="00672DDD">
      <w:pPr>
        <w:autoSpaceDE w:val="0"/>
        <w:autoSpaceDN w:val="0"/>
        <w:adjustRightInd w:val="0"/>
        <w:spacing w:after="0" w:line="360" w:lineRule="auto"/>
        <w:jc w:val="both"/>
        <w:rPr>
          <w:rFonts w:ascii="Arial" w:hAnsi="Arial" w:cs="Arial"/>
        </w:rPr>
      </w:pPr>
      <w:r w:rsidRPr="00672DDD">
        <w:rPr>
          <w:rFonts w:ascii="Arial" w:hAnsi="Arial" w:cs="Arial"/>
        </w:rPr>
        <w:t>The approach to change management presented in this book is grounded in two fundamental assumptions: that managers have the capacity to create an impact and can enhance their proficiency in change management. Proficient change managers necessitate and can be assisted in acquiring:</w:t>
      </w:r>
    </w:p>
    <w:p w14:paraId="57AF6DF0" w14:textId="77777777" w:rsidR="00672DDD" w:rsidRPr="00672DDD" w:rsidRDefault="00672DDD" w:rsidP="00672DDD">
      <w:pPr>
        <w:autoSpaceDE w:val="0"/>
        <w:autoSpaceDN w:val="0"/>
        <w:adjustRightInd w:val="0"/>
        <w:spacing w:after="0" w:line="360" w:lineRule="auto"/>
        <w:jc w:val="both"/>
        <w:rPr>
          <w:rFonts w:ascii="Arial" w:hAnsi="Arial" w:cs="Arial"/>
        </w:rPr>
      </w:pPr>
    </w:p>
    <w:p w14:paraId="00196E3A" w14:textId="77777777" w:rsidR="00672DDD" w:rsidRPr="00672DDD" w:rsidRDefault="00672DDD" w:rsidP="00672DDD">
      <w:pPr>
        <w:pStyle w:val="ListParagraph"/>
        <w:numPr>
          <w:ilvl w:val="0"/>
          <w:numId w:val="28"/>
        </w:numPr>
        <w:autoSpaceDE w:val="0"/>
        <w:autoSpaceDN w:val="0"/>
        <w:adjustRightInd w:val="0"/>
        <w:spacing w:after="0" w:line="360" w:lineRule="auto"/>
        <w:jc w:val="both"/>
        <w:rPr>
          <w:rFonts w:ascii="Arial" w:hAnsi="Arial" w:cs="Arial"/>
        </w:rPr>
      </w:pPr>
      <w:r w:rsidRPr="00672DDD">
        <w:rPr>
          <w:rFonts w:ascii="Arial" w:hAnsi="Arial" w:cs="Arial"/>
        </w:rPr>
        <w:t>Belief in their own capability to effect change.</w:t>
      </w:r>
    </w:p>
    <w:p w14:paraId="6AA658F8" w14:textId="77777777" w:rsidR="00672DDD" w:rsidRPr="00672DDD" w:rsidRDefault="00672DDD" w:rsidP="00672DDD">
      <w:pPr>
        <w:pStyle w:val="ListParagraph"/>
        <w:numPr>
          <w:ilvl w:val="0"/>
          <w:numId w:val="28"/>
        </w:numPr>
        <w:autoSpaceDE w:val="0"/>
        <w:autoSpaceDN w:val="0"/>
        <w:adjustRightInd w:val="0"/>
        <w:spacing w:after="0" w:line="360" w:lineRule="auto"/>
        <w:jc w:val="both"/>
        <w:rPr>
          <w:rFonts w:ascii="Arial" w:hAnsi="Arial" w:cs="Arial"/>
        </w:rPr>
      </w:pPr>
      <w:r w:rsidRPr="00672DDD">
        <w:rPr>
          <w:rFonts w:ascii="Arial" w:hAnsi="Arial" w:cs="Arial"/>
        </w:rPr>
        <w:t>The drive and inclination to embrace change.</w:t>
      </w:r>
    </w:p>
    <w:p w14:paraId="0AB02141" w14:textId="77777777" w:rsidR="00672DDD" w:rsidRPr="00672DDD" w:rsidRDefault="00672DDD" w:rsidP="00672DDD">
      <w:pPr>
        <w:pStyle w:val="ListParagraph"/>
        <w:numPr>
          <w:ilvl w:val="0"/>
          <w:numId w:val="28"/>
        </w:numPr>
        <w:autoSpaceDE w:val="0"/>
        <w:autoSpaceDN w:val="0"/>
        <w:adjustRightInd w:val="0"/>
        <w:spacing w:after="0" w:line="360" w:lineRule="auto"/>
        <w:jc w:val="both"/>
        <w:rPr>
          <w:rFonts w:ascii="Arial" w:hAnsi="Arial" w:cs="Arial"/>
        </w:rPr>
      </w:pPr>
      <w:r w:rsidRPr="00672DDD">
        <w:rPr>
          <w:rFonts w:ascii="Arial" w:hAnsi="Arial" w:cs="Arial"/>
        </w:rPr>
        <w:t>Conceptual frameworks and practical tools for action and intervention.</w:t>
      </w:r>
    </w:p>
    <w:p w14:paraId="095BF9B6" w14:textId="11818D44" w:rsidR="009F2547" w:rsidRDefault="00672DDD" w:rsidP="00672DDD">
      <w:pPr>
        <w:pStyle w:val="ListParagraph"/>
        <w:numPr>
          <w:ilvl w:val="0"/>
          <w:numId w:val="28"/>
        </w:numPr>
        <w:autoSpaceDE w:val="0"/>
        <w:autoSpaceDN w:val="0"/>
        <w:adjustRightInd w:val="0"/>
        <w:spacing w:after="0" w:line="360" w:lineRule="auto"/>
        <w:jc w:val="both"/>
        <w:rPr>
          <w:rFonts w:ascii="Arial" w:hAnsi="Arial" w:cs="Arial"/>
        </w:rPr>
      </w:pPr>
      <w:r w:rsidRPr="00672DDD">
        <w:rPr>
          <w:rFonts w:ascii="Arial" w:hAnsi="Arial" w:cs="Arial"/>
        </w:rPr>
        <w:t>Competencies in the field of change management.</w:t>
      </w:r>
    </w:p>
    <w:p w14:paraId="3215134A" w14:textId="77777777" w:rsidR="00672DDD" w:rsidRPr="00672DDD" w:rsidRDefault="00672DDD" w:rsidP="00672DDD">
      <w:pPr>
        <w:pStyle w:val="ListParagraph"/>
        <w:autoSpaceDE w:val="0"/>
        <w:autoSpaceDN w:val="0"/>
        <w:adjustRightInd w:val="0"/>
        <w:spacing w:after="0" w:line="360" w:lineRule="auto"/>
        <w:jc w:val="both"/>
        <w:rPr>
          <w:rFonts w:ascii="Arial" w:hAnsi="Arial" w:cs="Arial"/>
        </w:rPr>
      </w:pPr>
    </w:p>
    <w:p w14:paraId="39D7D041" w14:textId="77777777" w:rsidR="004F20BA" w:rsidRPr="004F20BA" w:rsidRDefault="009F2547" w:rsidP="009F2547">
      <w:pPr>
        <w:autoSpaceDE w:val="0"/>
        <w:autoSpaceDN w:val="0"/>
        <w:adjustRightInd w:val="0"/>
        <w:spacing w:after="0" w:line="360" w:lineRule="auto"/>
        <w:jc w:val="both"/>
        <w:rPr>
          <w:rFonts w:ascii="Arial" w:hAnsi="Arial" w:cs="Arial"/>
          <w:b/>
        </w:rPr>
      </w:pPr>
      <w:r w:rsidRPr="004F20BA">
        <w:rPr>
          <w:rFonts w:ascii="Arial" w:hAnsi="Arial" w:cs="Arial"/>
          <w:b/>
        </w:rPr>
        <w:t>Confidence in their own ability to affect outcomes</w:t>
      </w:r>
      <w:r w:rsidR="00F62EA1" w:rsidRPr="004F20BA">
        <w:rPr>
          <w:rFonts w:ascii="Arial" w:hAnsi="Arial" w:cs="Arial"/>
          <w:b/>
        </w:rPr>
        <w:t xml:space="preserve"> </w:t>
      </w:r>
    </w:p>
    <w:p w14:paraId="3C9CB4DB" w14:textId="77777777" w:rsidR="004F20BA" w:rsidRDefault="004F20BA" w:rsidP="009F2547">
      <w:pPr>
        <w:autoSpaceDE w:val="0"/>
        <w:autoSpaceDN w:val="0"/>
        <w:adjustRightInd w:val="0"/>
        <w:spacing w:after="0" w:line="360" w:lineRule="auto"/>
        <w:jc w:val="both"/>
        <w:rPr>
          <w:rFonts w:ascii="Arial" w:hAnsi="Arial" w:cs="Arial"/>
        </w:rPr>
      </w:pPr>
    </w:p>
    <w:p w14:paraId="29F2DA17" w14:textId="77777777" w:rsidR="0096128A" w:rsidRPr="0096128A" w:rsidRDefault="0096128A" w:rsidP="0096128A">
      <w:pPr>
        <w:autoSpaceDE w:val="0"/>
        <w:autoSpaceDN w:val="0"/>
        <w:adjustRightInd w:val="0"/>
        <w:spacing w:after="0" w:line="360" w:lineRule="auto"/>
        <w:jc w:val="both"/>
        <w:rPr>
          <w:rFonts w:ascii="Arial" w:hAnsi="Arial" w:cs="Arial"/>
        </w:rPr>
      </w:pPr>
      <w:r w:rsidRPr="0096128A">
        <w:rPr>
          <w:rFonts w:ascii="Arial" w:hAnsi="Arial" w:cs="Arial"/>
        </w:rPr>
        <w:t>Some managers may possess the necessary conceptual knowledge and skills required for intervention and making a meaningful impact, yet they might refrain from taking action due to their insufficient belief in their ability to influence outcomes. While excessive optimism and overconfidence can lead to unnecessary risk-taking (as demonstrated, for instance, by Thaler and Sunstein in 2009, who found that 90 percent of all drivers believe they are better than average when driving), change managers often struggle to be effective because they lack the confidence necessary to act in ways that allow them to exert the control required to attain desired results. May (1969) argued that in various aspects of life, individuals are entranced by their own sense of powerlessness and use it as an excuse for inaction.</w:t>
      </w:r>
    </w:p>
    <w:p w14:paraId="64A56F5B" w14:textId="77777777" w:rsidR="0096128A" w:rsidRPr="0096128A" w:rsidRDefault="0096128A" w:rsidP="0096128A">
      <w:pPr>
        <w:autoSpaceDE w:val="0"/>
        <w:autoSpaceDN w:val="0"/>
        <w:adjustRightInd w:val="0"/>
        <w:spacing w:after="0" w:line="360" w:lineRule="auto"/>
        <w:jc w:val="both"/>
        <w:rPr>
          <w:rFonts w:ascii="Arial" w:hAnsi="Arial" w:cs="Arial"/>
        </w:rPr>
      </w:pPr>
    </w:p>
    <w:p w14:paraId="663946A9" w14:textId="60C7A5C7" w:rsidR="0008359E" w:rsidRDefault="0096128A" w:rsidP="0096128A">
      <w:pPr>
        <w:autoSpaceDE w:val="0"/>
        <w:autoSpaceDN w:val="0"/>
        <w:adjustRightInd w:val="0"/>
        <w:spacing w:after="0" w:line="360" w:lineRule="auto"/>
        <w:jc w:val="both"/>
        <w:rPr>
          <w:rFonts w:ascii="Arial" w:hAnsi="Arial" w:cs="Arial"/>
        </w:rPr>
      </w:pPr>
      <w:r w:rsidRPr="0096128A">
        <w:rPr>
          <w:rFonts w:ascii="Arial" w:hAnsi="Arial" w:cs="Arial"/>
        </w:rPr>
        <w:t xml:space="preserve">The theory of learned helplessness posits that the motivation for managers and others to initiate actions aimed at managing change hinges on the expectation they have learned, that their actions can bring about improvements in the challenging situation. If they lack confidence in their capacity to manage change and generate improvements, they are unlikely to attempt to exert influence. Both individuals and organizations can cultivate the expectation that they have limited agency in securing favorable outcomes when confronted with change. However, individuals and </w:t>
      </w:r>
      <w:r w:rsidRPr="0096128A">
        <w:rPr>
          <w:rFonts w:ascii="Arial" w:hAnsi="Arial" w:cs="Arial"/>
        </w:rPr>
        <w:lastRenderedPageBreak/>
        <w:t>organizations can also acquire the understanding that they can influence their own destiny and learn how to wield this influence effectively.</w:t>
      </w:r>
    </w:p>
    <w:p w14:paraId="662FBA6D" w14:textId="77777777" w:rsidR="0096128A" w:rsidRDefault="0096128A" w:rsidP="0096128A">
      <w:pPr>
        <w:autoSpaceDE w:val="0"/>
        <w:autoSpaceDN w:val="0"/>
        <w:adjustRightInd w:val="0"/>
        <w:spacing w:after="0" w:line="360" w:lineRule="auto"/>
        <w:jc w:val="both"/>
        <w:rPr>
          <w:rFonts w:ascii="Arial" w:hAnsi="Arial" w:cs="Arial"/>
        </w:rPr>
      </w:pPr>
    </w:p>
    <w:p w14:paraId="0FC66E42" w14:textId="77777777" w:rsidR="009F2547" w:rsidRPr="009F2547" w:rsidRDefault="009F2547" w:rsidP="009F2547">
      <w:pPr>
        <w:autoSpaceDE w:val="0"/>
        <w:autoSpaceDN w:val="0"/>
        <w:adjustRightInd w:val="0"/>
        <w:spacing w:after="0" w:line="360" w:lineRule="auto"/>
        <w:jc w:val="both"/>
        <w:rPr>
          <w:rFonts w:ascii="Arial" w:hAnsi="Arial" w:cs="Arial"/>
          <w:b/>
          <w:sz w:val="24"/>
        </w:rPr>
      </w:pPr>
      <w:r w:rsidRPr="009F2547">
        <w:rPr>
          <w:rFonts w:ascii="Arial" w:hAnsi="Arial" w:cs="Arial"/>
          <w:b/>
          <w:sz w:val="24"/>
        </w:rPr>
        <w:t>The motivation to change</w:t>
      </w:r>
    </w:p>
    <w:p w14:paraId="0CA825EE" w14:textId="77777777" w:rsidR="009F2547" w:rsidRDefault="009F2547" w:rsidP="009F2547">
      <w:pPr>
        <w:autoSpaceDE w:val="0"/>
        <w:autoSpaceDN w:val="0"/>
        <w:adjustRightInd w:val="0"/>
        <w:spacing w:after="0" w:line="360" w:lineRule="auto"/>
        <w:jc w:val="both"/>
        <w:rPr>
          <w:rFonts w:ascii="Arial" w:hAnsi="Arial" w:cs="Arial"/>
        </w:rPr>
      </w:pPr>
    </w:p>
    <w:p w14:paraId="28EC235F" w14:textId="77777777" w:rsidR="0096128A" w:rsidRPr="0096128A" w:rsidRDefault="0096128A" w:rsidP="0096128A">
      <w:pPr>
        <w:autoSpaceDE w:val="0"/>
        <w:autoSpaceDN w:val="0"/>
        <w:adjustRightInd w:val="0"/>
        <w:spacing w:after="0" w:line="360" w:lineRule="auto"/>
        <w:jc w:val="both"/>
        <w:rPr>
          <w:rFonts w:ascii="Arial" w:hAnsi="Arial" w:cs="Arial"/>
        </w:rPr>
      </w:pPr>
      <w:r w:rsidRPr="0096128A">
        <w:rPr>
          <w:rFonts w:ascii="Arial" w:hAnsi="Arial" w:cs="Arial"/>
        </w:rPr>
        <w:t>Pugh (1993) contends that those most inclined to seek change are typically individuals who are generally successful but are encountering tension or failure in a specific aspect of their work. This group tends to possess the confidence and motivation required for change. The next category with a likelihood to embrace change consists of successful individuals because they have the necessary confidence, yet their existing success might make them content with the current state of affairs, resulting in a lack of motivation for change. Like organizations, individuals can also become ensnared by the trappings of success, as discussed in Chapter 4. Those least likely to grasp and acknowledge the need for change are individuals who have not experienced success. Although they may be the ones in greatest need of change, they are also the ones who are prone to lacking confidence in their ability to ameliorate their situation. Consequently, they may prefer the status quo (the familiar) to the potential outcome of a failed attempt at change (the unfamiliar).</w:t>
      </w:r>
    </w:p>
    <w:p w14:paraId="0615C3D7" w14:textId="77777777" w:rsidR="0096128A" w:rsidRPr="0096128A" w:rsidRDefault="0096128A" w:rsidP="0096128A">
      <w:pPr>
        <w:autoSpaceDE w:val="0"/>
        <w:autoSpaceDN w:val="0"/>
        <w:adjustRightInd w:val="0"/>
        <w:spacing w:after="0" w:line="360" w:lineRule="auto"/>
        <w:jc w:val="both"/>
        <w:rPr>
          <w:rFonts w:ascii="Arial" w:hAnsi="Arial" w:cs="Arial"/>
        </w:rPr>
      </w:pPr>
    </w:p>
    <w:p w14:paraId="432CCB31" w14:textId="78C5B26C" w:rsidR="004F20BA" w:rsidRDefault="0096128A" w:rsidP="0096128A">
      <w:pPr>
        <w:autoSpaceDE w:val="0"/>
        <w:autoSpaceDN w:val="0"/>
        <w:adjustRightInd w:val="0"/>
        <w:spacing w:after="0" w:line="360" w:lineRule="auto"/>
        <w:jc w:val="both"/>
        <w:rPr>
          <w:rFonts w:ascii="Arial" w:hAnsi="Arial" w:cs="Arial"/>
        </w:rPr>
      </w:pPr>
      <w:r w:rsidRPr="0096128A">
        <w:rPr>
          <w:rFonts w:ascii="Arial" w:hAnsi="Arial" w:cs="Arial"/>
        </w:rPr>
        <w:t xml:space="preserve">The readiness for change is a crucial factor. Jones et al. (2005) define readiness as the extent to which employees hold positive perspectives regarding the necessity for change and believe that the change will yield beneficial results for themselves and the broader organization. By (2007) conducted a study on change management in the UK tourism industry and discovered support for </w:t>
      </w:r>
      <w:proofErr w:type="spellStart"/>
      <w:r w:rsidRPr="0096128A">
        <w:rPr>
          <w:rFonts w:ascii="Arial" w:hAnsi="Arial" w:cs="Arial"/>
        </w:rPr>
        <w:t>Armenakis</w:t>
      </w:r>
      <w:proofErr w:type="spellEnd"/>
      <w:r w:rsidRPr="0096128A">
        <w:rPr>
          <w:rFonts w:ascii="Arial" w:hAnsi="Arial" w:cs="Arial"/>
        </w:rPr>
        <w:t xml:space="preserve"> et al.'s (1993) assertion that successful implementation is positively associated with the level of change readiness.</w:t>
      </w:r>
    </w:p>
    <w:p w14:paraId="535AC49B" w14:textId="77777777" w:rsidR="0096128A" w:rsidRDefault="0096128A" w:rsidP="0096128A">
      <w:pPr>
        <w:autoSpaceDE w:val="0"/>
        <w:autoSpaceDN w:val="0"/>
        <w:adjustRightInd w:val="0"/>
        <w:spacing w:after="0" w:line="360" w:lineRule="auto"/>
        <w:jc w:val="both"/>
        <w:rPr>
          <w:rFonts w:ascii="Arial" w:hAnsi="Arial" w:cs="Arial"/>
        </w:rPr>
      </w:pPr>
    </w:p>
    <w:p w14:paraId="35783900" w14:textId="77777777" w:rsidR="004F20BA" w:rsidRPr="0096128A" w:rsidRDefault="009F2547" w:rsidP="009F2547">
      <w:pPr>
        <w:autoSpaceDE w:val="0"/>
        <w:autoSpaceDN w:val="0"/>
        <w:adjustRightInd w:val="0"/>
        <w:spacing w:after="0" w:line="360" w:lineRule="auto"/>
        <w:jc w:val="both"/>
        <w:rPr>
          <w:rFonts w:ascii="Arial" w:hAnsi="Arial" w:cs="Arial"/>
          <w:b/>
          <w:sz w:val="24"/>
        </w:rPr>
      </w:pPr>
      <w:r w:rsidRPr="0096128A">
        <w:rPr>
          <w:rFonts w:ascii="Arial" w:hAnsi="Arial" w:cs="Arial"/>
          <w:b/>
          <w:sz w:val="24"/>
        </w:rPr>
        <w:t>Conceptual models</w:t>
      </w:r>
      <w:r w:rsidR="0008359E" w:rsidRPr="0096128A">
        <w:rPr>
          <w:rFonts w:ascii="Arial" w:hAnsi="Arial" w:cs="Arial"/>
          <w:b/>
          <w:sz w:val="24"/>
        </w:rPr>
        <w:t xml:space="preserve"> </w:t>
      </w:r>
    </w:p>
    <w:p w14:paraId="1C1FF8ED" w14:textId="77777777" w:rsidR="004F20BA" w:rsidRDefault="004F20BA" w:rsidP="009F2547">
      <w:pPr>
        <w:autoSpaceDE w:val="0"/>
        <w:autoSpaceDN w:val="0"/>
        <w:adjustRightInd w:val="0"/>
        <w:spacing w:after="0" w:line="360" w:lineRule="auto"/>
        <w:jc w:val="both"/>
        <w:rPr>
          <w:rFonts w:ascii="Arial" w:hAnsi="Arial" w:cs="Arial"/>
        </w:rPr>
      </w:pPr>
    </w:p>
    <w:p w14:paraId="602C7D9B" w14:textId="77777777" w:rsidR="0096128A" w:rsidRPr="0096128A" w:rsidRDefault="0096128A" w:rsidP="0096128A">
      <w:pPr>
        <w:autoSpaceDE w:val="0"/>
        <w:autoSpaceDN w:val="0"/>
        <w:adjustRightInd w:val="0"/>
        <w:spacing w:after="0" w:line="360" w:lineRule="auto"/>
        <w:jc w:val="both"/>
        <w:rPr>
          <w:rFonts w:ascii="Arial" w:hAnsi="Arial" w:cs="Arial"/>
        </w:rPr>
      </w:pPr>
      <w:r w:rsidRPr="0096128A">
        <w:rPr>
          <w:rFonts w:ascii="Arial" w:hAnsi="Arial" w:cs="Arial"/>
        </w:rPr>
        <w:t>Change managers can acquire a variety of concepts and theories that can aid them in the management of change. These concepts and theories can be broadly categorized into two groups: process models, which address the "how" of change management, and diagnostic models, which emphasize the identification of what requires modification.</w:t>
      </w:r>
    </w:p>
    <w:p w14:paraId="25DB84B8" w14:textId="77777777" w:rsidR="0096128A" w:rsidRPr="0096128A" w:rsidRDefault="0096128A" w:rsidP="0096128A">
      <w:pPr>
        <w:autoSpaceDE w:val="0"/>
        <w:autoSpaceDN w:val="0"/>
        <w:adjustRightInd w:val="0"/>
        <w:spacing w:after="0" w:line="360" w:lineRule="auto"/>
        <w:jc w:val="both"/>
        <w:rPr>
          <w:rFonts w:ascii="Arial" w:hAnsi="Arial" w:cs="Arial"/>
        </w:rPr>
      </w:pPr>
    </w:p>
    <w:p w14:paraId="717F3F69" w14:textId="77777777" w:rsidR="0096128A" w:rsidRPr="0096128A" w:rsidRDefault="0096128A" w:rsidP="0096128A">
      <w:pPr>
        <w:autoSpaceDE w:val="0"/>
        <w:autoSpaceDN w:val="0"/>
        <w:adjustRightInd w:val="0"/>
        <w:spacing w:after="0" w:line="360" w:lineRule="auto"/>
        <w:jc w:val="both"/>
        <w:rPr>
          <w:rFonts w:ascii="Arial" w:hAnsi="Arial" w:cs="Arial"/>
        </w:rPr>
      </w:pPr>
      <w:r w:rsidRPr="0096128A">
        <w:rPr>
          <w:rFonts w:ascii="Arial" w:hAnsi="Arial" w:cs="Arial"/>
        </w:rPr>
        <w:t>Change managers require concepts and theories that will assist them in:</w:t>
      </w:r>
    </w:p>
    <w:p w14:paraId="39B0A4AB" w14:textId="77777777" w:rsidR="0096128A" w:rsidRPr="0096128A" w:rsidRDefault="0096128A" w:rsidP="0096128A">
      <w:pPr>
        <w:autoSpaceDE w:val="0"/>
        <w:autoSpaceDN w:val="0"/>
        <w:adjustRightInd w:val="0"/>
        <w:spacing w:after="0" w:line="360" w:lineRule="auto"/>
        <w:jc w:val="both"/>
        <w:rPr>
          <w:rFonts w:ascii="Arial" w:hAnsi="Arial" w:cs="Arial"/>
        </w:rPr>
      </w:pPr>
    </w:p>
    <w:p w14:paraId="48AA01F9" w14:textId="77777777" w:rsidR="0096128A" w:rsidRPr="0096128A" w:rsidRDefault="0096128A" w:rsidP="0096128A">
      <w:pPr>
        <w:pStyle w:val="ListParagraph"/>
        <w:numPr>
          <w:ilvl w:val="0"/>
          <w:numId w:val="29"/>
        </w:numPr>
        <w:autoSpaceDE w:val="0"/>
        <w:autoSpaceDN w:val="0"/>
        <w:adjustRightInd w:val="0"/>
        <w:spacing w:after="0" w:line="360" w:lineRule="auto"/>
        <w:jc w:val="both"/>
        <w:rPr>
          <w:rFonts w:ascii="Arial" w:hAnsi="Arial" w:cs="Arial"/>
        </w:rPr>
      </w:pPr>
      <w:r w:rsidRPr="0096128A">
        <w:rPr>
          <w:rFonts w:ascii="Arial" w:hAnsi="Arial" w:cs="Arial"/>
        </w:rPr>
        <w:lastRenderedPageBreak/>
        <w:t>Recognizing the type of change they are dealing with, whether it is incremental or discontinuous in nature.</w:t>
      </w:r>
    </w:p>
    <w:p w14:paraId="3D1A7CBB" w14:textId="77777777" w:rsidR="0096128A" w:rsidRPr="0096128A" w:rsidRDefault="0096128A" w:rsidP="0096128A">
      <w:pPr>
        <w:pStyle w:val="ListParagraph"/>
        <w:numPr>
          <w:ilvl w:val="0"/>
          <w:numId w:val="29"/>
        </w:numPr>
        <w:autoSpaceDE w:val="0"/>
        <w:autoSpaceDN w:val="0"/>
        <w:adjustRightInd w:val="0"/>
        <w:spacing w:after="0" w:line="360" w:lineRule="auto"/>
        <w:jc w:val="both"/>
        <w:rPr>
          <w:rFonts w:ascii="Arial" w:hAnsi="Arial" w:cs="Arial"/>
        </w:rPr>
      </w:pPr>
      <w:r w:rsidRPr="0096128A">
        <w:rPr>
          <w:rFonts w:ascii="Arial" w:hAnsi="Arial" w:cs="Arial"/>
        </w:rPr>
        <w:t>Comprehending the mechanics of the change process itself.</w:t>
      </w:r>
    </w:p>
    <w:p w14:paraId="04011380" w14:textId="77777777" w:rsidR="0096128A" w:rsidRPr="0096128A" w:rsidRDefault="0096128A" w:rsidP="0096128A">
      <w:pPr>
        <w:pStyle w:val="ListParagraph"/>
        <w:numPr>
          <w:ilvl w:val="0"/>
          <w:numId w:val="29"/>
        </w:numPr>
        <w:autoSpaceDE w:val="0"/>
        <w:autoSpaceDN w:val="0"/>
        <w:adjustRightInd w:val="0"/>
        <w:spacing w:after="0" w:line="360" w:lineRule="auto"/>
        <w:jc w:val="both"/>
        <w:rPr>
          <w:rFonts w:ascii="Arial" w:hAnsi="Arial" w:cs="Arial"/>
        </w:rPr>
      </w:pPr>
      <w:r w:rsidRPr="0096128A">
        <w:rPr>
          <w:rFonts w:ascii="Arial" w:hAnsi="Arial" w:cs="Arial"/>
        </w:rPr>
        <w:t>Pinpointing the aspects that require attention – a process involving diagnosis and goal establishment, covered in Part III – in order to achieve the desired outcomes.</w:t>
      </w:r>
    </w:p>
    <w:p w14:paraId="4B9C2C8E" w14:textId="77777777" w:rsidR="0096128A" w:rsidRDefault="0096128A" w:rsidP="0096128A">
      <w:pPr>
        <w:autoSpaceDE w:val="0"/>
        <w:autoSpaceDN w:val="0"/>
        <w:adjustRightInd w:val="0"/>
        <w:spacing w:after="0" w:line="360" w:lineRule="auto"/>
        <w:jc w:val="both"/>
        <w:rPr>
          <w:rFonts w:ascii="Arial" w:hAnsi="Arial" w:cs="Arial"/>
        </w:rPr>
      </w:pPr>
    </w:p>
    <w:p w14:paraId="0B506344" w14:textId="3855B8B8" w:rsidR="009F2547" w:rsidRDefault="009F2547" w:rsidP="0096128A">
      <w:pPr>
        <w:autoSpaceDE w:val="0"/>
        <w:autoSpaceDN w:val="0"/>
        <w:adjustRightInd w:val="0"/>
        <w:spacing w:after="0" w:line="360" w:lineRule="auto"/>
        <w:jc w:val="both"/>
        <w:rPr>
          <w:rFonts w:ascii="Arial" w:hAnsi="Arial" w:cs="Arial"/>
          <w:b/>
          <w:sz w:val="24"/>
        </w:rPr>
      </w:pPr>
      <w:r w:rsidRPr="009F2547">
        <w:rPr>
          <w:rFonts w:ascii="Arial" w:hAnsi="Arial" w:cs="Arial"/>
          <w:b/>
          <w:sz w:val="24"/>
        </w:rPr>
        <w:t>Change management skills</w:t>
      </w:r>
    </w:p>
    <w:p w14:paraId="514FD335" w14:textId="77777777" w:rsidR="0008359E" w:rsidRPr="009F2547" w:rsidRDefault="0008359E" w:rsidP="009F2547">
      <w:pPr>
        <w:autoSpaceDE w:val="0"/>
        <w:autoSpaceDN w:val="0"/>
        <w:adjustRightInd w:val="0"/>
        <w:spacing w:after="0" w:line="360" w:lineRule="auto"/>
        <w:jc w:val="both"/>
        <w:rPr>
          <w:rFonts w:ascii="Arial" w:hAnsi="Arial" w:cs="Arial"/>
          <w:b/>
          <w:sz w:val="24"/>
        </w:rPr>
      </w:pPr>
    </w:p>
    <w:p w14:paraId="169AD4BF" w14:textId="77777777" w:rsidR="0096128A" w:rsidRPr="0096128A" w:rsidRDefault="0096128A" w:rsidP="0096128A">
      <w:pPr>
        <w:autoSpaceDE w:val="0"/>
        <w:autoSpaceDN w:val="0"/>
        <w:adjustRightInd w:val="0"/>
        <w:spacing w:after="0" w:line="360" w:lineRule="auto"/>
        <w:jc w:val="both"/>
        <w:rPr>
          <w:rFonts w:ascii="Arial" w:hAnsi="Arial" w:cs="Arial"/>
        </w:rPr>
      </w:pPr>
      <w:r w:rsidRPr="0096128A">
        <w:rPr>
          <w:rFonts w:ascii="Arial" w:hAnsi="Arial" w:cs="Arial"/>
        </w:rPr>
        <w:t>Although possessing a conceptual understanding is crucial, it alone does not guarantee that change agents will successfully achieve the changes they desire. When managers take on the role of change agents, they must also possess the ability to communicate effectively, provide leadership, collaborate with teams, address challenges, engage in negotiations, inspire, and effectively manage relationships with others.</w:t>
      </w:r>
    </w:p>
    <w:p w14:paraId="4CE05A9C" w14:textId="77777777" w:rsidR="0096128A" w:rsidRPr="0096128A" w:rsidRDefault="0096128A" w:rsidP="0096128A">
      <w:pPr>
        <w:autoSpaceDE w:val="0"/>
        <w:autoSpaceDN w:val="0"/>
        <w:adjustRightInd w:val="0"/>
        <w:spacing w:after="0" w:line="360" w:lineRule="auto"/>
        <w:jc w:val="both"/>
        <w:rPr>
          <w:rFonts w:ascii="Arial" w:hAnsi="Arial" w:cs="Arial"/>
        </w:rPr>
      </w:pPr>
    </w:p>
    <w:p w14:paraId="675D1E1E" w14:textId="5600E77D" w:rsidR="009F2547" w:rsidRDefault="0096128A" w:rsidP="0096128A">
      <w:pPr>
        <w:autoSpaceDE w:val="0"/>
        <w:autoSpaceDN w:val="0"/>
        <w:adjustRightInd w:val="0"/>
        <w:spacing w:after="0" w:line="360" w:lineRule="auto"/>
        <w:jc w:val="both"/>
        <w:rPr>
          <w:rFonts w:ascii="Arial" w:hAnsi="Arial" w:cs="Arial"/>
        </w:rPr>
      </w:pPr>
      <w:r w:rsidRPr="0096128A">
        <w:rPr>
          <w:rFonts w:ascii="Arial" w:hAnsi="Arial" w:cs="Arial"/>
        </w:rPr>
        <w:t>Change agency demands a wide array of skills, many of which managers utilize in their daily professional lives. Occasionally, change agents may not be as effective as they could be because they either underestimate the significance of certain skills or fail to apply them when needed.</w:t>
      </w:r>
    </w:p>
    <w:p w14:paraId="18D252BF" w14:textId="77777777" w:rsidR="009F2547" w:rsidRPr="008A64AA" w:rsidRDefault="009F2547" w:rsidP="009F2547">
      <w:pPr>
        <w:autoSpaceDE w:val="0"/>
        <w:autoSpaceDN w:val="0"/>
        <w:adjustRightInd w:val="0"/>
        <w:spacing w:after="0" w:line="360" w:lineRule="auto"/>
        <w:jc w:val="both"/>
        <w:rPr>
          <w:rFonts w:ascii="Arial" w:hAnsi="Arial" w:cs="Arial"/>
        </w:rPr>
      </w:pPr>
    </w:p>
    <w:p w14:paraId="2262B803" w14:textId="76EFF476" w:rsidR="009847EE" w:rsidRPr="00F13C75" w:rsidRDefault="002977EC" w:rsidP="00445D1F">
      <w:pPr>
        <w:spacing w:after="0" w:line="360" w:lineRule="auto"/>
        <w:jc w:val="both"/>
        <w:rPr>
          <w:rFonts w:ascii="Arial" w:eastAsia="Arial" w:hAnsi="Arial" w:cs="Arial"/>
          <w:color w:val="000000"/>
          <w:sz w:val="24"/>
        </w:rPr>
      </w:pPr>
      <w:r w:rsidRPr="00F13C75">
        <w:rPr>
          <w:rFonts w:ascii="Arial" w:eastAsia="Arial" w:hAnsi="Arial" w:cs="Arial"/>
          <w:color w:val="000000"/>
          <w:sz w:val="24"/>
        </w:rPr>
        <w:t>Learning Objective 3</w:t>
      </w:r>
    </w:p>
    <w:p w14:paraId="37848FD6" w14:textId="77777777" w:rsidR="003D4F1C" w:rsidRPr="00F04BB5" w:rsidRDefault="003D4F1C" w:rsidP="00F04BB5">
      <w:pPr>
        <w:spacing w:after="0" w:line="360" w:lineRule="auto"/>
        <w:jc w:val="both"/>
        <w:rPr>
          <w:rFonts w:ascii="Arial" w:eastAsia="Arial" w:hAnsi="Arial" w:cs="Arial"/>
          <w:b/>
          <w:color w:val="000000"/>
        </w:rPr>
      </w:pPr>
    </w:p>
    <w:p w14:paraId="29C26368" w14:textId="4184A332" w:rsidR="003A75FD" w:rsidRDefault="00B9124A" w:rsidP="00F04BB5">
      <w:pPr>
        <w:spacing w:after="0" w:line="360" w:lineRule="auto"/>
        <w:jc w:val="both"/>
        <w:rPr>
          <w:rFonts w:ascii="Arial" w:eastAsia="Arial" w:hAnsi="Arial" w:cs="Arial"/>
          <w:b/>
          <w:color w:val="000000"/>
          <w:sz w:val="24"/>
          <w:u w:val="single"/>
        </w:rPr>
      </w:pPr>
      <w:r w:rsidRPr="00B9124A">
        <w:rPr>
          <w:rFonts w:ascii="Arial" w:eastAsia="Arial" w:hAnsi="Arial" w:cs="Arial"/>
          <w:b/>
          <w:color w:val="000000"/>
          <w:sz w:val="24"/>
          <w:u w:val="single"/>
        </w:rPr>
        <w:t>Starting the change process</w:t>
      </w:r>
    </w:p>
    <w:p w14:paraId="6C885AFD" w14:textId="77777777" w:rsidR="0096128A" w:rsidRPr="0096128A" w:rsidRDefault="0096128A" w:rsidP="0096128A">
      <w:pPr>
        <w:spacing w:line="360" w:lineRule="auto"/>
        <w:jc w:val="both"/>
        <w:rPr>
          <w:rFonts w:ascii="Arial" w:eastAsia="Arial" w:hAnsi="Arial" w:cs="Arial"/>
          <w:color w:val="000000"/>
        </w:rPr>
      </w:pPr>
      <w:r w:rsidRPr="0096128A">
        <w:rPr>
          <w:rFonts w:ascii="Arial" w:eastAsia="Arial" w:hAnsi="Arial" w:cs="Arial"/>
          <w:color w:val="000000"/>
        </w:rPr>
        <w:t>Once consensus has been reached regarding the necessity for change, the next step is to determine who will spearhead the change initiative, particularly in its initial stages. The role of the change agent can be assumed by either an insider or an outsider, with considerations for each option.</w:t>
      </w:r>
    </w:p>
    <w:p w14:paraId="461794B2" w14:textId="77777777" w:rsidR="0096128A" w:rsidRPr="0096128A" w:rsidRDefault="0096128A" w:rsidP="0096128A">
      <w:pPr>
        <w:spacing w:line="360" w:lineRule="auto"/>
        <w:jc w:val="both"/>
        <w:rPr>
          <w:rFonts w:ascii="Arial" w:eastAsia="Arial" w:hAnsi="Arial" w:cs="Arial"/>
          <w:b/>
          <w:color w:val="000000"/>
          <w:sz w:val="24"/>
          <w:u w:val="single"/>
        </w:rPr>
      </w:pPr>
    </w:p>
    <w:p w14:paraId="11B04303" w14:textId="77777777" w:rsidR="0096128A" w:rsidRPr="0096128A" w:rsidRDefault="0096128A" w:rsidP="0096128A">
      <w:pPr>
        <w:spacing w:line="360" w:lineRule="auto"/>
        <w:jc w:val="both"/>
        <w:rPr>
          <w:rFonts w:ascii="Arial" w:eastAsia="Arial" w:hAnsi="Arial" w:cs="Arial"/>
          <w:color w:val="000000"/>
          <w:sz w:val="24"/>
        </w:rPr>
      </w:pPr>
      <w:r w:rsidRPr="0096128A">
        <w:rPr>
          <w:rFonts w:ascii="Arial" w:eastAsia="Arial" w:hAnsi="Arial" w:cs="Arial"/>
          <w:color w:val="000000"/>
          <w:sz w:val="24"/>
        </w:rPr>
        <w:t>An insider might be selected in situations where:</w:t>
      </w:r>
    </w:p>
    <w:p w14:paraId="32079578" w14:textId="77777777" w:rsidR="0096128A" w:rsidRPr="0096128A" w:rsidRDefault="0096128A" w:rsidP="0096128A">
      <w:pPr>
        <w:spacing w:line="360" w:lineRule="auto"/>
        <w:jc w:val="both"/>
        <w:rPr>
          <w:rFonts w:ascii="Arial" w:eastAsia="Arial" w:hAnsi="Arial" w:cs="Arial"/>
          <w:b/>
          <w:color w:val="000000"/>
          <w:sz w:val="24"/>
          <w:u w:val="single"/>
        </w:rPr>
      </w:pPr>
    </w:p>
    <w:p w14:paraId="67FDEC17" w14:textId="77777777" w:rsidR="0096128A" w:rsidRPr="0096128A" w:rsidRDefault="0096128A" w:rsidP="0096128A">
      <w:pPr>
        <w:pStyle w:val="ListParagraph"/>
        <w:numPr>
          <w:ilvl w:val="0"/>
          <w:numId w:val="30"/>
        </w:numPr>
        <w:spacing w:line="360" w:lineRule="auto"/>
        <w:jc w:val="both"/>
        <w:rPr>
          <w:rFonts w:ascii="Arial" w:eastAsia="Arial" w:hAnsi="Arial" w:cs="Arial"/>
          <w:color w:val="000000"/>
        </w:rPr>
      </w:pPr>
      <w:r w:rsidRPr="0096128A">
        <w:rPr>
          <w:rFonts w:ascii="Arial" w:eastAsia="Arial" w:hAnsi="Arial" w:cs="Arial"/>
          <w:color w:val="000000"/>
        </w:rPr>
        <w:t>The individual responsible for overseeing the unit or subsystem targeted for change is committed to serving as the change agent.</w:t>
      </w:r>
    </w:p>
    <w:p w14:paraId="135723D9" w14:textId="77777777" w:rsidR="0096128A" w:rsidRPr="0096128A" w:rsidRDefault="0096128A" w:rsidP="0096128A">
      <w:pPr>
        <w:pStyle w:val="ListParagraph"/>
        <w:numPr>
          <w:ilvl w:val="0"/>
          <w:numId w:val="30"/>
        </w:numPr>
        <w:spacing w:line="360" w:lineRule="auto"/>
        <w:jc w:val="both"/>
        <w:rPr>
          <w:rFonts w:ascii="Arial" w:eastAsia="Arial" w:hAnsi="Arial" w:cs="Arial"/>
          <w:color w:val="000000"/>
        </w:rPr>
      </w:pPr>
      <w:r w:rsidRPr="0096128A">
        <w:rPr>
          <w:rFonts w:ascii="Arial" w:eastAsia="Arial" w:hAnsi="Arial" w:cs="Arial"/>
          <w:color w:val="000000"/>
        </w:rPr>
        <w:lastRenderedPageBreak/>
        <w:t>It is agreed that a specific insider possesses the requisite time, expertise, and dedication to manage the change more effectively than an external figure.</w:t>
      </w:r>
    </w:p>
    <w:p w14:paraId="1106E81E" w14:textId="77777777" w:rsidR="0096128A" w:rsidRPr="0096128A" w:rsidRDefault="0096128A" w:rsidP="0096128A">
      <w:pPr>
        <w:pStyle w:val="ListParagraph"/>
        <w:numPr>
          <w:ilvl w:val="0"/>
          <w:numId w:val="30"/>
        </w:numPr>
        <w:spacing w:line="360" w:lineRule="auto"/>
        <w:jc w:val="both"/>
        <w:rPr>
          <w:rFonts w:ascii="Arial" w:eastAsia="Arial" w:hAnsi="Arial" w:cs="Arial"/>
          <w:color w:val="000000"/>
        </w:rPr>
      </w:pPr>
      <w:r w:rsidRPr="0096128A">
        <w:rPr>
          <w:rFonts w:ascii="Arial" w:eastAsia="Arial" w:hAnsi="Arial" w:cs="Arial"/>
          <w:color w:val="000000"/>
        </w:rPr>
        <w:t>Resource constraints within the organization preclude the hiring of an external consultant.</w:t>
      </w:r>
    </w:p>
    <w:p w14:paraId="510387C9" w14:textId="77777777" w:rsidR="0096128A" w:rsidRPr="0096128A" w:rsidRDefault="0096128A" w:rsidP="0096128A">
      <w:pPr>
        <w:pStyle w:val="ListParagraph"/>
        <w:numPr>
          <w:ilvl w:val="0"/>
          <w:numId w:val="30"/>
        </w:numPr>
        <w:spacing w:line="360" w:lineRule="auto"/>
        <w:jc w:val="both"/>
        <w:rPr>
          <w:rFonts w:ascii="Arial" w:eastAsia="Arial" w:hAnsi="Arial" w:cs="Arial"/>
          <w:color w:val="000000"/>
        </w:rPr>
      </w:pPr>
      <w:r w:rsidRPr="0096128A">
        <w:rPr>
          <w:rFonts w:ascii="Arial" w:eastAsia="Arial" w:hAnsi="Arial" w:cs="Arial"/>
          <w:color w:val="000000"/>
        </w:rPr>
        <w:t>Matters of confidentiality and trust make the involvement of an outsider impractical.</w:t>
      </w:r>
    </w:p>
    <w:p w14:paraId="0F7D0F67" w14:textId="552F293E" w:rsidR="0096128A" w:rsidRDefault="0096128A" w:rsidP="0096128A">
      <w:pPr>
        <w:pStyle w:val="ListParagraph"/>
        <w:numPr>
          <w:ilvl w:val="0"/>
          <w:numId w:val="30"/>
        </w:numPr>
        <w:spacing w:line="360" w:lineRule="auto"/>
        <w:jc w:val="both"/>
        <w:rPr>
          <w:rFonts w:ascii="Arial" w:eastAsia="Arial" w:hAnsi="Arial" w:cs="Arial"/>
          <w:color w:val="000000"/>
        </w:rPr>
      </w:pPr>
      <w:r w:rsidRPr="0096128A">
        <w:rPr>
          <w:rFonts w:ascii="Arial" w:eastAsia="Arial" w:hAnsi="Arial" w:cs="Arial"/>
          <w:color w:val="000000"/>
        </w:rPr>
        <w:t>Identifying a suitable external consultant proves to be an insurmountable challenge.</w:t>
      </w:r>
    </w:p>
    <w:p w14:paraId="0D4E1A13" w14:textId="77777777" w:rsidR="0096128A" w:rsidRPr="0096128A" w:rsidRDefault="0096128A" w:rsidP="0096128A">
      <w:pPr>
        <w:pStyle w:val="ListParagraph"/>
        <w:spacing w:line="360" w:lineRule="auto"/>
        <w:jc w:val="both"/>
        <w:rPr>
          <w:rFonts w:ascii="Arial" w:eastAsia="Arial" w:hAnsi="Arial" w:cs="Arial"/>
          <w:color w:val="000000"/>
        </w:rPr>
      </w:pPr>
    </w:p>
    <w:p w14:paraId="4BC48CAD" w14:textId="77777777" w:rsidR="0096128A" w:rsidRPr="0096128A" w:rsidRDefault="0096128A" w:rsidP="0096128A">
      <w:pPr>
        <w:spacing w:line="360" w:lineRule="auto"/>
        <w:jc w:val="both"/>
        <w:rPr>
          <w:rFonts w:ascii="Arial" w:eastAsia="Arial" w:hAnsi="Arial" w:cs="Arial"/>
          <w:color w:val="000000"/>
        </w:rPr>
      </w:pPr>
      <w:r w:rsidRPr="0096128A">
        <w:rPr>
          <w:rFonts w:ascii="Arial" w:eastAsia="Arial" w:hAnsi="Arial" w:cs="Arial"/>
          <w:color w:val="000000"/>
        </w:rPr>
        <w:t>On the other hand, an outsider might be preferred under circumstances where:</w:t>
      </w:r>
    </w:p>
    <w:p w14:paraId="48DE6E1F" w14:textId="77777777" w:rsidR="0096128A" w:rsidRPr="0096128A" w:rsidRDefault="0096128A" w:rsidP="0096128A">
      <w:pPr>
        <w:pStyle w:val="ListParagraph"/>
        <w:numPr>
          <w:ilvl w:val="0"/>
          <w:numId w:val="31"/>
        </w:numPr>
        <w:spacing w:line="360" w:lineRule="auto"/>
        <w:jc w:val="both"/>
        <w:rPr>
          <w:rFonts w:ascii="Arial" w:eastAsia="Arial" w:hAnsi="Arial" w:cs="Arial"/>
          <w:color w:val="000000"/>
        </w:rPr>
      </w:pPr>
      <w:r w:rsidRPr="0096128A">
        <w:rPr>
          <w:rFonts w:ascii="Arial" w:eastAsia="Arial" w:hAnsi="Arial" w:cs="Arial"/>
          <w:color w:val="000000"/>
        </w:rPr>
        <w:t>No internal candidate possesses the necessary time or expertise to act as the facilitator/change agent.</w:t>
      </w:r>
    </w:p>
    <w:p w14:paraId="18338823" w14:textId="77777777" w:rsidR="0096128A" w:rsidRPr="0096128A" w:rsidRDefault="0096128A" w:rsidP="0096128A">
      <w:pPr>
        <w:pStyle w:val="ListParagraph"/>
        <w:numPr>
          <w:ilvl w:val="0"/>
          <w:numId w:val="31"/>
        </w:numPr>
        <w:spacing w:line="360" w:lineRule="auto"/>
        <w:jc w:val="both"/>
        <w:rPr>
          <w:rFonts w:ascii="Arial" w:eastAsia="Arial" w:hAnsi="Arial" w:cs="Arial"/>
          <w:color w:val="000000"/>
        </w:rPr>
      </w:pPr>
      <w:r w:rsidRPr="0096128A">
        <w:rPr>
          <w:rFonts w:ascii="Arial" w:eastAsia="Arial" w:hAnsi="Arial" w:cs="Arial"/>
          <w:color w:val="000000"/>
        </w:rPr>
        <w:t>Concerns arise that all capable insiders have vested interests in the outcome, potentially making them less acceptable to other stakeholders than a neutral external agent.</w:t>
      </w:r>
    </w:p>
    <w:p w14:paraId="04D0689D" w14:textId="77777777" w:rsidR="0096128A" w:rsidRDefault="0096128A" w:rsidP="0096128A">
      <w:pPr>
        <w:spacing w:line="360" w:lineRule="auto"/>
        <w:jc w:val="both"/>
        <w:rPr>
          <w:rFonts w:ascii="Arial" w:eastAsia="Arial" w:hAnsi="Arial" w:cs="Arial"/>
          <w:color w:val="000000"/>
        </w:rPr>
      </w:pPr>
      <w:r w:rsidRPr="0096128A">
        <w:rPr>
          <w:rFonts w:ascii="Arial" w:eastAsia="Arial" w:hAnsi="Arial" w:cs="Arial"/>
          <w:color w:val="000000"/>
        </w:rPr>
        <w:t>The decision regarding who will lead the change can significantly impact the outcome of the change process. Frequently, there is an automatic assumption that a technical expert should take the lead, rather than the manager (user) who will ultimately be responsible for ensuring the change's success after implementation. Clegg (2000) questions this assumption and advocates for a more central role for users. In Chapter 2, we discussed the fragmented nature of many change projects, which can result in the separation of diagnosis, planning, and implementation from the utilization and maintenance phases. This division can lead technical experts leading the change to overly emphasize technical aspects, such as designing a technically superior system, at the expense of addressing the needs of users. Clegg offers the example of a successful change project at Lyons Confectionery, where a senior user took the lead, supporting the argument that users should play a more pivotal role.</w:t>
      </w:r>
    </w:p>
    <w:p w14:paraId="0694024B" w14:textId="1DF2C085" w:rsidR="00B9124A" w:rsidRPr="0096128A" w:rsidRDefault="00B9124A" w:rsidP="0096128A">
      <w:pPr>
        <w:spacing w:line="360" w:lineRule="auto"/>
        <w:jc w:val="both"/>
        <w:rPr>
          <w:rFonts w:ascii="Arial" w:hAnsi="Arial" w:cs="Arial"/>
          <w:b/>
          <w:sz w:val="24"/>
        </w:rPr>
      </w:pPr>
      <w:r w:rsidRPr="0096128A">
        <w:rPr>
          <w:rFonts w:ascii="Arial" w:hAnsi="Arial" w:cs="Arial"/>
          <w:b/>
          <w:sz w:val="24"/>
        </w:rPr>
        <w:t>Establishing a change relationship</w:t>
      </w:r>
    </w:p>
    <w:p w14:paraId="36C4CC39" w14:textId="77777777" w:rsidR="0096128A" w:rsidRPr="0096128A" w:rsidRDefault="0096128A" w:rsidP="0096128A">
      <w:pPr>
        <w:spacing w:line="360" w:lineRule="auto"/>
        <w:jc w:val="both"/>
        <w:rPr>
          <w:rFonts w:ascii="Arial" w:hAnsi="Arial" w:cs="Arial"/>
        </w:rPr>
      </w:pPr>
      <w:r w:rsidRPr="0096128A">
        <w:rPr>
          <w:rFonts w:ascii="Arial" w:hAnsi="Arial" w:cs="Arial"/>
        </w:rPr>
        <w:t>When the change agent is a member of the target system, establishing the change relationship may not pose significant challenges, provided that everyone involved can agree on the following:</w:t>
      </w:r>
    </w:p>
    <w:p w14:paraId="36DB85A4" w14:textId="77777777" w:rsidR="0096128A" w:rsidRPr="0096128A" w:rsidRDefault="0096128A" w:rsidP="0096128A">
      <w:pPr>
        <w:spacing w:line="360" w:lineRule="auto"/>
        <w:jc w:val="both"/>
        <w:rPr>
          <w:rFonts w:ascii="Arial" w:hAnsi="Arial" w:cs="Arial"/>
        </w:rPr>
      </w:pPr>
    </w:p>
    <w:p w14:paraId="1EA2C3BD" w14:textId="77777777" w:rsidR="0096128A" w:rsidRPr="0096128A" w:rsidRDefault="0096128A" w:rsidP="0096128A">
      <w:pPr>
        <w:spacing w:line="360" w:lineRule="auto"/>
        <w:jc w:val="both"/>
        <w:rPr>
          <w:rFonts w:ascii="Arial" w:hAnsi="Arial" w:cs="Arial"/>
        </w:rPr>
      </w:pPr>
      <w:r w:rsidRPr="0096128A">
        <w:rPr>
          <w:rFonts w:ascii="Arial" w:hAnsi="Arial" w:cs="Arial"/>
        </w:rPr>
        <w:t>There is a problem or an opportunity that demands attention.</w:t>
      </w:r>
    </w:p>
    <w:p w14:paraId="653BF75C" w14:textId="77777777" w:rsidR="0096128A" w:rsidRPr="0096128A" w:rsidRDefault="0096128A" w:rsidP="0096128A">
      <w:pPr>
        <w:spacing w:line="360" w:lineRule="auto"/>
        <w:jc w:val="both"/>
        <w:rPr>
          <w:rFonts w:ascii="Arial" w:hAnsi="Arial" w:cs="Arial"/>
        </w:rPr>
      </w:pPr>
      <w:r w:rsidRPr="0096128A">
        <w:rPr>
          <w:rFonts w:ascii="Arial" w:hAnsi="Arial" w:cs="Arial"/>
        </w:rPr>
        <w:t>There is a necessity to conduct some initial data collection to determine the appropriate course of action.</w:t>
      </w:r>
    </w:p>
    <w:p w14:paraId="20755F4D" w14:textId="488D6C1F" w:rsidR="00445D1F" w:rsidRPr="00F04BB5" w:rsidRDefault="0096128A" w:rsidP="0096128A">
      <w:pPr>
        <w:spacing w:line="360" w:lineRule="auto"/>
        <w:jc w:val="both"/>
        <w:rPr>
          <w:rFonts w:ascii="Arial" w:hAnsi="Arial" w:cs="Arial"/>
        </w:rPr>
      </w:pPr>
      <w:r w:rsidRPr="0096128A">
        <w:rPr>
          <w:rFonts w:ascii="Arial" w:hAnsi="Arial" w:cs="Arial"/>
        </w:rPr>
        <w:lastRenderedPageBreak/>
        <w:t>For example, a brand manager dissatisfied with the time required to implement changes in product packaging may collaborate with others to assess their performance in comparison to leading competitors. Similarly, a sports center manager could arrange a meeting with staff to explore potential reasons behind the decreasing rate of membership renewals among existing members.</w:t>
      </w:r>
      <w:r w:rsidR="00B9124A">
        <w:rPr>
          <w:rFonts w:ascii="Arial" w:hAnsi="Arial" w:cs="Arial"/>
        </w:rPr>
        <w:t xml:space="preserve"> </w:t>
      </w:r>
    </w:p>
    <w:p w14:paraId="1EF382D9" w14:textId="7F0B5AEC" w:rsidR="002977EC" w:rsidRPr="00F04BB5" w:rsidRDefault="002977EC" w:rsidP="00F04BB5">
      <w:pPr>
        <w:autoSpaceDE w:val="0"/>
        <w:autoSpaceDN w:val="0"/>
        <w:adjustRightInd w:val="0"/>
        <w:spacing w:after="0" w:line="360" w:lineRule="auto"/>
        <w:jc w:val="both"/>
        <w:rPr>
          <w:rFonts w:ascii="Arial" w:hAnsi="Arial" w:cs="Arial"/>
          <w:b/>
          <w:bCs/>
        </w:rPr>
      </w:pPr>
      <w:r w:rsidRPr="00F04BB5">
        <w:rPr>
          <w:rFonts w:ascii="Arial" w:hAnsi="Arial" w:cs="Arial"/>
          <w:b/>
          <w:bCs/>
        </w:rPr>
        <w:t>Learning Objective 4</w:t>
      </w:r>
    </w:p>
    <w:p w14:paraId="42999707" w14:textId="77777777" w:rsidR="002977EC" w:rsidRPr="005F3D9B" w:rsidRDefault="002977EC" w:rsidP="00F04BB5">
      <w:pPr>
        <w:autoSpaceDE w:val="0"/>
        <w:autoSpaceDN w:val="0"/>
        <w:adjustRightInd w:val="0"/>
        <w:spacing w:after="0" w:line="360" w:lineRule="auto"/>
        <w:jc w:val="both"/>
        <w:rPr>
          <w:rFonts w:ascii="Arial" w:hAnsi="Arial" w:cs="Arial"/>
          <w:b/>
          <w:bCs/>
          <w:sz w:val="24"/>
        </w:rPr>
      </w:pPr>
    </w:p>
    <w:p w14:paraId="2E1522C7" w14:textId="4A463BC0" w:rsidR="00BE1A52" w:rsidRPr="005F3D9B" w:rsidRDefault="005F3D9B" w:rsidP="00F04BB5">
      <w:pPr>
        <w:autoSpaceDE w:val="0"/>
        <w:autoSpaceDN w:val="0"/>
        <w:adjustRightInd w:val="0"/>
        <w:spacing w:after="0" w:line="360" w:lineRule="auto"/>
        <w:jc w:val="both"/>
        <w:rPr>
          <w:rFonts w:ascii="Arial" w:hAnsi="Arial" w:cs="Arial"/>
          <w:b/>
          <w:bCs/>
          <w:sz w:val="24"/>
          <w:u w:val="single"/>
        </w:rPr>
      </w:pPr>
      <w:r w:rsidRPr="005F3D9B">
        <w:rPr>
          <w:rFonts w:ascii="Arial" w:hAnsi="Arial" w:cs="Arial"/>
          <w:b/>
          <w:bCs/>
          <w:sz w:val="24"/>
          <w:u w:val="single"/>
        </w:rPr>
        <w:t>The nature of change confronting most organizations</w:t>
      </w:r>
    </w:p>
    <w:p w14:paraId="036F0E5E" w14:textId="77777777" w:rsidR="005F3D9B" w:rsidRPr="00F04BB5" w:rsidRDefault="005F3D9B" w:rsidP="00F04BB5">
      <w:pPr>
        <w:autoSpaceDE w:val="0"/>
        <w:autoSpaceDN w:val="0"/>
        <w:adjustRightInd w:val="0"/>
        <w:spacing w:after="0" w:line="360" w:lineRule="auto"/>
        <w:jc w:val="both"/>
        <w:rPr>
          <w:rFonts w:ascii="Arial" w:hAnsi="Arial" w:cs="Arial"/>
          <w:b/>
          <w:bCs/>
          <w:u w:val="single"/>
        </w:rPr>
      </w:pPr>
    </w:p>
    <w:p w14:paraId="07796809" w14:textId="006F8E71" w:rsidR="00B9124A" w:rsidRDefault="0096128A" w:rsidP="00445D1F">
      <w:pPr>
        <w:spacing w:line="360" w:lineRule="auto"/>
        <w:jc w:val="both"/>
        <w:rPr>
          <w:rFonts w:ascii="Arial" w:hAnsi="Arial" w:cs="Arial"/>
          <w:color w:val="000000"/>
        </w:rPr>
      </w:pPr>
      <w:r w:rsidRPr="0096128A">
        <w:rPr>
          <w:rFonts w:ascii="Arial" w:hAnsi="Arial" w:cs="Arial"/>
          <w:color w:val="000000"/>
        </w:rPr>
        <w:t>Dunphy (1996) argues that the commencement of deliberate change initiatives is frequently triggered by individuals' incapacity to create an organization that consistently adapts, often termed a 'learning organization.' Weick and Quinn (1999) put forth the notion that the optimal organization would resemble the thriving, self-organizing, and supremely adaptable enterprises identified by Brown and Eisenhardt (1997) within the computer industry.</w:t>
      </w:r>
    </w:p>
    <w:p w14:paraId="1F854BE2" w14:textId="77777777" w:rsidR="00B9124A" w:rsidRPr="0008359E" w:rsidRDefault="00B9124A" w:rsidP="00B9124A">
      <w:pPr>
        <w:spacing w:line="360" w:lineRule="auto"/>
        <w:jc w:val="both"/>
        <w:rPr>
          <w:rFonts w:ascii="Arial" w:hAnsi="Arial" w:cs="Arial"/>
          <w:b/>
          <w:color w:val="000000"/>
          <w:sz w:val="24"/>
        </w:rPr>
      </w:pPr>
      <w:r w:rsidRPr="0008359E">
        <w:rPr>
          <w:rFonts w:ascii="Arial" w:hAnsi="Arial" w:cs="Arial"/>
          <w:b/>
          <w:color w:val="000000"/>
          <w:sz w:val="24"/>
        </w:rPr>
        <w:t>Issues that can affect the quality of the relationship</w:t>
      </w:r>
    </w:p>
    <w:p w14:paraId="54A19698" w14:textId="77777777" w:rsidR="0096128A" w:rsidRPr="0096128A" w:rsidRDefault="0096128A" w:rsidP="0096128A">
      <w:pPr>
        <w:spacing w:line="360" w:lineRule="auto"/>
        <w:jc w:val="both"/>
        <w:rPr>
          <w:rFonts w:ascii="Arial" w:hAnsi="Arial" w:cs="Arial"/>
          <w:color w:val="000000"/>
        </w:rPr>
      </w:pPr>
      <w:r w:rsidRPr="0096128A">
        <w:rPr>
          <w:rFonts w:ascii="Arial" w:hAnsi="Arial" w:cs="Arial"/>
          <w:color w:val="000000"/>
        </w:rPr>
        <w:t>One of the primary challenges revolves around the capacity to establish trust and confidence. Certain individuals and groups may find it more challenging than others to be open and discuss their concerns with outsiders. This hesitancy might stem from apprehensions that conveying the nature of their problems or opportunities to others could lead to perceptions of incompetence or foolishness. Alternatively, it could be driven by the fear that seeking assistance would compromise their autonomy and render them overly reliant on others.</w:t>
      </w:r>
    </w:p>
    <w:p w14:paraId="561B25CD" w14:textId="77777777" w:rsidR="0096128A" w:rsidRPr="0096128A" w:rsidRDefault="0096128A" w:rsidP="0096128A">
      <w:pPr>
        <w:spacing w:line="360" w:lineRule="auto"/>
        <w:jc w:val="both"/>
        <w:rPr>
          <w:rFonts w:ascii="Arial" w:hAnsi="Arial" w:cs="Arial"/>
          <w:color w:val="000000"/>
        </w:rPr>
      </w:pPr>
    </w:p>
    <w:p w14:paraId="6A86087B" w14:textId="77777777" w:rsidR="0096128A" w:rsidRPr="0096128A" w:rsidRDefault="0096128A" w:rsidP="0096128A">
      <w:pPr>
        <w:spacing w:line="360" w:lineRule="auto"/>
        <w:jc w:val="both"/>
        <w:rPr>
          <w:rFonts w:ascii="Arial" w:hAnsi="Arial" w:cs="Arial"/>
          <w:color w:val="000000"/>
        </w:rPr>
      </w:pPr>
      <w:r w:rsidRPr="0096128A">
        <w:rPr>
          <w:rFonts w:ascii="Arial" w:hAnsi="Arial" w:cs="Arial"/>
          <w:color w:val="000000"/>
        </w:rPr>
        <w:t xml:space="preserve">The initial phases of the process of building a relationship are crucial, as clients swiftly form impressions of the change agent's competence, ability to offer assistance, friendliness, and underlying motives. </w:t>
      </w:r>
      <w:proofErr w:type="spellStart"/>
      <w:r w:rsidRPr="0096128A">
        <w:rPr>
          <w:rFonts w:ascii="Arial" w:hAnsi="Arial" w:cs="Arial"/>
          <w:color w:val="000000"/>
        </w:rPr>
        <w:t>Margerison</w:t>
      </w:r>
      <w:proofErr w:type="spellEnd"/>
      <w:r w:rsidRPr="0096128A">
        <w:rPr>
          <w:rFonts w:ascii="Arial" w:hAnsi="Arial" w:cs="Arial"/>
          <w:color w:val="000000"/>
        </w:rPr>
        <w:t xml:space="preserve"> (2000) draws a parallel between the early interactions of the change agent with the client and "knocking on doors that are partially ajar, only to see them either close abruptly in your face or swing wide open." Lines et al. (2005) contend that trust and trustworthiness profoundly influence the change agent's access to knowledge and cooperation. When clients have confidence in the change agent, they are more likely to be forthcoming, share information, and avoid defensive behaviors. Typically, this trust-building process takes time, </w:t>
      </w:r>
      <w:r w:rsidRPr="0096128A">
        <w:rPr>
          <w:rFonts w:ascii="Arial" w:hAnsi="Arial" w:cs="Arial"/>
          <w:color w:val="000000"/>
        </w:rPr>
        <w:lastRenderedPageBreak/>
        <w:t>especially if the change agent is entirely new to the situation, as trust-building is an incremental endeavor.</w:t>
      </w:r>
    </w:p>
    <w:p w14:paraId="33003CD0" w14:textId="77777777" w:rsidR="0096128A" w:rsidRPr="0096128A" w:rsidRDefault="0096128A" w:rsidP="0096128A">
      <w:pPr>
        <w:spacing w:line="360" w:lineRule="auto"/>
        <w:jc w:val="both"/>
        <w:rPr>
          <w:rFonts w:ascii="Arial" w:hAnsi="Arial" w:cs="Arial"/>
          <w:color w:val="000000"/>
        </w:rPr>
      </w:pPr>
    </w:p>
    <w:p w14:paraId="5E6C3F78" w14:textId="77777777" w:rsidR="0096128A" w:rsidRDefault="0096128A" w:rsidP="0096128A">
      <w:pPr>
        <w:spacing w:line="360" w:lineRule="auto"/>
        <w:jc w:val="both"/>
        <w:rPr>
          <w:rFonts w:ascii="Arial" w:hAnsi="Arial" w:cs="Arial"/>
          <w:color w:val="000000"/>
        </w:rPr>
      </w:pPr>
      <w:r w:rsidRPr="0096128A">
        <w:rPr>
          <w:rFonts w:ascii="Arial" w:hAnsi="Arial" w:cs="Arial"/>
          <w:color w:val="000000"/>
        </w:rPr>
        <w:t xml:space="preserve">Lines et al. define trust as a state that reflects how individuals and groups perceive other individuals and social entities. They argue that trust is established through the accumulation of various experiences, typically over an extended period. This process is especially pronounced among individuals and groups who feel vulnerable, as they scrutinize any information or experiences that they believe have implications for their ability to trust the change agent. Morgan and </w:t>
      </w:r>
      <w:proofErr w:type="spellStart"/>
      <w:r w:rsidRPr="0096128A">
        <w:rPr>
          <w:rFonts w:ascii="Arial" w:hAnsi="Arial" w:cs="Arial"/>
          <w:color w:val="000000"/>
        </w:rPr>
        <w:t>Zeffane</w:t>
      </w:r>
      <w:proofErr w:type="spellEnd"/>
      <w:r w:rsidRPr="0096128A">
        <w:rPr>
          <w:rFonts w:ascii="Arial" w:hAnsi="Arial" w:cs="Arial"/>
          <w:color w:val="000000"/>
        </w:rPr>
        <w:t xml:space="preserve"> (2003) view organizational change as a pivotal event that can either foster trust or rapidly erode a longstanding trusting relationship.</w:t>
      </w:r>
    </w:p>
    <w:p w14:paraId="1AC225B8" w14:textId="77777777" w:rsidR="0096128A" w:rsidRDefault="0096128A" w:rsidP="0096128A">
      <w:pPr>
        <w:spacing w:line="360" w:lineRule="auto"/>
        <w:jc w:val="both"/>
        <w:rPr>
          <w:rFonts w:ascii="Arial" w:hAnsi="Arial" w:cs="Arial"/>
          <w:color w:val="000000"/>
        </w:rPr>
      </w:pPr>
    </w:p>
    <w:p w14:paraId="136681B0" w14:textId="79CBCE9C" w:rsidR="00B9124A" w:rsidRPr="0008359E" w:rsidRDefault="00B9124A" w:rsidP="0096128A">
      <w:pPr>
        <w:spacing w:line="360" w:lineRule="auto"/>
        <w:jc w:val="both"/>
        <w:rPr>
          <w:rFonts w:ascii="Arial" w:hAnsi="Arial" w:cs="Arial"/>
          <w:b/>
          <w:color w:val="000000"/>
          <w:sz w:val="24"/>
        </w:rPr>
      </w:pPr>
      <w:r w:rsidRPr="0008359E">
        <w:rPr>
          <w:rFonts w:ascii="Arial" w:hAnsi="Arial" w:cs="Arial"/>
          <w:b/>
          <w:color w:val="000000"/>
          <w:sz w:val="24"/>
        </w:rPr>
        <w:t>Identifying the client</w:t>
      </w:r>
    </w:p>
    <w:p w14:paraId="3EB7512D" w14:textId="77777777" w:rsidR="0096128A" w:rsidRPr="0096128A" w:rsidRDefault="0096128A" w:rsidP="0096128A">
      <w:pPr>
        <w:spacing w:line="360" w:lineRule="auto"/>
        <w:jc w:val="both"/>
        <w:rPr>
          <w:rFonts w:ascii="Arial" w:hAnsi="Arial" w:cs="Arial"/>
          <w:color w:val="000000"/>
        </w:rPr>
      </w:pPr>
      <w:r w:rsidRPr="0096128A">
        <w:rPr>
          <w:rFonts w:ascii="Arial" w:hAnsi="Arial" w:cs="Arial"/>
          <w:color w:val="000000"/>
        </w:rPr>
        <w:t>From the perspective of the change agent, a critical matter that requires careful management is the identification of the client. The individual or group extending an invitation to an outsider may not necessarily be the ultimate focal client. The change agent must be prepared to adjust the definition of the client if an initial diagnosis suggests that the problem extends beyond a single group or unit, involving multiple units, various hierarchical levels, or external stakeholders such as customers, suppliers, trade associations, or unions. Issues can arise when external change agents initially define the client solely based on the person or group that invited them into the situation. If they fail to recognize the need to redefine the client, they may inadvertently end up advocating for or safeguarding sectional interests rather than focusing on the overall effectiveness of the organization.</w:t>
      </w:r>
    </w:p>
    <w:p w14:paraId="19B20FAE" w14:textId="77777777" w:rsidR="0096128A" w:rsidRPr="0096128A" w:rsidRDefault="0096128A" w:rsidP="0096128A">
      <w:pPr>
        <w:spacing w:line="360" w:lineRule="auto"/>
        <w:jc w:val="both"/>
        <w:rPr>
          <w:rFonts w:ascii="Arial" w:hAnsi="Arial" w:cs="Arial"/>
          <w:color w:val="000000"/>
        </w:rPr>
      </w:pPr>
    </w:p>
    <w:p w14:paraId="3F00B1ED" w14:textId="77777777" w:rsidR="0096128A" w:rsidRDefault="0096128A" w:rsidP="0096128A">
      <w:pPr>
        <w:spacing w:line="360" w:lineRule="auto"/>
        <w:jc w:val="both"/>
        <w:rPr>
          <w:rFonts w:ascii="Arial" w:hAnsi="Arial" w:cs="Arial"/>
          <w:color w:val="000000"/>
        </w:rPr>
      </w:pPr>
      <w:r w:rsidRPr="0096128A">
        <w:rPr>
          <w:rFonts w:ascii="Arial" w:hAnsi="Arial" w:cs="Arial"/>
          <w:color w:val="000000"/>
        </w:rPr>
        <w:t xml:space="preserve">One approach to defining the client is by considering the person or persons who "own" the problem and hold responsibility for taking action to address it, as illustrated in the earlier example of the sales director at Lyons Confectionery. Cummings and Worley (2001) define the client as those members within the organization who can directly influence the change issue, whether it involves resolving a specific problem or enhancing an already successful situation. This definition is more inclined to identify the client as a group or the members of a subsystem rather than as an individual. Cummings and Worley specify the client in terms of all those who can directly impact </w:t>
      </w:r>
      <w:r w:rsidRPr="0096128A">
        <w:rPr>
          <w:rFonts w:ascii="Arial" w:hAnsi="Arial" w:cs="Arial"/>
          <w:color w:val="000000"/>
        </w:rPr>
        <w:lastRenderedPageBreak/>
        <w:t>the change because they argue that excluding key members of the client group from the entry and contracting process may lead to reluctance in cooperating with the change agent.</w:t>
      </w:r>
    </w:p>
    <w:p w14:paraId="31869958" w14:textId="77777777" w:rsidR="0096128A" w:rsidRDefault="0096128A" w:rsidP="0096128A">
      <w:pPr>
        <w:spacing w:line="360" w:lineRule="auto"/>
        <w:jc w:val="both"/>
        <w:rPr>
          <w:rFonts w:ascii="Arial" w:hAnsi="Arial" w:cs="Arial"/>
          <w:color w:val="000000"/>
        </w:rPr>
      </w:pPr>
    </w:p>
    <w:p w14:paraId="2709F00D" w14:textId="18B6A28C" w:rsidR="00B9124A" w:rsidRPr="0008359E" w:rsidRDefault="00B9124A" w:rsidP="0096128A">
      <w:pPr>
        <w:spacing w:line="360" w:lineRule="auto"/>
        <w:jc w:val="both"/>
        <w:rPr>
          <w:rFonts w:ascii="Arial" w:hAnsi="Arial" w:cs="Arial"/>
          <w:b/>
          <w:color w:val="000000"/>
          <w:sz w:val="24"/>
        </w:rPr>
      </w:pPr>
      <w:r w:rsidRPr="0008359E">
        <w:rPr>
          <w:rFonts w:ascii="Arial" w:hAnsi="Arial" w:cs="Arial"/>
          <w:b/>
          <w:color w:val="000000"/>
          <w:sz w:val="24"/>
        </w:rPr>
        <w:t>Clarifying the issue</w:t>
      </w:r>
    </w:p>
    <w:p w14:paraId="57986C9E" w14:textId="77777777" w:rsidR="005516FD" w:rsidRPr="005516FD" w:rsidRDefault="005516FD" w:rsidP="005516FD">
      <w:pPr>
        <w:spacing w:line="360" w:lineRule="auto"/>
        <w:jc w:val="both"/>
        <w:rPr>
          <w:rFonts w:ascii="Arial" w:hAnsi="Arial" w:cs="Arial"/>
          <w:color w:val="000000"/>
        </w:rPr>
      </w:pPr>
      <w:r w:rsidRPr="005516FD">
        <w:rPr>
          <w:rFonts w:ascii="Arial" w:hAnsi="Arial" w:cs="Arial"/>
          <w:color w:val="000000"/>
        </w:rPr>
        <w:t>The symptoms or issue presented to an external change agent may not always align with the actual problem that needs addressing. Individuals seeking assistance from consultants often frame the difficulty as someone else's problem. For instance, in a manufacturing company, the head of HR invited a consultant to have lunch with the finance director, who also held the position of deputy chairman of the board. The issue he wished to discuss was related to the ineffective communication between the board and senior management. He initially framed the problem in terms of the competence of the senior managers. However, after the consultant had engaged with the board, they redefined the problem as originating within the board itself. The issue stemmed from conflicting views about the board's role and political matters influencing its functioning.</w:t>
      </w:r>
    </w:p>
    <w:p w14:paraId="0D8BD91F" w14:textId="77777777" w:rsidR="005516FD" w:rsidRPr="005516FD" w:rsidRDefault="005516FD" w:rsidP="005516FD">
      <w:pPr>
        <w:spacing w:line="360" w:lineRule="auto"/>
        <w:jc w:val="both"/>
        <w:rPr>
          <w:rFonts w:ascii="Arial" w:hAnsi="Arial" w:cs="Arial"/>
          <w:color w:val="000000"/>
        </w:rPr>
      </w:pPr>
    </w:p>
    <w:p w14:paraId="49152712" w14:textId="77777777" w:rsidR="005516FD" w:rsidRPr="005516FD" w:rsidRDefault="005516FD" w:rsidP="005516FD">
      <w:pPr>
        <w:spacing w:line="360" w:lineRule="auto"/>
        <w:jc w:val="both"/>
        <w:rPr>
          <w:rFonts w:ascii="Arial" w:hAnsi="Arial" w:cs="Arial"/>
          <w:color w:val="000000"/>
        </w:rPr>
      </w:pPr>
      <w:r w:rsidRPr="005516FD">
        <w:rPr>
          <w:rFonts w:ascii="Arial" w:hAnsi="Arial" w:cs="Arial"/>
          <w:color w:val="000000"/>
        </w:rPr>
        <w:t>For example, a communication problem might initially be defined as the need to enhance the communication skills of specific individuals. Nevertheless, a preliminary investigation conducted by a change agent could reveal that while communication improvements are necessary, a significant contributing factor to the problem is the organization's structure and how it impacts communication networks. In such a scenario, merely focusing on enhancing the communication skills of select individuals or replacing current members may not effectively resolve the underlying structural issue.</w:t>
      </w:r>
    </w:p>
    <w:p w14:paraId="4B88A8D7" w14:textId="77777777" w:rsidR="005516FD" w:rsidRPr="005516FD" w:rsidRDefault="005516FD" w:rsidP="005516FD">
      <w:pPr>
        <w:spacing w:line="360" w:lineRule="auto"/>
        <w:jc w:val="both"/>
        <w:rPr>
          <w:rFonts w:ascii="Arial" w:hAnsi="Arial" w:cs="Arial"/>
          <w:color w:val="000000"/>
        </w:rPr>
      </w:pPr>
    </w:p>
    <w:p w14:paraId="482E5DA1" w14:textId="3891E63F" w:rsidR="00B9124A" w:rsidRDefault="005516FD" w:rsidP="005516FD">
      <w:pPr>
        <w:spacing w:line="360" w:lineRule="auto"/>
        <w:jc w:val="both"/>
        <w:rPr>
          <w:rFonts w:ascii="Arial" w:hAnsi="Arial" w:cs="Arial"/>
          <w:color w:val="000000"/>
        </w:rPr>
      </w:pPr>
      <w:r w:rsidRPr="005516FD">
        <w:rPr>
          <w:rFonts w:ascii="Arial" w:hAnsi="Arial" w:cs="Arial"/>
          <w:color w:val="000000"/>
        </w:rPr>
        <w:t>Change agents must maintain an open-minded approach regarding the nature of the problem until a preliminary investigation has been conducted. However, it's also crucial for the change agent to attentively consider the client's perceived needs and their understanding of the problem.</w:t>
      </w:r>
    </w:p>
    <w:p w14:paraId="503AD128" w14:textId="77777777" w:rsidR="005516FD" w:rsidRDefault="005516FD" w:rsidP="005516FD">
      <w:pPr>
        <w:spacing w:line="360" w:lineRule="auto"/>
        <w:jc w:val="both"/>
        <w:rPr>
          <w:rFonts w:ascii="Arial" w:hAnsi="Arial" w:cs="Arial"/>
          <w:color w:val="000000"/>
        </w:rPr>
      </w:pPr>
    </w:p>
    <w:p w14:paraId="04C5600E" w14:textId="77777777" w:rsidR="00B9124A" w:rsidRPr="00794546" w:rsidRDefault="00B9124A" w:rsidP="00B9124A">
      <w:pPr>
        <w:spacing w:line="360" w:lineRule="auto"/>
        <w:jc w:val="both"/>
        <w:rPr>
          <w:rFonts w:ascii="Arial" w:hAnsi="Arial" w:cs="Arial"/>
          <w:b/>
          <w:color w:val="000000"/>
          <w:sz w:val="24"/>
        </w:rPr>
      </w:pPr>
      <w:r w:rsidRPr="00794546">
        <w:rPr>
          <w:rFonts w:ascii="Arial" w:hAnsi="Arial" w:cs="Arial"/>
          <w:b/>
          <w:color w:val="000000"/>
          <w:sz w:val="24"/>
        </w:rPr>
        <w:t>Summary</w:t>
      </w:r>
    </w:p>
    <w:p w14:paraId="48FA58A5" w14:textId="77777777" w:rsidR="005516FD" w:rsidRPr="005516FD" w:rsidRDefault="005516FD" w:rsidP="005516FD">
      <w:pPr>
        <w:autoSpaceDE w:val="0"/>
        <w:autoSpaceDN w:val="0"/>
        <w:adjustRightInd w:val="0"/>
        <w:spacing w:after="0" w:line="360" w:lineRule="auto"/>
        <w:jc w:val="both"/>
        <w:rPr>
          <w:rFonts w:ascii="Arial" w:hAnsi="Arial" w:cs="Arial"/>
          <w:color w:val="000000"/>
        </w:rPr>
      </w:pPr>
      <w:r w:rsidRPr="005516FD">
        <w:rPr>
          <w:rFonts w:ascii="Arial" w:hAnsi="Arial" w:cs="Arial"/>
          <w:color w:val="000000"/>
        </w:rPr>
        <w:t>This chapter highlights three crucial aspects of commencing the change process:</w:t>
      </w:r>
    </w:p>
    <w:p w14:paraId="47277F7E" w14:textId="77777777" w:rsidR="005516FD" w:rsidRPr="005516FD" w:rsidRDefault="005516FD" w:rsidP="005516FD">
      <w:pPr>
        <w:autoSpaceDE w:val="0"/>
        <w:autoSpaceDN w:val="0"/>
        <w:adjustRightInd w:val="0"/>
        <w:spacing w:after="0" w:line="360" w:lineRule="auto"/>
        <w:jc w:val="both"/>
        <w:rPr>
          <w:rFonts w:ascii="Arial" w:hAnsi="Arial" w:cs="Arial"/>
          <w:color w:val="000000"/>
        </w:rPr>
      </w:pPr>
    </w:p>
    <w:p w14:paraId="5152DE89" w14:textId="77777777" w:rsidR="005516FD" w:rsidRPr="005516FD" w:rsidRDefault="005516FD" w:rsidP="005516FD">
      <w:pPr>
        <w:pStyle w:val="ListParagraph"/>
        <w:numPr>
          <w:ilvl w:val="0"/>
          <w:numId w:val="32"/>
        </w:numPr>
        <w:autoSpaceDE w:val="0"/>
        <w:autoSpaceDN w:val="0"/>
        <w:adjustRightInd w:val="0"/>
        <w:spacing w:after="0" w:line="360" w:lineRule="auto"/>
        <w:jc w:val="both"/>
        <w:rPr>
          <w:rFonts w:ascii="Arial" w:hAnsi="Arial" w:cs="Arial"/>
          <w:color w:val="000000"/>
        </w:rPr>
      </w:pPr>
      <w:r w:rsidRPr="005516FD">
        <w:rPr>
          <w:rFonts w:ascii="Arial" w:hAnsi="Arial" w:cs="Arial"/>
          <w:color w:val="000000"/>
        </w:rPr>
        <w:lastRenderedPageBreak/>
        <w:t>Turning Need into Willingness: Organizational members can actively influence change. To achieve this, they need confidence in their abilities, avoiding overconfidence. Learned helplessness theory suggests that when traditional methods fail, they may question their ability to manage change.</w:t>
      </w:r>
    </w:p>
    <w:p w14:paraId="73301ED5" w14:textId="77777777" w:rsidR="005516FD" w:rsidRPr="005516FD" w:rsidRDefault="005516FD" w:rsidP="005516FD">
      <w:pPr>
        <w:autoSpaceDE w:val="0"/>
        <w:autoSpaceDN w:val="0"/>
        <w:adjustRightInd w:val="0"/>
        <w:spacing w:after="0" w:line="360" w:lineRule="auto"/>
        <w:jc w:val="both"/>
        <w:rPr>
          <w:rFonts w:ascii="Arial" w:hAnsi="Arial" w:cs="Arial"/>
          <w:color w:val="000000"/>
        </w:rPr>
      </w:pPr>
    </w:p>
    <w:p w14:paraId="181BD541" w14:textId="77777777" w:rsidR="005516FD" w:rsidRPr="005516FD" w:rsidRDefault="005516FD" w:rsidP="005516FD">
      <w:pPr>
        <w:pStyle w:val="ListParagraph"/>
        <w:numPr>
          <w:ilvl w:val="0"/>
          <w:numId w:val="32"/>
        </w:numPr>
        <w:autoSpaceDE w:val="0"/>
        <w:autoSpaceDN w:val="0"/>
        <w:adjustRightInd w:val="0"/>
        <w:spacing w:after="0" w:line="360" w:lineRule="auto"/>
        <w:jc w:val="both"/>
        <w:rPr>
          <w:rFonts w:ascii="Arial" w:hAnsi="Arial" w:cs="Arial"/>
          <w:color w:val="000000"/>
        </w:rPr>
      </w:pPr>
      <w:r w:rsidRPr="005516FD">
        <w:rPr>
          <w:rFonts w:ascii="Arial" w:hAnsi="Arial" w:cs="Arial"/>
          <w:color w:val="000000"/>
        </w:rPr>
        <w:t>Motivation for Change: Successful individuals experiencing tension or failure are most likely to embrace change. The highly successful may be content with the status quo, while the unsuccessful may resist due to low confidence.</w:t>
      </w:r>
    </w:p>
    <w:p w14:paraId="7ED0EC76" w14:textId="77777777" w:rsidR="005516FD" w:rsidRPr="005516FD" w:rsidRDefault="005516FD" w:rsidP="005516FD">
      <w:pPr>
        <w:autoSpaceDE w:val="0"/>
        <w:autoSpaceDN w:val="0"/>
        <w:adjustRightInd w:val="0"/>
        <w:spacing w:after="0" w:line="360" w:lineRule="auto"/>
        <w:jc w:val="both"/>
        <w:rPr>
          <w:rFonts w:ascii="Arial" w:hAnsi="Arial" w:cs="Arial"/>
          <w:color w:val="000000"/>
        </w:rPr>
      </w:pPr>
    </w:p>
    <w:p w14:paraId="300C6082" w14:textId="77777777" w:rsidR="005516FD" w:rsidRPr="005516FD" w:rsidRDefault="005516FD" w:rsidP="005516FD">
      <w:pPr>
        <w:pStyle w:val="ListParagraph"/>
        <w:numPr>
          <w:ilvl w:val="0"/>
          <w:numId w:val="32"/>
        </w:numPr>
        <w:autoSpaceDE w:val="0"/>
        <w:autoSpaceDN w:val="0"/>
        <w:adjustRightInd w:val="0"/>
        <w:spacing w:after="0" w:line="360" w:lineRule="auto"/>
        <w:jc w:val="both"/>
        <w:rPr>
          <w:rFonts w:ascii="Arial" w:hAnsi="Arial" w:cs="Arial"/>
          <w:color w:val="000000"/>
        </w:rPr>
      </w:pPr>
      <w:r w:rsidRPr="005516FD">
        <w:rPr>
          <w:rFonts w:ascii="Arial" w:hAnsi="Arial" w:cs="Arial"/>
          <w:color w:val="000000"/>
        </w:rPr>
        <w:t>Tools for Change: Concepts, theories, and change management skills are essential. These include understanding the type of change, the change process, and what needs addressing.</w:t>
      </w:r>
    </w:p>
    <w:p w14:paraId="65DF1598" w14:textId="77777777" w:rsidR="005516FD" w:rsidRPr="005516FD" w:rsidRDefault="005516FD" w:rsidP="005516FD">
      <w:pPr>
        <w:autoSpaceDE w:val="0"/>
        <w:autoSpaceDN w:val="0"/>
        <w:adjustRightInd w:val="0"/>
        <w:spacing w:after="0" w:line="360" w:lineRule="auto"/>
        <w:jc w:val="both"/>
        <w:rPr>
          <w:rFonts w:ascii="Arial" w:hAnsi="Arial" w:cs="Arial"/>
          <w:color w:val="000000"/>
        </w:rPr>
      </w:pPr>
    </w:p>
    <w:p w14:paraId="3A4C552A" w14:textId="77777777" w:rsidR="005516FD" w:rsidRPr="005516FD" w:rsidRDefault="005516FD" w:rsidP="005516FD">
      <w:pPr>
        <w:pStyle w:val="ListParagraph"/>
        <w:numPr>
          <w:ilvl w:val="0"/>
          <w:numId w:val="32"/>
        </w:numPr>
        <w:autoSpaceDE w:val="0"/>
        <w:autoSpaceDN w:val="0"/>
        <w:adjustRightInd w:val="0"/>
        <w:spacing w:after="0" w:line="360" w:lineRule="auto"/>
        <w:jc w:val="both"/>
        <w:rPr>
          <w:rFonts w:ascii="Arial" w:hAnsi="Arial" w:cs="Arial"/>
          <w:color w:val="000000"/>
        </w:rPr>
      </w:pPr>
      <w:r w:rsidRPr="005516FD">
        <w:rPr>
          <w:rFonts w:ascii="Arial" w:hAnsi="Arial" w:cs="Arial"/>
          <w:color w:val="000000"/>
        </w:rPr>
        <w:t>Leading Change: The change agent can be an insider or outsider, but evidence suggests user-led change often succeeds.</w:t>
      </w:r>
    </w:p>
    <w:p w14:paraId="1D6C0A25" w14:textId="77777777" w:rsidR="005516FD" w:rsidRPr="005516FD" w:rsidRDefault="005516FD" w:rsidP="005516FD">
      <w:pPr>
        <w:autoSpaceDE w:val="0"/>
        <w:autoSpaceDN w:val="0"/>
        <w:adjustRightInd w:val="0"/>
        <w:spacing w:after="0" w:line="360" w:lineRule="auto"/>
        <w:jc w:val="both"/>
        <w:rPr>
          <w:rFonts w:ascii="Arial" w:hAnsi="Arial" w:cs="Arial"/>
          <w:color w:val="000000"/>
        </w:rPr>
      </w:pPr>
    </w:p>
    <w:p w14:paraId="54CDF7C5" w14:textId="77777777" w:rsidR="005516FD" w:rsidRPr="005516FD" w:rsidRDefault="005516FD" w:rsidP="005516FD">
      <w:pPr>
        <w:pStyle w:val="ListParagraph"/>
        <w:numPr>
          <w:ilvl w:val="0"/>
          <w:numId w:val="32"/>
        </w:numPr>
        <w:autoSpaceDE w:val="0"/>
        <w:autoSpaceDN w:val="0"/>
        <w:adjustRightInd w:val="0"/>
        <w:spacing w:after="0" w:line="360" w:lineRule="auto"/>
        <w:jc w:val="both"/>
        <w:rPr>
          <w:rFonts w:ascii="Arial" w:hAnsi="Arial" w:cs="Arial"/>
          <w:color w:val="000000"/>
        </w:rPr>
      </w:pPr>
      <w:r w:rsidRPr="005516FD">
        <w:rPr>
          <w:rFonts w:ascii="Arial" w:hAnsi="Arial" w:cs="Arial"/>
          <w:color w:val="000000"/>
        </w:rPr>
        <w:t>Effective Relationships: Building trust and understanding client needs is vital.</w:t>
      </w:r>
    </w:p>
    <w:p w14:paraId="7CA72198" w14:textId="77777777" w:rsidR="005516FD" w:rsidRPr="005516FD" w:rsidRDefault="005516FD" w:rsidP="005516FD">
      <w:pPr>
        <w:autoSpaceDE w:val="0"/>
        <w:autoSpaceDN w:val="0"/>
        <w:adjustRightInd w:val="0"/>
        <w:spacing w:after="0" w:line="360" w:lineRule="auto"/>
        <w:jc w:val="both"/>
        <w:rPr>
          <w:rFonts w:ascii="Arial" w:hAnsi="Arial" w:cs="Arial"/>
          <w:color w:val="000000"/>
        </w:rPr>
      </w:pPr>
    </w:p>
    <w:p w14:paraId="12BF1294" w14:textId="2986C62F" w:rsidR="00445D1F" w:rsidRDefault="005516FD" w:rsidP="005516FD">
      <w:pPr>
        <w:autoSpaceDE w:val="0"/>
        <w:autoSpaceDN w:val="0"/>
        <w:adjustRightInd w:val="0"/>
        <w:spacing w:after="0" w:line="360" w:lineRule="auto"/>
        <w:jc w:val="both"/>
        <w:rPr>
          <w:rFonts w:ascii="Arial" w:hAnsi="Arial" w:cs="Arial"/>
          <w:color w:val="000000"/>
        </w:rPr>
      </w:pPr>
      <w:r w:rsidRPr="005516FD">
        <w:rPr>
          <w:rFonts w:ascii="Arial" w:hAnsi="Arial" w:cs="Arial"/>
          <w:color w:val="000000"/>
        </w:rPr>
        <w:t>Most organizations experience episodic change with periods of incremental improvements and occasional transformative shifts. Failing to adapt can lead to obsolescence or acquisition.</w:t>
      </w:r>
    </w:p>
    <w:p w14:paraId="326DD2D7" w14:textId="3A3E4CCF" w:rsidR="005516FD" w:rsidRDefault="005516FD" w:rsidP="005516FD">
      <w:pPr>
        <w:autoSpaceDE w:val="0"/>
        <w:autoSpaceDN w:val="0"/>
        <w:adjustRightInd w:val="0"/>
        <w:spacing w:after="0" w:line="360" w:lineRule="auto"/>
        <w:jc w:val="both"/>
        <w:rPr>
          <w:rFonts w:ascii="Arial" w:hAnsi="Arial" w:cs="Arial"/>
          <w:color w:val="000000"/>
        </w:rPr>
      </w:pPr>
    </w:p>
    <w:p w14:paraId="03157EB7" w14:textId="6AAAD9F7" w:rsidR="005516FD" w:rsidRDefault="005516FD" w:rsidP="005516FD">
      <w:pPr>
        <w:autoSpaceDE w:val="0"/>
        <w:autoSpaceDN w:val="0"/>
        <w:adjustRightInd w:val="0"/>
        <w:spacing w:after="0" w:line="360" w:lineRule="auto"/>
        <w:jc w:val="both"/>
        <w:rPr>
          <w:rFonts w:ascii="Arial" w:hAnsi="Arial" w:cs="Arial"/>
          <w:color w:val="000000"/>
        </w:rPr>
      </w:pPr>
    </w:p>
    <w:p w14:paraId="3778CE5F" w14:textId="66FE3784" w:rsidR="005516FD" w:rsidRDefault="005516FD" w:rsidP="005516FD">
      <w:pPr>
        <w:autoSpaceDE w:val="0"/>
        <w:autoSpaceDN w:val="0"/>
        <w:adjustRightInd w:val="0"/>
        <w:spacing w:after="0" w:line="360" w:lineRule="auto"/>
        <w:jc w:val="both"/>
        <w:rPr>
          <w:rFonts w:ascii="Arial" w:hAnsi="Arial" w:cs="Arial"/>
          <w:color w:val="000000"/>
        </w:rPr>
      </w:pPr>
    </w:p>
    <w:p w14:paraId="41A4AB8E" w14:textId="65563D93" w:rsidR="00451ABC" w:rsidRDefault="00451ABC" w:rsidP="005516FD">
      <w:pPr>
        <w:autoSpaceDE w:val="0"/>
        <w:autoSpaceDN w:val="0"/>
        <w:adjustRightInd w:val="0"/>
        <w:spacing w:after="0" w:line="360" w:lineRule="auto"/>
        <w:jc w:val="both"/>
        <w:rPr>
          <w:rFonts w:ascii="Arial" w:hAnsi="Arial" w:cs="Arial"/>
          <w:color w:val="000000"/>
        </w:rPr>
      </w:pPr>
    </w:p>
    <w:p w14:paraId="38852C2F" w14:textId="67FCE39C" w:rsidR="00451ABC" w:rsidRDefault="00451ABC" w:rsidP="005516FD">
      <w:pPr>
        <w:autoSpaceDE w:val="0"/>
        <w:autoSpaceDN w:val="0"/>
        <w:adjustRightInd w:val="0"/>
        <w:spacing w:after="0" w:line="360" w:lineRule="auto"/>
        <w:jc w:val="both"/>
        <w:rPr>
          <w:rFonts w:ascii="Arial" w:hAnsi="Arial" w:cs="Arial"/>
          <w:color w:val="000000"/>
        </w:rPr>
      </w:pPr>
    </w:p>
    <w:p w14:paraId="6BB4BE06" w14:textId="0FEACAAB" w:rsidR="00451ABC" w:rsidRDefault="00451ABC" w:rsidP="005516FD">
      <w:pPr>
        <w:autoSpaceDE w:val="0"/>
        <w:autoSpaceDN w:val="0"/>
        <w:adjustRightInd w:val="0"/>
        <w:spacing w:after="0" w:line="360" w:lineRule="auto"/>
        <w:jc w:val="both"/>
        <w:rPr>
          <w:rFonts w:ascii="Arial" w:hAnsi="Arial" w:cs="Arial"/>
          <w:color w:val="000000"/>
        </w:rPr>
      </w:pPr>
    </w:p>
    <w:p w14:paraId="3D6DB78C" w14:textId="35273CE4" w:rsidR="00451ABC" w:rsidRDefault="00451ABC" w:rsidP="005516FD">
      <w:pPr>
        <w:autoSpaceDE w:val="0"/>
        <w:autoSpaceDN w:val="0"/>
        <w:adjustRightInd w:val="0"/>
        <w:spacing w:after="0" w:line="360" w:lineRule="auto"/>
        <w:jc w:val="both"/>
        <w:rPr>
          <w:rFonts w:ascii="Arial" w:hAnsi="Arial" w:cs="Arial"/>
          <w:color w:val="000000"/>
        </w:rPr>
      </w:pPr>
    </w:p>
    <w:p w14:paraId="3D57D829" w14:textId="6E0C74DC" w:rsidR="00451ABC" w:rsidRDefault="00451ABC" w:rsidP="005516FD">
      <w:pPr>
        <w:autoSpaceDE w:val="0"/>
        <w:autoSpaceDN w:val="0"/>
        <w:adjustRightInd w:val="0"/>
        <w:spacing w:after="0" w:line="360" w:lineRule="auto"/>
        <w:jc w:val="both"/>
        <w:rPr>
          <w:rFonts w:ascii="Arial" w:hAnsi="Arial" w:cs="Arial"/>
          <w:color w:val="000000"/>
        </w:rPr>
      </w:pPr>
    </w:p>
    <w:p w14:paraId="6EEBFF33" w14:textId="6EAA3B4A" w:rsidR="00451ABC" w:rsidRDefault="00451ABC" w:rsidP="005516FD">
      <w:pPr>
        <w:autoSpaceDE w:val="0"/>
        <w:autoSpaceDN w:val="0"/>
        <w:adjustRightInd w:val="0"/>
        <w:spacing w:after="0" w:line="360" w:lineRule="auto"/>
        <w:jc w:val="both"/>
        <w:rPr>
          <w:rFonts w:ascii="Arial" w:hAnsi="Arial" w:cs="Arial"/>
          <w:color w:val="000000"/>
        </w:rPr>
      </w:pPr>
    </w:p>
    <w:p w14:paraId="13B17827" w14:textId="1A5B23CC" w:rsidR="00451ABC" w:rsidRDefault="00451ABC" w:rsidP="005516FD">
      <w:pPr>
        <w:autoSpaceDE w:val="0"/>
        <w:autoSpaceDN w:val="0"/>
        <w:adjustRightInd w:val="0"/>
        <w:spacing w:after="0" w:line="360" w:lineRule="auto"/>
        <w:jc w:val="both"/>
        <w:rPr>
          <w:rFonts w:ascii="Arial" w:hAnsi="Arial" w:cs="Arial"/>
          <w:color w:val="000000"/>
        </w:rPr>
      </w:pPr>
    </w:p>
    <w:p w14:paraId="3579025B" w14:textId="7E5C2E34" w:rsidR="00451ABC" w:rsidRDefault="00451ABC" w:rsidP="005516FD">
      <w:pPr>
        <w:autoSpaceDE w:val="0"/>
        <w:autoSpaceDN w:val="0"/>
        <w:adjustRightInd w:val="0"/>
        <w:spacing w:after="0" w:line="360" w:lineRule="auto"/>
        <w:jc w:val="both"/>
        <w:rPr>
          <w:rFonts w:ascii="Arial" w:hAnsi="Arial" w:cs="Arial"/>
          <w:color w:val="000000"/>
        </w:rPr>
      </w:pPr>
    </w:p>
    <w:p w14:paraId="3165763B" w14:textId="1C757A4C" w:rsidR="00451ABC" w:rsidRDefault="00451ABC" w:rsidP="005516FD">
      <w:pPr>
        <w:autoSpaceDE w:val="0"/>
        <w:autoSpaceDN w:val="0"/>
        <w:adjustRightInd w:val="0"/>
        <w:spacing w:after="0" w:line="360" w:lineRule="auto"/>
        <w:jc w:val="both"/>
        <w:rPr>
          <w:rFonts w:ascii="Arial" w:hAnsi="Arial" w:cs="Arial"/>
          <w:color w:val="000000"/>
        </w:rPr>
      </w:pPr>
    </w:p>
    <w:p w14:paraId="61E16650" w14:textId="1F1EE774" w:rsidR="00451ABC" w:rsidRDefault="00451ABC" w:rsidP="005516FD">
      <w:pPr>
        <w:autoSpaceDE w:val="0"/>
        <w:autoSpaceDN w:val="0"/>
        <w:adjustRightInd w:val="0"/>
        <w:spacing w:after="0" w:line="360" w:lineRule="auto"/>
        <w:jc w:val="both"/>
        <w:rPr>
          <w:rFonts w:ascii="Arial" w:hAnsi="Arial" w:cs="Arial"/>
          <w:color w:val="000000"/>
        </w:rPr>
      </w:pPr>
    </w:p>
    <w:p w14:paraId="10659AB5" w14:textId="77777777" w:rsidR="00451ABC" w:rsidRDefault="00451ABC" w:rsidP="00451ABC">
      <w:pPr>
        <w:autoSpaceDE w:val="0"/>
        <w:autoSpaceDN w:val="0"/>
        <w:adjustRightInd w:val="0"/>
        <w:spacing w:after="0" w:line="360" w:lineRule="auto"/>
        <w:jc w:val="both"/>
        <w:rPr>
          <w:rFonts w:ascii="Arial" w:eastAsia="Arial" w:hAnsi="Arial" w:cs="Arial"/>
          <w:color w:val="000000"/>
        </w:rPr>
      </w:pPr>
    </w:p>
    <w:p w14:paraId="24ECCF93" w14:textId="77777777" w:rsidR="00451ABC" w:rsidRPr="00F04BB5" w:rsidRDefault="00451ABC" w:rsidP="00451ABC">
      <w:pPr>
        <w:spacing w:line="360" w:lineRule="auto"/>
        <w:jc w:val="both"/>
        <w:rPr>
          <w:rFonts w:ascii="Arial" w:eastAsia="Arial" w:hAnsi="Arial" w:cs="Arial"/>
          <w:b/>
          <w:color w:val="000000"/>
        </w:rPr>
      </w:pPr>
      <w:r w:rsidRPr="00F04BB5">
        <w:rPr>
          <w:rFonts w:ascii="Arial" w:eastAsia="Arial" w:hAnsi="Arial" w:cs="Arial"/>
          <w:b/>
          <w:color w:val="000000"/>
        </w:rPr>
        <w:t xml:space="preserve">REFERENCES </w:t>
      </w:r>
    </w:p>
    <w:p w14:paraId="2BE3FF43" w14:textId="77777777" w:rsidR="00451ABC" w:rsidRPr="00F04BB5" w:rsidRDefault="00451ABC" w:rsidP="00451ABC">
      <w:pPr>
        <w:spacing w:after="0" w:line="360" w:lineRule="auto"/>
        <w:ind w:left="567"/>
        <w:jc w:val="both"/>
        <w:rPr>
          <w:rFonts w:ascii="Arial" w:eastAsia="Arial" w:hAnsi="Arial" w:cs="Arial"/>
          <w:color w:val="000000"/>
        </w:rPr>
      </w:pPr>
    </w:p>
    <w:p w14:paraId="64C48468" w14:textId="77777777" w:rsidR="00451ABC" w:rsidRPr="00F04BB5" w:rsidRDefault="00451ABC" w:rsidP="00451ABC">
      <w:pPr>
        <w:numPr>
          <w:ilvl w:val="0"/>
          <w:numId w:val="5"/>
        </w:numPr>
        <w:spacing w:after="0" w:line="360" w:lineRule="auto"/>
        <w:jc w:val="both"/>
        <w:rPr>
          <w:rFonts w:ascii="Arial" w:eastAsia="Arial" w:hAnsi="Arial" w:cs="Arial"/>
          <w:color w:val="000000"/>
        </w:rPr>
      </w:pPr>
      <w:r w:rsidRPr="00F04BB5">
        <w:rPr>
          <w:rFonts w:ascii="Arial" w:eastAsia="Arial" w:hAnsi="Arial" w:cs="Arial"/>
          <w:color w:val="000000"/>
        </w:rPr>
        <w:t>Hayes, John (2022) The Theory and Practice of Change Management 6</w:t>
      </w:r>
      <w:r w:rsidRPr="00F04BB5">
        <w:rPr>
          <w:rFonts w:ascii="Arial" w:eastAsia="Arial" w:hAnsi="Arial" w:cs="Arial"/>
          <w:color w:val="000000"/>
          <w:vertAlign w:val="superscript"/>
        </w:rPr>
        <w:t>th</w:t>
      </w:r>
      <w:r w:rsidRPr="00F04BB5">
        <w:rPr>
          <w:rFonts w:ascii="Arial" w:eastAsia="Arial" w:hAnsi="Arial" w:cs="Arial"/>
          <w:color w:val="000000"/>
        </w:rPr>
        <w:t xml:space="preserve"> Edition. Bloomsbury Publishing PLC.</w:t>
      </w:r>
    </w:p>
    <w:p w14:paraId="6218662B" w14:textId="77777777" w:rsidR="00451ABC" w:rsidRPr="00F04BB5" w:rsidRDefault="00451ABC" w:rsidP="00451ABC">
      <w:pPr>
        <w:numPr>
          <w:ilvl w:val="0"/>
          <w:numId w:val="5"/>
        </w:numPr>
        <w:spacing w:after="0" w:line="360" w:lineRule="auto"/>
        <w:jc w:val="both"/>
        <w:rPr>
          <w:rFonts w:ascii="Arial" w:eastAsia="Arial" w:hAnsi="Arial" w:cs="Arial"/>
          <w:color w:val="000000"/>
        </w:rPr>
      </w:pPr>
      <w:r w:rsidRPr="00F04BB5">
        <w:rPr>
          <w:rFonts w:ascii="Arial" w:eastAsia="Arial" w:hAnsi="Arial" w:cs="Arial"/>
          <w:color w:val="000000"/>
        </w:rPr>
        <w:t>Hayes, John (2014) The Theory and Practice of Change Management 4</w:t>
      </w:r>
      <w:r w:rsidRPr="00F04BB5">
        <w:rPr>
          <w:rFonts w:ascii="Arial" w:eastAsia="Arial" w:hAnsi="Arial" w:cs="Arial"/>
          <w:color w:val="000000"/>
          <w:vertAlign w:val="superscript"/>
        </w:rPr>
        <w:t>th</w:t>
      </w:r>
      <w:r w:rsidRPr="00F04BB5">
        <w:rPr>
          <w:rFonts w:ascii="Arial" w:eastAsia="Arial" w:hAnsi="Arial" w:cs="Arial"/>
          <w:color w:val="000000"/>
        </w:rPr>
        <w:t xml:space="preserve"> Edition. Palgrave Macmillan. United Kingdom</w:t>
      </w:r>
    </w:p>
    <w:p w14:paraId="5D145809" w14:textId="77777777" w:rsidR="00451ABC" w:rsidRPr="00F04BB5" w:rsidRDefault="00451ABC" w:rsidP="00451ABC">
      <w:pPr>
        <w:numPr>
          <w:ilvl w:val="0"/>
          <w:numId w:val="5"/>
        </w:numPr>
        <w:spacing w:after="0" w:line="360" w:lineRule="auto"/>
        <w:jc w:val="both"/>
        <w:rPr>
          <w:rFonts w:ascii="Arial" w:eastAsia="Arial" w:hAnsi="Arial" w:cs="Arial"/>
          <w:color w:val="000000"/>
        </w:rPr>
      </w:pPr>
      <w:r w:rsidRPr="00F04BB5">
        <w:rPr>
          <w:rFonts w:ascii="Arial" w:eastAsia="Arial" w:hAnsi="Arial" w:cs="Arial"/>
          <w:color w:val="000000"/>
        </w:rPr>
        <w:t>Hayes, John (2010) The Theory and Practice of Change Management 3</w:t>
      </w:r>
      <w:proofErr w:type="gramStart"/>
      <w:r w:rsidRPr="00F04BB5">
        <w:rPr>
          <w:rFonts w:ascii="Arial" w:eastAsia="Arial" w:hAnsi="Arial" w:cs="Arial"/>
          <w:color w:val="000000"/>
          <w:vertAlign w:val="superscript"/>
        </w:rPr>
        <w:t>rd</w:t>
      </w:r>
      <w:r w:rsidRPr="00F04BB5">
        <w:rPr>
          <w:rFonts w:ascii="Arial" w:eastAsia="Arial" w:hAnsi="Arial" w:cs="Arial"/>
          <w:color w:val="000000"/>
        </w:rPr>
        <w:t xml:space="preserve">  Edition</w:t>
      </w:r>
      <w:proofErr w:type="gramEnd"/>
      <w:r w:rsidRPr="00F04BB5">
        <w:rPr>
          <w:rFonts w:ascii="Arial" w:eastAsia="Arial" w:hAnsi="Arial" w:cs="Arial"/>
          <w:color w:val="000000"/>
        </w:rPr>
        <w:t>. Palgrave Macmillan. United Kingdom</w:t>
      </w:r>
    </w:p>
    <w:p w14:paraId="708237FE" w14:textId="77777777" w:rsidR="00451ABC" w:rsidRPr="00F04BB5" w:rsidRDefault="00451ABC" w:rsidP="00451ABC">
      <w:pPr>
        <w:numPr>
          <w:ilvl w:val="0"/>
          <w:numId w:val="5"/>
        </w:numPr>
        <w:spacing w:after="0" w:line="360" w:lineRule="auto"/>
        <w:jc w:val="both"/>
        <w:rPr>
          <w:rFonts w:ascii="Arial" w:eastAsia="Arial" w:hAnsi="Arial" w:cs="Arial"/>
          <w:color w:val="000000"/>
        </w:rPr>
      </w:pPr>
      <w:r w:rsidRPr="00F04BB5">
        <w:rPr>
          <w:rFonts w:ascii="Arial" w:eastAsia="Arial" w:hAnsi="Arial" w:cs="Arial"/>
          <w:color w:val="000000"/>
        </w:rPr>
        <w:t>Kotter, John P. (1996) Leading Change. Harvard Business School Press. USA. ISBN 10: 0875847471 / ISBN 13: 9780875847474</w:t>
      </w:r>
    </w:p>
    <w:p w14:paraId="4EAB0C99" w14:textId="77777777" w:rsidR="00451ABC" w:rsidRPr="00F04BB5" w:rsidRDefault="00451ABC" w:rsidP="00451ABC">
      <w:pPr>
        <w:spacing w:after="0" w:line="360" w:lineRule="auto"/>
        <w:jc w:val="both"/>
        <w:rPr>
          <w:rFonts w:ascii="Arial" w:eastAsia="Arial" w:hAnsi="Arial" w:cs="Arial"/>
          <w:color w:val="000000"/>
        </w:rPr>
      </w:pPr>
    </w:p>
    <w:p w14:paraId="130F3735" w14:textId="77777777" w:rsidR="00451ABC" w:rsidRPr="00F04BB5" w:rsidRDefault="00451ABC" w:rsidP="00451ABC">
      <w:pPr>
        <w:pBdr>
          <w:top w:val="nil"/>
          <w:left w:val="nil"/>
          <w:bottom w:val="nil"/>
          <w:right w:val="nil"/>
          <w:between w:val="nil"/>
        </w:pBdr>
        <w:spacing w:line="360" w:lineRule="auto"/>
        <w:ind w:left="1440"/>
        <w:jc w:val="both"/>
        <w:rPr>
          <w:rFonts w:ascii="Arial" w:eastAsia="Arial" w:hAnsi="Arial" w:cs="Arial"/>
          <w:color w:val="000000"/>
        </w:rPr>
      </w:pPr>
    </w:p>
    <w:p w14:paraId="49C595C4" w14:textId="77777777" w:rsidR="00451ABC" w:rsidRPr="00F04BB5" w:rsidRDefault="00451ABC" w:rsidP="00451ABC">
      <w:pPr>
        <w:spacing w:line="360" w:lineRule="auto"/>
        <w:jc w:val="both"/>
        <w:rPr>
          <w:rFonts w:ascii="Arial" w:eastAsia="Arial" w:hAnsi="Arial" w:cs="Arial"/>
          <w:color w:val="000000"/>
        </w:rPr>
      </w:pPr>
      <w:r w:rsidRPr="00F04BB5">
        <w:rPr>
          <w:rFonts w:ascii="Arial" w:eastAsia="Arial" w:hAnsi="Arial" w:cs="Arial"/>
          <w:color w:val="000000"/>
        </w:rPr>
        <w:t>Online Sources</w:t>
      </w:r>
    </w:p>
    <w:p w14:paraId="3C0F4BCE" w14:textId="77777777" w:rsidR="00451ABC" w:rsidRPr="00F04BB5" w:rsidRDefault="00451ABC" w:rsidP="00451ABC">
      <w:pPr>
        <w:spacing w:line="360" w:lineRule="auto"/>
        <w:jc w:val="both"/>
        <w:rPr>
          <w:rFonts w:ascii="Arial" w:eastAsia="Arial" w:hAnsi="Arial" w:cs="Arial"/>
          <w:color w:val="000000"/>
        </w:rPr>
      </w:pPr>
    </w:p>
    <w:p w14:paraId="31DC023E"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https://slideplayer.com/slide/13711905/</w:t>
      </w:r>
    </w:p>
    <w:p w14:paraId="604EC748"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https://online.hbs.edu/blog/post/change-management-process</w:t>
      </w:r>
    </w:p>
    <w:p w14:paraId="49400F4A"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https://asq.org/quality-resources/change-management</w:t>
      </w:r>
    </w:p>
    <w:p w14:paraId="39976692"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https://www.mindtools.com/ahpnreq/the-four-principles-of-change-management</w:t>
      </w:r>
    </w:p>
    <w:p w14:paraId="0046BCF8"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https://whatfix.com/change-management/</w:t>
      </w:r>
    </w:p>
    <w:p w14:paraId="34CC25F9"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https://www.michiganstateuniversityonline.com/resources/leadership/what-is-change-management/</w:t>
      </w:r>
    </w:p>
    <w:p w14:paraId="16D99DEC"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https://hbr.org/2005/10/the-hard-side-of-change-management</w:t>
      </w:r>
    </w:p>
    <w:p w14:paraId="358C2E24"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https://www.shrm.org/resourcesandtools/tools-and-samples/toolkits/pages/managingorganizationalchange.aspx</w:t>
      </w:r>
    </w:p>
    <w:p w14:paraId="5DD2F8E3"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https://www.coursera.org/articles/change-management-process</w:t>
      </w:r>
    </w:p>
    <w:p w14:paraId="01A30631"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https://www.apm.org.uk/resources/what-is-project-management/what-is-change-management/</w:t>
      </w:r>
    </w:p>
    <w:p w14:paraId="66314497" w14:textId="77777777" w:rsidR="00451ABC" w:rsidRPr="00F04BB5" w:rsidRDefault="00451ABC" w:rsidP="00451ABC">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https://www.imd.org/reflections/change-management/</w:t>
      </w:r>
    </w:p>
    <w:p w14:paraId="0B2136F1" w14:textId="77777777" w:rsidR="00451ABC" w:rsidRPr="00F04BB5" w:rsidRDefault="00451ABC" w:rsidP="00451ABC">
      <w:pPr>
        <w:pBdr>
          <w:top w:val="nil"/>
          <w:left w:val="nil"/>
          <w:bottom w:val="nil"/>
          <w:right w:val="nil"/>
          <w:between w:val="nil"/>
        </w:pBdr>
        <w:spacing w:after="0" w:line="360" w:lineRule="auto"/>
        <w:ind w:left="1080"/>
        <w:jc w:val="both"/>
        <w:rPr>
          <w:rFonts w:ascii="Arial" w:eastAsia="Arial" w:hAnsi="Arial" w:cs="Arial"/>
          <w:color w:val="000000"/>
        </w:rPr>
      </w:pPr>
    </w:p>
    <w:p w14:paraId="7FA1FF30" w14:textId="04C7E188" w:rsidR="00451ABC" w:rsidRDefault="00451ABC" w:rsidP="005516FD">
      <w:pPr>
        <w:autoSpaceDE w:val="0"/>
        <w:autoSpaceDN w:val="0"/>
        <w:adjustRightInd w:val="0"/>
        <w:spacing w:after="0" w:line="360" w:lineRule="auto"/>
        <w:jc w:val="both"/>
        <w:rPr>
          <w:rFonts w:ascii="Arial" w:hAnsi="Arial" w:cs="Arial"/>
          <w:color w:val="000000"/>
        </w:rPr>
      </w:pPr>
    </w:p>
    <w:p w14:paraId="7741CE15" w14:textId="0BDA61B3" w:rsidR="005516FD" w:rsidRDefault="00B6364C" w:rsidP="005516FD">
      <w:pPr>
        <w:autoSpaceDE w:val="0"/>
        <w:autoSpaceDN w:val="0"/>
        <w:adjustRightInd w:val="0"/>
        <w:spacing w:after="0" w:line="360" w:lineRule="auto"/>
        <w:jc w:val="both"/>
        <w:rPr>
          <w:rFonts w:ascii="Arial" w:hAnsi="Arial" w:cs="Arial"/>
          <w:b/>
          <w:color w:val="000000"/>
        </w:rPr>
      </w:pPr>
      <w:bookmarkStart w:id="0" w:name="_GoBack"/>
      <w:bookmarkEnd w:id="0"/>
      <w:r>
        <w:rPr>
          <w:rFonts w:ascii="Arial" w:hAnsi="Arial" w:cs="Arial"/>
          <w:b/>
          <w:color w:val="000000"/>
        </w:rPr>
        <w:lastRenderedPageBreak/>
        <w:t xml:space="preserve">Test </w:t>
      </w:r>
    </w:p>
    <w:p w14:paraId="53E2C394" w14:textId="77777777" w:rsidR="00B6364C" w:rsidRPr="00B6364C" w:rsidRDefault="00B6364C" w:rsidP="005516FD">
      <w:pPr>
        <w:autoSpaceDE w:val="0"/>
        <w:autoSpaceDN w:val="0"/>
        <w:adjustRightInd w:val="0"/>
        <w:spacing w:after="0" w:line="360" w:lineRule="auto"/>
        <w:jc w:val="both"/>
        <w:rPr>
          <w:rFonts w:ascii="Arial" w:hAnsi="Arial" w:cs="Arial"/>
          <w:b/>
          <w:color w:val="000000"/>
        </w:rPr>
      </w:pPr>
    </w:p>
    <w:p w14:paraId="06B837AF" w14:textId="0C1EC862" w:rsidR="00B6364C" w:rsidRPr="00B6364C" w:rsidRDefault="00B6364C" w:rsidP="00B6364C">
      <w:pPr>
        <w:autoSpaceDE w:val="0"/>
        <w:autoSpaceDN w:val="0"/>
        <w:adjustRightInd w:val="0"/>
        <w:spacing w:after="0" w:line="360" w:lineRule="auto"/>
        <w:jc w:val="both"/>
        <w:rPr>
          <w:rFonts w:ascii="Arial" w:hAnsi="Arial" w:cs="Arial"/>
          <w:b/>
          <w:color w:val="000000"/>
        </w:rPr>
      </w:pPr>
      <w:r w:rsidRPr="00B6364C">
        <w:rPr>
          <w:rFonts w:ascii="Arial" w:hAnsi="Arial" w:cs="Arial"/>
          <w:b/>
          <w:color w:val="000000"/>
        </w:rPr>
        <w:t>Multiple Choice</w:t>
      </w:r>
    </w:p>
    <w:p w14:paraId="643CF709"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11DDF288"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What is the central theme of this chapter?</w:t>
      </w:r>
    </w:p>
    <w:p w14:paraId="0AAE1238"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Organizational structure</w:t>
      </w:r>
    </w:p>
    <w:p w14:paraId="52FD9468"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Change management challenges</w:t>
      </w:r>
    </w:p>
    <w:p w14:paraId="65333E1C"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Leadership theories</w:t>
      </w:r>
    </w:p>
    <w:p w14:paraId="79E29A53"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Employee motivation</w:t>
      </w:r>
    </w:p>
    <w:p w14:paraId="05476069"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1E4A522C"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According to the text, why do individuals within organizations often exhibit hesitancy toward embracing change?</w:t>
      </w:r>
    </w:p>
    <w:p w14:paraId="243F140A"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Lack of trust in their own capabilities</w:t>
      </w:r>
    </w:p>
    <w:p w14:paraId="22F08400"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Lack of trust in external factors</w:t>
      </w:r>
    </w:p>
    <w:p w14:paraId="0004A89B"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Lack of belief in change itself</w:t>
      </w:r>
    </w:p>
    <w:p w14:paraId="4DC4E30D"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Lack of resources</w:t>
      </w:r>
    </w:p>
    <w:p w14:paraId="15475207"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6C2291E2"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What does the '</w:t>
      </w:r>
      <w:proofErr w:type="spellStart"/>
      <w:r w:rsidRPr="00B6364C">
        <w:rPr>
          <w:rFonts w:ascii="Arial" w:hAnsi="Arial" w:cs="Arial"/>
          <w:color w:val="000000"/>
        </w:rPr>
        <w:t>voluntaristic</w:t>
      </w:r>
      <w:proofErr w:type="spellEnd"/>
      <w:r w:rsidRPr="00B6364C">
        <w:rPr>
          <w:rFonts w:ascii="Arial" w:hAnsi="Arial" w:cs="Arial"/>
          <w:color w:val="000000"/>
        </w:rPr>
        <w:t>' standpoint in the chapter emphasize?</w:t>
      </w:r>
    </w:p>
    <w:p w14:paraId="054385EA"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Passive roles of organizational members</w:t>
      </w:r>
    </w:p>
    <w:p w14:paraId="0A750A66"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Autonomy and active engagement of organizational members</w:t>
      </w:r>
    </w:p>
    <w:p w14:paraId="471C9ADC"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Deterministic change trajectories</w:t>
      </w:r>
    </w:p>
    <w:p w14:paraId="2F6DBF6B"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Managerial restrictions</w:t>
      </w:r>
    </w:p>
    <w:p w14:paraId="20552904"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7E133A51"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What perspective characterizes managers and organizational members as passive recipients of change?</w:t>
      </w:r>
    </w:p>
    <w:p w14:paraId="42B13AA6"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Voluntarist</w:t>
      </w:r>
    </w:p>
    <w:p w14:paraId="2423CAA6"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Deterministic</w:t>
      </w:r>
    </w:p>
    <w:p w14:paraId="0C21FBB4"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Autonomous</w:t>
      </w:r>
    </w:p>
    <w:p w14:paraId="0EC1E11D"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Proactive</w:t>
      </w:r>
    </w:p>
    <w:p w14:paraId="3EE5DC45"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13400887"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According to the deterministic perspective, what primarily determines strategic change in organizations?</w:t>
      </w:r>
    </w:p>
    <w:p w14:paraId="1A93E522"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Managers' decisions</w:t>
      </w:r>
    </w:p>
    <w:p w14:paraId="36CA04C5"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lastRenderedPageBreak/>
        <w:t>b) Internal dynamics</w:t>
      </w:r>
    </w:p>
    <w:p w14:paraId="7F25D4FA"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External factors and organization-environment connections</w:t>
      </w:r>
    </w:p>
    <w:p w14:paraId="69686BBC"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Organizational structure</w:t>
      </w:r>
    </w:p>
    <w:p w14:paraId="65FA014F"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431110C3"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Which category of individuals is most likely to embrace change according to Pugh (1993)?</w:t>
      </w:r>
    </w:p>
    <w:p w14:paraId="00BCD33F"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Unsuccessful individuals</w:t>
      </w:r>
    </w:p>
    <w:p w14:paraId="6700D986"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Highly successful individuals</w:t>
      </w:r>
    </w:p>
    <w:p w14:paraId="26A5C804"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Those with limited agency</w:t>
      </w:r>
    </w:p>
    <w:p w14:paraId="40F71AB1"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Those who lack confidence</w:t>
      </w:r>
    </w:p>
    <w:p w14:paraId="62C7DEF3"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28C10AA3"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What does "readiness for change" refer to, according to Jones et al. (2005)?</w:t>
      </w:r>
    </w:p>
    <w:p w14:paraId="10C1DA72"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The speed of change implementation</w:t>
      </w:r>
    </w:p>
    <w:p w14:paraId="77E608F9"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The extent of positive perspectives on change</w:t>
      </w:r>
    </w:p>
    <w:p w14:paraId="4EF33630"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The resistance to change</w:t>
      </w:r>
    </w:p>
    <w:p w14:paraId="6372A17B"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The motivation to change</w:t>
      </w:r>
    </w:p>
    <w:p w14:paraId="3FA9E7EA"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7432DBFD"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What is the primary goal of process models in change management?</w:t>
      </w:r>
    </w:p>
    <w:p w14:paraId="5E2E6CE6"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Identifying the client</w:t>
      </w:r>
    </w:p>
    <w:p w14:paraId="3614944A"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Understanding the mechanics of change</w:t>
      </w:r>
    </w:p>
    <w:p w14:paraId="4E89A177"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Building trust and confidence</w:t>
      </w:r>
    </w:p>
    <w:p w14:paraId="1104301E"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Assessing change readiness</w:t>
      </w:r>
    </w:p>
    <w:p w14:paraId="68B6B93A"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44ECC71A"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What is the significance of trust and trustworthiness in the change agent-client relationship?</w:t>
      </w:r>
    </w:p>
    <w:p w14:paraId="4A9F12E7"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They have no impact on the relationship.</w:t>
      </w:r>
    </w:p>
    <w:p w14:paraId="53A4F551"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They can influence the client's cooperation and information sharing.</w:t>
      </w:r>
    </w:p>
    <w:p w14:paraId="7A64169D"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They only matter in the early stages of the relationship.</w:t>
      </w:r>
    </w:p>
    <w:p w14:paraId="6CC47E57"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They are not relevant in change management.</w:t>
      </w:r>
    </w:p>
    <w:p w14:paraId="492FD2CE"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4AB704C6"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Who should be considered as the client in a change initiative, according to Cummings and Worley (2001)?</w:t>
      </w:r>
    </w:p>
    <w:p w14:paraId="6A3EF4E5"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The individual who invited the change agent</w:t>
      </w:r>
    </w:p>
    <w:p w14:paraId="0C45F4A6"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The highest-ranking executive in the organization</w:t>
      </w:r>
    </w:p>
    <w:p w14:paraId="72C736A7"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lastRenderedPageBreak/>
        <w:t>c) All members of the organization</w:t>
      </w:r>
    </w:p>
    <w:p w14:paraId="5F88A744"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Those who can directly influence the change issue</w:t>
      </w:r>
    </w:p>
    <w:p w14:paraId="1885CC9F"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6007BF55"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Why is it important to clarify the issue in a change initiative?</w:t>
      </w:r>
    </w:p>
    <w:p w14:paraId="24441C56"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To assign blame for the problem</w:t>
      </w:r>
    </w:p>
    <w:p w14:paraId="63FFDDC4"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To determine the budget for the change</w:t>
      </w:r>
    </w:p>
    <w:p w14:paraId="69EB8FD4"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To identify the root causes of the problem</w:t>
      </w:r>
    </w:p>
    <w:p w14:paraId="0CF999E0"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To establish trust with the change agent</w:t>
      </w:r>
    </w:p>
    <w:p w14:paraId="5E90E264"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774A031F"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What is the potential risk of not redefining the client in a change initiative?</w:t>
      </w:r>
    </w:p>
    <w:p w14:paraId="6D66B292"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The change may not be implemented effectively.</w:t>
      </w:r>
    </w:p>
    <w:p w14:paraId="17DD840D"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The budget may be exceeded.</w:t>
      </w:r>
    </w:p>
    <w:p w14:paraId="281FA7B0"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Conflict within the organization may increase.</w:t>
      </w:r>
    </w:p>
    <w:p w14:paraId="6170D0EB"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The change agent may lose trust.</w:t>
      </w:r>
    </w:p>
    <w:p w14:paraId="400BBA3D"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1CF47B19"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What is emphasized as crucial in the establishment of trust and confidence in the change agent-client relationship?</w:t>
      </w:r>
    </w:p>
    <w:p w14:paraId="6A2325C0"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Quick decision-making</w:t>
      </w:r>
    </w:p>
    <w:p w14:paraId="616C3561"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Incremental trust-building over time</w:t>
      </w:r>
    </w:p>
    <w:p w14:paraId="0F48A308"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Relying on past experiences</w:t>
      </w:r>
    </w:p>
    <w:p w14:paraId="70A326BF"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Avoiding initial interactions</w:t>
      </w:r>
    </w:p>
    <w:p w14:paraId="3E125A1C"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6117AD3A" w14:textId="77777777" w:rsidR="00B6364C" w:rsidRPr="00B6364C" w:rsidRDefault="00B6364C" w:rsidP="00B6364C">
      <w:pPr>
        <w:pStyle w:val="ListParagraph"/>
        <w:numPr>
          <w:ilvl w:val="0"/>
          <w:numId w:val="33"/>
        </w:num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What can be a challenge when clients seek assistance from consultants?</w:t>
      </w:r>
    </w:p>
    <w:p w14:paraId="645D67BB"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Clients are usually open about their concerns.</w:t>
      </w:r>
    </w:p>
    <w:p w14:paraId="6E614CB8"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Clients may frame the problem inaccurately.</w:t>
      </w:r>
    </w:p>
    <w:p w14:paraId="25C91C3E"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Consultants are often familiar with the client's needs.</w:t>
      </w:r>
    </w:p>
    <w:p w14:paraId="2F4D317E"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Consultants prefer to work with insiders.</w:t>
      </w:r>
    </w:p>
    <w:p w14:paraId="3F7086BD"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p>
    <w:p w14:paraId="5AEDE3F0" w14:textId="77777777" w:rsidR="00B6364C" w:rsidRPr="00B66E96" w:rsidRDefault="00B6364C" w:rsidP="00B66E96">
      <w:pPr>
        <w:pStyle w:val="ListParagraph"/>
        <w:numPr>
          <w:ilvl w:val="0"/>
          <w:numId w:val="33"/>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How should change agents approach the nature of the problem in a change initiative?</w:t>
      </w:r>
    </w:p>
    <w:p w14:paraId="734E61E0"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a) Stick to the client's initial framing of the problem.</w:t>
      </w:r>
    </w:p>
    <w:p w14:paraId="210DB999"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b) Maintain an open-minded approach until a preliminary investigation is conducted.</w:t>
      </w:r>
    </w:p>
    <w:p w14:paraId="2695F9BA" w14:textId="77777777" w:rsidR="00B6364C" w:rsidRPr="00B6364C"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c) Immediately focus on replacing current members.</w:t>
      </w:r>
    </w:p>
    <w:p w14:paraId="3CCDA8C8" w14:textId="629A118F" w:rsidR="005516FD" w:rsidRDefault="00B6364C" w:rsidP="00B6364C">
      <w:pPr>
        <w:autoSpaceDE w:val="0"/>
        <w:autoSpaceDN w:val="0"/>
        <w:adjustRightInd w:val="0"/>
        <w:spacing w:after="0" w:line="360" w:lineRule="auto"/>
        <w:jc w:val="both"/>
        <w:rPr>
          <w:rFonts w:ascii="Arial" w:hAnsi="Arial" w:cs="Arial"/>
          <w:color w:val="000000"/>
        </w:rPr>
      </w:pPr>
      <w:r w:rsidRPr="00B6364C">
        <w:rPr>
          <w:rFonts w:ascii="Arial" w:hAnsi="Arial" w:cs="Arial"/>
          <w:color w:val="000000"/>
        </w:rPr>
        <w:t>d) Disregard the client's perceived needs.</w:t>
      </w:r>
    </w:p>
    <w:p w14:paraId="3FE225BB" w14:textId="61CE4E73" w:rsidR="005516FD" w:rsidRDefault="005516FD" w:rsidP="005516FD">
      <w:pPr>
        <w:autoSpaceDE w:val="0"/>
        <w:autoSpaceDN w:val="0"/>
        <w:adjustRightInd w:val="0"/>
        <w:spacing w:after="0" w:line="360" w:lineRule="auto"/>
        <w:jc w:val="both"/>
        <w:rPr>
          <w:rFonts w:ascii="Arial" w:hAnsi="Arial" w:cs="Arial"/>
          <w:color w:val="000000"/>
        </w:rPr>
      </w:pPr>
    </w:p>
    <w:p w14:paraId="42A4719C" w14:textId="39A753BA" w:rsidR="005516FD" w:rsidRDefault="005516FD" w:rsidP="005516FD">
      <w:pPr>
        <w:autoSpaceDE w:val="0"/>
        <w:autoSpaceDN w:val="0"/>
        <w:adjustRightInd w:val="0"/>
        <w:spacing w:after="0" w:line="360" w:lineRule="auto"/>
        <w:jc w:val="both"/>
        <w:rPr>
          <w:rFonts w:ascii="Arial" w:hAnsi="Arial" w:cs="Arial"/>
          <w:color w:val="000000"/>
        </w:rPr>
      </w:pPr>
    </w:p>
    <w:p w14:paraId="188951C2" w14:textId="7AABA653" w:rsidR="00B66E96" w:rsidRPr="00B66E96" w:rsidRDefault="00B66E96" w:rsidP="00B66E96">
      <w:pPr>
        <w:autoSpaceDE w:val="0"/>
        <w:autoSpaceDN w:val="0"/>
        <w:adjustRightInd w:val="0"/>
        <w:spacing w:after="0" w:line="360" w:lineRule="auto"/>
        <w:jc w:val="both"/>
        <w:rPr>
          <w:rFonts w:ascii="Arial" w:hAnsi="Arial" w:cs="Arial"/>
          <w:b/>
          <w:color w:val="000000"/>
        </w:rPr>
      </w:pPr>
      <w:r w:rsidRPr="00B66E96">
        <w:rPr>
          <w:rFonts w:ascii="Arial" w:hAnsi="Arial" w:cs="Arial"/>
          <w:b/>
          <w:color w:val="000000"/>
        </w:rPr>
        <w:t>Answer Key</w:t>
      </w:r>
    </w:p>
    <w:p w14:paraId="67122DA1" w14:textId="77777777" w:rsidR="00B66E96" w:rsidRPr="00B66E96" w:rsidRDefault="00B66E96" w:rsidP="00B66E96">
      <w:pPr>
        <w:autoSpaceDE w:val="0"/>
        <w:autoSpaceDN w:val="0"/>
        <w:adjustRightInd w:val="0"/>
        <w:spacing w:after="0" w:line="360" w:lineRule="auto"/>
        <w:jc w:val="both"/>
        <w:rPr>
          <w:rFonts w:ascii="Arial" w:hAnsi="Arial" w:cs="Arial"/>
          <w:b/>
          <w:color w:val="000000"/>
        </w:rPr>
      </w:pPr>
    </w:p>
    <w:p w14:paraId="3F6D757F" w14:textId="77777777"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b) Change management challenges</w:t>
      </w:r>
    </w:p>
    <w:p w14:paraId="65415437"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16489BF9" w14:textId="613FF6A2"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Lack of trust in their own capabilities</w:t>
      </w:r>
    </w:p>
    <w:p w14:paraId="7A9458B3"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281BC28A" w14:textId="13BF9C4C"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Autonomy and active engagement of organizational members</w:t>
      </w:r>
    </w:p>
    <w:p w14:paraId="4C02F72F"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28D191C1" w14:textId="400CC038"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Deterministic</w:t>
      </w:r>
    </w:p>
    <w:p w14:paraId="0AD15E20"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1D14B044" w14:textId="00094E2F"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External factors and organization-environment connections</w:t>
      </w:r>
    </w:p>
    <w:p w14:paraId="3DBAF4D9"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485001FF" w14:textId="77777777"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b) Highly successful individuals</w:t>
      </w:r>
    </w:p>
    <w:p w14:paraId="40697352"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2879E8E8" w14:textId="77777777"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b) The extent of positive perspectives on change</w:t>
      </w:r>
    </w:p>
    <w:p w14:paraId="67E8D722"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6A921ECC" w14:textId="77777777"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b) Understanding the mechanics of change</w:t>
      </w:r>
    </w:p>
    <w:p w14:paraId="02B46416"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5D7049A7" w14:textId="77777777"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b) They can influence the client's cooperation and information sharing.</w:t>
      </w:r>
    </w:p>
    <w:p w14:paraId="37C66536"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5125956B" w14:textId="77777777"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d) Those who can directly influence the change issue</w:t>
      </w:r>
    </w:p>
    <w:p w14:paraId="29E20AAE"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5FC082C3" w14:textId="77777777"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c) To identify the root causes of the problem</w:t>
      </w:r>
    </w:p>
    <w:p w14:paraId="77654C9A"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0438A104" w14:textId="6ABE01AD"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The change may not be implemented effectively.</w:t>
      </w:r>
    </w:p>
    <w:p w14:paraId="0B85CDAE"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27303AAB" w14:textId="30E81B66"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Incremental trust-building over time</w:t>
      </w:r>
    </w:p>
    <w:p w14:paraId="00477D47"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519DC763" w14:textId="3C5000B0" w:rsidR="00B66E96"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Clients may frame the problem inaccurately.</w:t>
      </w:r>
    </w:p>
    <w:p w14:paraId="2CF6FC75" w14:textId="77777777" w:rsidR="00B66E96" w:rsidRPr="00B66E96" w:rsidRDefault="00B66E96" w:rsidP="00B66E96">
      <w:pPr>
        <w:autoSpaceDE w:val="0"/>
        <w:autoSpaceDN w:val="0"/>
        <w:adjustRightInd w:val="0"/>
        <w:spacing w:after="0" w:line="360" w:lineRule="auto"/>
        <w:jc w:val="both"/>
        <w:rPr>
          <w:rFonts w:ascii="Arial" w:hAnsi="Arial" w:cs="Arial"/>
          <w:color w:val="000000"/>
        </w:rPr>
      </w:pPr>
    </w:p>
    <w:p w14:paraId="6343C92E" w14:textId="1A3FCE0D" w:rsidR="005516FD" w:rsidRPr="00B66E96" w:rsidRDefault="00B66E96" w:rsidP="00B66E96">
      <w:pPr>
        <w:pStyle w:val="ListParagraph"/>
        <w:numPr>
          <w:ilvl w:val="0"/>
          <w:numId w:val="34"/>
        </w:numPr>
        <w:autoSpaceDE w:val="0"/>
        <w:autoSpaceDN w:val="0"/>
        <w:adjustRightInd w:val="0"/>
        <w:spacing w:after="0" w:line="360" w:lineRule="auto"/>
        <w:jc w:val="both"/>
        <w:rPr>
          <w:rFonts w:ascii="Arial" w:hAnsi="Arial" w:cs="Arial"/>
          <w:color w:val="000000"/>
        </w:rPr>
      </w:pPr>
      <w:r w:rsidRPr="00B66E96">
        <w:rPr>
          <w:rFonts w:ascii="Arial" w:hAnsi="Arial" w:cs="Arial"/>
          <w:color w:val="000000"/>
        </w:rPr>
        <w:t>b) Maintain an open-minded approach until a preliminary investigation is conducted.</w:t>
      </w:r>
    </w:p>
    <w:p w14:paraId="54E00A35" w14:textId="31F486CB" w:rsidR="005516FD" w:rsidRDefault="005516FD" w:rsidP="005516FD">
      <w:pPr>
        <w:autoSpaceDE w:val="0"/>
        <w:autoSpaceDN w:val="0"/>
        <w:adjustRightInd w:val="0"/>
        <w:spacing w:after="0" w:line="360" w:lineRule="auto"/>
        <w:jc w:val="both"/>
        <w:rPr>
          <w:rFonts w:ascii="Arial" w:hAnsi="Arial" w:cs="Arial"/>
          <w:color w:val="000000"/>
        </w:rPr>
      </w:pPr>
    </w:p>
    <w:p w14:paraId="0CE3F709" w14:textId="2088CD38" w:rsidR="005516FD" w:rsidRDefault="005516FD" w:rsidP="005516FD">
      <w:pPr>
        <w:autoSpaceDE w:val="0"/>
        <w:autoSpaceDN w:val="0"/>
        <w:adjustRightInd w:val="0"/>
        <w:spacing w:after="0" w:line="360" w:lineRule="auto"/>
        <w:jc w:val="both"/>
        <w:rPr>
          <w:rFonts w:ascii="Arial" w:hAnsi="Arial" w:cs="Arial"/>
          <w:color w:val="000000"/>
        </w:rPr>
      </w:pPr>
    </w:p>
    <w:p w14:paraId="3B35929E" w14:textId="396D43F1" w:rsidR="005516FD" w:rsidRDefault="005516FD" w:rsidP="005516FD">
      <w:pPr>
        <w:autoSpaceDE w:val="0"/>
        <w:autoSpaceDN w:val="0"/>
        <w:adjustRightInd w:val="0"/>
        <w:spacing w:after="0" w:line="360" w:lineRule="auto"/>
        <w:jc w:val="both"/>
        <w:rPr>
          <w:rFonts w:ascii="Arial" w:hAnsi="Arial" w:cs="Arial"/>
          <w:color w:val="000000"/>
        </w:rPr>
      </w:pPr>
    </w:p>
    <w:p w14:paraId="2FD45A14" w14:textId="00908FD4" w:rsidR="00451ABC" w:rsidRDefault="00451ABC" w:rsidP="005516FD">
      <w:pPr>
        <w:autoSpaceDE w:val="0"/>
        <w:autoSpaceDN w:val="0"/>
        <w:adjustRightInd w:val="0"/>
        <w:spacing w:after="0" w:line="360" w:lineRule="auto"/>
        <w:jc w:val="both"/>
        <w:rPr>
          <w:rFonts w:ascii="Arial" w:hAnsi="Arial" w:cs="Arial"/>
          <w:color w:val="000000"/>
        </w:rPr>
      </w:pPr>
    </w:p>
    <w:p w14:paraId="44EA7455" w14:textId="717DC32F" w:rsidR="00451ABC" w:rsidRDefault="00451ABC" w:rsidP="005516FD">
      <w:pPr>
        <w:autoSpaceDE w:val="0"/>
        <w:autoSpaceDN w:val="0"/>
        <w:adjustRightInd w:val="0"/>
        <w:spacing w:after="0" w:line="360" w:lineRule="auto"/>
        <w:jc w:val="both"/>
        <w:rPr>
          <w:rFonts w:ascii="Arial" w:hAnsi="Arial" w:cs="Arial"/>
          <w:color w:val="000000"/>
        </w:rPr>
      </w:pPr>
    </w:p>
    <w:p w14:paraId="00B5D35F" w14:textId="5A7A8933" w:rsidR="00451ABC" w:rsidRDefault="00451ABC" w:rsidP="005516FD">
      <w:pPr>
        <w:autoSpaceDE w:val="0"/>
        <w:autoSpaceDN w:val="0"/>
        <w:adjustRightInd w:val="0"/>
        <w:spacing w:after="0" w:line="360" w:lineRule="auto"/>
        <w:jc w:val="both"/>
        <w:rPr>
          <w:rFonts w:ascii="Arial" w:hAnsi="Arial" w:cs="Arial"/>
          <w:color w:val="000000"/>
        </w:rPr>
      </w:pPr>
    </w:p>
    <w:p w14:paraId="29EE5161" w14:textId="36B4D21A" w:rsidR="00451ABC" w:rsidRDefault="00451ABC" w:rsidP="005516FD">
      <w:pPr>
        <w:autoSpaceDE w:val="0"/>
        <w:autoSpaceDN w:val="0"/>
        <w:adjustRightInd w:val="0"/>
        <w:spacing w:after="0" w:line="360" w:lineRule="auto"/>
        <w:jc w:val="both"/>
        <w:rPr>
          <w:rFonts w:ascii="Arial" w:hAnsi="Arial" w:cs="Arial"/>
          <w:color w:val="000000"/>
        </w:rPr>
      </w:pPr>
    </w:p>
    <w:p w14:paraId="51ECFD72" w14:textId="77777777" w:rsidR="00451ABC" w:rsidRDefault="00451ABC" w:rsidP="005516FD">
      <w:pPr>
        <w:autoSpaceDE w:val="0"/>
        <w:autoSpaceDN w:val="0"/>
        <w:adjustRightInd w:val="0"/>
        <w:spacing w:after="0" w:line="360" w:lineRule="auto"/>
        <w:jc w:val="both"/>
        <w:rPr>
          <w:rFonts w:ascii="Arial" w:hAnsi="Arial" w:cs="Arial"/>
          <w:color w:val="000000"/>
        </w:rPr>
      </w:pPr>
    </w:p>
    <w:p w14:paraId="20916560" w14:textId="77777777" w:rsidR="009847EE" w:rsidRPr="00F04BB5" w:rsidRDefault="009847EE" w:rsidP="00F04BB5">
      <w:pPr>
        <w:pBdr>
          <w:top w:val="nil"/>
          <w:left w:val="nil"/>
          <w:bottom w:val="nil"/>
          <w:right w:val="nil"/>
          <w:between w:val="nil"/>
        </w:pBdr>
        <w:spacing w:after="0" w:line="360" w:lineRule="auto"/>
        <w:ind w:left="1080"/>
        <w:jc w:val="both"/>
        <w:rPr>
          <w:rFonts w:ascii="Arial" w:eastAsia="Arial" w:hAnsi="Arial" w:cs="Arial"/>
          <w:color w:val="000000"/>
        </w:rPr>
      </w:pPr>
    </w:p>
    <w:p w14:paraId="04EACC60" w14:textId="77777777" w:rsidR="009847EE" w:rsidRPr="00F04BB5" w:rsidRDefault="009847EE" w:rsidP="00F04BB5">
      <w:pPr>
        <w:pBdr>
          <w:top w:val="nil"/>
          <w:left w:val="nil"/>
          <w:bottom w:val="nil"/>
          <w:right w:val="nil"/>
          <w:between w:val="nil"/>
        </w:pBdr>
        <w:spacing w:after="0" w:line="360" w:lineRule="auto"/>
        <w:ind w:left="1080"/>
        <w:jc w:val="both"/>
        <w:rPr>
          <w:rFonts w:ascii="Arial" w:eastAsia="Arial" w:hAnsi="Arial" w:cs="Arial"/>
          <w:color w:val="000000"/>
        </w:rPr>
      </w:pPr>
    </w:p>
    <w:sectPr w:rsidR="009847EE" w:rsidRPr="00F04BB5" w:rsidSect="008A64AA">
      <w:headerReference w:type="default" r:id="rId8"/>
      <w:footerReference w:type="default" r:id="rId9"/>
      <w:pgSz w:w="12240" w:h="15840"/>
      <w:pgMar w:top="1440" w:right="1440" w:bottom="1170" w:left="1440"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8E014" w14:textId="77777777" w:rsidR="00340B7A" w:rsidRDefault="00340B7A">
      <w:pPr>
        <w:spacing w:after="0" w:line="240" w:lineRule="auto"/>
      </w:pPr>
      <w:r>
        <w:separator/>
      </w:r>
    </w:p>
  </w:endnote>
  <w:endnote w:type="continuationSeparator" w:id="0">
    <w:p w14:paraId="24AC8831" w14:textId="77777777" w:rsidR="00340B7A" w:rsidRDefault="00340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24640" w14:textId="21DEFDA8" w:rsidR="0081745E" w:rsidRDefault="0081745E" w:rsidP="00F04BB5">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3 - </w:t>
    </w: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42DF5A5"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BE4D2" w14:textId="77777777" w:rsidR="00340B7A" w:rsidRDefault="00340B7A">
      <w:pPr>
        <w:spacing w:after="0" w:line="240" w:lineRule="auto"/>
      </w:pPr>
      <w:r>
        <w:separator/>
      </w:r>
    </w:p>
  </w:footnote>
  <w:footnote w:type="continuationSeparator" w:id="0">
    <w:p w14:paraId="3AC79C32" w14:textId="77777777" w:rsidR="00340B7A" w:rsidRDefault="00340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C73C" w14:textId="28B2719A"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66C61A82"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Chapter </w:t>
    </w:r>
    <w:r w:rsidR="009F2547">
      <w:rPr>
        <w:b/>
        <w:color w:val="000000"/>
      </w:rPr>
      <w:t>5</w:t>
    </w:r>
  </w:p>
  <w:p w14:paraId="07008F77" w14:textId="4A84E2B4" w:rsidR="0081745E" w:rsidRDefault="009F2547">
    <w:pPr>
      <w:pBdr>
        <w:top w:val="nil"/>
        <w:left w:val="nil"/>
        <w:bottom w:val="nil"/>
        <w:right w:val="nil"/>
        <w:between w:val="nil"/>
      </w:pBdr>
      <w:tabs>
        <w:tab w:val="center" w:pos="4680"/>
        <w:tab w:val="right" w:pos="9360"/>
      </w:tabs>
      <w:spacing w:after="0" w:line="240" w:lineRule="auto"/>
      <w:rPr>
        <w:b/>
        <w:color w:val="000000"/>
      </w:rPr>
    </w:pPr>
    <w:r>
      <w:rPr>
        <w:b/>
        <w:color w:val="000000"/>
      </w:rPr>
      <w:t>Starting the Change</w:t>
    </w:r>
  </w:p>
  <w:p w14:paraId="3B8C87FF" w14:textId="77777777"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DeLeon Castillo, DBA - Philippines</w:t>
    </w:r>
  </w:p>
  <w:p w14:paraId="194A0B38"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p w14:paraId="489D250E"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33596"/>
    <w:multiLevelType w:val="hybridMultilevel"/>
    <w:tmpl w:val="E70C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D2350"/>
    <w:multiLevelType w:val="multilevel"/>
    <w:tmpl w:val="F92824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1A7830"/>
    <w:multiLevelType w:val="hybridMultilevel"/>
    <w:tmpl w:val="3F3C4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17088"/>
    <w:multiLevelType w:val="hybridMultilevel"/>
    <w:tmpl w:val="C33C6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4A41BC"/>
    <w:multiLevelType w:val="hybridMultilevel"/>
    <w:tmpl w:val="0EC01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3568E"/>
    <w:multiLevelType w:val="hybridMultilevel"/>
    <w:tmpl w:val="E7706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D12F6F"/>
    <w:multiLevelType w:val="hybridMultilevel"/>
    <w:tmpl w:val="D848E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7E27BB"/>
    <w:multiLevelType w:val="multilevel"/>
    <w:tmpl w:val="DC148F5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27768FB"/>
    <w:multiLevelType w:val="multilevel"/>
    <w:tmpl w:val="85661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AB0B2A"/>
    <w:multiLevelType w:val="multilevel"/>
    <w:tmpl w:val="1AD2518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54F753F"/>
    <w:multiLevelType w:val="hybridMultilevel"/>
    <w:tmpl w:val="8AB606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FA46427"/>
    <w:multiLevelType w:val="hybridMultilevel"/>
    <w:tmpl w:val="79D09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711383"/>
    <w:multiLevelType w:val="multilevel"/>
    <w:tmpl w:val="61325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0D761A8"/>
    <w:multiLevelType w:val="hybridMultilevel"/>
    <w:tmpl w:val="4CAE1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756DBA"/>
    <w:multiLevelType w:val="hybridMultilevel"/>
    <w:tmpl w:val="DBC83764"/>
    <w:lvl w:ilvl="0" w:tplc="0409000F">
      <w:start w:val="1"/>
      <w:numFmt w:val="decimal"/>
      <w:lvlText w:val="%1."/>
      <w:lvlJc w:val="left"/>
      <w:pPr>
        <w:ind w:left="720" w:hanging="360"/>
      </w:pPr>
    </w:lvl>
    <w:lvl w:ilvl="1" w:tplc="4734F34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65073B"/>
    <w:multiLevelType w:val="hybridMultilevel"/>
    <w:tmpl w:val="20467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491620"/>
    <w:multiLevelType w:val="hybridMultilevel"/>
    <w:tmpl w:val="ED22F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5632EF"/>
    <w:multiLevelType w:val="hybridMultilevel"/>
    <w:tmpl w:val="85C2F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B82A0E"/>
    <w:multiLevelType w:val="hybridMultilevel"/>
    <w:tmpl w:val="64EE6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BC0FAC"/>
    <w:multiLevelType w:val="hybridMultilevel"/>
    <w:tmpl w:val="DCC89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EF1C80"/>
    <w:multiLevelType w:val="hybridMultilevel"/>
    <w:tmpl w:val="48181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195AF5"/>
    <w:multiLevelType w:val="multilevel"/>
    <w:tmpl w:val="85661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B9956A7"/>
    <w:multiLevelType w:val="hybridMultilevel"/>
    <w:tmpl w:val="884EB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E02EA0"/>
    <w:multiLevelType w:val="hybridMultilevel"/>
    <w:tmpl w:val="E8CC83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6734D9"/>
    <w:multiLevelType w:val="multilevel"/>
    <w:tmpl w:val="6096EF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457187D"/>
    <w:multiLevelType w:val="hybridMultilevel"/>
    <w:tmpl w:val="A1D60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6E7AD5"/>
    <w:multiLevelType w:val="hybridMultilevel"/>
    <w:tmpl w:val="DBC83764"/>
    <w:lvl w:ilvl="0" w:tplc="0409000F">
      <w:start w:val="1"/>
      <w:numFmt w:val="decimal"/>
      <w:lvlText w:val="%1."/>
      <w:lvlJc w:val="left"/>
      <w:pPr>
        <w:ind w:left="720" w:hanging="360"/>
      </w:pPr>
    </w:lvl>
    <w:lvl w:ilvl="1" w:tplc="4734F34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0B009C"/>
    <w:multiLevelType w:val="hybridMultilevel"/>
    <w:tmpl w:val="392E1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FA381F"/>
    <w:multiLevelType w:val="hybridMultilevel"/>
    <w:tmpl w:val="B0DA4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DF7B9E"/>
    <w:multiLevelType w:val="hybridMultilevel"/>
    <w:tmpl w:val="02EC6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9C4212A"/>
    <w:multiLevelType w:val="hybridMultilevel"/>
    <w:tmpl w:val="FEEC4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257C4C"/>
    <w:multiLevelType w:val="hybridMultilevel"/>
    <w:tmpl w:val="7F207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A7390D"/>
    <w:multiLevelType w:val="hybridMultilevel"/>
    <w:tmpl w:val="F0EC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9"/>
  </w:num>
  <w:num w:numId="4">
    <w:abstractNumId w:val="7"/>
  </w:num>
  <w:num w:numId="5">
    <w:abstractNumId w:val="30"/>
  </w:num>
  <w:num w:numId="6">
    <w:abstractNumId w:val="1"/>
  </w:num>
  <w:num w:numId="7">
    <w:abstractNumId w:val="0"/>
  </w:num>
  <w:num w:numId="8">
    <w:abstractNumId w:val="18"/>
  </w:num>
  <w:num w:numId="9">
    <w:abstractNumId w:val="31"/>
  </w:num>
  <w:num w:numId="10">
    <w:abstractNumId w:val="6"/>
  </w:num>
  <w:num w:numId="11">
    <w:abstractNumId w:val="5"/>
  </w:num>
  <w:num w:numId="12">
    <w:abstractNumId w:val="32"/>
  </w:num>
  <w:num w:numId="13">
    <w:abstractNumId w:val="21"/>
  </w:num>
  <w:num w:numId="14">
    <w:abstractNumId w:val="8"/>
  </w:num>
  <w:num w:numId="15">
    <w:abstractNumId w:val="10"/>
  </w:num>
  <w:num w:numId="16">
    <w:abstractNumId w:val="2"/>
  </w:num>
  <w:num w:numId="17">
    <w:abstractNumId w:val="11"/>
  </w:num>
  <w:num w:numId="18">
    <w:abstractNumId w:val="19"/>
  </w:num>
  <w:num w:numId="19">
    <w:abstractNumId w:val="13"/>
  </w:num>
  <w:num w:numId="20">
    <w:abstractNumId w:val="29"/>
  </w:num>
  <w:num w:numId="21">
    <w:abstractNumId w:val="25"/>
  </w:num>
  <w:num w:numId="22">
    <w:abstractNumId w:val="28"/>
  </w:num>
  <w:num w:numId="23">
    <w:abstractNumId w:val="3"/>
  </w:num>
  <w:num w:numId="24">
    <w:abstractNumId w:val="23"/>
  </w:num>
  <w:num w:numId="25">
    <w:abstractNumId w:val="20"/>
  </w:num>
  <w:num w:numId="26">
    <w:abstractNumId w:val="27"/>
  </w:num>
  <w:num w:numId="27">
    <w:abstractNumId w:val="33"/>
  </w:num>
  <w:num w:numId="28">
    <w:abstractNumId w:val="17"/>
  </w:num>
  <w:num w:numId="29">
    <w:abstractNumId w:val="15"/>
  </w:num>
  <w:num w:numId="30">
    <w:abstractNumId w:val="16"/>
  </w:num>
  <w:num w:numId="31">
    <w:abstractNumId w:val="4"/>
  </w:num>
  <w:num w:numId="32">
    <w:abstractNumId w:val="22"/>
  </w:num>
  <w:num w:numId="33">
    <w:abstractNumId w:val="14"/>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EE"/>
    <w:rsid w:val="0008359E"/>
    <w:rsid w:val="000F7C06"/>
    <w:rsid w:val="00113A9E"/>
    <w:rsid w:val="001C0898"/>
    <w:rsid w:val="002977EC"/>
    <w:rsid w:val="002B1A33"/>
    <w:rsid w:val="00340B7A"/>
    <w:rsid w:val="003A75FD"/>
    <w:rsid w:val="003D3148"/>
    <w:rsid w:val="003D4F1C"/>
    <w:rsid w:val="00445D1F"/>
    <w:rsid w:val="00451ABC"/>
    <w:rsid w:val="004F20BA"/>
    <w:rsid w:val="005516FD"/>
    <w:rsid w:val="00594128"/>
    <w:rsid w:val="005F3D9B"/>
    <w:rsid w:val="00646E46"/>
    <w:rsid w:val="00672DDD"/>
    <w:rsid w:val="006C05E8"/>
    <w:rsid w:val="00700FB9"/>
    <w:rsid w:val="00794546"/>
    <w:rsid w:val="007C199E"/>
    <w:rsid w:val="00806A6C"/>
    <w:rsid w:val="0081745E"/>
    <w:rsid w:val="0084331F"/>
    <w:rsid w:val="008A64AA"/>
    <w:rsid w:val="008E43E8"/>
    <w:rsid w:val="0096128A"/>
    <w:rsid w:val="009847EE"/>
    <w:rsid w:val="009F2547"/>
    <w:rsid w:val="00AC6AE8"/>
    <w:rsid w:val="00AF39C8"/>
    <w:rsid w:val="00B07CC0"/>
    <w:rsid w:val="00B14901"/>
    <w:rsid w:val="00B6364C"/>
    <w:rsid w:val="00B66E96"/>
    <w:rsid w:val="00B9124A"/>
    <w:rsid w:val="00BE1A52"/>
    <w:rsid w:val="00C760AA"/>
    <w:rsid w:val="00CD353E"/>
    <w:rsid w:val="00DD44DA"/>
    <w:rsid w:val="00E37275"/>
    <w:rsid w:val="00F027E9"/>
    <w:rsid w:val="00F04BB5"/>
    <w:rsid w:val="00F13C75"/>
    <w:rsid w:val="00F62EA1"/>
    <w:rsid w:val="00F96F88"/>
    <w:rsid w:val="00FD7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D9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36667">
      <w:bodyDiv w:val="1"/>
      <w:marLeft w:val="0"/>
      <w:marRight w:val="0"/>
      <w:marTop w:val="0"/>
      <w:marBottom w:val="0"/>
      <w:divBdr>
        <w:top w:val="none" w:sz="0" w:space="0" w:color="auto"/>
        <w:left w:val="none" w:sz="0" w:space="0" w:color="auto"/>
        <w:bottom w:val="none" w:sz="0" w:space="0" w:color="auto"/>
        <w:right w:val="none" w:sz="0" w:space="0" w:color="auto"/>
      </w:divBdr>
    </w:div>
    <w:div w:id="762921230">
      <w:bodyDiv w:val="1"/>
      <w:marLeft w:val="0"/>
      <w:marRight w:val="0"/>
      <w:marTop w:val="0"/>
      <w:marBottom w:val="0"/>
      <w:divBdr>
        <w:top w:val="none" w:sz="0" w:space="0" w:color="auto"/>
        <w:left w:val="none" w:sz="0" w:space="0" w:color="auto"/>
        <w:bottom w:val="none" w:sz="0" w:space="0" w:color="auto"/>
        <w:right w:val="none" w:sz="0" w:space="0" w:color="auto"/>
      </w:divBdr>
    </w:div>
    <w:div w:id="1134785975">
      <w:bodyDiv w:val="1"/>
      <w:marLeft w:val="0"/>
      <w:marRight w:val="0"/>
      <w:marTop w:val="0"/>
      <w:marBottom w:val="0"/>
      <w:divBdr>
        <w:top w:val="none" w:sz="0" w:space="0" w:color="auto"/>
        <w:left w:val="none" w:sz="0" w:space="0" w:color="auto"/>
        <w:bottom w:val="none" w:sz="0" w:space="0" w:color="auto"/>
        <w:right w:val="none" w:sz="0" w:space="0" w:color="auto"/>
      </w:divBdr>
    </w:div>
    <w:div w:id="1184586186">
      <w:bodyDiv w:val="1"/>
      <w:marLeft w:val="0"/>
      <w:marRight w:val="0"/>
      <w:marTop w:val="0"/>
      <w:marBottom w:val="0"/>
      <w:divBdr>
        <w:top w:val="none" w:sz="0" w:space="0" w:color="auto"/>
        <w:left w:val="none" w:sz="0" w:space="0" w:color="auto"/>
        <w:bottom w:val="none" w:sz="0" w:space="0" w:color="auto"/>
        <w:right w:val="none" w:sz="0" w:space="0" w:color="auto"/>
      </w:divBdr>
    </w:div>
    <w:div w:id="2067529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3871</Words>
  <Characters>22065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ella.castillo@yahoo.com</dc:creator>
  <cp:lastModifiedBy>Dr. Ella</cp:lastModifiedBy>
  <cp:revision>3</cp:revision>
  <dcterms:created xsi:type="dcterms:W3CDTF">2023-10-04T23:12:00Z</dcterms:created>
  <dcterms:modified xsi:type="dcterms:W3CDTF">2023-10-04T23:29:00Z</dcterms:modified>
</cp:coreProperties>
</file>