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90BA2" w14:textId="77777777" w:rsidR="00667ED6" w:rsidRPr="006C35EA" w:rsidRDefault="00667ED6" w:rsidP="00667ED6">
      <w:pPr>
        <w:spacing w:after="0" w:line="240" w:lineRule="auto"/>
        <w:jc w:val="center"/>
        <w:rPr>
          <w:rFonts w:ascii="Times New Roman" w:hAnsi="Times New Roman" w:cs="Times New Roman"/>
          <w:b/>
          <w:bCs/>
          <w:sz w:val="52"/>
          <w:szCs w:val="52"/>
          <w:lang w:val="en-US"/>
        </w:rPr>
      </w:pPr>
      <w:r w:rsidRPr="006C35EA">
        <w:rPr>
          <w:rFonts w:ascii="Times New Roman" w:hAnsi="Times New Roman" w:cs="Times New Roman"/>
          <w:b/>
          <w:bCs/>
          <w:sz w:val="52"/>
          <w:szCs w:val="52"/>
          <w:lang w:val="en-US"/>
        </w:rPr>
        <w:t xml:space="preserve">Maintenance and service </w:t>
      </w:r>
    </w:p>
    <w:p w14:paraId="70E01101" w14:textId="77777777" w:rsidR="00667ED6" w:rsidRPr="006C35EA" w:rsidRDefault="00667ED6" w:rsidP="00667ED6">
      <w:pPr>
        <w:spacing w:after="0" w:line="240" w:lineRule="auto"/>
        <w:jc w:val="center"/>
        <w:rPr>
          <w:rFonts w:ascii="Times New Roman" w:hAnsi="Times New Roman" w:cs="Times New Roman"/>
          <w:b/>
          <w:bCs/>
          <w:sz w:val="52"/>
          <w:szCs w:val="52"/>
          <w:lang w:val="en-US"/>
        </w:rPr>
      </w:pPr>
      <w:r w:rsidRPr="006C35EA">
        <w:rPr>
          <w:rFonts w:ascii="Times New Roman" w:hAnsi="Times New Roman" w:cs="Times New Roman"/>
          <w:b/>
          <w:bCs/>
          <w:sz w:val="52"/>
          <w:szCs w:val="52"/>
          <w:lang w:val="en-US"/>
        </w:rPr>
        <w:t>system of medical devices</w:t>
      </w:r>
    </w:p>
    <w:p w14:paraId="5EF93452" w14:textId="77777777" w:rsidR="00667ED6" w:rsidRPr="006C35EA" w:rsidRDefault="00667ED6" w:rsidP="00667ED6">
      <w:pPr>
        <w:spacing w:after="0" w:line="240" w:lineRule="auto"/>
        <w:jc w:val="center"/>
        <w:rPr>
          <w:rFonts w:ascii="Times New Roman" w:hAnsi="Times New Roman" w:cs="Times New Roman"/>
          <w:b/>
          <w:bCs/>
          <w:sz w:val="52"/>
          <w:szCs w:val="52"/>
          <w:lang w:val="en-US"/>
        </w:rPr>
      </w:pPr>
    </w:p>
    <w:p w14:paraId="1959096E" w14:textId="6865FAEB" w:rsidR="00667ED6" w:rsidRPr="006C35EA" w:rsidRDefault="00667ED6" w:rsidP="00667ED6">
      <w:pPr>
        <w:spacing w:after="0" w:line="240" w:lineRule="auto"/>
        <w:jc w:val="center"/>
        <w:rPr>
          <w:rFonts w:ascii="Times New Roman" w:hAnsi="Times New Roman" w:cs="Times New Roman"/>
          <w:sz w:val="40"/>
          <w:szCs w:val="40"/>
          <w:lang w:val="en-US"/>
        </w:rPr>
      </w:pPr>
      <w:r w:rsidRPr="006C35EA">
        <w:rPr>
          <w:rFonts w:ascii="Times New Roman" w:hAnsi="Times New Roman" w:cs="Times New Roman"/>
          <w:sz w:val="40"/>
          <w:szCs w:val="40"/>
          <w:lang w:val="en-US"/>
        </w:rPr>
        <w:t>Week 1</w:t>
      </w:r>
      <w:r w:rsidR="00780180" w:rsidRPr="006C35EA">
        <w:rPr>
          <w:rFonts w:ascii="Times New Roman" w:hAnsi="Times New Roman" w:cs="Times New Roman"/>
          <w:sz w:val="40"/>
          <w:szCs w:val="40"/>
          <w:lang w:val="en-US"/>
        </w:rPr>
        <w:t>2</w:t>
      </w:r>
      <w:r w:rsidRPr="006C35EA">
        <w:rPr>
          <w:rFonts w:ascii="Times New Roman" w:hAnsi="Times New Roman" w:cs="Times New Roman"/>
          <w:sz w:val="40"/>
          <w:szCs w:val="40"/>
          <w:lang w:val="en-US"/>
        </w:rPr>
        <w:t xml:space="preserve">. </w:t>
      </w:r>
      <w:r w:rsidR="00780180" w:rsidRPr="006C35EA">
        <w:rPr>
          <w:rFonts w:ascii="Times New Roman" w:hAnsi="Times New Roman" w:cs="Times New Roman"/>
          <w:sz w:val="40"/>
          <w:szCs w:val="40"/>
          <w:lang w:val="en-US"/>
        </w:rPr>
        <w:t>To the basic technical parameters of electronic medical equipment standard requirements</w:t>
      </w:r>
    </w:p>
    <w:p w14:paraId="07CB7A0F"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241654A9"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r w:rsidRPr="006C35EA">
        <w:rPr>
          <w:rFonts w:ascii="Times New Roman" w:hAnsi="Times New Roman" w:cs="Times New Roman"/>
          <w:b/>
          <w:bCs/>
          <w:sz w:val="40"/>
          <w:szCs w:val="40"/>
          <w:lang w:val="en-US"/>
        </w:rPr>
        <w:t>Lecturer: Otabek Shavkatov</w:t>
      </w:r>
    </w:p>
    <w:p w14:paraId="07BAAE9D"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1FC980FF"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r w:rsidRPr="006C35EA">
        <w:rPr>
          <w:rFonts w:ascii="Times New Roman" w:hAnsi="Times New Roman" w:cs="Times New Roman"/>
          <w:b/>
          <w:bCs/>
          <w:sz w:val="40"/>
          <w:szCs w:val="40"/>
          <w:lang w:val="en-US"/>
        </w:rPr>
        <w:t>Department of Metrology, Standardization and Quality Management</w:t>
      </w:r>
    </w:p>
    <w:p w14:paraId="106686D0"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484E9AAD" w14:textId="77777777" w:rsidR="00667ED6" w:rsidRPr="006C35EA" w:rsidRDefault="00667ED6" w:rsidP="00667ED6">
      <w:pPr>
        <w:spacing w:after="0" w:line="240" w:lineRule="auto"/>
        <w:jc w:val="center"/>
        <w:rPr>
          <w:rFonts w:ascii="Times New Roman" w:hAnsi="Times New Roman" w:cs="Times New Roman"/>
          <w:b/>
          <w:bCs/>
          <w:sz w:val="36"/>
          <w:szCs w:val="36"/>
          <w:lang w:val="en-US"/>
        </w:rPr>
      </w:pPr>
      <w:r w:rsidRPr="006C35EA">
        <w:rPr>
          <w:rFonts w:ascii="Times New Roman" w:hAnsi="Times New Roman" w:cs="Times New Roman"/>
          <w:b/>
          <w:bCs/>
          <w:sz w:val="36"/>
          <w:szCs w:val="36"/>
          <w:lang w:val="en-US"/>
        </w:rPr>
        <w:t xml:space="preserve">Email: </w:t>
      </w:r>
      <w:hyperlink r:id="rId5" w:history="1">
        <w:r w:rsidRPr="006C35EA">
          <w:rPr>
            <w:rStyle w:val="a4"/>
            <w:rFonts w:ascii="Times New Roman" w:hAnsi="Times New Roman" w:cs="Times New Roman"/>
            <w:b/>
            <w:bCs/>
            <w:sz w:val="36"/>
            <w:szCs w:val="36"/>
            <w:lang w:val="en-US"/>
          </w:rPr>
          <w:t>okshavkatov@</w:t>
        </w:r>
      </w:hyperlink>
      <w:hyperlink r:id="rId6" w:history="1">
        <w:r w:rsidRPr="006C35EA">
          <w:rPr>
            <w:rStyle w:val="a4"/>
            <w:rFonts w:ascii="Times New Roman" w:hAnsi="Times New Roman" w:cs="Times New Roman"/>
            <w:b/>
            <w:bCs/>
            <w:sz w:val="36"/>
            <w:szCs w:val="36"/>
            <w:lang w:val="en-US"/>
          </w:rPr>
          <w:t>gmail.</w:t>
        </w:r>
      </w:hyperlink>
      <w:hyperlink r:id="rId7" w:history="1">
        <w:r w:rsidRPr="006C35EA">
          <w:rPr>
            <w:rStyle w:val="a4"/>
            <w:rFonts w:ascii="Times New Roman" w:hAnsi="Times New Roman" w:cs="Times New Roman"/>
            <w:b/>
            <w:bCs/>
            <w:sz w:val="36"/>
            <w:szCs w:val="36"/>
            <w:lang w:val="en-US"/>
          </w:rPr>
          <w:t>com</w:t>
        </w:r>
      </w:hyperlink>
      <w:r w:rsidRPr="006C35EA">
        <w:rPr>
          <w:rFonts w:ascii="Times New Roman" w:hAnsi="Times New Roman" w:cs="Times New Roman"/>
          <w:b/>
          <w:bCs/>
          <w:sz w:val="36"/>
          <w:szCs w:val="36"/>
          <w:lang w:val="en-US"/>
        </w:rPr>
        <w:t xml:space="preserve">  </w:t>
      </w:r>
    </w:p>
    <w:p w14:paraId="0A90B2C5" w14:textId="77777777" w:rsidR="00667ED6" w:rsidRPr="006C35EA" w:rsidRDefault="00667ED6" w:rsidP="00667ED6">
      <w:pPr>
        <w:spacing w:after="0" w:line="240" w:lineRule="auto"/>
        <w:jc w:val="center"/>
        <w:rPr>
          <w:rFonts w:ascii="Times New Roman" w:hAnsi="Times New Roman" w:cs="Times New Roman"/>
          <w:bCs/>
          <w:sz w:val="32"/>
          <w:szCs w:val="32"/>
          <w:lang w:val="en-US"/>
        </w:rPr>
      </w:pPr>
      <w:r w:rsidRPr="006C35EA">
        <w:rPr>
          <w:rFonts w:ascii="Times New Roman" w:hAnsi="Times New Roman" w:cs="Times New Roman"/>
          <w:bCs/>
          <w:sz w:val="32"/>
          <w:szCs w:val="32"/>
          <w:lang w:val="en-US"/>
        </w:rPr>
        <w:t xml:space="preserve"> </w:t>
      </w:r>
    </w:p>
    <w:p w14:paraId="6C26F3D3" w14:textId="77777777" w:rsidR="00667ED6" w:rsidRPr="006C35EA" w:rsidRDefault="00667ED6" w:rsidP="00667ED6">
      <w:pPr>
        <w:spacing w:after="0" w:line="360" w:lineRule="auto"/>
        <w:jc w:val="both"/>
        <w:rPr>
          <w:rFonts w:ascii="Times New Roman" w:hAnsi="Times New Roman" w:cs="Times New Roman"/>
          <w:b/>
          <w:sz w:val="28"/>
          <w:szCs w:val="28"/>
          <w:lang w:val="en-US"/>
        </w:rPr>
      </w:pPr>
    </w:p>
    <w:p w14:paraId="2D64D1B3" w14:textId="77777777" w:rsidR="00667ED6" w:rsidRPr="006C35EA" w:rsidRDefault="00667ED6" w:rsidP="00667ED6">
      <w:pPr>
        <w:spacing w:after="0" w:line="360" w:lineRule="auto"/>
        <w:jc w:val="center"/>
        <w:rPr>
          <w:rFonts w:ascii="Times New Roman" w:hAnsi="Times New Roman" w:cs="Times New Roman"/>
          <w:b/>
          <w:bCs/>
          <w:sz w:val="40"/>
          <w:szCs w:val="40"/>
          <w:lang w:val="en-US"/>
        </w:rPr>
      </w:pPr>
    </w:p>
    <w:p w14:paraId="0FCD972C" w14:textId="77777777" w:rsidR="00667ED6" w:rsidRPr="006C35EA" w:rsidRDefault="00667ED6" w:rsidP="00667ED6">
      <w:pPr>
        <w:spacing w:after="0" w:line="360" w:lineRule="auto"/>
        <w:jc w:val="center"/>
        <w:rPr>
          <w:rFonts w:ascii="Times New Roman" w:hAnsi="Times New Roman" w:cs="Times New Roman"/>
          <w:b/>
          <w:bCs/>
          <w:sz w:val="40"/>
          <w:szCs w:val="40"/>
          <w:lang w:val="en-US"/>
        </w:rPr>
      </w:pPr>
    </w:p>
    <w:p w14:paraId="5D2D2FF9" w14:textId="77777777" w:rsidR="00667ED6" w:rsidRPr="006C35EA" w:rsidRDefault="00667ED6" w:rsidP="00667ED6">
      <w:pPr>
        <w:spacing w:after="0" w:line="240" w:lineRule="auto"/>
        <w:jc w:val="center"/>
        <w:rPr>
          <w:rFonts w:ascii="Times New Roman" w:hAnsi="Times New Roman" w:cs="Times New Roman"/>
          <w:b/>
          <w:bCs/>
          <w:sz w:val="48"/>
          <w:szCs w:val="48"/>
          <w:lang w:val="en-US"/>
        </w:rPr>
      </w:pPr>
      <w:r w:rsidRPr="006C35EA">
        <w:rPr>
          <w:rFonts w:ascii="Times New Roman" w:hAnsi="Times New Roman" w:cs="Times New Roman"/>
          <w:b/>
          <w:bCs/>
          <w:sz w:val="48"/>
          <w:szCs w:val="48"/>
          <w:lang w:val="en-US"/>
        </w:rPr>
        <w:t xml:space="preserve">Tibbiyot uskunalariga texnik xizmat </w:t>
      </w:r>
      <w:proofErr w:type="gramStart"/>
      <w:r w:rsidRPr="006C35EA">
        <w:rPr>
          <w:rFonts w:ascii="Times New Roman" w:hAnsi="Times New Roman" w:cs="Times New Roman"/>
          <w:b/>
          <w:bCs/>
          <w:sz w:val="48"/>
          <w:szCs w:val="48"/>
          <w:lang w:val="en-US"/>
        </w:rPr>
        <w:t>ko‘</w:t>
      </w:r>
      <w:proofErr w:type="gramEnd"/>
      <w:r w:rsidRPr="006C35EA">
        <w:rPr>
          <w:rFonts w:ascii="Times New Roman" w:hAnsi="Times New Roman" w:cs="Times New Roman"/>
          <w:b/>
          <w:bCs/>
          <w:sz w:val="48"/>
          <w:szCs w:val="48"/>
          <w:lang w:val="en-US"/>
        </w:rPr>
        <w:t>rsatish</w:t>
      </w:r>
    </w:p>
    <w:p w14:paraId="29965E1E"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08A565A4" w14:textId="1C269FA0" w:rsidR="00667ED6" w:rsidRPr="006C35EA" w:rsidRDefault="00780180" w:rsidP="00667ED6">
      <w:pPr>
        <w:spacing w:after="0" w:line="240" w:lineRule="auto"/>
        <w:jc w:val="center"/>
        <w:rPr>
          <w:rFonts w:ascii="Times New Roman" w:hAnsi="Times New Roman" w:cs="Times New Roman"/>
          <w:bCs/>
          <w:sz w:val="40"/>
          <w:szCs w:val="40"/>
          <w:lang w:val="en-US"/>
        </w:rPr>
      </w:pPr>
      <w:r w:rsidRPr="006C35EA">
        <w:rPr>
          <w:rFonts w:ascii="Times New Roman" w:hAnsi="Times New Roman" w:cs="Times New Roman"/>
          <w:sz w:val="40"/>
          <w:szCs w:val="40"/>
          <w:lang w:val="en-US"/>
        </w:rPr>
        <w:t>12</w:t>
      </w:r>
      <w:r w:rsidR="00667ED6" w:rsidRPr="006C35EA">
        <w:rPr>
          <w:rFonts w:ascii="Times New Roman" w:hAnsi="Times New Roman" w:cs="Times New Roman"/>
          <w:sz w:val="40"/>
          <w:szCs w:val="40"/>
          <w:lang w:val="en-US"/>
        </w:rPr>
        <w:t>-Mavzu.</w:t>
      </w:r>
      <w:r w:rsidR="00667ED6" w:rsidRPr="006C35EA">
        <w:rPr>
          <w:rFonts w:ascii="Times New Roman" w:hAnsi="Times New Roman" w:cs="Times New Roman"/>
          <w:bCs/>
          <w:sz w:val="40"/>
          <w:szCs w:val="40"/>
          <w:lang w:val="en-US"/>
        </w:rPr>
        <w:t xml:space="preserve"> </w:t>
      </w:r>
      <w:r w:rsidRPr="006C35EA">
        <w:rPr>
          <w:rFonts w:ascii="Times New Roman" w:hAnsi="Times New Roman" w:cs="Times New Roman"/>
          <w:bCs/>
          <w:sz w:val="40"/>
          <w:szCs w:val="28"/>
          <w:lang w:val="en-US"/>
        </w:rPr>
        <w:t>Elektron tibbiyot te</w:t>
      </w:r>
      <w:r w:rsidRPr="006C35EA">
        <w:rPr>
          <w:rFonts w:ascii="Times New Roman" w:hAnsi="Times New Roman" w:cs="Times New Roman"/>
          <w:bCs/>
          <w:sz w:val="40"/>
          <w:szCs w:val="28"/>
        </w:rPr>
        <w:t>х</w:t>
      </w:r>
      <w:r w:rsidRPr="006C35EA">
        <w:rPr>
          <w:rFonts w:ascii="Times New Roman" w:hAnsi="Times New Roman" w:cs="Times New Roman"/>
          <w:bCs/>
          <w:sz w:val="40"/>
          <w:szCs w:val="28"/>
          <w:lang w:val="en-US"/>
        </w:rPr>
        <w:t>nikalarining asosiy te</w:t>
      </w:r>
      <w:r w:rsidRPr="006C35EA">
        <w:rPr>
          <w:rFonts w:ascii="Times New Roman" w:hAnsi="Times New Roman" w:cs="Times New Roman"/>
          <w:bCs/>
          <w:sz w:val="40"/>
          <w:szCs w:val="28"/>
        </w:rPr>
        <w:t>х</w:t>
      </w:r>
      <w:r w:rsidRPr="006C35EA">
        <w:rPr>
          <w:rFonts w:ascii="Times New Roman" w:hAnsi="Times New Roman" w:cs="Times New Roman"/>
          <w:bCs/>
          <w:sz w:val="40"/>
          <w:szCs w:val="28"/>
          <w:lang w:val="en-US"/>
        </w:rPr>
        <w:t>nik parametrlariga standart talablari</w:t>
      </w:r>
    </w:p>
    <w:p w14:paraId="4C38F5A8" w14:textId="77777777" w:rsidR="00667ED6" w:rsidRPr="006C35EA" w:rsidRDefault="00667ED6" w:rsidP="00667ED6">
      <w:pPr>
        <w:spacing w:after="0" w:line="240" w:lineRule="auto"/>
        <w:jc w:val="center"/>
        <w:rPr>
          <w:rFonts w:ascii="Times New Roman" w:hAnsi="Times New Roman" w:cs="Times New Roman"/>
          <w:sz w:val="40"/>
          <w:szCs w:val="40"/>
          <w:lang w:val="en-US"/>
        </w:rPr>
      </w:pPr>
    </w:p>
    <w:p w14:paraId="403506E6"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r w:rsidRPr="006C35EA">
        <w:rPr>
          <w:rFonts w:ascii="Times New Roman" w:hAnsi="Times New Roman" w:cs="Times New Roman"/>
          <w:b/>
          <w:bCs/>
          <w:sz w:val="40"/>
          <w:szCs w:val="40"/>
          <w:lang w:val="en-US"/>
        </w:rPr>
        <w:t>Ma’ruzachi: Otabek Shavkatov</w:t>
      </w:r>
    </w:p>
    <w:p w14:paraId="4D56695D"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0714FD64"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r w:rsidRPr="006C35EA">
        <w:rPr>
          <w:rFonts w:ascii="Times New Roman" w:hAnsi="Times New Roman" w:cs="Times New Roman"/>
          <w:b/>
          <w:bCs/>
          <w:sz w:val="40"/>
          <w:szCs w:val="40"/>
          <w:lang w:val="en-US"/>
        </w:rPr>
        <w:t>Metrologiya, standartlashtirish va maxsulot sifati menejmenti kafedrasi</w:t>
      </w:r>
    </w:p>
    <w:p w14:paraId="4B498852" w14:textId="77777777" w:rsidR="00667ED6" w:rsidRPr="006C35EA" w:rsidRDefault="00667ED6" w:rsidP="00667ED6">
      <w:pPr>
        <w:spacing w:after="0" w:line="240" w:lineRule="auto"/>
        <w:jc w:val="center"/>
        <w:rPr>
          <w:rFonts w:ascii="Times New Roman" w:hAnsi="Times New Roman" w:cs="Times New Roman"/>
          <w:b/>
          <w:bCs/>
          <w:sz w:val="40"/>
          <w:szCs w:val="40"/>
          <w:lang w:val="en-US"/>
        </w:rPr>
      </w:pPr>
    </w:p>
    <w:p w14:paraId="5EFF84F5" w14:textId="77777777" w:rsidR="00667ED6" w:rsidRPr="006C35EA" w:rsidRDefault="00667ED6" w:rsidP="00667ED6">
      <w:pPr>
        <w:spacing w:after="0" w:line="240" w:lineRule="auto"/>
        <w:jc w:val="center"/>
        <w:rPr>
          <w:rFonts w:ascii="Times New Roman" w:hAnsi="Times New Roman" w:cs="Times New Roman"/>
          <w:bCs/>
          <w:sz w:val="28"/>
          <w:szCs w:val="28"/>
          <w:lang w:val="en-US"/>
        </w:rPr>
      </w:pPr>
      <w:r w:rsidRPr="006C35EA">
        <w:rPr>
          <w:rFonts w:ascii="Times New Roman" w:hAnsi="Times New Roman" w:cs="Times New Roman"/>
          <w:b/>
          <w:bCs/>
          <w:sz w:val="36"/>
          <w:szCs w:val="36"/>
          <w:lang w:val="en-US"/>
        </w:rPr>
        <w:t xml:space="preserve">Elektron pochta: </w:t>
      </w:r>
      <w:hyperlink r:id="rId8" w:history="1">
        <w:r w:rsidRPr="006C35EA">
          <w:rPr>
            <w:rStyle w:val="a4"/>
            <w:rFonts w:ascii="Times New Roman" w:hAnsi="Times New Roman" w:cs="Times New Roman"/>
            <w:b/>
            <w:bCs/>
            <w:sz w:val="36"/>
            <w:szCs w:val="36"/>
            <w:lang w:val="en-US"/>
          </w:rPr>
          <w:t>okshavkatov@</w:t>
        </w:r>
      </w:hyperlink>
      <w:hyperlink r:id="rId9" w:history="1">
        <w:r w:rsidRPr="006C35EA">
          <w:rPr>
            <w:rStyle w:val="a4"/>
            <w:rFonts w:ascii="Times New Roman" w:hAnsi="Times New Roman" w:cs="Times New Roman"/>
            <w:b/>
            <w:bCs/>
            <w:sz w:val="36"/>
            <w:szCs w:val="36"/>
            <w:lang w:val="en-US"/>
          </w:rPr>
          <w:t>gmail.</w:t>
        </w:r>
      </w:hyperlink>
      <w:hyperlink r:id="rId10" w:history="1">
        <w:r w:rsidRPr="006C35EA">
          <w:rPr>
            <w:rStyle w:val="a4"/>
            <w:rFonts w:ascii="Times New Roman" w:hAnsi="Times New Roman" w:cs="Times New Roman"/>
            <w:b/>
            <w:bCs/>
            <w:sz w:val="36"/>
            <w:szCs w:val="36"/>
            <w:lang w:val="en-US"/>
          </w:rPr>
          <w:t>com</w:t>
        </w:r>
      </w:hyperlink>
    </w:p>
    <w:p w14:paraId="3B8FE65F" w14:textId="10ACC037" w:rsidR="00667ED6" w:rsidRPr="006C35EA" w:rsidRDefault="00667ED6" w:rsidP="00B87E92">
      <w:pPr>
        <w:spacing w:after="0"/>
        <w:jc w:val="center"/>
        <w:rPr>
          <w:rFonts w:ascii="Times New Roman" w:hAnsi="Times New Roman" w:cs="Times New Roman"/>
          <w:b/>
          <w:sz w:val="28"/>
          <w:szCs w:val="28"/>
          <w:lang w:val="en-US"/>
        </w:rPr>
      </w:pPr>
    </w:p>
    <w:p w14:paraId="4E56BEF1" w14:textId="70E80FE5" w:rsidR="00667ED6" w:rsidRPr="006C35EA" w:rsidRDefault="00667ED6" w:rsidP="00B87E92">
      <w:pPr>
        <w:spacing w:after="0"/>
        <w:jc w:val="center"/>
        <w:rPr>
          <w:rFonts w:ascii="Times New Roman" w:hAnsi="Times New Roman" w:cs="Times New Roman"/>
          <w:b/>
          <w:sz w:val="28"/>
          <w:szCs w:val="28"/>
          <w:lang w:val="en-US"/>
        </w:rPr>
      </w:pPr>
    </w:p>
    <w:p w14:paraId="181DE79B" w14:textId="58568902" w:rsidR="00667ED6" w:rsidRPr="006C35EA" w:rsidRDefault="00832D76" w:rsidP="00B87E92">
      <w:pPr>
        <w:spacing w:after="0"/>
        <w:jc w:val="center"/>
        <w:rPr>
          <w:rFonts w:ascii="Times New Roman" w:hAnsi="Times New Roman" w:cs="Times New Roman"/>
          <w:b/>
          <w:sz w:val="32"/>
          <w:szCs w:val="28"/>
          <w:lang w:val="en-US"/>
        </w:rPr>
      </w:pPr>
      <w:r w:rsidRPr="006C35EA">
        <w:rPr>
          <w:rFonts w:ascii="Times New Roman" w:hAnsi="Times New Roman" w:cs="Times New Roman"/>
          <w:b/>
          <w:sz w:val="32"/>
          <w:szCs w:val="28"/>
          <w:lang w:val="en-US"/>
        </w:rPr>
        <w:lastRenderedPageBreak/>
        <w:t>Elektron tibbiyot teхnikalarining asosiy teхnik parametrlariga standart talablari</w:t>
      </w:r>
    </w:p>
    <w:p w14:paraId="2C2B7D80" w14:textId="62ED9935" w:rsidR="00667ED6" w:rsidRPr="006C35EA" w:rsidRDefault="00667ED6" w:rsidP="00B87E92">
      <w:pPr>
        <w:spacing w:after="0"/>
        <w:jc w:val="center"/>
        <w:rPr>
          <w:rFonts w:ascii="Times New Roman" w:hAnsi="Times New Roman" w:cs="Times New Roman"/>
          <w:bCs/>
          <w:sz w:val="32"/>
          <w:szCs w:val="28"/>
          <w:lang w:val="en-US"/>
        </w:rPr>
      </w:pPr>
      <w:r w:rsidRPr="006C35EA">
        <w:rPr>
          <w:rFonts w:ascii="Times New Roman" w:hAnsi="Times New Roman" w:cs="Times New Roman"/>
          <w:bCs/>
          <w:sz w:val="32"/>
          <w:szCs w:val="28"/>
          <w:lang w:val="en-US"/>
        </w:rPr>
        <w:t>Reja:</w:t>
      </w:r>
    </w:p>
    <w:p w14:paraId="501B8350" w14:textId="77777777" w:rsidR="00667ED6" w:rsidRPr="006C35EA" w:rsidRDefault="00667ED6" w:rsidP="00B87E92">
      <w:pPr>
        <w:spacing w:after="0"/>
        <w:jc w:val="center"/>
        <w:rPr>
          <w:rFonts w:ascii="Times New Roman" w:hAnsi="Times New Roman" w:cs="Times New Roman"/>
          <w:bCs/>
          <w:sz w:val="28"/>
          <w:szCs w:val="28"/>
          <w:lang w:val="en-US"/>
        </w:rPr>
      </w:pPr>
    </w:p>
    <w:p w14:paraId="779E2283" w14:textId="055C4434" w:rsidR="0086236B"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Standart haqida tushunchalar va uni tibbiyotda tutgan o’rni</w:t>
      </w:r>
      <w:r w:rsidR="0086236B" w:rsidRPr="006C35EA">
        <w:rPr>
          <w:rFonts w:ascii="Times New Roman" w:hAnsi="Times New Roman" w:cs="Times New Roman"/>
          <w:b/>
          <w:sz w:val="28"/>
          <w:szCs w:val="28"/>
          <w:lang w:val="en-US"/>
        </w:rPr>
        <w:t>.</w:t>
      </w:r>
    </w:p>
    <w:p w14:paraId="654F21C7" w14:textId="2D98B661" w:rsidR="00667ED6"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 xml:space="preserve">Metrologiya </w:t>
      </w:r>
      <w:proofErr w:type="gramStart"/>
      <w:r w:rsidRPr="006C35EA">
        <w:rPr>
          <w:rFonts w:ascii="Times New Roman" w:hAnsi="Times New Roman" w:cs="Times New Roman"/>
          <w:b/>
          <w:sz w:val="28"/>
          <w:szCs w:val="28"/>
          <w:lang w:val="en-US"/>
        </w:rPr>
        <w:t>bo‘</w:t>
      </w:r>
      <w:proofErr w:type="gramEnd"/>
      <w:r w:rsidRPr="006C35EA">
        <w:rPr>
          <w:rFonts w:ascii="Times New Roman" w:hAnsi="Times New Roman" w:cs="Times New Roman"/>
          <w:b/>
          <w:sz w:val="28"/>
          <w:szCs w:val="28"/>
          <w:lang w:val="en-US"/>
        </w:rPr>
        <w:t>yicha asosiy atama va tushunchalar</w:t>
      </w:r>
      <w:r w:rsidR="00667ED6" w:rsidRPr="006C35EA">
        <w:rPr>
          <w:rFonts w:ascii="Times New Roman" w:hAnsi="Times New Roman" w:cs="Times New Roman"/>
          <w:b/>
          <w:sz w:val="28"/>
          <w:szCs w:val="28"/>
          <w:lang w:val="en-US"/>
        </w:rPr>
        <w:t>.</w:t>
      </w:r>
    </w:p>
    <w:p w14:paraId="499C6DA7" w14:textId="7038FBAC" w:rsidR="00667ED6"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Elektron tibbiyot teхnikalarini metrologik tekshirishdan o’tkazish tartiblari</w:t>
      </w:r>
      <w:r w:rsidR="00667ED6" w:rsidRPr="006C35EA">
        <w:rPr>
          <w:rFonts w:ascii="Times New Roman" w:hAnsi="Times New Roman" w:cs="Times New Roman"/>
          <w:b/>
          <w:sz w:val="28"/>
          <w:szCs w:val="28"/>
          <w:lang w:val="en-US"/>
        </w:rPr>
        <w:t>.</w:t>
      </w:r>
    </w:p>
    <w:p w14:paraId="5A8602F0" w14:textId="4A42E57F" w:rsidR="00667ED6"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Laboratoriya xonalarida ishni tashkil etishning umumiy qoidalari</w:t>
      </w:r>
      <w:r w:rsidR="00667ED6" w:rsidRPr="006C35EA">
        <w:rPr>
          <w:rFonts w:ascii="Times New Roman" w:hAnsi="Times New Roman" w:cs="Times New Roman"/>
          <w:b/>
          <w:sz w:val="28"/>
          <w:szCs w:val="28"/>
          <w:lang w:val="en-US"/>
        </w:rPr>
        <w:t>.</w:t>
      </w:r>
    </w:p>
    <w:p w14:paraId="74E1D9B2" w14:textId="39B49103" w:rsidR="00667ED6"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Metrologik tajribalar o’tkazish uchun laboratoriya ishlarini bajarishga tayyorgarlik ko’rish.</w:t>
      </w:r>
    </w:p>
    <w:p w14:paraId="0260767F" w14:textId="4C46D693" w:rsidR="00667ED6"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Laboratoriya tekshiruvini amalga oshirish yuzasidan hisobot tuzish</w:t>
      </w:r>
      <w:r w:rsidR="00667ED6" w:rsidRPr="006C35EA">
        <w:rPr>
          <w:rFonts w:ascii="Times New Roman" w:hAnsi="Times New Roman" w:cs="Times New Roman"/>
          <w:b/>
          <w:sz w:val="28"/>
          <w:szCs w:val="28"/>
          <w:lang w:val="en-US"/>
        </w:rPr>
        <w:t>.</w:t>
      </w:r>
    </w:p>
    <w:p w14:paraId="54A2B485" w14:textId="0B14EB17" w:rsidR="00AE3FF9"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Texnika xavfsizligi bo’yicha tavsiyalar.</w:t>
      </w:r>
    </w:p>
    <w:p w14:paraId="3C8B9338" w14:textId="259232DD" w:rsidR="00AE3FF9" w:rsidRPr="006C35EA" w:rsidRDefault="00AE3FF9" w:rsidP="00AE3FF9">
      <w:pPr>
        <w:pStyle w:val="a3"/>
        <w:numPr>
          <w:ilvl w:val="0"/>
          <w:numId w:val="7"/>
        </w:numPr>
        <w:spacing w:after="0"/>
        <w:rPr>
          <w:rFonts w:ascii="Times New Roman" w:hAnsi="Times New Roman" w:cs="Times New Roman"/>
          <w:b/>
          <w:sz w:val="28"/>
          <w:szCs w:val="28"/>
          <w:lang w:val="en-US"/>
        </w:rPr>
      </w:pPr>
      <w:r w:rsidRPr="006C35EA">
        <w:rPr>
          <w:rFonts w:ascii="Times New Roman" w:hAnsi="Times New Roman" w:cs="Times New Roman"/>
          <w:b/>
          <w:sz w:val="28"/>
          <w:szCs w:val="28"/>
          <w:lang w:val="en-US"/>
        </w:rPr>
        <w:t xml:space="preserve">Ta’mirlash va texnik xizmat </w:t>
      </w:r>
      <w:proofErr w:type="gramStart"/>
      <w:r w:rsidRPr="006C35EA">
        <w:rPr>
          <w:rFonts w:ascii="Times New Roman" w:hAnsi="Times New Roman" w:cs="Times New Roman"/>
          <w:b/>
          <w:sz w:val="28"/>
          <w:szCs w:val="28"/>
          <w:lang w:val="en-US"/>
        </w:rPr>
        <w:t>ko‘</w:t>
      </w:r>
      <w:proofErr w:type="gramEnd"/>
      <w:r w:rsidRPr="006C35EA">
        <w:rPr>
          <w:rFonts w:ascii="Times New Roman" w:hAnsi="Times New Roman" w:cs="Times New Roman"/>
          <w:b/>
          <w:sz w:val="28"/>
          <w:szCs w:val="28"/>
          <w:lang w:val="en-US"/>
        </w:rPr>
        <w:t>rsatish ishlarini amalga oshirishda xavfsizlikning umumiy talablari</w:t>
      </w:r>
    </w:p>
    <w:p w14:paraId="74B60041" w14:textId="6B144D3D" w:rsidR="00DB428C" w:rsidRPr="006C35EA" w:rsidRDefault="00DB428C" w:rsidP="00DB428C">
      <w:pPr>
        <w:spacing w:after="0"/>
        <w:rPr>
          <w:rFonts w:ascii="Times New Roman" w:hAnsi="Times New Roman" w:cs="Times New Roman"/>
          <w:b/>
          <w:sz w:val="28"/>
          <w:szCs w:val="28"/>
          <w:lang w:val="en-US"/>
        </w:rPr>
      </w:pPr>
    </w:p>
    <w:p w14:paraId="5BFA49EB" w14:textId="77777777" w:rsidR="006C35EA" w:rsidRPr="006C35EA" w:rsidRDefault="006C35EA" w:rsidP="006C35EA">
      <w:pPr>
        <w:autoSpaceDE w:val="0"/>
        <w:autoSpaceDN w:val="0"/>
        <w:adjustRightInd w:val="0"/>
        <w:spacing w:after="0"/>
        <w:jc w:val="center"/>
        <w:rPr>
          <w:rFonts w:ascii="Times New Roman" w:eastAsia="Calibri" w:hAnsi="Times New Roman" w:cs="Times New Roman"/>
          <w:b/>
          <w:color w:val="000000"/>
          <w:sz w:val="28"/>
          <w:szCs w:val="28"/>
          <w:lang w:val="en-US"/>
        </w:rPr>
      </w:pPr>
      <w:r w:rsidRPr="006C35EA">
        <w:rPr>
          <w:rFonts w:ascii="Times New Roman" w:eastAsia="Calibri" w:hAnsi="Times New Roman" w:cs="Times New Roman"/>
          <w:b/>
          <w:color w:val="000000"/>
          <w:sz w:val="28"/>
          <w:szCs w:val="28"/>
          <w:lang w:val="en-US"/>
        </w:rPr>
        <w:t xml:space="preserve">Standart haqida tushunchalar va uni tibbiyotda tutgan o’rni </w:t>
      </w:r>
    </w:p>
    <w:p w14:paraId="2BF2A652" w14:textId="77777777" w:rsidR="006C35EA" w:rsidRPr="006C35EA" w:rsidRDefault="006C35EA" w:rsidP="006C35EA">
      <w:pPr>
        <w:autoSpaceDE w:val="0"/>
        <w:autoSpaceDN w:val="0"/>
        <w:adjustRightInd w:val="0"/>
        <w:spacing w:after="0"/>
        <w:jc w:val="center"/>
        <w:rPr>
          <w:rFonts w:ascii="Times New Roman" w:eastAsia="Calibri" w:hAnsi="Times New Roman" w:cs="Times New Roman"/>
          <w:b/>
          <w:color w:val="000000"/>
          <w:sz w:val="28"/>
          <w:szCs w:val="28"/>
          <w:lang w:val="en-US"/>
        </w:rPr>
      </w:pPr>
    </w:p>
    <w:p w14:paraId="16E36B7D"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Standart (inglizcha: standard) — standartlashtirish ob’ektiga normalar, qoidalar, talablarni belgilaydigan normativ-texnik hujjat. </w:t>
      </w:r>
    </w:p>
    <w:p w14:paraId="2D9F49C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Texnik mazmunga ega boʻlmagan huquqiy normalarni oʻz ichiga olishi mumkin, lekin sanksiyalarni oʻz ichiga olmaydi. </w:t>
      </w:r>
    </w:p>
    <w:p w14:paraId="52DDB640" w14:textId="2C0854A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Standart turlaridan biri: spetsifikatsiyala</w:t>
      </w:r>
      <w:r w:rsidR="000726D6">
        <w:rPr>
          <w:rFonts w:ascii="Times New Roman" w:eastAsia="Calibri" w:hAnsi="Times New Roman" w:cs="Times New Roman"/>
          <w:color w:val="000000"/>
          <w:sz w:val="28"/>
          <w:szCs w:val="28"/>
          <w:lang w:val="en-US"/>
        </w:rPr>
        <w:t>sh</w:t>
      </w:r>
      <w:r w:rsidRPr="006C35EA">
        <w:rPr>
          <w:rFonts w:ascii="Times New Roman" w:eastAsia="Calibri" w:hAnsi="Times New Roman" w:cs="Times New Roman"/>
          <w:color w:val="000000"/>
          <w:sz w:val="28"/>
          <w:szCs w:val="28"/>
          <w:lang w:val="en-US"/>
        </w:rPr>
        <w:t xml:space="preserve"> bo’lib, — bu faqat texnik talablarni oʻz ichiga oladi. </w:t>
      </w:r>
    </w:p>
    <w:p w14:paraId="1EA58B1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b/>
          <w:i/>
          <w:color w:val="000000"/>
          <w:sz w:val="28"/>
          <w:szCs w:val="28"/>
          <w:lang w:val="en-US"/>
        </w:rPr>
      </w:pPr>
      <w:r w:rsidRPr="006C35EA">
        <w:rPr>
          <w:rFonts w:ascii="Times New Roman" w:eastAsia="Calibri" w:hAnsi="Times New Roman" w:cs="Times New Roman"/>
          <w:b/>
          <w:i/>
          <w:color w:val="000000"/>
          <w:sz w:val="28"/>
          <w:szCs w:val="28"/>
          <w:lang w:val="en-US"/>
        </w:rPr>
        <w:t>Standartlar toifalari</w:t>
      </w:r>
    </w:p>
    <w:p w14:paraId="4FD6DDE2"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Standart standartlashtirish organining vakolatlari doirasida taqsimlanadi.</w:t>
      </w:r>
    </w:p>
    <w:p w14:paraId="010AF4BB"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Standartlashtirish organlarining vakolatlari doirasida standartlashtirishning quyidagi darajalari ajratiladi:</w:t>
      </w:r>
    </w:p>
    <w:p w14:paraId="1C5B644E" w14:textId="77777777" w:rsidR="006C35EA" w:rsidRPr="006C35EA" w:rsidRDefault="006C35EA" w:rsidP="006C35EA">
      <w:pPr>
        <w:numPr>
          <w:ilvl w:val="0"/>
          <w:numId w:val="15"/>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Xalqaro standartlashtirish. Ushbu tashkilotning standartlashtirish organi ISO hisoblanadi. ISO ning meʼyoriy hujjati - bu ISO standartlari hisoblanadi.</w:t>
      </w:r>
    </w:p>
    <w:p w14:paraId="7923CAEB" w14:textId="77777777" w:rsidR="006C35EA" w:rsidRPr="006C35EA" w:rsidRDefault="006C35EA" w:rsidP="006C35EA">
      <w:pPr>
        <w:numPr>
          <w:ilvl w:val="0"/>
          <w:numId w:val="15"/>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Davlatlararo standartlashtirish. Bir qator mustaqil davlatlarni (MDH, EEK va </w:t>
      </w:r>
      <w:proofErr w:type="gramStart"/>
      <w:r w:rsidRPr="006C35EA">
        <w:rPr>
          <w:rFonts w:ascii="Times New Roman" w:eastAsia="Calibri" w:hAnsi="Times New Roman" w:cs="Times New Roman"/>
          <w:color w:val="000000"/>
          <w:sz w:val="28"/>
          <w:szCs w:val="28"/>
          <w:lang w:val="en-US"/>
        </w:rPr>
        <w:t>boshqalar)ni</w:t>
      </w:r>
      <w:proofErr w:type="gramEnd"/>
      <w:r w:rsidRPr="006C35EA">
        <w:rPr>
          <w:rFonts w:ascii="Times New Roman" w:eastAsia="Calibri" w:hAnsi="Times New Roman" w:cs="Times New Roman"/>
          <w:color w:val="000000"/>
          <w:sz w:val="28"/>
          <w:szCs w:val="28"/>
          <w:lang w:val="en-US"/>
        </w:rPr>
        <w:t xml:space="preserve"> qamrab oladi. MDH davlatlarining normativ hujjati davlatlararo standart hisoblanadi.</w:t>
      </w:r>
    </w:p>
    <w:p w14:paraId="6D2C82C1" w14:textId="77777777" w:rsidR="006C35EA" w:rsidRPr="006C35EA" w:rsidRDefault="006C35EA" w:rsidP="006C35EA">
      <w:pPr>
        <w:numPr>
          <w:ilvl w:val="0"/>
          <w:numId w:val="15"/>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Milliy standartlashtirish — bu bir davlat doirasidagi standartlashtirish. Misol uchun, Rossiyada milliy standartlashtirish boʻyicha meʼyoriy hujjat — GOST R, Germaniyada — DIN, Buyuk Britaniyada — BS va boshqalar hisoblanadi.</w:t>
      </w:r>
    </w:p>
    <w:p w14:paraId="5FA12591" w14:textId="77777777" w:rsidR="006C35EA" w:rsidRPr="006C35EA" w:rsidRDefault="006C35EA" w:rsidP="006C35EA">
      <w:pPr>
        <w:numPr>
          <w:ilvl w:val="0"/>
          <w:numId w:val="15"/>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lastRenderedPageBreak/>
        <w:t>Tashkiliy standartlarga — sanoat standartlari (OST), korxona standartlari (STP), jamiyat standartlari va boshqalar kiradi.</w:t>
      </w:r>
    </w:p>
    <w:p w14:paraId="442B0477"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41572C7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Standartlashtirish tizimi doirasida standartlarni quyidagi bo’limlarga boʻlish mumkin:</w:t>
      </w:r>
    </w:p>
    <w:p w14:paraId="48508B0C"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sifat standarti;</w:t>
      </w:r>
    </w:p>
    <w:p w14:paraId="54F31457"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ijtimoiy standart;</w:t>
      </w:r>
    </w:p>
    <w:p w14:paraId="0C60244D"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taʼlim standarti;</w:t>
      </w:r>
    </w:p>
    <w:p w14:paraId="5F5D5784"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terminologik standart;</w:t>
      </w:r>
    </w:p>
    <w:p w14:paraId="1AF34FFA"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sanoat standarti;</w:t>
      </w:r>
    </w:p>
    <w:p w14:paraId="034FE851"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standart oʻrnatish texnik talablar;</w:t>
      </w:r>
    </w:p>
    <w:p w14:paraId="2B900B46"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mehnat xavfsizligi standarti;</w:t>
      </w:r>
    </w:p>
    <w:p w14:paraId="500D377A"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hujjatlar standarti;</w:t>
      </w:r>
    </w:p>
    <w:p w14:paraId="261612E5" w14:textId="77777777" w:rsidR="006C35EA" w:rsidRPr="006C35EA" w:rsidRDefault="006C35EA" w:rsidP="006C35EA">
      <w:pPr>
        <w:numPr>
          <w:ilvl w:val="0"/>
          <w:numId w:val="14"/>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ekologik standart.</w:t>
      </w:r>
    </w:p>
    <w:p w14:paraId="37DFB14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Standartlar bilan bir qatorda mahsulotlar, ishlab chiqarish jarayonlari, foydalanish, saqlash, tashish, sotish va yoʻq qilish talablarini belgilash, qoʻllash va bajarish sohasidagi munosabatlarni tartibga soluvchi boshqa normativ hujjatlar – bu texnik reglamentdir. </w:t>
      </w:r>
    </w:p>
    <w:p w14:paraId="1BA10C0C"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Yuqorida aytib o’tilgan standart va uning turlari haqidagi fikrlardan kelib chiqib shunday xulosaga kelishimiz mumkinki, tibbiy diagnostika va davolash muassasalarida joylashgan barcha tibbiy jihozlar va asbob-uskunalar har safar ta’mirlashdan o’tkazilgandan so’ng yoki ularga texnik xizmat ko’rsatish ishlari olib borilgandan so’ng albatta tibbiy asbob-uskunalar uchun ishlab chiqilgan standart talablari bo’yicha tekshiruvdan o’tkazilishi lozim.</w:t>
      </w:r>
    </w:p>
    <w:p w14:paraId="0C57E9A0"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23AA5A9F" w14:textId="7F155686" w:rsidR="006C35EA" w:rsidRPr="006C35EA" w:rsidRDefault="006C35EA" w:rsidP="006C35EA">
      <w:pPr>
        <w:autoSpaceDE w:val="0"/>
        <w:autoSpaceDN w:val="0"/>
        <w:adjustRightInd w:val="0"/>
        <w:spacing w:after="0"/>
        <w:jc w:val="center"/>
        <w:rPr>
          <w:rFonts w:ascii="Times New Roman" w:eastAsia="Calibri" w:hAnsi="Times New Roman" w:cs="Times New Roman"/>
          <w:b/>
          <w:color w:val="000000"/>
          <w:sz w:val="28"/>
          <w:szCs w:val="28"/>
          <w:lang w:val="en-US"/>
        </w:rPr>
      </w:pPr>
      <w:r w:rsidRPr="006C35EA">
        <w:rPr>
          <w:rFonts w:ascii="Times New Roman" w:eastAsia="Calibri" w:hAnsi="Times New Roman" w:cs="Times New Roman"/>
          <w:b/>
          <w:color w:val="000000"/>
          <w:sz w:val="28"/>
          <w:szCs w:val="28"/>
          <w:lang w:val="en-US"/>
        </w:rPr>
        <w:t xml:space="preserve">Metrologiya </w:t>
      </w:r>
      <w:proofErr w:type="gramStart"/>
      <w:r w:rsidRPr="006C35EA">
        <w:rPr>
          <w:rFonts w:ascii="Times New Roman" w:eastAsia="Calibri" w:hAnsi="Times New Roman" w:cs="Times New Roman"/>
          <w:b/>
          <w:color w:val="000000"/>
          <w:sz w:val="28"/>
          <w:szCs w:val="28"/>
          <w:lang w:val="en-US"/>
        </w:rPr>
        <w:t>bo‘</w:t>
      </w:r>
      <w:proofErr w:type="gramEnd"/>
      <w:r w:rsidRPr="006C35EA">
        <w:rPr>
          <w:rFonts w:ascii="Times New Roman" w:eastAsia="Calibri" w:hAnsi="Times New Roman" w:cs="Times New Roman"/>
          <w:b/>
          <w:color w:val="000000"/>
          <w:sz w:val="28"/>
          <w:szCs w:val="28"/>
          <w:lang w:val="en-US"/>
        </w:rPr>
        <w:t>yicha asosiy atama va tushunchalar.</w:t>
      </w:r>
    </w:p>
    <w:p w14:paraId="596341C7" w14:textId="77777777" w:rsidR="006C35EA" w:rsidRPr="006C35EA" w:rsidRDefault="006C35EA" w:rsidP="006C35EA">
      <w:pPr>
        <w:autoSpaceDE w:val="0"/>
        <w:autoSpaceDN w:val="0"/>
        <w:adjustRightInd w:val="0"/>
        <w:spacing w:after="0"/>
        <w:jc w:val="center"/>
        <w:rPr>
          <w:rFonts w:ascii="Times New Roman" w:eastAsia="Calibri" w:hAnsi="Times New Roman" w:cs="Times New Roman"/>
          <w:b/>
          <w:color w:val="000000"/>
          <w:sz w:val="28"/>
          <w:szCs w:val="28"/>
          <w:lang w:val="en-US"/>
        </w:rPr>
      </w:pPr>
    </w:p>
    <w:p w14:paraId="4FDF5C17"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Metrologik me'yorlar va qoidalarning xalqaro va tarmoqlararo ahamiyatini hisobga olgan holda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 xml:space="preserve">zaro tushunish va harakatlarni kelishishda metrologik atamalarning birliligi va qabul qilingan tushunchalarga aniq rioya qilish muhim ahamiyat kasb etadi.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zbekiston Respublikasining "Metrologiya to‘g‘risida"gi qonunida tibbiy asbob-uskunalar uchun asos bo‘luvchi hujjatlarda metrologiya bo‘yicha quyidagi asosiy atama va tushunchalar keltirilgan:</w:t>
      </w:r>
    </w:p>
    <w:p w14:paraId="46DCAE4E"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Metrologiya –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lchashlar, ularning birliligini ta'minlash metodlari va vositalari va talab etilgan aniqlikka erishish usullari to‘g‘risidagi fan.</w:t>
      </w:r>
    </w:p>
    <w:p w14:paraId="1B17B8E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lchashlar birliligi – o‘lchashlarning natijalari qonunlashtirilgan birliklarda ifodalangan va o‘lchashlarning xatoliklari berilgan ehtimollik bilan ma'lum bo‘lgan holat.</w:t>
      </w:r>
    </w:p>
    <w:p w14:paraId="781D7C9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 maxsus texnik vositalar yordamida fizik kattaliklar qiymatlarini tajriba yo‘li bilan topish.</w:t>
      </w:r>
    </w:p>
    <w:p w14:paraId="1E4089D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lastRenderedPageBreak/>
        <w:t>O‘</w:t>
      </w:r>
      <w:proofErr w:type="gramEnd"/>
      <w:r w:rsidRPr="006C35EA">
        <w:rPr>
          <w:rFonts w:ascii="Times New Roman" w:eastAsia="Calibri" w:hAnsi="Times New Roman" w:cs="Times New Roman"/>
          <w:color w:val="000000"/>
          <w:sz w:val="28"/>
          <w:szCs w:val="28"/>
          <w:lang w:val="en-US"/>
        </w:rPr>
        <w:t xml:space="preserve">lchash vositasi - normalashtirilgan metrologik tavsifga ega bo‘lgan o‘lchash asbobidir.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vositasi, o‘z navbatida, o‘lchov, o‘lchash o‘zgartirgichlari, o‘lchov asboblari, o‘lchash axborot tizimi va o‘lchash qurilmalari kabi turkumlarga bo‘linadi.</w:t>
      </w:r>
    </w:p>
    <w:p w14:paraId="2CF3C0D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asbobi (pribor) - deb, kuzatuvchi idrok qilishi uchun qulay shakldagi o‘lchov informatsiyasi signalini ishlab chiqishga xizmat qiladigan o‘lchash vositasiga aytiladi.</w:t>
      </w:r>
    </w:p>
    <w:p w14:paraId="1E38B3A5"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 xml:space="preserve">lchash o‘zgartkichi - o‘lchashga doir axborotni uzatish, o‘zgartirish, ishlov berish va saqlash uchun qulay bo‘lgan, ammo kuzatuvchi bevosita idrok qilishi mumkin bo‘lmaydigan shakldagi signalni ishlab chiqish uchun xizmat qiladigan o‘lchash vositasidir. </w:t>
      </w:r>
    </w:p>
    <w:p w14:paraId="005090B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 xml:space="preserve">lchash aniqligi – bu o‘lchash natijalarini va o‘lchanayotgan kattalik haqiqiy qiymatining mos kelish darajasidir.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xatoligi o‘lchash natijasining o‘lchanayotgan kattalikning asl qiymatidan farqlanishidir.</w:t>
      </w:r>
    </w:p>
    <w:p w14:paraId="2DCD8DA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Qonunlashtiruvchi metrologiya – bu metrologiyaning bir qismi </w:t>
      </w:r>
      <w:proofErr w:type="gramStart"/>
      <w:r w:rsidRPr="006C35EA">
        <w:rPr>
          <w:rFonts w:ascii="Times New Roman" w:eastAsia="Calibri" w:hAnsi="Times New Roman" w:cs="Times New Roman"/>
          <w:color w:val="000000"/>
          <w:sz w:val="28"/>
          <w:szCs w:val="28"/>
          <w:lang w:val="en-US"/>
        </w:rPr>
        <w:t>bo‘</w:t>
      </w:r>
      <w:proofErr w:type="gramEnd"/>
      <w:r w:rsidRPr="006C35EA">
        <w:rPr>
          <w:rFonts w:ascii="Times New Roman" w:eastAsia="Calibri" w:hAnsi="Times New Roman" w:cs="Times New Roman"/>
          <w:color w:val="000000"/>
          <w:sz w:val="28"/>
          <w:szCs w:val="28"/>
          <w:lang w:val="en-US"/>
        </w:rPr>
        <w:t>lib metrologiya bo‘yicha milliy organ tomonidan amalga oshiriladigan faoliyatga taalluqli va birliklar, o‘lchash vositalari, o‘lchash laboratoriyalariga doir davlat talablariga ega.</w:t>
      </w:r>
    </w:p>
    <w:p w14:paraId="41C04E8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Metrologiya xizmati – davlat idoralari va yuridik shaxslarning metrologik xizmatlari tarmoqlari hamda ularning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lchashlar birliligini ta'minlashga yo‘naltirilgan faoliyati.</w:t>
      </w:r>
    </w:p>
    <w:p w14:paraId="099294BA"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vositalarining qiyoslanishni olib borish uchun metrologik xizmatni akkreditlash – bu qiyoslashishlarini bajarishga davlat tomonidan, davlatning ishonchli vakili tomonidan rasmiy tan olinishi.</w:t>
      </w:r>
    </w:p>
    <w:p w14:paraId="57604FB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vositasini qiyoslash usuli – bu qiyoslash sxemasi bo‘yicha yuqoridagi o‘lchash vositalaridan quyidagi o‘lchash vositalariga birlikning o‘lchamini uzatish usuli.</w:t>
      </w:r>
    </w:p>
    <w:p w14:paraId="24DE85B5"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vositalarining qiyoslash natijalarini rasmiylashtirish - bu o‘lchash vositalarini qiyoslash natijalari bo‘yicha rasmiy hujjatni tuzish va o‘lchash vositasini yaroqliligini ko‘rsatish.</w:t>
      </w:r>
    </w:p>
    <w:p w14:paraId="07BC380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 taqqoslash – bu sistematik xatoliklarni aniqlash uchun o‘lchash vositasini etalon yoki o‘sha turdagi namuna o‘lchash vositasiga solishtirish, ya'ni o‘lchovni o‘lchov bilan, priborni pribor bilan.</w:t>
      </w:r>
    </w:p>
    <w:p w14:paraId="5ABD9AF6"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Bazaviy (asos) metrologiya xizmati – bu aloqa va axborotlashtirish sohasidagi xizmat </w:t>
      </w:r>
      <w:proofErr w:type="gramStart"/>
      <w:r w:rsidRPr="006C35EA">
        <w:rPr>
          <w:rFonts w:ascii="Times New Roman" w:eastAsia="Calibri" w:hAnsi="Times New Roman" w:cs="Times New Roman"/>
          <w:color w:val="000000"/>
          <w:sz w:val="28"/>
          <w:szCs w:val="28"/>
          <w:lang w:val="en-US"/>
        </w:rPr>
        <w:t>bo‘</w:t>
      </w:r>
      <w:proofErr w:type="gramEnd"/>
      <w:r w:rsidRPr="006C35EA">
        <w:rPr>
          <w:rFonts w:ascii="Times New Roman" w:eastAsia="Calibri" w:hAnsi="Times New Roman" w:cs="Times New Roman"/>
          <w:color w:val="000000"/>
          <w:sz w:val="28"/>
          <w:szCs w:val="28"/>
          <w:lang w:val="en-US"/>
        </w:rPr>
        <w:t>lib, biriktirilgan xo‘jalik yurituvchi sub'ektlarning metrologik ta'minot masalalari bo‘yicha ish faoliyatini muvofiqlashtiruvchi xizmat.</w:t>
      </w:r>
    </w:p>
    <w:p w14:paraId="36EEC156"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Davlat metrologiya nazorati – bu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vositalarining turi va qiyoslanishi, sotilishi va ularning prokatini lisenziyalash bo‘yicha davlat metrologiya xizmati organi tomonidan amalga oshiriladigan faoliyatdir.</w:t>
      </w:r>
    </w:p>
    <w:p w14:paraId="007BBE4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lastRenderedPageBreak/>
        <w:t>Davlat metrologiya tekshiruvi - bu davlat metrologiya xizmati organi tomonidan amalga oshiriladigan metrologiya qoidalariga rioya qilinishi tekshirish maqsadidagi faoliyatdir.</w:t>
      </w:r>
    </w:p>
    <w:p w14:paraId="263FB948"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lchanadigan kattalik - o‘lchashga tortiladigan kattalik.</w:t>
      </w:r>
    </w:p>
    <w:p w14:paraId="75B3D2ED"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vositasini kalibrlash - bu kalibrlash laboratoriyasi tomonidan o‘lchash vositasining metrologik xarakteristikasi haqiqiy qiymatlarini va qo‘llanilishga yaroqliligini aniqlash va tasdiqlash maqsadidagi muolajalar majmuidir.</w:t>
      </w:r>
    </w:p>
    <w:p w14:paraId="0EAFB64A"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 qiyoslash – O‘lchash vositalarining o‘rnatilgan texnik talablarga muvofiqligini aniqlash va tasdiqlash maqsadida davlat metrologik xizmat idoralari (boshqa vakolatlangan idoralar, tashkilotlar) bajaradigan amallar majmui.</w:t>
      </w:r>
    </w:p>
    <w:p w14:paraId="05F0EB36"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 metrologik attestatlash – donalab ishlab chiqarilgan (yoki O‘zbekiston hududiga donalab keltirilgan) o‘lchash vositalarining, ularning xossalarini sinchiklab tadqiq etish asosida, qo‘llanishga huquqli ekanligini metrologik xizmat tomonidan tan olish.</w:t>
      </w:r>
    </w:p>
    <w:p w14:paraId="067C1E2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Metrologik xizmatlar, markazlar, laboratoriyalarni akkreditlash – metrologik xizmatlar, markazlar, laboratoriyalarning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rnatilgan akkreditlash doirasida o‘lchashlar birliligini ta'minlash bo‘yicha ishlarni o‘tkazishga huquqligini rasmiy tan olish.</w:t>
      </w:r>
    </w:p>
    <w:p w14:paraId="629EA0F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Yuridik shaxslarning metrologik xizmatlarini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 vositalarini kalibrlash huquqiga akkreditlash – yuridik shaxslar metrologik xizmatlarining o‘rnatilgan doirada o‘lchash vositalarini kalibrlashni o‘tkazish huquqini rasmiy tan olish.</w:t>
      </w:r>
    </w:p>
    <w:p w14:paraId="7A918D1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lchashlarni bajarish metodikalarini metrologik attestatlash – o‘lchashlarni bajarish metodikasining unga qo‘yilgan metrologik talablarga muvofiqligini baholash va tasdiqlash maqsadida o‘tkaziladigan tadqiqot.</w:t>
      </w:r>
    </w:p>
    <w:p w14:paraId="3CDEFDD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lchashlarni bajarish metodikasi – o‘lchashlar natijalariga avvaldan ma'lum bo‘lgan xatolik bilan erishishni ta'minlaydigan ishlar va qoidalar majmui.</w:t>
      </w:r>
    </w:p>
    <w:p w14:paraId="51BC90B2"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Tekshirish - bu belgilangan talablarni </w:t>
      </w:r>
      <w:proofErr w:type="gramStart"/>
      <w:r w:rsidRPr="006C35EA">
        <w:rPr>
          <w:rFonts w:ascii="Times New Roman" w:eastAsia="Calibri" w:hAnsi="Times New Roman" w:cs="Times New Roman"/>
          <w:color w:val="000000"/>
          <w:sz w:val="28"/>
          <w:szCs w:val="28"/>
          <w:lang w:val="en-US"/>
        </w:rPr>
        <w:t>to‘</w:t>
      </w:r>
      <w:proofErr w:type="gramEnd"/>
      <w:r w:rsidRPr="006C35EA">
        <w:rPr>
          <w:rFonts w:ascii="Times New Roman" w:eastAsia="Calibri" w:hAnsi="Times New Roman" w:cs="Times New Roman"/>
          <w:color w:val="000000"/>
          <w:sz w:val="28"/>
          <w:szCs w:val="28"/>
          <w:lang w:val="en-US"/>
        </w:rPr>
        <w:t>laqonli ta’minlash uchun obyektiv dalillar yordamida ko‘rikdan o‘tkazishni ta’minash.</w:t>
      </w:r>
    </w:p>
    <w:p w14:paraId="4A07DEF8"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2B01B5EC" w14:textId="3584BC5F" w:rsidR="006C35EA" w:rsidRPr="006C35EA" w:rsidRDefault="00573974" w:rsidP="006C35EA">
      <w:pPr>
        <w:autoSpaceDE w:val="0"/>
        <w:autoSpaceDN w:val="0"/>
        <w:adjustRightInd w:val="0"/>
        <w:spacing w:after="0"/>
        <w:jc w:val="center"/>
        <w:rPr>
          <w:rFonts w:ascii="Times New Roman" w:eastAsia="Calibri" w:hAnsi="Times New Roman" w:cs="Times New Roman"/>
          <w:b/>
          <w:bCs/>
          <w:color w:val="000000"/>
          <w:sz w:val="28"/>
          <w:szCs w:val="28"/>
          <w:lang w:val="en-US"/>
        </w:rPr>
      </w:pPr>
      <w:r w:rsidRPr="00573974">
        <w:rPr>
          <w:rFonts w:ascii="Times New Roman" w:eastAsia="Calibri" w:hAnsi="Times New Roman" w:cs="Times New Roman"/>
          <w:b/>
          <w:bCs/>
          <w:color w:val="000000"/>
          <w:sz w:val="28"/>
          <w:szCs w:val="28"/>
          <w:lang w:val="en-US"/>
        </w:rPr>
        <w:t xml:space="preserve">    </w:t>
      </w:r>
      <w:r w:rsidR="006C35EA" w:rsidRPr="006C35EA">
        <w:rPr>
          <w:rFonts w:ascii="Times New Roman" w:eastAsia="Calibri" w:hAnsi="Times New Roman" w:cs="Times New Roman"/>
          <w:b/>
          <w:bCs/>
          <w:color w:val="000000"/>
          <w:sz w:val="28"/>
          <w:szCs w:val="28"/>
          <w:lang w:val="en-US"/>
        </w:rPr>
        <w:t>Elektron tibbiyot te</w:t>
      </w:r>
      <w:r w:rsidR="006C35EA" w:rsidRPr="006C35EA">
        <w:rPr>
          <w:rFonts w:ascii="Times New Roman" w:eastAsia="Calibri" w:hAnsi="Times New Roman" w:cs="Times New Roman"/>
          <w:b/>
          <w:bCs/>
          <w:color w:val="000000"/>
          <w:sz w:val="28"/>
          <w:szCs w:val="28"/>
        </w:rPr>
        <w:t>х</w:t>
      </w:r>
      <w:r w:rsidR="006C35EA" w:rsidRPr="006C35EA">
        <w:rPr>
          <w:rFonts w:ascii="Times New Roman" w:eastAsia="Calibri" w:hAnsi="Times New Roman" w:cs="Times New Roman"/>
          <w:b/>
          <w:bCs/>
          <w:color w:val="000000"/>
          <w:sz w:val="28"/>
          <w:szCs w:val="28"/>
          <w:lang w:val="en-US"/>
        </w:rPr>
        <w:t>nikalarini metrologik tekshirishdan o’tkazish tartiblari</w:t>
      </w:r>
    </w:p>
    <w:p w14:paraId="7BACF2CD" w14:textId="77777777" w:rsidR="006C35EA" w:rsidRPr="006C35EA" w:rsidRDefault="006C35EA" w:rsidP="006C35EA">
      <w:pPr>
        <w:autoSpaceDE w:val="0"/>
        <w:autoSpaceDN w:val="0"/>
        <w:adjustRightInd w:val="0"/>
        <w:spacing w:after="0"/>
        <w:jc w:val="center"/>
        <w:rPr>
          <w:rFonts w:ascii="Times New Roman" w:eastAsia="Calibri" w:hAnsi="Times New Roman" w:cs="Times New Roman"/>
          <w:color w:val="000000"/>
          <w:sz w:val="28"/>
          <w:szCs w:val="28"/>
          <w:lang w:val="en-US"/>
        </w:rPr>
      </w:pPr>
    </w:p>
    <w:p w14:paraId="34EB9B0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Elektron tibbiyot te</w:t>
      </w:r>
      <w:r w:rsidRPr="006C35EA">
        <w:rPr>
          <w:rFonts w:ascii="Times New Roman" w:eastAsia="Calibri" w:hAnsi="Times New Roman" w:cs="Times New Roman"/>
          <w:color w:val="000000"/>
          <w:sz w:val="28"/>
          <w:szCs w:val="28"/>
        </w:rPr>
        <w:t>х</w:t>
      </w:r>
      <w:r w:rsidRPr="006C35EA">
        <w:rPr>
          <w:rFonts w:ascii="Times New Roman" w:eastAsia="Calibri" w:hAnsi="Times New Roman" w:cs="Times New Roman"/>
          <w:color w:val="000000"/>
          <w:sz w:val="28"/>
          <w:szCs w:val="28"/>
          <w:lang w:val="en-US"/>
        </w:rPr>
        <w:t>nikalarining asosiy te</w:t>
      </w:r>
      <w:r w:rsidRPr="006C35EA">
        <w:rPr>
          <w:rFonts w:ascii="Times New Roman" w:eastAsia="Calibri" w:hAnsi="Times New Roman" w:cs="Times New Roman"/>
          <w:color w:val="000000"/>
          <w:sz w:val="28"/>
          <w:szCs w:val="28"/>
        </w:rPr>
        <w:t>х</w:t>
      </w:r>
      <w:r w:rsidRPr="006C35EA">
        <w:rPr>
          <w:rFonts w:ascii="Times New Roman" w:eastAsia="Calibri" w:hAnsi="Times New Roman" w:cs="Times New Roman"/>
          <w:color w:val="000000"/>
          <w:sz w:val="28"/>
          <w:szCs w:val="28"/>
          <w:lang w:val="en-US"/>
        </w:rPr>
        <w:t>nik parametrlarini standart talablariga javob berishini tekshiruvchi ma</w:t>
      </w:r>
      <w:r w:rsidRPr="006C35EA">
        <w:rPr>
          <w:rFonts w:ascii="Times New Roman" w:eastAsia="Calibri" w:hAnsi="Times New Roman" w:cs="Times New Roman"/>
          <w:color w:val="000000"/>
          <w:sz w:val="28"/>
          <w:szCs w:val="28"/>
        </w:rPr>
        <w:t>х</w:t>
      </w:r>
      <w:r w:rsidRPr="006C35EA">
        <w:rPr>
          <w:rFonts w:ascii="Times New Roman" w:eastAsia="Calibri" w:hAnsi="Times New Roman" w:cs="Times New Roman"/>
          <w:color w:val="000000"/>
          <w:sz w:val="28"/>
          <w:szCs w:val="28"/>
          <w:lang w:val="en-US"/>
        </w:rPr>
        <w:t>sus laboratoriya, o’lchov nazorat te</w:t>
      </w:r>
      <w:r w:rsidRPr="006C35EA">
        <w:rPr>
          <w:rFonts w:ascii="Times New Roman" w:eastAsia="Calibri" w:hAnsi="Times New Roman" w:cs="Times New Roman"/>
          <w:color w:val="000000"/>
          <w:sz w:val="28"/>
          <w:szCs w:val="28"/>
        </w:rPr>
        <w:t>х</w:t>
      </w:r>
      <w:r w:rsidRPr="006C35EA">
        <w:rPr>
          <w:rFonts w:ascii="Times New Roman" w:eastAsia="Calibri" w:hAnsi="Times New Roman" w:cs="Times New Roman"/>
          <w:color w:val="000000"/>
          <w:sz w:val="28"/>
          <w:szCs w:val="28"/>
          <w:lang w:val="en-US"/>
        </w:rPr>
        <w:t xml:space="preserve">nikasi va asboblari bilan ishlash tartibi asosan metrologik tekshirishlardan o’tkazish tartiblarini belgilaydi. </w:t>
      </w:r>
    </w:p>
    <w:p w14:paraId="4DA765C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Metrologik tekshirishlari o’tkaziladigan laboratoriya ishlarining asosiy maqsadi: </w:t>
      </w:r>
    </w:p>
    <w:p w14:paraId="29F8AEBB" w14:textId="77777777" w:rsidR="006C35EA" w:rsidRPr="006C35EA" w:rsidRDefault="006C35EA" w:rsidP="006C35EA">
      <w:pPr>
        <w:numPr>
          <w:ilvl w:val="0"/>
          <w:numId w:val="9"/>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lastRenderedPageBreak/>
        <w:t xml:space="preserve">o’lchash va sinash vositalarini ishlata bilish, shu jumladan, o’zgarmas, o’zgaravchan tok va kuchlanishlarni o’lchash, impulsli signal chastotasi, davri va boshqa parametrlarini tekshirish, elektr qarshilik, sig’im va induktivlikni o’lchash, temperatura, bosim va massani o’lchash, hamda avtomatik boshqarish tizimlarini ishlatish, ta’mirlash va sozlash; </w:t>
      </w:r>
    </w:p>
    <w:p w14:paraId="44540630" w14:textId="77777777" w:rsidR="006C35EA" w:rsidRPr="006C35EA" w:rsidRDefault="006C35EA" w:rsidP="006C35EA">
      <w:pPr>
        <w:numPr>
          <w:ilvl w:val="0"/>
          <w:numId w:val="9"/>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ishlab chiqarishda vujudga keladigan o’lchash masalalari uchun kerakli vositalarni tanlash; </w:t>
      </w:r>
    </w:p>
    <w:p w14:paraId="667E3980" w14:textId="77777777" w:rsidR="006C35EA" w:rsidRPr="006C35EA" w:rsidRDefault="006C35EA" w:rsidP="006C35EA">
      <w:pPr>
        <w:numPr>
          <w:ilvl w:val="0"/>
          <w:numId w:val="9"/>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xatoliklarini hisoblash va tahlil qilish; </w:t>
      </w:r>
    </w:p>
    <w:p w14:paraId="1370CA14" w14:textId="77777777" w:rsidR="006C35EA" w:rsidRPr="006C35EA" w:rsidRDefault="006C35EA" w:rsidP="006C35EA">
      <w:pPr>
        <w:numPr>
          <w:ilvl w:val="0"/>
          <w:numId w:val="9"/>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va sinash vositalarini ishlatish va servis hujjatlaridan foydalanish. </w:t>
      </w:r>
    </w:p>
    <w:p w14:paraId="69052E4A"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06CDC299" w14:textId="77777777" w:rsidR="006C35EA" w:rsidRPr="006C35EA" w:rsidRDefault="006C35EA" w:rsidP="006C35EA">
      <w:pPr>
        <w:spacing w:after="0"/>
        <w:ind w:firstLine="708"/>
        <w:jc w:val="both"/>
        <w:rPr>
          <w:rFonts w:ascii="Times New Roman" w:eastAsia="Calibri" w:hAnsi="Times New Roman" w:cs="Times New Roman"/>
          <w:noProof/>
          <w:sz w:val="28"/>
          <w:szCs w:val="28"/>
          <w:lang w:val="en-US"/>
        </w:rPr>
      </w:pPr>
      <w:r w:rsidRPr="006C35EA">
        <w:rPr>
          <w:rFonts w:ascii="Times New Roman" w:eastAsia="Calibri" w:hAnsi="Times New Roman" w:cs="Times New Roman"/>
          <w:noProof/>
          <w:sz w:val="28"/>
          <w:szCs w:val="28"/>
          <w:lang w:val="en-US"/>
        </w:rPr>
        <w:t>Bu maqsadlarni amalga oshirish uchun ma</w:t>
      </w:r>
      <w:r w:rsidRPr="006C35EA">
        <w:rPr>
          <w:rFonts w:ascii="Times New Roman" w:eastAsia="Calibri" w:hAnsi="Times New Roman" w:cs="Times New Roman"/>
          <w:noProof/>
          <w:sz w:val="28"/>
          <w:szCs w:val="28"/>
        </w:rPr>
        <w:t>х</w:t>
      </w:r>
      <w:r w:rsidRPr="006C35EA">
        <w:rPr>
          <w:rFonts w:ascii="Times New Roman" w:eastAsia="Calibri" w:hAnsi="Times New Roman" w:cs="Times New Roman"/>
          <w:noProof/>
          <w:sz w:val="28"/>
          <w:szCs w:val="28"/>
          <w:lang w:val="en-US"/>
        </w:rPr>
        <w:t xml:space="preserve">sus laboratoriya </w:t>
      </w:r>
      <w:r w:rsidRPr="006C35EA">
        <w:rPr>
          <w:rFonts w:ascii="Times New Roman" w:eastAsia="Calibri" w:hAnsi="Times New Roman" w:cs="Times New Roman"/>
          <w:noProof/>
          <w:sz w:val="28"/>
          <w:szCs w:val="28"/>
        </w:rPr>
        <w:t>х</w:t>
      </w:r>
      <w:r w:rsidRPr="006C35EA">
        <w:rPr>
          <w:rFonts w:ascii="Times New Roman" w:eastAsia="Calibri" w:hAnsi="Times New Roman" w:cs="Times New Roman"/>
          <w:noProof/>
          <w:sz w:val="28"/>
          <w:szCs w:val="28"/>
          <w:lang w:val="en-US"/>
        </w:rPr>
        <w:t>onalari tashkil qilinib, kerakli o’lchash te</w:t>
      </w:r>
      <w:r w:rsidRPr="006C35EA">
        <w:rPr>
          <w:rFonts w:ascii="Times New Roman" w:eastAsia="Calibri" w:hAnsi="Times New Roman" w:cs="Times New Roman"/>
          <w:noProof/>
          <w:sz w:val="28"/>
          <w:szCs w:val="28"/>
        </w:rPr>
        <w:t>х</w:t>
      </w:r>
      <w:r w:rsidRPr="006C35EA">
        <w:rPr>
          <w:rFonts w:ascii="Times New Roman" w:eastAsia="Calibri" w:hAnsi="Times New Roman" w:cs="Times New Roman"/>
          <w:noProof/>
          <w:sz w:val="28"/>
          <w:szCs w:val="28"/>
          <w:lang w:val="en-US"/>
        </w:rPr>
        <w:t>nikasi vositalari bilan ta’minlanadi. Bunday laboratoriyalarni tashkil qilish va boshqarish jarayonlari bundan keyingi mavzularda batafsil bayon etilgan.</w:t>
      </w:r>
    </w:p>
    <w:p w14:paraId="1EAF28C6" w14:textId="77777777" w:rsidR="006C35EA" w:rsidRPr="006C35EA" w:rsidRDefault="006C35EA" w:rsidP="006C35EA">
      <w:pPr>
        <w:spacing w:after="0"/>
        <w:ind w:firstLine="708"/>
        <w:jc w:val="both"/>
        <w:rPr>
          <w:rFonts w:ascii="Times New Roman" w:eastAsia="Calibri" w:hAnsi="Times New Roman" w:cs="Times New Roman"/>
          <w:noProof/>
          <w:sz w:val="28"/>
          <w:szCs w:val="28"/>
          <w:lang w:val="en-US"/>
        </w:rPr>
      </w:pPr>
    </w:p>
    <w:p w14:paraId="40BBE874" w14:textId="2518C583" w:rsidR="006C35EA" w:rsidRPr="006C35EA" w:rsidRDefault="006C35EA" w:rsidP="006C35EA">
      <w:pPr>
        <w:autoSpaceDE w:val="0"/>
        <w:autoSpaceDN w:val="0"/>
        <w:adjustRightInd w:val="0"/>
        <w:spacing w:after="0"/>
        <w:jc w:val="center"/>
        <w:rPr>
          <w:rFonts w:ascii="Times New Roman" w:eastAsia="Calibri" w:hAnsi="Times New Roman" w:cs="Times New Roman"/>
          <w:b/>
          <w:bCs/>
          <w:color w:val="000000"/>
          <w:sz w:val="28"/>
          <w:szCs w:val="28"/>
          <w:lang w:val="en-US"/>
        </w:rPr>
      </w:pPr>
      <w:r w:rsidRPr="006C35EA">
        <w:rPr>
          <w:rFonts w:ascii="Times New Roman" w:eastAsia="Calibri" w:hAnsi="Times New Roman" w:cs="Times New Roman"/>
          <w:b/>
          <w:bCs/>
          <w:color w:val="000000"/>
          <w:sz w:val="28"/>
          <w:szCs w:val="28"/>
          <w:lang w:val="en-US"/>
        </w:rPr>
        <w:t>Laboratoriya xonalarida ishni tashkil etishning umumiy qoidalari.</w:t>
      </w:r>
    </w:p>
    <w:p w14:paraId="03D190A6" w14:textId="77777777" w:rsidR="006C35EA" w:rsidRPr="006C35EA" w:rsidRDefault="006C35EA" w:rsidP="006C35EA">
      <w:pPr>
        <w:autoSpaceDE w:val="0"/>
        <w:autoSpaceDN w:val="0"/>
        <w:adjustRightInd w:val="0"/>
        <w:spacing w:after="0"/>
        <w:jc w:val="center"/>
        <w:rPr>
          <w:rFonts w:ascii="Times New Roman" w:eastAsia="Calibri" w:hAnsi="Times New Roman" w:cs="Times New Roman"/>
          <w:color w:val="000000"/>
          <w:sz w:val="28"/>
          <w:szCs w:val="28"/>
          <w:lang w:val="en-US"/>
        </w:rPr>
      </w:pPr>
    </w:p>
    <w:p w14:paraId="19A6D00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Elektron tibbiyot te</w:t>
      </w:r>
      <w:r w:rsidRPr="006C35EA">
        <w:rPr>
          <w:rFonts w:ascii="Times New Roman" w:eastAsia="Calibri" w:hAnsi="Times New Roman" w:cs="Times New Roman"/>
          <w:color w:val="000000"/>
          <w:sz w:val="28"/>
          <w:szCs w:val="28"/>
        </w:rPr>
        <w:t>х</w:t>
      </w:r>
      <w:r w:rsidRPr="006C35EA">
        <w:rPr>
          <w:rFonts w:ascii="Times New Roman" w:eastAsia="Calibri" w:hAnsi="Times New Roman" w:cs="Times New Roman"/>
          <w:color w:val="000000"/>
          <w:sz w:val="28"/>
          <w:szCs w:val="28"/>
          <w:lang w:val="en-US"/>
        </w:rPr>
        <w:t xml:space="preserve">nikasi vositalarini metrologik tekshirishlardan o’tkazish uchun mo’ljallangan laboratoriyada quyidagi asosiy qoidalarga qat’iy amal qilishi kerak: </w:t>
      </w:r>
    </w:p>
    <w:p w14:paraId="2F866379"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o’rnatilgan ichki tartibga va texnika xavfsizligi qoidalariga rioya qilish; </w:t>
      </w:r>
    </w:p>
    <w:p w14:paraId="51A2D9C5"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va sinash vositalarini, ularning texnik talablariga rioya qilgan holda ishlatish; </w:t>
      </w:r>
    </w:p>
    <w:p w14:paraId="6F8938F9"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o’zgarmas tok va kuchlanishni qayd etadigan o’lchash vositalarini o’lchash zanjiriga ulaganda qutblarga ahamiyat berish; </w:t>
      </w:r>
    </w:p>
    <w:p w14:paraId="7E5BA390"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vositasini kuchlanish manbaiga ulashdan avval, uning boshqaruv va kommutatsiya elementlarini o’lchash vositasining qo’llanilishiga binoan o’rnatish; </w:t>
      </w:r>
    </w:p>
    <w:p w14:paraId="1C9EB5F0"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vositasiga manba kuchlanishini bergandan so’ng, u ma’lum vaqt qizib mo’tadil ish rejimiga chiqishini ta’minlash; </w:t>
      </w:r>
    </w:p>
    <w:p w14:paraId="0FB67DF3"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vositasining shkalasi qaysi o’lchash birligida o’lchanishini va shkala bo’linmasining aniq qiymatini bilish; </w:t>
      </w:r>
    </w:p>
    <w:p w14:paraId="670A8ADF" w14:textId="77777777" w:rsidR="006C35EA" w:rsidRPr="006C35EA" w:rsidRDefault="006C35EA" w:rsidP="006C35EA">
      <w:pPr>
        <w:numPr>
          <w:ilvl w:val="0"/>
          <w:numId w:val="10"/>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barcha o’lchash vositalarini ehtiyotkorlik bilan ishlatish, o’lchash va sinash vositalarini ishga solishdan avval ularni ishlash tamoyili va ishlatish qoidalarini yaxshi bilish, bu vositalarning qo’llanmalari o’rganilganda ularning ishdan chiqishiga sabab bo’lishi mumkin bo’lgan amallarga alohida ahamiyat berish va bu ma’lumotlarni ish daftariga yozib borish. </w:t>
      </w:r>
    </w:p>
    <w:p w14:paraId="1A7E84AD"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02B49766"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Ishga yaroqsiz o’lchash va sinash vositalarini ishlatish mumkin emas. Ishlaydigan barcha o’lchash vositalari ishga yaroqli, qiyoslangan holatda bo’lishi shart. </w:t>
      </w:r>
    </w:p>
    <w:p w14:paraId="6520E085"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lastRenderedPageBreak/>
        <w:t>Laboratoriya ishini bajarish vaqtida noaniq, tushunib bo’lmaydigan holatlar vujudga kelishi mumkin. Bunga sabab o’lchash vositasining ishdan chiqqanligi bo’lishi mumkin. Bu hollarda ish to’xtatilib, sabab aniqlanishi shart. O’lchash va sinash vositalarining ichini ochish va uni tuzatish qat’iyan taqiqlanadi.</w:t>
      </w:r>
    </w:p>
    <w:p w14:paraId="39523E9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p>
    <w:p w14:paraId="2336E88A" w14:textId="469D485C" w:rsidR="006C35EA" w:rsidRPr="006C35EA" w:rsidRDefault="006C35EA" w:rsidP="006C35EA">
      <w:pPr>
        <w:autoSpaceDE w:val="0"/>
        <w:autoSpaceDN w:val="0"/>
        <w:adjustRightInd w:val="0"/>
        <w:spacing w:after="0"/>
        <w:jc w:val="center"/>
        <w:rPr>
          <w:rFonts w:ascii="Times New Roman" w:eastAsia="Calibri" w:hAnsi="Times New Roman" w:cs="Times New Roman"/>
          <w:b/>
          <w:bCs/>
          <w:color w:val="000000"/>
          <w:sz w:val="28"/>
          <w:szCs w:val="28"/>
          <w:lang w:val="en-US"/>
        </w:rPr>
      </w:pPr>
      <w:r w:rsidRPr="006C35EA">
        <w:rPr>
          <w:rFonts w:ascii="Times New Roman" w:eastAsia="Calibri" w:hAnsi="Times New Roman" w:cs="Times New Roman"/>
          <w:b/>
          <w:bCs/>
          <w:color w:val="000000"/>
          <w:sz w:val="28"/>
          <w:szCs w:val="28"/>
          <w:lang w:val="en-US"/>
        </w:rPr>
        <w:t>Metrologik tajribalar o’tkazish uchun laboratoriya ishlarini bajarishga tayyorgarlik ko’rish.</w:t>
      </w:r>
    </w:p>
    <w:p w14:paraId="0C83C1E4" w14:textId="77777777" w:rsidR="006C35EA" w:rsidRPr="006C35EA" w:rsidRDefault="006C35EA" w:rsidP="006C35EA">
      <w:pPr>
        <w:autoSpaceDE w:val="0"/>
        <w:autoSpaceDN w:val="0"/>
        <w:adjustRightInd w:val="0"/>
        <w:spacing w:after="0"/>
        <w:jc w:val="center"/>
        <w:rPr>
          <w:rFonts w:ascii="Times New Roman" w:eastAsia="Calibri" w:hAnsi="Times New Roman" w:cs="Times New Roman"/>
          <w:color w:val="000000"/>
          <w:sz w:val="28"/>
          <w:szCs w:val="28"/>
          <w:lang w:val="en-US"/>
        </w:rPr>
      </w:pPr>
    </w:p>
    <w:p w14:paraId="35B1ED7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b/>
          <w:bCs/>
          <w:color w:val="000000"/>
          <w:sz w:val="28"/>
          <w:szCs w:val="28"/>
          <w:lang w:val="en-US"/>
        </w:rPr>
        <w:t xml:space="preserve">Metrologik tajribalar o’tkazish uchun </w:t>
      </w:r>
      <w:r w:rsidRPr="006C35EA">
        <w:rPr>
          <w:rFonts w:ascii="Times New Roman" w:eastAsia="Calibri" w:hAnsi="Times New Roman" w:cs="Times New Roman"/>
          <w:color w:val="000000"/>
          <w:sz w:val="28"/>
          <w:szCs w:val="28"/>
          <w:lang w:val="en-US"/>
        </w:rPr>
        <w:t xml:space="preserve">laboratoriya ishini belgilangan vaqt davomida to’liq bajarish uchun quyidagilarga amal qilinishi kerak: </w:t>
      </w:r>
    </w:p>
    <w:p w14:paraId="05EEE8F0" w14:textId="77777777" w:rsidR="006C35EA" w:rsidRPr="006C35EA" w:rsidRDefault="006C35EA" w:rsidP="006C35EA">
      <w:pPr>
        <w:numPr>
          <w:ilvl w:val="0"/>
          <w:numId w:val="11"/>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laboratoriya ishining qo’llanmasini o’rganib chiqib, unda belgilangan adabiyotlar ro’yxatidan foydalanib, nazariy materiallarni o’rganish; </w:t>
      </w:r>
    </w:p>
    <w:p w14:paraId="396AED58" w14:textId="77777777" w:rsidR="006C35EA" w:rsidRPr="006C35EA" w:rsidRDefault="006C35EA" w:rsidP="006C35EA">
      <w:pPr>
        <w:numPr>
          <w:ilvl w:val="0"/>
          <w:numId w:val="11"/>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laboratoriya ishining maqsadi va bajarilish tartibini aniq tasavvur qilish; </w:t>
      </w:r>
    </w:p>
    <w:p w14:paraId="56201E9C" w14:textId="77777777" w:rsidR="006C35EA" w:rsidRPr="006C35EA" w:rsidRDefault="006C35EA" w:rsidP="006C35EA">
      <w:pPr>
        <w:numPr>
          <w:ilvl w:val="0"/>
          <w:numId w:val="11"/>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bajariladigan tajriba ishida qo’llaniladigan elektr sxemalarni ko’rib chiqib, har birida ishlatilishi zarur bo’lgan o’lchash vositasining vazifasi, ulanishi va ishlatilishi bilan tanishib chiqish; </w:t>
      </w:r>
    </w:p>
    <w:p w14:paraId="2943381D" w14:textId="77777777" w:rsidR="006C35EA" w:rsidRPr="006C35EA" w:rsidRDefault="006C35EA" w:rsidP="006C35EA">
      <w:pPr>
        <w:numPr>
          <w:ilvl w:val="0"/>
          <w:numId w:val="11"/>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o’lchashlarni bajarish tartibi va zarur bo’lgan hisoblash ishlarini batafsil o’rganish; </w:t>
      </w:r>
    </w:p>
    <w:p w14:paraId="12CC8A87" w14:textId="77777777" w:rsidR="006C35EA" w:rsidRPr="006C35EA" w:rsidRDefault="006C35EA" w:rsidP="006C35EA">
      <w:pPr>
        <w:numPr>
          <w:ilvl w:val="0"/>
          <w:numId w:val="11"/>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natijalari kiritilishi uchun zarur bo’lgan jadvallarni ko’rib chiqish. </w:t>
      </w:r>
    </w:p>
    <w:p w14:paraId="4BEB164A"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14C2E608"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Laboratoriya tekshiruvini amalga oshirish davomida tekshiruvchi ish daftariga to’ldirilishi kerak bo’lgan jadvallarni chizishi va tayyorgarlik natijalarini yozib qo’yishi kerak. </w:t>
      </w:r>
    </w:p>
    <w:p w14:paraId="13FF8FE2"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Laboratoriya tekshiruvini bajarish uchun qo’yiladigan talablar: </w:t>
      </w:r>
    </w:p>
    <w:p w14:paraId="4E3F95CF"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Tekshiruvchi tibbiyot vositasini metrologik tekshirish jarayonida, tekshirilayotgan vositaning metrologik parametrlarini, qo’llanmada ko’rsatilgan sonli qiymatlarini aniq bilishi va uni tuzilgan grafik asosida amalga oshirishi kerak; </w:t>
      </w:r>
    </w:p>
    <w:p w14:paraId="786315B0"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sxemalarini yig’ish va o’lchash vositalarini ulash ishlarini amalga oshiriladi; </w:t>
      </w:r>
    </w:p>
    <w:p w14:paraId="0C440BEF"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sxemalari yig’ilganda kontaktlarning mustahkamligi va simlarning o’ralashib qolmaganligiga alohida ahamiyat berish kerak; </w:t>
      </w:r>
    </w:p>
    <w:p w14:paraId="298A8134"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sxemalari elektr tarmog’iga ulangandan so’ng, o’lchash yoki sinash vositasining boshqaruv elementlarini qo’llanmada talab etilgan holatda o’rnatiladi va sxemaga kuchlanish beriladi; </w:t>
      </w:r>
    </w:p>
    <w:p w14:paraId="418B7644"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Agar sxemada kondensator bo’lsa, uni o’chirilgandan so’ng chiqish simlarini qisqa tutashtirib, zaryadsizlantirib qo’yish zarur; </w:t>
      </w:r>
    </w:p>
    <w:p w14:paraId="1E44E865"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Agar ishni bajarish vaqtida o’lchash sxemasiga o’zgartirishlar kiritilishi kerak bo’lsa, avval sxema elektr tarmog’i manbaidan uziladi; </w:t>
      </w:r>
    </w:p>
    <w:p w14:paraId="54942E6D" w14:textId="77777777" w:rsidR="006C35EA" w:rsidRPr="006C35EA" w:rsidRDefault="006C35EA" w:rsidP="006C35EA">
      <w:pPr>
        <w:numPr>
          <w:ilvl w:val="0"/>
          <w:numId w:val="12"/>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Agar baxtsiz hodisa yuz bergan bo’lsa, o’lchash sxemasini tezda kuchlanish manbaidan uzib, jabrlanuvchiga birinchi yordam ko’rsatilishi kerak. </w:t>
      </w:r>
    </w:p>
    <w:p w14:paraId="6B2ABDE8" w14:textId="45BB15D8" w:rsidR="006C35EA" w:rsidRPr="006C35EA" w:rsidRDefault="006C35EA" w:rsidP="006C35EA">
      <w:pPr>
        <w:autoSpaceDE w:val="0"/>
        <w:autoSpaceDN w:val="0"/>
        <w:adjustRightInd w:val="0"/>
        <w:spacing w:after="0"/>
        <w:jc w:val="center"/>
        <w:rPr>
          <w:rFonts w:ascii="Times New Roman" w:eastAsia="Calibri" w:hAnsi="Times New Roman" w:cs="Times New Roman"/>
          <w:b/>
          <w:bCs/>
          <w:color w:val="000000"/>
          <w:sz w:val="28"/>
          <w:szCs w:val="28"/>
          <w:lang w:val="en-US"/>
        </w:rPr>
      </w:pPr>
      <w:r w:rsidRPr="006C35EA">
        <w:rPr>
          <w:rFonts w:ascii="Times New Roman" w:eastAsia="Calibri" w:hAnsi="Times New Roman" w:cs="Times New Roman"/>
          <w:b/>
          <w:bCs/>
          <w:color w:val="000000"/>
          <w:sz w:val="28"/>
          <w:szCs w:val="28"/>
          <w:lang w:val="en-US"/>
        </w:rPr>
        <w:lastRenderedPageBreak/>
        <w:t>Laboratoriya tekshiruvini amalga oshirish yuzasidan hisobot tuzish</w:t>
      </w:r>
    </w:p>
    <w:p w14:paraId="61C46670"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469ACBF3"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natijalari jadvalga kiritilganda o’nlik kasrdagi sonlarning kasr qismida ikkitadan ko’p bo’lmagan xona qoldiriladi, ya’ni yaxlitlanadi. </w:t>
      </w:r>
    </w:p>
    <w:p w14:paraId="3B8F0D62"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Natija va o’lchash xatoliklaridagi sonlar kasr xonalar soniga teng bo’lishi kerak.  </w:t>
      </w:r>
    </w:p>
    <w:p w14:paraId="7A0135D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Masalan: Agar o’lchash natijasi (14,385+0,</w:t>
      </w:r>
      <w:proofErr w:type="gramStart"/>
      <w:r w:rsidRPr="006C35EA">
        <w:rPr>
          <w:rFonts w:ascii="Times New Roman" w:eastAsia="Calibri" w:hAnsi="Times New Roman" w:cs="Times New Roman"/>
          <w:color w:val="000000"/>
          <w:sz w:val="28"/>
          <w:szCs w:val="28"/>
          <w:lang w:val="en-US"/>
        </w:rPr>
        <w:t>25 )</w:t>
      </w:r>
      <w:proofErr w:type="gramEnd"/>
      <w:r w:rsidRPr="006C35EA">
        <w:rPr>
          <w:rFonts w:ascii="Times New Roman" w:eastAsia="Calibri" w:hAnsi="Times New Roman" w:cs="Times New Roman"/>
          <w:color w:val="000000"/>
          <w:sz w:val="28"/>
          <w:szCs w:val="28"/>
          <w:lang w:val="en-US"/>
        </w:rPr>
        <w:t xml:space="preserve"> bo’lsa, (14,39±0,25) yoziladi. </w:t>
      </w:r>
    </w:p>
    <w:p w14:paraId="1B7BD074"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Agar o’lchash natijasi (8,721±0,</w:t>
      </w:r>
      <w:proofErr w:type="gramStart"/>
      <w:r w:rsidRPr="006C35EA">
        <w:rPr>
          <w:rFonts w:ascii="Times New Roman" w:eastAsia="Calibri" w:hAnsi="Times New Roman" w:cs="Times New Roman"/>
          <w:color w:val="000000"/>
          <w:sz w:val="28"/>
          <w:szCs w:val="28"/>
          <w:lang w:val="en-US"/>
        </w:rPr>
        <w:t>2 )</w:t>
      </w:r>
      <w:proofErr w:type="gramEnd"/>
      <w:r w:rsidRPr="006C35EA">
        <w:rPr>
          <w:rFonts w:ascii="Times New Roman" w:eastAsia="Calibri" w:hAnsi="Times New Roman" w:cs="Times New Roman"/>
          <w:color w:val="000000"/>
          <w:sz w:val="28"/>
          <w:szCs w:val="28"/>
          <w:lang w:val="en-US"/>
        </w:rPr>
        <w:t xml:space="preserve"> bo’lsa, (8,7±0,2 ) yoziladi. </w:t>
      </w:r>
    </w:p>
    <w:p w14:paraId="77F8A71D"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Har bir bajarilgan laboratoriya tekshiruvi uchun tekshiruvchi hisobot yozishi shart. Hisobot quyidagilardan iborat bo’ladi: </w:t>
      </w:r>
    </w:p>
    <w:p w14:paraId="192FED7D" w14:textId="77777777" w:rsidR="006C35EA" w:rsidRPr="006C35EA" w:rsidRDefault="006C35EA" w:rsidP="006C35EA">
      <w:pPr>
        <w:numPr>
          <w:ilvl w:val="0"/>
          <w:numId w:val="13"/>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Tekshirilayotgan vositaning nomi; </w:t>
      </w:r>
    </w:p>
    <w:p w14:paraId="5EB681E4" w14:textId="77777777" w:rsidR="006C35EA" w:rsidRPr="006C35EA" w:rsidRDefault="006C35EA" w:rsidP="006C35EA">
      <w:pPr>
        <w:numPr>
          <w:ilvl w:val="0"/>
          <w:numId w:val="13"/>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sxemaci va uning qisqa ta’rifi; </w:t>
      </w:r>
    </w:p>
    <w:p w14:paraId="1AA1EB7C" w14:textId="77777777" w:rsidR="006C35EA" w:rsidRPr="006C35EA" w:rsidRDefault="006C35EA" w:rsidP="006C35EA">
      <w:pPr>
        <w:numPr>
          <w:ilvl w:val="0"/>
          <w:numId w:val="13"/>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Bajarilgan ishining qisqa bayoni; </w:t>
      </w:r>
    </w:p>
    <w:p w14:paraId="50D3BDDA" w14:textId="77777777" w:rsidR="006C35EA" w:rsidRPr="006C35EA" w:rsidRDefault="006C35EA" w:rsidP="006C35EA">
      <w:pPr>
        <w:numPr>
          <w:ilvl w:val="0"/>
          <w:numId w:val="13"/>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O’lchash va hisoblash natijalari (jadvallar, grafiklar). </w:t>
      </w:r>
    </w:p>
    <w:p w14:paraId="66272ACF" w14:textId="77777777" w:rsidR="006C35EA" w:rsidRPr="006C35EA" w:rsidRDefault="006C35EA" w:rsidP="006C35EA">
      <w:pPr>
        <w:numPr>
          <w:ilvl w:val="0"/>
          <w:numId w:val="13"/>
        </w:numPr>
        <w:autoSpaceDE w:val="0"/>
        <w:autoSpaceDN w:val="0"/>
        <w:adjustRightInd w:val="0"/>
        <w:spacing w:after="0" w:line="259" w:lineRule="auto"/>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Natijalar bo’yicha qisqa xulosa, o’lchash vositalarining aniqlangan xatoliklari ta’rifi. Bularga qo’shimcha ravishda har bir tekshirilgan vosita qo’llanmasida bayon etilgan talablar aks etishi mumkin. </w:t>
      </w:r>
    </w:p>
    <w:p w14:paraId="07A24682"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77778DA3" w14:textId="5F58CF7E" w:rsidR="006C35EA" w:rsidRPr="006C35EA" w:rsidRDefault="006C35EA" w:rsidP="006C35EA">
      <w:pPr>
        <w:autoSpaceDE w:val="0"/>
        <w:autoSpaceDN w:val="0"/>
        <w:adjustRightInd w:val="0"/>
        <w:spacing w:after="0"/>
        <w:jc w:val="center"/>
        <w:rPr>
          <w:rFonts w:ascii="Times New Roman" w:eastAsia="Calibri" w:hAnsi="Times New Roman" w:cs="Times New Roman"/>
          <w:b/>
          <w:bCs/>
          <w:color w:val="000000"/>
          <w:sz w:val="28"/>
          <w:szCs w:val="28"/>
          <w:lang w:val="en-US"/>
        </w:rPr>
      </w:pPr>
      <w:r w:rsidRPr="006C35EA">
        <w:rPr>
          <w:rFonts w:ascii="Times New Roman" w:eastAsia="Calibri" w:hAnsi="Times New Roman" w:cs="Times New Roman"/>
          <w:b/>
          <w:bCs/>
          <w:color w:val="000000"/>
          <w:sz w:val="28"/>
          <w:szCs w:val="28"/>
          <w:lang w:val="en-US"/>
        </w:rPr>
        <w:t>Texnika xavfsizligi bo’yicha tavsiyalar</w:t>
      </w:r>
    </w:p>
    <w:p w14:paraId="4081B10F" w14:textId="77777777" w:rsidR="006C35EA" w:rsidRPr="006C35EA" w:rsidRDefault="006C35EA" w:rsidP="006C35EA">
      <w:pPr>
        <w:autoSpaceDE w:val="0"/>
        <w:autoSpaceDN w:val="0"/>
        <w:adjustRightInd w:val="0"/>
        <w:spacing w:after="0"/>
        <w:rPr>
          <w:rFonts w:ascii="Times New Roman" w:eastAsia="Calibri" w:hAnsi="Times New Roman" w:cs="Times New Roman"/>
          <w:b/>
          <w:bCs/>
          <w:color w:val="000000"/>
          <w:sz w:val="28"/>
          <w:szCs w:val="28"/>
          <w:lang w:val="en-US"/>
        </w:rPr>
      </w:pPr>
    </w:p>
    <w:p w14:paraId="4A72564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Laboratoriya tekshiruvini o’tkazish jarayonida quyidagi xavfsizlik qoidalariga amal qilish kerak: </w:t>
      </w:r>
    </w:p>
    <w:p w14:paraId="1F63D23C"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1. Ishni boshlashdan avval tarmoq kuchlanish manbai, uning ulanishi bilan tanishish kerak; </w:t>
      </w:r>
    </w:p>
    <w:p w14:paraId="5384FA5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2. O’lchash sxemalarini manbaaga ulaydigan kabel va simlarning izolyatsiyasida ochiq joylar yo’qligi tekshirib chiqilishi kerak; </w:t>
      </w:r>
    </w:p>
    <w:p w14:paraId="2F85FFA8"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3. O’lchash sxemasidagi barcha o’lchash vositalari o’z o’rniga mustahkam joylashtirilganligini tekshirib ko’rish kerak; </w:t>
      </w:r>
    </w:p>
    <w:p w14:paraId="42AD8E26"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4. O’lchash sxemasining klemmalarida kuchlanish borligini qo’lni tekkizib tekshirish qat’iyan ma’n etiladi. Bu ish faqat o’lchash vositalari yordamida amalga oshiriladi; </w:t>
      </w:r>
    </w:p>
    <w:p w14:paraId="1733118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5. Manbaaga ulab qo’yilgan o’lchash sxemasini qarovsiz tashlab ketish mumkin emas; </w:t>
      </w:r>
    </w:p>
    <w:p w14:paraId="1D34846C"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6. O’lchash sxemasidagi barcha o’zgarishlar va xato ulangan elementlarni to’g’rilash, sxemani manbaadan uzib qo’ygan holda amalga oshirilishi kerak; </w:t>
      </w:r>
    </w:p>
    <w:p w14:paraId="02C8D9F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7. O’lchash va sinash vositalari yerga ulangan bo’lishi shart. Buning uchun vositalarning «yer» klemmasi laboratoriyaning shinasiga ulab qo’yilishi kerak. </w:t>
      </w:r>
    </w:p>
    <w:p w14:paraId="6E5D703A"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t xml:space="preserve">8. Laboratoriya tekshiruvi yakunlangandan so’ng sxema manbaadan uzilib, so’ngra yig’ishtirilishi kerak. </w:t>
      </w:r>
    </w:p>
    <w:p w14:paraId="11A7491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sz w:val="28"/>
          <w:szCs w:val="28"/>
          <w:lang w:val="en-US"/>
        </w:rPr>
      </w:pPr>
      <w:r w:rsidRPr="006C35EA">
        <w:rPr>
          <w:rFonts w:ascii="Times New Roman" w:eastAsia="Calibri" w:hAnsi="Times New Roman" w:cs="Times New Roman"/>
          <w:sz w:val="28"/>
          <w:szCs w:val="28"/>
          <w:lang w:val="en-US"/>
        </w:rPr>
        <w:lastRenderedPageBreak/>
        <w:t xml:space="preserve">9. Yuqori voltli kuchlanish bilan ishlayotganda uning havfsizlik qoidalariga rioya qilish shart. </w:t>
      </w:r>
    </w:p>
    <w:p w14:paraId="59AB2CF3"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16E85852" w14:textId="77777777" w:rsidR="006C35EA" w:rsidRPr="006C35EA" w:rsidRDefault="006C35EA" w:rsidP="006C35EA">
      <w:pPr>
        <w:autoSpaceDE w:val="0"/>
        <w:autoSpaceDN w:val="0"/>
        <w:adjustRightInd w:val="0"/>
        <w:spacing w:after="0"/>
        <w:jc w:val="both"/>
        <w:rPr>
          <w:rFonts w:ascii="Times New Roman" w:eastAsia="Calibri" w:hAnsi="Times New Roman" w:cs="Times New Roman"/>
          <w:color w:val="000000"/>
          <w:sz w:val="28"/>
          <w:szCs w:val="28"/>
          <w:lang w:val="en-US"/>
        </w:rPr>
      </w:pPr>
    </w:p>
    <w:p w14:paraId="6A9106CC" w14:textId="056D8DC7" w:rsidR="006C35EA" w:rsidRDefault="006C35EA" w:rsidP="006C35EA">
      <w:pPr>
        <w:autoSpaceDE w:val="0"/>
        <w:autoSpaceDN w:val="0"/>
        <w:adjustRightInd w:val="0"/>
        <w:spacing w:after="0"/>
        <w:jc w:val="center"/>
        <w:rPr>
          <w:rFonts w:ascii="Times New Roman" w:eastAsia="Calibri" w:hAnsi="Times New Roman" w:cs="Times New Roman"/>
          <w:b/>
          <w:color w:val="000000"/>
          <w:sz w:val="28"/>
          <w:szCs w:val="28"/>
          <w:lang w:val="en-US"/>
        </w:rPr>
      </w:pPr>
      <w:r w:rsidRPr="006C35EA">
        <w:rPr>
          <w:rFonts w:ascii="Times New Roman" w:eastAsia="Calibri" w:hAnsi="Times New Roman" w:cs="Times New Roman"/>
          <w:b/>
          <w:color w:val="000000"/>
          <w:sz w:val="28"/>
          <w:szCs w:val="28"/>
          <w:lang w:val="en-US"/>
        </w:rPr>
        <w:t xml:space="preserve">Ta’mirlash va texnik xizmat </w:t>
      </w:r>
      <w:proofErr w:type="gramStart"/>
      <w:r w:rsidRPr="006C35EA">
        <w:rPr>
          <w:rFonts w:ascii="Times New Roman" w:eastAsia="Calibri" w:hAnsi="Times New Roman" w:cs="Times New Roman"/>
          <w:b/>
          <w:color w:val="000000"/>
          <w:sz w:val="28"/>
          <w:szCs w:val="28"/>
          <w:lang w:val="en-US"/>
        </w:rPr>
        <w:t>ko‘</w:t>
      </w:r>
      <w:proofErr w:type="gramEnd"/>
      <w:r w:rsidRPr="006C35EA">
        <w:rPr>
          <w:rFonts w:ascii="Times New Roman" w:eastAsia="Calibri" w:hAnsi="Times New Roman" w:cs="Times New Roman"/>
          <w:b/>
          <w:color w:val="000000"/>
          <w:sz w:val="28"/>
          <w:szCs w:val="28"/>
          <w:lang w:val="en-US"/>
        </w:rPr>
        <w:t>rsatish ishlarini amalga oshirishda xavfsizlikning umumiy talablari.</w:t>
      </w:r>
    </w:p>
    <w:p w14:paraId="56E4B27B" w14:textId="77777777" w:rsidR="00015DED" w:rsidRPr="006C35EA" w:rsidRDefault="00015DED" w:rsidP="006C35EA">
      <w:pPr>
        <w:autoSpaceDE w:val="0"/>
        <w:autoSpaceDN w:val="0"/>
        <w:adjustRightInd w:val="0"/>
        <w:spacing w:after="0"/>
        <w:jc w:val="center"/>
        <w:rPr>
          <w:rFonts w:ascii="Times New Roman" w:eastAsia="Calibri" w:hAnsi="Times New Roman" w:cs="Times New Roman"/>
          <w:b/>
          <w:color w:val="000000"/>
          <w:sz w:val="28"/>
          <w:szCs w:val="28"/>
          <w:lang w:val="en-US"/>
        </w:rPr>
      </w:pPr>
    </w:p>
    <w:p w14:paraId="58BEA51D"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1. Asbob-uskunalarni ta’mirlash xizmati asbob-uskunalarning mehnat xavfsizligi standartlari tizimi, ularning pasportlari, texnik yuriqnomalari va ishlab chiqaruvchi zavodning boshqa hujjatlarining talablariga mosligini ta’minlashi lozim.</w:t>
      </w:r>
    </w:p>
    <w:p w14:paraId="24D11DAE"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2. Asbob-uskunalarni zarur texnik holatda saqlab turish uchun tashkilotda unga xizmat </w:t>
      </w:r>
      <w:proofErr w:type="gramStart"/>
      <w:r w:rsidRPr="006C35EA">
        <w:rPr>
          <w:rFonts w:ascii="Times New Roman" w:eastAsia="Calibri" w:hAnsi="Times New Roman" w:cs="Times New Roman"/>
          <w:color w:val="000000"/>
          <w:sz w:val="28"/>
          <w:szCs w:val="28"/>
          <w:lang w:val="en-US"/>
        </w:rPr>
        <w:t>ko‘</w:t>
      </w:r>
      <w:proofErr w:type="gramEnd"/>
      <w:r w:rsidRPr="006C35EA">
        <w:rPr>
          <w:rFonts w:ascii="Times New Roman" w:eastAsia="Calibri" w:hAnsi="Times New Roman" w:cs="Times New Roman"/>
          <w:color w:val="000000"/>
          <w:sz w:val="28"/>
          <w:szCs w:val="28"/>
          <w:lang w:val="en-US"/>
        </w:rPr>
        <w:t>rsatishni yaxshilash, rejaviy-oldini oluvchi ta’mirlashni bajarilishi va ta’mirlash ishlarining sifatini yaxshilash bo‘yicha choralar ko‘rilishi lozim.</w:t>
      </w:r>
    </w:p>
    <w:p w14:paraId="056C756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3. Barcha hollarda ta’mirlash ishlarining bajarilish tartibi va usullari bu ishlarga mas’ul rahbar bilan kelishilishi lozim.</w:t>
      </w:r>
    </w:p>
    <w:p w14:paraId="2CDFC38F"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4. Asbob-uskunalarni ta’mirlash va unga texnik xizmat </w:t>
      </w:r>
      <w:proofErr w:type="gramStart"/>
      <w:r w:rsidRPr="006C35EA">
        <w:rPr>
          <w:rFonts w:ascii="Times New Roman" w:eastAsia="Calibri" w:hAnsi="Times New Roman" w:cs="Times New Roman"/>
          <w:color w:val="000000"/>
          <w:sz w:val="28"/>
          <w:szCs w:val="28"/>
          <w:lang w:val="en-US"/>
        </w:rPr>
        <w:t>ko‘</w:t>
      </w:r>
      <w:proofErr w:type="gramEnd"/>
      <w:r w:rsidRPr="006C35EA">
        <w:rPr>
          <w:rFonts w:ascii="Times New Roman" w:eastAsia="Calibri" w:hAnsi="Times New Roman" w:cs="Times New Roman"/>
          <w:color w:val="000000"/>
          <w:sz w:val="28"/>
          <w:szCs w:val="28"/>
          <w:lang w:val="en-US"/>
        </w:rPr>
        <w:t>rsatishda ish joyini tayyorlash uchun quyidagi tadbirlar bajarilishi lozim.</w:t>
      </w:r>
    </w:p>
    <w:p w14:paraId="1F5E1D1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5. Tok manbaidan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chirilgan bo‘lishi hamda extiyotsizlik tufayli yoki o‘z- o‘zidan ishlab ketishining oldini olish.</w:t>
      </w:r>
    </w:p>
    <w:p w14:paraId="788DE007"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6. Boshqarish tizimiga «Ulanmasin, odamlar </w:t>
      </w:r>
      <w:proofErr w:type="gramStart"/>
      <w:r w:rsidRPr="006C35EA">
        <w:rPr>
          <w:rFonts w:ascii="Times New Roman" w:eastAsia="Calibri" w:hAnsi="Times New Roman" w:cs="Times New Roman"/>
          <w:color w:val="000000"/>
          <w:sz w:val="28"/>
          <w:szCs w:val="28"/>
          <w:lang w:val="en-US"/>
        </w:rPr>
        <w:t>ishlamokda!»</w:t>
      </w:r>
      <w:proofErr w:type="gramEnd"/>
      <w:r w:rsidRPr="006C35EA">
        <w:rPr>
          <w:rFonts w:ascii="Times New Roman" w:eastAsia="Calibri" w:hAnsi="Times New Roman" w:cs="Times New Roman"/>
          <w:color w:val="000000"/>
          <w:sz w:val="28"/>
          <w:szCs w:val="28"/>
          <w:lang w:val="en-US"/>
        </w:rPr>
        <w:t xml:space="preserve"> degan taqiqlovchi belgilarni osib qo‘yish va zarurat bo‘lganida to‘siqlar qo‘yish.</w:t>
      </w:r>
    </w:p>
    <w:p w14:paraId="75D857FD"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7. Ish boshlash oldidan tok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tuvchi qismlarda kuchlanishning yo‘qligini kuchlanishni ko‘rsatuvchi asbob yoki olib yuriladigan voltmetr yordamida tekshirib ko‘rish kerak.</w:t>
      </w:r>
    </w:p>
    <w:p w14:paraId="07B47109"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8. Ta’mirlash ishlari boshlanishidan avval, ta’mirlashda band </w:t>
      </w:r>
      <w:proofErr w:type="gramStart"/>
      <w:r w:rsidRPr="006C35EA">
        <w:rPr>
          <w:rFonts w:ascii="Times New Roman" w:eastAsia="Calibri" w:hAnsi="Times New Roman" w:cs="Times New Roman"/>
          <w:color w:val="000000"/>
          <w:sz w:val="28"/>
          <w:szCs w:val="28"/>
          <w:lang w:val="en-US"/>
        </w:rPr>
        <w:t>bo‘</w:t>
      </w:r>
      <w:proofErr w:type="gramEnd"/>
      <w:r w:rsidRPr="006C35EA">
        <w:rPr>
          <w:rFonts w:ascii="Times New Roman" w:eastAsia="Calibri" w:hAnsi="Times New Roman" w:cs="Times New Roman"/>
          <w:color w:val="000000"/>
          <w:sz w:val="28"/>
          <w:szCs w:val="28"/>
          <w:lang w:val="en-US"/>
        </w:rPr>
        <w:t>lgan barcha xodimlar ishlarni tashkil etish loyihasi bilan tanishtirilishi va ta’mirlash ishlarini bajarish paytida xavfsizlik choralariga rioya qilish bo‘yicha yul-yuriqdan o‘tkazilishi lozim.</w:t>
      </w:r>
    </w:p>
    <w:p w14:paraId="30611DF1"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9. Ta’mirlashda band </w:t>
      </w:r>
      <w:proofErr w:type="gramStart"/>
      <w:r w:rsidRPr="006C35EA">
        <w:rPr>
          <w:rFonts w:ascii="Times New Roman" w:eastAsia="Calibri" w:hAnsi="Times New Roman" w:cs="Times New Roman"/>
          <w:color w:val="000000"/>
          <w:sz w:val="28"/>
          <w:szCs w:val="28"/>
          <w:lang w:val="en-US"/>
        </w:rPr>
        <w:t>bo‘</w:t>
      </w:r>
      <w:proofErr w:type="gramEnd"/>
      <w:r w:rsidRPr="006C35EA">
        <w:rPr>
          <w:rFonts w:ascii="Times New Roman" w:eastAsia="Calibri" w:hAnsi="Times New Roman" w:cs="Times New Roman"/>
          <w:color w:val="000000"/>
          <w:sz w:val="28"/>
          <w:szCs w:val="28"/>
          <w:lang w:val="en-US"/>
        </w:rPr>
        <w:t>lgan xodimlar belgilangan me’yorlar bo‘yicha maxsus kiyim, poyabzal va himoya vositalari bilan ta’minlanishi lozim.</w:t>
      </w:r>
    </w:p>
    <w:p w14:paraId="18C67ED2"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10. </w:t>
      </w:r>
      <w:proofErr w:type="gramStart"/>
      <w:r w:rsidRPr="006C35EA">
        <w:rPr>
          <w:rFonts w:ascii="Times New Roman" w:eastAsia="Calibri" w:hAnsi="Times New Roman" w:cs="Times New Roman"/>
          <w:color w:val="000000"/>
          <w:sz w:val="28"/>
          <w:szCs w:val="28"/>
          <w:lang w:val="en-US"/>
        </w:rPr>
        <w:t>Og‘</w:t>
      </w:r>
      <w:proofErr w:type="gramEnd"/>
      <w:r w:rsidRPr="006C35EA">
        <w:rPr>
          <w:rFonts w:ascii="Times New Roman" w:eastAsia="Calibri" w:hAnsi="Times New Roman" w:cs="Times New Roman"/>
          <w:color w:val="000000"/>
          <w:sz w:val="28"/>
          <w:szCs w:val="28"/>
          <w:lang w:val="en-US"/>
        </w:rPr>
        <w:t>ir yuklarni joyidan ko‘chirish ishlari yuk ortish va tushirish ishlari uchun javobgar shaxslarning ruxsati bilan bajarilishi shart.</w:t>
      </w:r>
    </w:p>
    <w:p w14:paraId="11FBF0B8"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11. Nosoz yuk </w:t>
      </w:r>
      <w:proofErr w:type="gramStart"/>
      <w:r w:rsidRPr="006C35EA">
        <w:rPr>
          <w:rFonts w:ascii="Times New Roman" w:eastAsia="Calibri" w:hAnsi="Times New Roman" w:cs="Times New Roman"/>
          <w:color w:val="000000"/>
          <w:sz w:val="28"/>
          <w:szCs w:val="28"/>
          <w:lang w:val="en-US"/>
        </w:rPr>
        <w:t>ko‘</w:t>
      </w:r>
      <w:proofErr w:type="gramEnd"/>
      <w:r w:rsidRPr="006C35EA">
        <w:rPr>
          <w:rFonts w:ascii="Times New Roman" w:eastAsia="Calibri" w:hAnsi="Times New Roman" w:cs="Times New Roman"/>
          <w:color w:val="000000"/>
          <w:sz w:val="28"/>
          <w:szCs w:val="28"/>
          <w:lang w:val="en-US"/>
        </w:rPr>
        <w:t>taruvchi mexanizm va moslamalarda, shuningdek shahodatlangan muddati tugagan mexanizmlarda ishlash taqiqlanadi.</w:t>
      </w:r>
    </w:p>
    <w:p w14:paraId="094E7FB0" w14:textId="6BC1FA98" w:rsidR="006C35EA" w:rsidRPr="006C35EA" w:rsidRDefault="00CB5573"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Pr>
          <w:rFonts w:ascii="Times New Roman" w:eastAsia="Calibri" w:hAnsi="Times New Roman" w:cs="Times New Roman"/>
          <w:color w:val="000000"/>
          <w:sz w:val="28"/>
          <w:szCs w:val="28"/>
          <w:lang w:val="en-US"/>
        </w:rPr>
        <w:t>12. Ye</w:t>
      </w:r>
      <w:r w:rsidR="006C35EA" w:rsidRPr="006C35EA">
        <w:rPr>
          <w:rFonts w:ascii="Times New Roman" w:eastAsia="Calibri" w:hAnsi="Times New Roman" w:cs="Times New Roman"/>
          <w:color w:val="000000"/>
          <w:sz w:val="28"/>
          <w:szCs w:val="28"/>
          <w:lang w:val="en-US"/>
        </w:rPr>
        <w:t xml:space="preserve">chib olingan agregatlar, detallar va metall konstruksiyalar yi- rishtirib </w:t>
      </w:r>
      <w:proofErr w:type="gramStart"/>
      <w:r w:rsidR="006C35EA" w:rsidRPr="006C35EA">
        <w:rPr>
          <w:rFonts w:ascii="Times New Roman" w:eastAsia="Calibri" w:hAnsi="Times New Roman" w:cs="Times New Roman"/>
          <w:color w:val="000000"/>
          <w:sz w:val="28"/>
          <w:szCs w:val="28"/>
          <w:lang w:val="en-US"/>
        </w:rPr>
        <w:t>qo‘</w:t>
      </w:r>
      <w:proofErr w:type="gramEnd"/>
      <w:r w:rsidR="006C35EA" w:rsidRPr="006C35EA">
        <w:rPr>
          <w:rFonts w:ascii="Times New Roman" w:eastAsia="Calibri" w:hAnsi="Times New Roman" w:cs="Times New Roman"/>
          <w:color w:val="000000"/>
          <w:sz w:val="28"/>
          <w:szCs w:val="28"/>
          <w:lang w:val="en-US"/>
        </w:rPr>
        <w:t>yilishi lozim.</w:t>
      </w:r>
    </w:p>
    <w:p w14:paraId="2385494C"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13. Ta’mirlash paytida ish joylarini, yullarni, </w:t>
      </w:r>
      <w:proofErr w:type="gramStart"/>
      <w:r w:rsidRPr="006C35EA">
        <w:rPr>
          <w:rFonts w:ascii="Times New Roman" w:eastAsia="Calibri" w:hAnsi="Times New Roman" w:cs="Times New Roman"/>
          <w:color w:val="000000"/>
          <w:sz w:val="28"/>
          <w:szCs w:val="28"/>
          <w:lang w:val="en-US"/>
        </w:rPr>
        <w:t>yo‘</w:t>
      </w:r>
      <w:proofErr w:type="gramEnd"/>
      <w:r w:rsidRPr="006C35EA">
        <w:rPr>
          <w:rFonts w:ascii="Times New Roman" w:eastAsia="Calibri" w:hAnsi="Times New Roman" w:cs="Times New Roman"/>
          <w:color w:val="000000"/>
          <w:sz w:val="28"/>
          <w:szCs w:val="28"/>
          <w:lang w:val="en-US"/>
        </w:rPr>
        <w:t>laklarni va zinapoyalarni turli narsalar bilan to‘sib qo‘yish taqiqlanadi.</w:t>
      </w:r>
    </w:p>
    <w:p w14:paraId="4B59B197"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lastRenderedPageBreak/>
        <w:t xml:space="preserve">14. Ta’mirlash ishlari balandlikda bajarilayotganda havoza va taxta tushamalarning </w:t>
      </w:r>
      <w:proofErr w:type="gramStart"/>
      <w:r w:rsidRPr="006C35EA">
        <w:rPr>
          <w:rFonts w:ascii="Times New Roman" w:eastAsia="Calibri" w:hAnsi="Times New Roman" w:cs="Times New Roman"/>
          <w:color w:val="000000"/>
          <w:sz w:val="28"/>
          <w:szCs w:val="28"/>
          <w:lang w:val="en-US"/>
        </w:rPr>
        <w:t>o‘</w:t>
      </w:r>
      <w:proofErr w:type="gramEnd"/>
      <w:r w:rsidRPr="006C35EA">
        <w:rPr>
          <w:rFonts w:ascii="Times New Roman" w:eastAsia="Calibri" w:hAnsi="Times New Roman" w:cs="Times New Roman"/>
          <w:color w:val="000000"/>
          <w:sz w:val="28"/>
          <w:szCs w:val="28"/>
          <w:lang w:val="en-US"/>
        </w:rPr>
        <w:t>rnatilishi xavfsizlik talablariga javob berishi hamda xodimlar kamarlar va arqonlardan foydalanishlari shart.</w:t>
      </w:r>
    </w:p>
    <w:p w14:paraId="4AFEC48C"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15. Barcha ta’mirlash ishlari tashkilot rahbari tomonidan tayinlangan shaxslarning rahbarligi va nazorati ostida bajarilishi lozim.</w:t>
      </w:r>
    </w:p>
    <w:p w14:paraId="2AC70EC5"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16. Ta’mirlash ishlari tugagach, barcha keraksiz konstruksiyalar, us- kunalar, materiallar, asboblar va chiqindilar olib ketilishi hamda </w:t>
      </w:r>
      <w:proofErr w:type="gramStart"/>
      <w:r w:rsidRPr="006C35EA">
        <w:rPr>
          <w:rFonts w:ascii="Times New Roman" w:eastAsia="Calibri" w:hAnsi="Times New Roman" w:cs="Times New Roman"/>
          <w:color w:val="000000"/>
          <w:sz w:val="28"/>
          <w:szCs w:val="28"/>
          <w:lang w:val="en-US"/>
        </w:rPr>
        <w:t>to‘</w:t>
      </w:r>
      <w:proofErr w:type="gramEnd"/>
      <w:r w:rsidRPr="006C35EA">
        <w:rPr>
          <w:rFonts w:ascii="Times New Roman" w:eastAsia="Calibri" w:hAnsi="Times New Roman" w:cs="Times New Roman"/>
          <w:color w:val="000000"/>
          <w:sz w:val="28"/>
          <w:szCs w:val="28"/>
          <w:lang w:val="en-US"/>
        </w:rPr>
        <w:t>siklar, saqlovchi moslamalar va blokirovkalar o‘z joyiga o‘rnatilishi lozim.</w:t>
      </w:r>
    </w:p>
    <w:p w14:paraId="318E623A"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17. Asbob-uskunalarni davriy </w:t>
      </w:r>
      <w:proofErr w:type="gramStart"/>
      <w:r w:rsidRPr="006C35EA">
        <w:rPr>
          <w:rFonts w:ascii="Times New Roman" w:eastAsia="Calibri" w:hAnsi="Times New Roman" w:cs="Times New Roman"/>
          <w:color w:val="000000"/>
          <w:sz w:val="28"/>
          <w:szCs w:val="28"/>
          <w:lang w:val="en-US"/>
        </w:rPr>
        <w:t>ko‘</w:t>
      </w:r>
      <w:proofErr w:type="gramEnd"/>
      <w:r w:rsidRPr="006C35EA">
        <w:rPr>
          <w:rFonts w:ascii="Times New Roman" w:eastAsia="Calibri" w:hAnsi="Times New Roman" w:cs="Times New Roman"/>
          <w:color w:val="000000"/>
          <w:sz w:val="28"/>
          <w:szCs w:val="28"/>
          <w:lang w:val="en-US"/>
        </w:rPr>
        <w:t>rikdan o‘tkazish ishlari tashkilotning ta’mirlash xizmati tomonidan muhandis-texnik xodimning rahbarligi ostida o‘tkazilishi lozim.</w:t>
      </w:r>
    </w:p>
    <w:p w14:paraId="3E5B0990"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 xml:space="preserve">18. </w:t>
      </w:r>
      <w:proofErr w:type="gramStart"/>
      <w:r w:rsidRPr="006C35EA">
        <w:rPr>
          <w:rFonts w:ascii="Times New Roman" w:eastAsia="Calibri" w:hAnsi="Times New Roman" w:cs="Times New Roman"/>
          <w:color w:val="000000"/>
          <w:sz w:val="28"/>
          <w:szCs w:val="28"/>
          <w:lang w:val="en-US"/>
        </w:rPr>
        <w:t>Ko‘</w:t>
      </w:r>
      <w:proofErr w:type="gramEnd"/>
      <w:r w:rsidRPr="006C35EA">
        <w:rPr>
          <w:rFonts w:ascii="Times New Roman" w:eastAsia="Calibri" w:hAnsi="Times New Roman" w:cs="Times New Roman"/>
          <w:color w:val="000000"/>
          <w:sz w:val="28"/>
          <w:szCs w:val="28"/>
          <w:lang w:val="en-US"/>
        </w:rPr>
        <w:t>rikdan o‘tkazish paytida asbob-uskunalarni ishlashida nuqsonlar topilsa, ularning sababini aniqlash va bartaraf qilish uchun darhol to‘xtatilishi lozim.</w:t>
      </w:r>
    </w:p>
    <w:p w14:paraId="458A9F85" w14:textId="3AFDF5D2" w:rsidR="006C35EA" w:rsidRPr="006C35EA" w:rsidRDefault="000557B4"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Pr>
          <w:rFonts w:ascii="Times New Roman" w:eastAsia="Calibri" w:hAnsi="Times New Roman" w:cs="Times New Roman"/>
          <w:color w:val="000000"/>
          <w:sz w:val="28"/>
          <w:szCs w:val="28"/>
          <w:lang w:val="en-US"/>
        </w:rPr>
        <w:t>19. Ya</w:t>
      </w:r>
      <w:r w:rsidR="006C35EA" w:rsidRPr="006C35EA">
        <w:rPr>
          <w:rFonts w:ascii="Times New Roman" w:eastAsia="Calibri" w:hAnsi="Times New Roman" w:cs="Times New Roman"/>
          <w:color w:val="000000"/>
          <w:sz w:val="28"/>
          <w:szCs w:val="28"/>
          <w:lang w:val="en-US"/>
        </w:rPr>
        <w:t xml:space="preserve">ngi ishga tushirilayotgan asbob-uskunalarni xavfsizlik talablariga mosligini ta’minlash </w:t>
      </w:r>
      <w:proofErr w:type="gramStart"/>
      <w:r w:rsidR="006C35EA" w:rsidRPr="006C35EA">
        <w:rPr>
          <w:rFonts w:ascii="Times New Roman" w:eastAsia="Calibri" w:hAnsi="Times New Roman" w:cs="Times New Roman"/>
          <w:color w:val="000000"/>
          <w:sz w:val="28"/>
          <w:szCs w:val="28"/>
          <w:lang w:val="en-US"/>
        </w:rPr>
        <w:t>bo‘</w:t>
      </w:r>
      <w:proofErr w:type="gramEnd"/>
      <w:r w:rsidR="006C35EA" w:rsidRPr="006C35EA">
        <w:rPr>
          <w:rFonts w:ascii="Times New Roman" w:eastAsia="Calibri" w:hAnsi="Times New Roman" w:cs="Times New Roman"/>
          <w:color w:val="000000"/>
          <w:sz w:val="28"/>
          <w:szCs w:val="28"/>
          <w:lang w:val="en-US"/>
        </w:rPr>
        <w:t>yicha quyidagilar amalga oshirilishi lozim.</w:t>
      </w:r>
    </w:p>
    <w:p w14:paraId="721692B8" w14:textId="2AEB9245" w:rsidR="006C35EA" w:rsidRPr="006C35EA" w:rsidRDefault="000557B4"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Pr>
          <w:rFonts w:ascii="Times New Roman" w:eastAsia="Calibri" w:hAnsi="Times New Roman" w:cs="Times New Roman"/>
          <w:color w:val="000000"/>
          <w:sz w:val="28"/>
          <w:szCs w:val="28"/>
          <w:lang w:val="en-US"/>
        </w:rPr>
        <w:t>20. I</w:t>
      </w:r>
      <w:bookmarkStart w:id="0" w:name="_GoBack"/>
      <w:bookmarkEnd w:id="0"/>
      <w:r w:rsidR="006C35EA" w:rsidRPr="006C35EA">
        <w:rPr>
          <w:rFonts w:ascii="Times New Roman" w:eastAsia="Calibri" w:hAnsi="Times New Roman" w:cs="Times New Roman"/>
          <w:color w:val="000000"/>
          <w:sz w:val="28"/>
          <w:szCs w:val="28"/>
          <w:lang w:val="en-US"/>
        </w:rPr>
        <w:t xml:space="preserve">shga tushirish-sozlash ishlaridan </w:t>
      </w:r>
      <w:proofErr w:type="gramStart"/>
      <w:r w:rsidR="006C35EA" w:rsidRPr="006C35EA">
        <w:rPr>
          <w:rFonts w:ascii="Times New Roman" w:eastAsia="Calibri" w:hAnsi="Times New Roman" w:cs="Times New Roman"/>
          <w:color w:val="000000"/>
          <w:sz w:val="28"/>
          <w:szCs w:val="28"/>
          <w:lang w:val="en-US"/>
        </w:rPr>
        <w:t>so‘</w:t>
      </w:r>
      <w:proofErr w:type="gramEnd"/>
      <w:r w:rsidR="006C35EA" w:rsidRPr="006C35EA">
        <w:rPr>
          <w:rFonts w:ascii="Times New Roman" w:eastAsia="Calibri" w:hAnsi="Times New Roman" w:cs="Times New Roman"/>
          <w:color w:val="000000"/>
          <w:sz w:val="28"/>
          <w:szCs w:val="28"/>
          <w:lang w:val="en-US"/>
        </w:rPr>
        <w:t>ng tashkilot rahbari (rahbar o‘rinbosari), mehnat muhofazasi xizmati vakili, bosh mutaxassislardan iborat komissiya tomonidan uskunaning mehnat xavfsizligi standartlari va ushbu laboratoriya asbob-uskunalariga taallukli boshqa normativ texnik hujjatlarning talablariga mosligini tekshirishi.</w:t>
      </w:r>
    </w:p>
    <w:p w14:paraId="6707A224" w14:textId="77777777" w:rsidR="006C35EA" w:rsidRPr="006C35EA" w:rsidRDefault="006C35EA" w:rsidP="006C35EA">
      <w:pPr>
        <w:autoSpaceDE w:val="0"/>
        <w:autoSpaceDN w:val="0"/>
        <w:adjustRightInd w:val="0"/>
        <w:spacing w:after="0"/>
        <w:ind w:firstLine="708"/>
        <w:jc w:val="both"/>
        <w:rPr>
          <w:rFonts w:ascii="Times New Roman" w:eastAsia="Calibri" w:hAnsi="Times New Roman" w:cs="Times New Roman"/>
          <w:color w:val="000000"/>
          <w:sz w:val="28"/>
          <w:szCs w:val="28"/>
          <w:lang w:val="en-US"/>
        </w:rPr>
      </w:pPr>
      <w:r w:rsidRPr="006C35EA">
        <w:rPr>
          <w:rFonts w:ascii="Times New Roman" w:eastAsia="Calibri" w:hAnsi="Times New Roman" w:cs="Times New Roman"/>
          <w:color w:val="000000"/>
          <w:sz w:val="28"/>
          <w:szCs w:val="28"/>
          <w:lang w:val="en-US"/>
        </w:rPr>
        <w:t>21. Aniqlangan kamchiliklar bartaraf etilgach, tibbiyot texnikasi takroran komissiyaga qabul qilish uchun taqdim etilishi.</w:t>
      </w:r>
    </w:p>
    <w:p w14:paraId="04E405EA" w14:textId="2AE41E50" w:rsidR="006C35EA" w:rsidRPr="006C35EA" w:rsidRDefault="006C35EA" w:rsidP="006C35EA">
      <w:pPr>
        <w:spacing w:after="0"/>
        <w:ind w:firstLine="708"/>
        <w:jc w:val="both"/>
        <w:rPr>
          <w:rFonts w:ascii="Times New Roman" w:hAnsi="Times New Roman" w:cs="Times New Roman"/>
          <w:b/>
          <w:sz w:val="28"/>
          <w:szCs w:val="28"/>
          <w:lang w:val="en-US"/>
        </w:rPr>
      </w:pPr>
      <w:r w:rsidRPr="006C35EA">
        <w:rPr>
          <w:rFonts w:ascii="Times New Roman" w:eastAsia="Calibri" w:hAnsi="Times New Roman" w:cs="Times New Roman"/>
          <w:noProof/>
          <w:sz w:val="28"/>
          <w:szCs w:val="28"/>
          <w:lang w:val="en-US"/>
        </w:rPr>
        <w:t>22. Qabul qilish tugagach, tibbiyot texnikasini foydalanishga topshirish dalolatnomasi tuzilishilozim.</w:t>
      </w:r>
    </w:p>
    <w:p w14:paraId="089EFCEC" w14:textId="77777777" w:rsidR="00FF6738" w:rsidRPr="006C35EA" w:rsidRDefault="00FF6738" w:rsidP="00B87E92">
      <w:pPr>
        <w:spacing w:after="0"/>
        <w:jc w:val="center"/>
        <w:rPr>
          <w:rFonts w:ascii="Times New Roman" w:hAnsi="Times New Roman" w:cs="Times New Roman"/>
          <w:b/>
          <w:sz w:val="28"/>
          <w:szCs w:val="28"/>
          <w:lang w:val="en-US"/>
        </w:rPr>
      </w:pPr>
    </w:p>
    <w:p w14:paraId="0CF5649D" w14:textId="1B746484" w:rsidR="00AD41AD" w:rsidRPr="006C35EA" w:rsidRDefault="00AD41AD" w:rsidP="00B87E92">
      <w:pPr>
        <w:pStyle w:val="Default"/>
        <w:spacing w:line="276" w:lineRule="auto"/>
        <w:ind w:firstLine="708"/>
        <w:jc w:val="both"/>
        <w:rPr>
          <w:color w:val="auto"/>
          <w:sz w:val="28"/>
          <w:szCs w:val="28"/>
          <w:lang w:val="en-US"/>
        </w:rPr>
      </w:pPr>
    </w:p>
    <w:p w14:paraId="5B40DECA" w14:textId="77777777" w:rsidR="006C35EA" w:rsidRPr="006C35EA" w:rsidRDefault="006C35EA" w:rsidP="00B87E92">
      <w:pPr>
        <w:pStyle w:val="Default"/>
        <w:spacing w:line="276" w:lineRule="auto"/>
        <w:ind w:firstLine="708"/>
        <w:jc w:val="both"/>
        <w:rPr>
          <w:color w:val="auto"/>
          <w:sz w:val="28"/>
          <w:szCs w:val="28"/>
          <w:lang w:val="en-US"/>
        </w:rPr>
      </w:pPr>
    </w:p>
    <w:p w14:paraId="4BFA8289" w14:textId="646EAB0B" w:rsidR="00AD41AD" w:rsidRPr="006C35EA" w:rsidRDefault="00AD41AD" w:rsidP="00B87E92">
      <w:pPr>
        <w:pStyle w:val="Default"/>
        <w:spacing w:line="276" w:lineRule="auto"/>
        <w:ind w:firstLine="708"/>
        <w:jc w:val="both"/>
        <w:rPr>
          <w:color w:val="auto"/>
          <w:sz w:val="28"/>
          <w:szCs w:val="28"/>
          <w:lang w:val="en-US"/>
        </w:rPr>
      </w:pPr>
    </w:p>
    <w:p w14:paraId="04A4A6B5" w14:textId="3B9C1BD6" w:rsidR="00AD41AD" w:rsidRPr="006C35EA" w:rsidRDefault="00AD41AD" w:rsidP="00B87E92">
      <w:pPr>
        <w:pStyle w:val="Default"/>
        <w:spacing w:line="276" w:lineRule="auto"/>
        <w:ind w:firstLine="708"/>
        <w:jc w:val="both"/>
        <w:rPr>
          <w:color w:val="auto"/>
          <w:sz w:val="28"/>
          <w:szCs w:val="28"/>
          <w:lang w:val="en-US"/>
        </w:rPr>
      </w:pPr>
    </w:p>
    <w:p w14:paraId="6EE4AF6A" w14:textId="562A6B12" w:rsidR="00AD41AD" w:rsidRPr="006C35EA" w:rsidRDefault="00AD41AD" w:rsidP="00B87E92">
      <w:pPr>
        <w:pStyle w:val="Default"/>
        <w:spacing w:line="276" w:lineRule="auto"/>
        <w:ind w:firstLine="708"/>
        <w:jc w:val="both"/>
        <w:rPr>
          <w:color w:val="auto"/>
          <w:sz w:val="28"/>
          <w:szCs w:val="28"/>
          <w:lang w:val="en-US"/>
        </w:rPr>
      </w:pPr>
    </w:p>
    <w:p w14:paraId="345A6B3B" w14:textId="0BD07A2C" w:rsidR="00AD41AD" w:rsidRPr="006C35EA" w:rsidRDefault="00AD41AD" w:rsidP="00B87E92">
      <w:pPr>
        <w:pStyle w:val="Default"/>
        <w:spacing w:line="276" w:lineRule="auto"/>
        <w:ind w:firstLine="708"/>
        <w:jc w:val="both"/>
        <w:rPr>
          <w:color w:val="auto"/>
          <w:sz w:val="28"/>
          <w:szCs w:val="28"/>
          <w:lang w:val="en-US"/>
        </w:rPr>
      </w:pPr>
    </w:p>
    <w:p w14:paraId="57EBA540" w14:textId="062F7C18" w:rsidR="00AD41AD" w:rsidRPr="006C35EA" w:rsidRDefault="00AD41AD" w:rsidP="00B87E92">
      <w:pPr>
        <w:pStyle w:val="Default"/>
        <w:spacing w:line="276" w:lineRule="auto"/>
        <w:ind w:firstLine="708"/>
        <w:jc w:val="both"/>
        <w:rPr>
          <w:color w:val="auto"/>
          <w:sz w:val="28"/>
          <w:szCs w:val="28"/>
          <w:lang w:val="en-US"/>
        </w:rPr>
      </w:pPr>
    </w:p>
    <w:p w14:paraId="66B85126" w14:textId="480E13FE" w:rsidR="00AD41AD" w:rsidRPr="006C35EA" w:rsidRDefault="00AD41AD" w:rsidP="00B87E92">
      <w:pPr>
        <w:pStyle w:val="Default"/>
        <w:spacing w:line="276" w:lineRule="auto"/>
        <w:ind w:firstLine="708"/>
        <w:jc w:val="both"/>
        <w:rPr>
          <w:color w:val="auto"/>
          <w:sz w:val="28"/>
          <w:szCs w:val="28"/>
          <w:lang w:val="en-US"/>
        </w:rPr>
      </w:pPr>
    </w:p>
    <w:p w14:paraId="5F21D468" w14:textId="2FDE9185" w:rsidR="00AD41AD" w:rsidRPr="006C35EA" w:rsidRDefault="00AD41AD" w:rsidP="00B87E92">
      <w:pPr>
        <w:pStyle w:val="Default"/>
        <w:spacing w:line="276" w:lineRule="auto"/>
        <w:ind w:firstLine="708"/>
        <w:jc w:val="both"/>
        <w:rPr>
          <w:color w:val="auto"/>
          <w:sz w:val="28"/>
          <w:szCs w:val="28"/>
          <w:lang w:val="en-US"/>
        </w:rPr>
      </w:pPr>
    </w:p>
    <w:p w14:paraId="088158D6" w14:textId="6539C216" w:rsidR="00AD41AD" w:rsidRPr="006C35EA" w:rsidRDefault="00AD41AD" w:rsidP="00B87E92">
      <w:pPr>
        <w:pStyle w:val="Default"/>
        <w:spacing w:line="276" w:lineRule="auto"/>
        <w:ind w:firstLine="708"/>
        <w:jc w:val="both"/>
        <w:rPr>
          <w:color w:val="auto"/>
          <w:sz w:val="28"/>
          <w:szCs w:val="28"/>
          <w:lang w:val="en-US"/>
        </w:rPr>
      </w:pPr>
    </w:p>
    <w:p w14:paraId="73D7B69B" w14:textId="1E9FF273" w:rsidR="00AD41AD" w:rsidRDefault="00AD41AD" w:rsidP="00B87E92">
      <w:pPr>
        <w:pStyle w:val="Default"/>
        <w:spacing w:line="276" w:lineRule="auto"/>
        <w:ind w:firstLine="708"/>
        <w:jc w:val="both"/>
        <w:rPr>
          <w:color w:val="auto"/>
          <w:sz w:val="28"/>
          <w:szCs w:val="28"/>
          <w:lang w:val="en-US"/>
        </w:rPr>
      </w:pPr>
    </w:p>
    <w:p w14:paraId="7924F07A" w14:textId="192A7C32" w:rsidR="00015DED" w:rsidRDefault="00015DED" w:rsidP="00B87E92">
      <w:pPr>
        <w:pStyle w:val="Default"/>
        <w:spacing w:line="276" w:lineRule="auto"/>
        <w:ind w:firstLine="708"/>
        <w:jc w:val="both"/>
        <w:rPr>
          <w:color w:val="auto"/>
          <w:sz w:val="28"/>
          <w:szCs w:val="28"/>
          <w:lang w:val="en-US"/>
        </w:rPr>
      </w:pPr>
    </w:p>
    <w:p w14:paraId="0DEB5805" w14:textId="77777777" w:rsidR="00015DED" w:rsidRPr="006C35EA" w:rsidRDefault="00015DED" w:rsidP="00B87E92">
      <w:pPr>
        <w:pStyle w:val="Default"/>
        <w:spacing w:line="276" w:lineRule="auto"/>
        <w:ind w:firstLine="708"/>
        <w:jc w:val="both"/>
        <w:rPr>
          <w:color w:val="auto"/>
          <w:sz w:val="28"/>
          <w:szCs w:val="28"/>
          <w:lang w:val="en-US"/>
        </w:rPr>
      </w:pPr>
    </w:p>
    <w:p w14:paraId="57AA0B06" w14:textId="3175C025" w:rsidR="00AD41AD" w:rsidRPr="006C35EA" w:rsidRDefault="00AD41AD" w:rsidP="00B87E92">
      <w:pPr>
        <w:pStyle w:val="Default"/>
        <w:spacing w:line="276" w:lineRule="auto"/>
        <w:ind w:firstLine="708"/>
        <w:jc w:val="both"/>
        <w:rPr>
          <w:color w:val="auto"/>
          <w:sz w:val="28"/>
          <w:szCs w:val="28"/>
          <w:lang w:val="en-US"/>
        </w:rPr>
      </w:pPr>
    </w:p>
    <w:p w14:paraId="6E56E848" w14:textId="77777777" w:rsidR="00AD41AD" w:rsidRPr="006C35EA" w:rsidRDefault="00AD41AD" w:rsidP="00AD41AD">
      <w:pPr>
        <w:jc w:val="center"/>
        <w:rPr>
          <w:rFonts w:ascii="Times New Roman" w:hAnsi="Times New Roman" w:cs="Times New Roman"/>
          <w:sz w:val="28"/>
          <w:szCs w:val="28"/>
          <w:lang w:val="en-US"/>
        </w:rPr>
      </w:pPr>
      <w:r w:rsidRPr="006C35EA">
        <w:rPr>
          <w:rFonts w:ascii="Times New Roman" w:hAnsi="Times New Roman" w:cs="Times New Roman"/>
          <w:b/>
          <w:bCs/>
          <w:sz w:val="28"/>
          <w:szCs w:val="28"/>
          <w:lang w:val="en-US"/>
        </w:rPr>
        <w:lastRenderedPageBreak/>
        <w:t>Foydalanilgan adabiyotlar</w:t>
      </w:r>
    </w:p>
    <w:p w14:paraId="1719F7FD"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A.H. Haydarov, B.B. Goibnazarov, K.Y. Berdieva - Organization of service provision for medical equipment - Publisher, Tashkent 2019</w:t>
      </w:r>
    </w:p>
    <w:p w14:paraId="5A4B52B1"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I.I. Mukimjonov, A.R. Khudoyberganov, T. Usmanov ―Teaching, technical service and repair of electronic medical techniques ―Ibn Sino, 2014</w:t>
      </w:r>
    </w:p>
    <w:p w14:paraId="16B02978"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K. Yu. Yuldashev, Yu. A. Koulikov. "Physiotherapy", T., "Ibn Sino", 2018</w:t>
      </w:r>
    </w:p>
    <w:p w14:paraId="7F3399E9"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P. R. Ismatullayev, A. N. Maksudov, A. Kh. Abdullayev, B. M. Akhmedov, A. A. Azamov. Metrology standardization and certification. ―Uzbekistan Tashkent 2018</w:t>
      </w:r>
    </w:p>
    <w:p w14:paraId="79A47E1F"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Leslie Cromwell, Biomedical Instrumentation and measurement, 2nd edition, Prentice hall of India, New Delhi, 2015.</w:t>
      </w:r>
    </w:p>
    <w:p w14:paraId="36875C7B"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 xml:space="preserve">John G. Webster, Medical Instrumentation Application and Design, 4th edition, Wiley India Pvt </w:t>
      </w:r>
      <w:proofErr w:type="gramStart"/>
      <w:r w:rsidRPr="006C35EA">
        <w:rPr>
          <w:rFonts w:ascii="Times New Roman" w:hAnsi="Times New Roman" w:cs="Times New Roman"/>
          <w:sz w:val="28"/>
          <w:szCs w:val="28"/>
          <w:lang w:val="en-US"/>
        </w:rPr>
        <w:t>Ltd,New</w:t>
      </w:r>
      <w:proofErr w:type="gramEnd"/>
      <w:r w:rsidRPr="006C35EA">
        <w:rPr>
          <w:rFonts w:ascii="Times New Roman" w:hAnsi="Times New Roman" w:cs="Times New Roman"/>
          <w:sz w:val="28"/>
          <w:szCs w:val="28"/>
          <w:lang w:val="en-US"/>
        </w:rPr>
        <w:t xml:space="preserve"> Delhi, 2015.</w:t>
      </w:r>
    </w:p>
    <w:p w14:paraId="01F39FD9"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Joseph J. Carr and John M. Brown, Introduction to Biomedical Equipment Technology, Pearson Education, 2004.</w:t>
      </w:r>
    </w:p>
    <w:p w14:paraId="7A47EE0B"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Myer Kutz, Standard Handbook of Biomedical Engineering and Design, McGraw Hill Publisher, 2003.</w:t>
      </w:r>
    </w:p>
    <w:p w14:paraId="34840E44" w14:textId="77777777" w:rsidR="00AD41AD" w:rsidRPr="006C35EA" w:rsidRDefault="00AD41AD" w:rsidP="00AD41AD">
      <w:pPr>
        <w:pStyle w:val="a3"/>
        <w:numPr>
          <w:ilvl w:val="0"/>
          <w:numId w:val="8"/>
        </w:numPr>
        <w:spacing w:after="0"/>
        <w:ind w:left="540"/>
        <w:jc w:val="both"/>
        <w:rPr>
          <w:rFonts w:ascii="Times New Roman" w:hAnsi="Times New Roman" w:cs="Times New Roman"/>
          <w:sz w:val="28"/>
          <w:szCs w:val="28"/>
          <w:lang w:val="en-US"/>
        </w:rPr>
      </w:pPr>
      <w:r w:rsidRPr="006C35EA">
        <w:rPr>
          <w:rFonts w:ascii="Times New Roman" w:hAnsi="Times New Roman" w:cs="Times New Roman"/>
          <w:sz w:val="28"/>
          <w:szCs w:val="28"/>
          <w:lang w:val="en-US"/>
        </w:rPr>
        <w:t>Khandpur R.S, Handbook of Biomedical Instrumentation, 3rd edition, Tata McGraw-Hill New Delhi, 2014</w:t>
      </w:r>
    </w:p>
    <w:p w14:paraId="49241142" w14:textId="77777777" w:rsidR="00AD41AD" w:rsidRPr="006C35EA" w:rsidRDefault="00AD41AD" w:rsidP="00AD41AD">
      <w:pPr>
        <w:rPr>
          <w:rFonts w:ascii="Times New Roman" w:hAnsi="Times New Roman" w:cs="Times New Roman"/>
          <w:lang w:val="en-US"/>
        </w:rPr>
      </w:pPr>
    </w:p>
    <w:p w14:paraId="0D59128D" w14:textId="77777777" w:rsidR="00AD41AD" w:rsidRPr="006C35EA" w:rsidRDefault="00AD41AD" w:rsidP="00B87E92">
      <w:pPr>
        <w:pStyle w:val="Default"/>
        <w:spacing w:line="276" w:lineRule="auto"/>
        <w:ind w:firstLine="708"/>
        <w:jc w:val="both"/>
        <w:rPr>
          <w:color w:val="auto"/>
          <w:sz w:val="28"/>
          <w:szCs w:val="28"/>
          <w:lang w:val="en-US"/>
        </w:rPr>
      </w:pPr>
    </w:p>
    <w:sectPr w:rsidR="00AD41AD" w:rsidRPr="006C35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6C16"/>
    <w:multiLevelType w:val="hybridMultilevel"/>
    <w:tmpl w:val="88E8CD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365319"/>
    <w:multiLevelType w:val="hybridMultilevel"/>
    <w:tmpl w:val="537C29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0A1431"/>
    <w:multiLevelType w:val="hybridMultilevel"/>
    <w:tmpl w:val="AD20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FA114D"/>
    <w:multiLevelType w:val="hybridMultilevel"/>
    <w:tmpl w:val="DD605B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F75AC1"/>
    <w:multiLevelType w:val="hybridMultilevel"/>
    <w:tmpl w:val="C8D406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7D6EFA"/>
    <w:multiLevelType w:val="hybridMultilevel"/>
    <w:tmpl w:val="9620EB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E530E46"/>
    <w:multiLevelType w:val="hybridMultilevel"/>
    <w:tmpl w:val="88DA97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FF53DD0"/>
    <w:multiLevelType w:val="hybridMultilevel"/>
    <w:tmpl w:val="3642DE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2555698"/>
    <w:multiLevelType w:val="hybridMultilevel"/>
    <w:tmpl w:val="A8E009E0"/>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D4C6A97"/>
    <w:multiLevelType w:val="hybridMultilevel"/>
    <w:tmpl w:val="FE8E2D0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A96737"/>
    <w:multiLevelType w:val="hybridMultilevel"/>
    <w:tmpl w:val="ED822E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C052BA"/>
    <w:multiLevelType w:val="hybridMultilevel"/>
    <w:tmpl w:val="CFD6CE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A75241"/>
    <w:multiLevelType w:val="hybridMultilevel"/>
    <w:tmpl w:val="A93AA5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54463F"/>
    <w:multiLevelType w:val="hybridMultilevel"/>
    <w:tmpl w:val="309AD87E"/>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15:restartNumberingAfterBreak="0">
    <w:nsid w:val="75441613"/>
    <w:multiLevelType w:val="hybridMultilevel"/>
    <w:tmpl w:val="3D20680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9"/>
  </w:num>
  <w:num w:numId="6">
    <w:abstractNumId w:val="11"/>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4"/>
  </w:num>
  <w:num w:numId="11">
    <w:abstractNumId w:val="5"/>
  </w:num>
  <w:num w:numId="12">
    <w:abstractNumId w:val="12"/>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36B"/>
    <w:rsid w:val="00015DED"/>
    <w:rsid w:val="00023F9C"/>
    <w:rsid w:val="000434A9"/>
    <w:rsid w:val="00050D71"/>
    <w:rsid w:val="000557B4"/>
    <w:rsid w:val="000726D6"/>
    <w:rsid w:val="000A2D93"/>
    <w:rsid w:val="000B5CA0"/>
    <w:rsid w:val="000D3D22"/>
    <w:rsid w:val="000E279C"/>
    <w:rsid w:val="00105073"/>
    <w:rsid w:val="00134182"/>
    <w:rsid w:val="00144850"/>
    <w:rsid w:val="00145D0B"/>
    <w:rsid w:val="00146630"/>
    <w:rsid w:val="001A0FEA"/>
    <w:rsid w:val="001C0B74"/>
    <w:rsid w:val="00224A08"/>
    <w:rsid w:val="002550AF"/>
    <w:rsid w:val="00260A40"/>
    <w:rsid w:val="00293FE6"/>
    <w:rsid w:val="002C4C0A"/>
    <w:rsid w:val="002C6D45"/>
    <w:rsid w:val="002D6B46"/>
    <w:rsid w:val="00344323"/>
    <w:rsid w:val="00390A9A"/>
    <w:rsid w:val="003D23BB"/>
    <w:rsid w:val="003E08CE"/>
    <w:rsid w:val="00414CE7"/>
    <w:rsid w:val="004312E5"/>
    <w:rsid w:val="00452BF4"/>
    <w:rsid w:val="00460392"/>
    <w:rsid w:val="0046656F"/>
    <w:rsid w:val="00484570"/>
    <w:rsid w:val="00492505"/>
    <w:rsid w:val="004B0255"/>
    <w:rsid w:val="004B35DF"/>
    <w:rsid w:val="004E205D"/>
    <w:rsid w:val="00516083"/>
    <w:rsid w:val="00533102"/>
    <w:rsid w:val="00566CD7"/>
    <w:rsid w:val="00573974"/>
    <w:rsid w:val="0058552E"/>
    <w:rsid w:val="0059737A"/>
    <w:rsid w:val="00612C2E"/>
    <w:rsid w:val="00643DD9"/>
    <w:rsid w:val="0066546E"/>
    <w:rsid w:val="00667ED6"/>
    <w:rsid w:val="006C35EA"/>
    <w:rsid w:val="00711001"/>
    <w:rsid w:val="00724BA6"/>
    <w:rsid w:val="00725DD1"/>
    <w:rsid w:val="00780180"/>
    <w:rsid w:val="007933C0"/>
    <w:rsid w:val="007A5599"/>
    <w:rsid w:val="007B3845"/>
    <w:rsid w:val="007C56D3"/>
    <w:rsid w:val="007D36D1"/>
    <w:rsid w:val="00826129"/>
    <w:rsid w:val="00832D76"/>
    <w:rsid w:val="0086236B"/>
    <w:rsid w:val="008852A1"/>
    <w:rsid w:val="00897336"/>
    <w:rsid w:val="008B261F"/>
    <w:rsid w:val="009362A2"/>
    <w:rsid w:val="00986099"/>
    <w:rsid w:val="00A0776D"/>
    <w:rsid w:val="00A7348B"/>
    <w:rsid w:val="00A84D89"/>
    <w:rsid w:val="00AD41AD"/>
    <w:rsid w:val="00AE3FF9"/>
    <w:rsid w:val="00B03EE5"/>
    <w:rsid w:val="00B10BD6"/>
    <w:rsid w:val="00B22827"/>
    <w:rsid w:val="00B45DCB"/>
    <w:rsid w:val="00B55B23"/>
    <w:rsid w:val="00B61018"/>
    <w:rsid w:val="00B646CC"/>
    <w:rsid w:val="00B87E92"/>
    <w:rsid w:val="00B90112"/>
    <w:rsid w:val="00BA5F00"/>
    <w:rsid w:val="00BB024B"/>
    <w:rsid w:val="00BC6C36"/>
    <w:rsid w:val="00C047C2"/>
    <w:rsid w:val="00C05DF5"/>
    <w:rsid w:val="00C752FA"/>
    <w:rsid w:val="00C8088F"/>
    <w:rsid w:val="00C9755B"/>
    <w:rsid w:val="00CB54E0"/>
    <w:rsid w:val="00CB5573"/>
    <w:rsid w:val="00D33525"/>
    <w:rsid w:val="00D70ABE"/>
    <w:rsid w:val="00D80952"/>
    <w:rsid w:val="00D83CBA"/>
    <w:rsid w:val="00D97BAB"/>
    <w:rsid w:val="00DB428C"/>
    <w:rsid w:val="00E00551"/>
    <w:rsid w:val="00E21E84"/>
    <w:rsid w:val="00E338BE"/>
    <w:rsid w:val="00E5095D"/>
    <w:rsid w:val="00EA3501"/>
    <w:rsid w:val="00ED010D"/>
    <w:rsid w:val="00F044F7"/>
    <w:rsid w:val="00F3740D"/>
    <w:rsid w:val="00F52566"/>
    <w:rsid w:val="00F71EFF"/>
    <w:rsid w:val="00F74BBB"/>
    <w:rsid w:val="00FF1811"/>
    <w:rsid w:val="00FF6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D9321"/>
  <w15:docId w15:val="{F5D097BE-F4A6-4B81-908F-F3747829E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05073"/>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90A9A"/>
    <w:pPr>
      <w:ind w:left="720"/>
      <w:contextualSpacing/>
    </w:pPr>
  </w:style>
  <w:style w:type="character" w:styleId="a4">
    <w:name w:val="Hyperlink"/>
    <w:basedOn w:val="a0"/>
    <w:uiPriority w:val="99"/>
    <w:semiHidden/>
    <w:unhideWhenUsed/>
    <w:rsid w:val="00667E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32882">
      <w:bodyDiv w:val="1"/>
      <w:marLeft w:val="0"/>
      <w:marRight w:val="0"/>
      <w:marTop w:val="0"/>
      <w:marBottom w:val="0"/>
      <w:divBdr>
        <w:top w:val="none" w:sz="0" w:space="0" w:color="auto"/>
        <w:left w:val="none" w:sz="0" w:space="0" w:color="auto"/>
        <w:bottom w:val="none" w:sz="0" w:space="0" w:color="auto"/>
        <w:right w:val="none" w:sz="0" w:space="0" w:color="auto"/>
      </w:divBdr>
    </w:div>
    <w:div w:id="117939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kshavkatov@gmail.com" TargetMode="External"/><Relationship Id="rId3" Type="http://schemas.openxmlformats.org/officeDocument/2006/relationships/settings" Target="settings.xml"/><Relationship Id="rId7" Type="http://schemas.openxmlformats.org/officeDocument/2006/relationships/hyperlink" Target="mailto:okshavkatov@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kshavkatov@gmail.com" TargetMode="External"/><Relationship Id="rId11" Type="http://schemas.openxmlformats.org/officeDocument/2006/relationships/fontTable" Target="fontTable.xml"/><Relationship Id="rId5" Type="http://schemas.openxmlformats.org/officeDocument/2006/relationships/hyperlink" Target="mailto:okshavkatov@gmail.com" TargetMode="External"/><Relationship Id="rId10" Type="http://schemas.openxmlformats.org/officeDocument/2006/relationships/hyperlink" Target="mailto:okshavkatov@gmail.com" TargetMode="External"/><Relationship Id="rId4" Type="http://schemas.openxmlformats.org/officeDocument/2006/relationships/webSettings" Target="webSettings.xml"/><Relationship Id="rId9" Type="http://schemas.openxmlformats.org/officeDocument/2006/relationships/hyperlink" Target="mailto:okshavkatov@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11</Pages>
  <Words>3188</Words>
  <Characters>18176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Pc</cp:lastModifiedBy>
  <cp:revision>22</cp:revision>
  <dcterms:created xsi:type="dcterms:W3CDTF">2023-10-27T06:13:00Z</dcterms:created>
  <dcterms:modified xsi:type="dcterms:W3CDTF">2023-11-09T11:18:00Z</dcterms:modified>
</cp:coreProperties>
</file>