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lineRule="auto" w:line="360"/>
        <w:jc w:val="center"/>
        <w:rPr>
          <w:rFonts w:ascii="Arial" w:cs="Arial" w:hAnsi="Arial"/>
          <w:b/>
          <w:sz w:val="28"/>
          <w:szCs w:val="28"/>
          <w:lang w:val="en-US"/>
        </w:rPr>
      </w:pPr>
      <w:r>
        <w:rPr>
          <w:rFonts w:ascii="Arial" w:cs="Arial" w:hAnsi="Arial"/>
          <w:b/>
          <w:sz w:val="28"/>
          <w:szCs w:val="28"/>
          <w:lang w:val="tg-Cyrl-TJ"/>
        </w:rPr>
        <w:t>Номи фан: Баҳодиҳии иқтисодии сармоягузорӣ</w:t>
      </w:r>
    </w:p>
    <w:p>
      <w:pPr>
        <w:pStyle w:val="style0"/>
        <w:spacing w:lineRule="auto" w:line="360"/>
        <w:jc w:val="center"/>
        <w:rPr>
          <w:rFonts w:ascii="Arial" w:cs="Arial" w:hAnsi="Arial"/>
          <w:i/>
          <w:sz w:val="28"/>
          <w:szCs w:val="28"/>
          <w:lang w:val="tg-Cyrl-TJ"/>
        </w:rPr>
      </w:pPr>
      <w:r>
        <w:rPr>
          <w:rFonts w:ascii="Arial" w:cs="Arial" w:hAnsi="Arial"/>
          <w:i/>
          <w:sz w:val="28"/>
          <w:szCs w:val="28"/>
          <w:lang w:val="en-US"/>
        </w:rPr>
        <w:t>(Economic Evaluation of Investments)</w:t>
      </w:r>
    </w:p>
    <w:p>
      <w:pPr>
        <w:pStyle w:val="style0"/>
        <w:spacing w:lineRule="auto" w:line="360"/>
        <w:ind w:firstLine="720"/>
        <w:jc w:val="center"/>
        <w:rPr>
          <w:rFonts w:ascii="Arial" w:cs="Arial" w:hAnsi="Arial"/>
          <w:b/>
          <w:sz w:val="28"/>
          <w:szCs w:val="28"/>
          <w:lang w:val="tg-Cyrl-TJ"/>
        </w:rPr>
      </w:pPr>
    </w:p>
    <w:p>
      <w:pPr>
        <w:pStyle w:val="style179"/>
        <w:spacing w:lineRule="auto" w:line="360"/>
        <w:ind w:left="0"/>
        <w:jc w:val="center"/>
        <w:rPr>
          <w:rFonts w:ascii="Arial" w:cs="Arial" w:hAnsi="Arial"/>
          <w:sz w:val="28"/>
          <w:szCs w:val="28"/>
          <w:lang w:val="tg-Cyrl-TJ"/>
        </w:rPr>
      </w:pPr>
      <w:r>
        <w:rPr>
          <w:rFonts w:ascii="Arial" w:cs="Arial" w:hAnsi="Arial"/>
          <w:b/>
          <w:sz w:val="28"/>
          <w:szCs w:val="28"/>
          <w:lang w:val="tg-Cyrl-TJ"/>
        </w:rPr>
        <w:t xml:space="preserve">МАВЗӮИ 11. </w:t>
      </w:r>
      <w:r>
        <w:rPr>
          <w:rFonts w:ascii="Arial" w:cs="Arial" w:hAnsi="Arial"/>
          <w:sz w:val="28"/>
          <w:szCs w:val="28"/>
          <w:lang w:val="tg-Cyrl-TJ"/>
        </w:rPr>
        <w:t>Усулҳои динамикии баҳодиҳии самаранокии лоиҳаҳои сармоягузорӣ</w:t>
      </w:r>
    </w:p>
    <w:p>
      <w:pPr>
        <w:pStyle w:val="style0"/>
        <w:spacing w:lineRule="auto" w:line="360"/>
        <w:jc w:val="center"/>
        <w:rPr>
          <w:rFonts w:ascii="Arial" w:cs="Arial" w:hAnsi="Arial"/>
          <w:sz w:val="28"/>
          <w:szCs w:val="28"/>
          <w:lang w:val="tg-Cyrl-TJ"/>
        </w:rPr>
      </w:pPr>
      <w:r>
        <w:rPr>
          <w:rFonts w:ascii="Arial" w:cs="Arial" w:hAnsi="Arial"/>
          <w:sz w:val="28"/>
          <w:szCs w:val="28"/>
          <w:lang w:val="tg-Cyrl-TJ"/>
        </w:rPr>
        <w:t>Нақшаи лексия:</w:t>
      </w:r>
    </w:p>
    <w:p>
      <w:pPr>
        <w:pStyle w:val="style0"/>
        <w:spacing w:lineRule="auto" w:line="360"/>
        <w:jc w:val="both"/>
        <w:rPr>
          <w:rStyle w:val="style4099"/>
          <w:rFonts w:ascii="Arial" w:cs="Arial" w:hAnsi="Arial"/>
          <w:sz w:val="28"/>
          <w:szCs w:val="28"/>
          <w:lang w:val="tg-Cyrl-TJ"/>
        </w:rPr>
      </w:pPr>
      <w:r>
        <w:rPr>
          <w:rFonts w:ascii="Arial" w:cs="Arial" w:hAnsi="Arial"/>
          <w:sz w:val="28"/>
          <w:szCs w:val="28"/>
        </w:rPr>
        <w:t>1. А</w:t>
      </w:r>
      <w:r>
        <w:rPr>
          <w:rStyle w:val="style4099"/>
          <w:rFonts w:ascii="Arial" w:cs="Arial" w:hAnsi="Arial"/>
          <w:sz w:val="28"/>
          <w:szCs w:val="28"/>
          <w:lang w:val="tg-Cyrl-TJ"/>
        </w:rPr>
        <w:t xml:space="preserve">рзиши </w:t>
      </w:r>
      <w:r>
        <w:rPr>
          <w:rStyle w:val="style4099"/>
          <w:rFonts w:ascii="Arial" w:cs="Arial" w:eastAsia="MS Mincho" w:hAnsi="Arial"/>
          <w:sz w:val="28"/>
          <w:szCs w:val="28"/>
          <w:lang w:val="tg-Cyrl-TJ"/>
        </w:rPr>
        <w:t>ҷ</w:t>
      </w:r>
      <w:r>
        <w:rPr>
          <w:rStyle w:val="style4099"/>
          <w:rFonts w:ascii="Arial" w:cs="Arial" w:hAnsi="Arial"/>
          <w:sz w:val="28"/>
          <w:szCs w:val="28"/>
          <w:lang w:val="tg-Cyrl-TJ"/>
        </w:rPr>
        <w:t>ории соф (NPV) ва тартиби ҳисоби он</w:t>
      </w:r>
    </w:p>
    <w:p>
      <w:pPr>
        <w:pStyle w:val="style0"/>
        <w:spacing w:lineRule="auto" w:line="360"/>
        <w:jc w:val="both"/>
        <w:rPr>
          <w:rFonts w:ascii="Arial" w:cs="Arial" w:hAnsi="Arial"/>
          <w:sz w:val="28"/>
          <w:szCs w:val="28"/>
          <w:lang w:val="tg-Cyrl-TJ"/>
        </w:rPr>
      </w:pPr>
      <w:r>
        <w:rPr>
          <w:rFonts w:ascii="Arial" w:cs="Arial" w:hAnsi="Arial"/>
          <w:sz w:val="28"/>
          <w:szCs w:val="28"/>
          <w:lang w:val="tg-Cyrl-TJ"/>
        </w:rPr>
        <w:t>2. Дигар нишондиҳандаҳои баҳодиҳии динамикии самаранокии лоиҳаҳои сармоягузорӣ</w:t>
      </w:r>
    </w:p>
    <w:p>
      <w:pPr>
        <w:pStyle w:val="style3"/>
        <w:shd w:val="clear" w:color="auto" w:fill="ffffff"/>
        <w:spacing w:before="0" w:beforeAutospacing="false" w:after="0" w:afterAutospacing="false" w:lineRule="auto" w:line="360"/>
        <w:jc w:val="center"/>
        <w:rPr>
          <w:rFonts w:ascii="Arial" w:cs="Arial" w:hAnsi="Arial"/>
          <w:color w:val="0f1115"/>
          <w:sz w:val="28"/>
          <w:szCs w:val="28"/>
          <w:lang w:val="tg-Cyrl-TJ"/>
        </w:rPr>
      </w:pPr>
      <w:r>
        <w:rPr>
          <w:rFonts w:ascii="Arial" w:cs="Arial" w:hAnsi="Arial"/>
          <w:color w:val="0f1115"/>
          <w:sz w:val="28"/>
          <w:szCs w:val="28"/>
          <w:lang w:val="tg-Cyrl-TJ"/>
        </w:rPr>
        <w:t>Саволҳои худсанҷӣ</w:t>
      </w:r>
    </w:p>
    <w:p>
      <w:pPr>
        <w:pStyle w:val="style4098"/>
        <w:numPr>
          <w:ilvl w:val="0"/>
          <w:numId w:val="1"/>
        </w:numPr>
        <w:shd w:val="clear" w:color="auto" w:fill="ffffff"/>
        <w:spacing w:before="0" w:beforeAutospacing="false" w:after="0" w:afterAutospacing="false" w:lineRule="auto" w:line="360"/>
        <w:ind w:left="0"/>
        <w:jc w:val="both"/>
        <w:rPr>
          <w:rFonts w:ascii="Arial" w:cs="Arial" w:hAnsi="Arial"/>
          <w:b/>
          <w:color w:val="0f1115"/>
          <w:sz w:val="28"/>
          <w:szCs w:val="28"/>
        </w:rPr>
      </w:pP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Фарқи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асосии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байни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арзиши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ҷории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соф (NPV)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ва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индекси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даромаднокии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сармоягузорӣ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(PI)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чист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?</w:t>
      </w:r>
    </w:p>
    <w:p>
      <w:pPr>
        <w:pStyle w:val="style4098"/>
        <w:numPr>
          <w:ilvl w:val="0"/>
          <w:numId w:val="1"/>
        </w:numPr>
        <w:shd w:val="clear" w:color="auto" w:fill="ffffff"/>
        <w:spacing w:before="0" w:beforeAutospacing="false" w:after="0" w:afterAutospacing="false" w:lineRule="auto" w:line="360"/>
        <w:ind w:left="0"/>
        <w:jc w:val="both"/>
        <w:rPr>
          <w:rFonts w:ascii="Arial" w:cs="Arial" w:hAnsi="Arial"/>
          <w:b/>
          <w:color w:val="0f1115"/>
          <w:sz w:val="28"/>
          <w:szCs w:val="28"/>
        </w:rPr>
      </w:pP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Шартҳои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қабули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лои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ҳа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бо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истифода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аз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меъёри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дохилии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даромаднокии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сармоягузорӣ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(IRR)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кадомҳоянд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?</w:t>
      </w:r>
    </w:p>
    <w:p>
      <w:pPr>
        <w:pStyle w:val="style4098"/>
        <w:numPr>
          <w:ilvl w:val="0"/>
          <w:numId w:val="1"/>
        </w:numPr>
        <w:shd w:val="clear" w:color="auto" w:fill="ffffff"/>
        <w:spacing w:before="0" w:beforeAutospacing="false" w:after="0" w:afterAutospacing="false" w:lineRule="auto" w:line="360"/>
        <w:ind w:left="0"/>
        <w:jc w:val="both"/>
        <w:rPr>
          <w:rFonts w:ascii="Arial" w:cs="Arial" w:hAnsi="Arial"/>
          <w:b/>
          <w:color w:val="0f1115"/>
          <w:sz w:val="28"/>
          <w:szCs w:val="28"/>
        </w:rPr>
      </w:pP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Чаро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усули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муҳлати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баргардонидани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сармоягузории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дисконтикунонидашуда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(DPP) аз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усули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муҳлати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баргардонидани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содда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(PP)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афзалтар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аст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?</w:t>
      </w:r>
    </w:p>
    <w:p>
      <w:pPr>
        <w:pStyle w:val="style4098"/>
        <w:numPr>
          <w:ilvl w:val="0"/>
          <w:numId w:val="1"/>
        </w:numPr>
        <w:shd w:val="clear" w:color="auto" w:fill="ffffff"/>
        <w:spacing w:before="0" w:beforeAutospacing="false" w:after="0" w:afterAutospacing="false" w:lineRule="auto" w:line="360"/>
        <w:ind w:left="0"/>
        <w:jc w:val="both"/>
        <w:rPr>
          <w:rFonts w:ascii="Arial" w:cs="Arial" w:hAnsi="Arial"/>
          <w:b/>
          <w:color w:val="0f1115"/>
          <w:sz w:val="28"/>
          <w:szCs w:val="28"/>
        </w:rPr>
      </w:pP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Меъёри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тағйирёфтаи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даромаднокӣ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(MIRR)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кадом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камбудиҳои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IRR-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ро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бартараф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мекунад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?</w:t>
      </w:r>
    </w:p>
    <w:p>
      <w:pPr>
        <w:pStyle w:val="style4098"/>
        <w:numPr>
          <w:ilvl w:val="0"/>
          <w:numId w:val="1"/>
        </w:numPr>
        <w:shd w:val="clear" w:color="auto" w:fill="ffffff"/>
        <w:spacing w:before="0" w:beforeAutospacing="false" w:after="0" w:afterAutospacing="false" w:lineRule="auto" w:line="360"/>
        <w:ind w:left="0"/>
        <w:jc w:val="both"/>
        <w:rPr>
          <w:rFonts w:ascii="Arial" w:cs="Arial" w:hAnsi="Arial"/>
          <w:b/>
          <w:color w:val="0f1115"/>
          <w:sz w:val="28"/>
          <w:szCs w:val="28"/>
        </w:rPr>
      </w:pP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Дар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ҳолати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муқоисаи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лоиҳаҳои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сармоягузорӣ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бо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муҳлат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ҳои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гуногун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,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кадом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усулҳо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барои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ба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назар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гирифтани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таъсири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вақт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истифода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мешаванд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?</w:t>
      </w:r>
    </w:p>
    <w:p>
      <w:pPr>
        <w:pStyle w:val="style3"/>
        <w:shd w:val="clear" w:color="auto" w:fill="ffffff"/>
        <w:spacing w:before="0" w:beforeAutospacing="false" w:after="0" w:afterAutospacing="false" w:lineRule="auto" w:line="360"/>
        <w:jc w:val="center"/>
        <w:rPr>
          <w:rStyle w:val="style87"/>
          <w:rFonts w:ascii="Arial" w:cs="Arial" w:hAnsi="Arial"/>
          <w:b/>
          <w:bCs/>
          <w:color w:val="0f1115"/>
          <w:sz w:val="28"/>
          <w:szCs w:val="28"/>
          <w:lang w:val="tg-Cyrl-TJ"/>
        </w:rPr>
      </w:pPr>
      <w:r>
        <w:rPr>
          <w:rStyle w:val="style87"/>
          <w:rFonts w:ascii="Arial" w:cs="Arial" w:hAnsi="Arial"/>
          <w:b/>
          <w:bCs/>
          <w:color w:val="0f1115"/>
          <w:sz w:val="28"/>
          <w:szCs w:val="28"/>
        </w:rPr>
        <w:t>Тест</w:t>
      </w:r>
    </w:p>
    <w:p>
      <w:pPr>
        <w:pStyle w:val="style3"/>
        <w:shd w:val="clear" w:color="auto" w:fill="ffffff"/>
        <w:spacing w:before="0" w:beforeAutospacing="false" w:after="0" w:afterAutospacing="false" w:lineRule="auto" w:line="360"/>
        <w:rPr>
          <w:rFonts w:ascii="Arial" w:cs="Arial" w:hAnsi="Arial"/>
          <w:color w:val="0f1115"/>
          <w:sz w:val="28"/>
          <w:szCs w:val="28"/>
          <w:lang w:val="tg-Cyrl-TJ"/>
        </w:rPr>
      </w:pPr>
      <w:r>
        <w:rPr>
          <w:rStyle w:val="style87"/>
          <w:rFonts w:ascii="Arial" w:cs="Arial" w:hAnsi="Arial"/>
          <w:b/>
          <w:color w:val="0f1115"/>
          <w:sz w:val="28"/>
          <w:szCs w:val="28"/>
          <w:lang w:val="tg-Cyrl-TJ"/>
        </w:rPr>
        <w:t xml:space="preserve">1. </w:t>
      </w:r>
      <w:r>
        <w:rPr>
          <w:rStyle w:val="style87"/>
          <w:rFonts w:ascii="Arial" w:cs="Arial" w:hAnsi="Arial"/>
          <w:b/>
          <w:color w:val="0f1115"/>
          <w:sz w:val="28"/>
          <w:szCs w:val="28"/>
          <w:lang w:val="tg-Cyrl-TJ"/>
        </w:rPr>
        <w:t>Арзиши ҷории соф (NPV) лоиҳае, ки сармоягузории ибтидоиаш 200 000 сомонӣ аст ва дар тӯли 3 сол ҳар сол 80 000 сомони даромади соф меорад (меъёри дисконт = 10%), тақрибан чӣ қадар аст?</w:t>
      </w:r>
      <w:bookmarkStart w:id="0" w:name="_GoBack"/>
      <w:bookmarkEnd w:id="0"/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b w:val="false"/>
          <w:color w:val="0f1115"/>
          <w:sz w:val="28"/>
          <w:szCs w:val="28"/>
          <w:lang w:val="tg-Cyrl-TJ"/>
        </w:rPr>
        <w:t>а) 20 000 сомонӣ</w:t>
      </w:r>
      <w:r>
        <w:rPr>
          <w:rFonts w:ascii="Arial" w:cs="Arial" w:hAnsi="Arial"/>
          <w:b w:val="false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b w:val="false"/>
          <w:color w:val="0f1115"/>
          <w:sz w:val="28"/>
          <w:szCs w:val="28"/>
          <w:lang w:val="tg-Cyrl-TJ"/>
        </w:rPr>
        <w:t>б) -5 000 сомонӣ</w:t>
      </w:r>
      <w:r>
        <w:rPr>
          <w:rFonts w:ascii="Arial" w:cs="Arial" w:hAnsi="Arial"/>
          <w:b w:val="false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b w:val="false"/>
          <w:color w:val="0f1115"/>
          <w:sz w:val="28"/>
          <w:szCs w:val="28"/>
          <w:lang w:val="tg-Cyrl-TJ"/>
        </w:rPr>
        <w:t>в) 5 000 сомонӣ</w:t>
      </w:r>
      <w:r>
        <w:rPr>
          <w:rFonts w:ascii="Arial" w:cs="Arial" w:hAnsi="Arial"/>
          <w:b w:val="false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b w:val="false"/>
          <w:color w:val="0f1115"/>
          <w:sz w:val="28"/>
          <w:szCs w:val="28"/>
          <w:lang w:val="tg-Cyrl-TJ"/>
        </w:rPr>
        <w:t>г) 10 000 сомонӣ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Style w:val="style87"/>
          <w:rFonts w:ascii="Arial" w:cs="Arial" w:hAnsi="Arial"/>
          <w:color w:val="0f1115"/>
          <w:sz w:val="28"/>
          <w:szCs w:val="28"/>
          <w:lang w:val="tg-Cyrl-TJ"/>
        </w:rPr>
        <w:t>Ҷавоби дуруст:</w:t>
      </w:r>
      <w:r>
        <w:rPr>
          <w:rFonts w:ascii="Arial" w:cs="Arial" w:hAnsi="Arial"/>
          <w:color w:val="0f1115"/>
          <w:sz w:val="28"/>
          <w:szCs w:val="28"/>
          <w:lang w:val="tg-Cyrl-TJ"/>
        </w:rPr>
        <w:t> а) 20 000 сомонӣ</w:t>
      </w:r>
    </w:p>
    <w:p>
      <w:pPr>
        <w:pStyle w:val="style4098"/>
        <w:shd w:val="clear" w:color="auto" w:fill="ffffff"/>
        <w:spacing w:before="0" w:beforeAutospacing="false" w:after="0" w:afterAutospacing="false" w:lineRule="auto" w:line="360"/>
        <w:rPr>
          <w:rFonts w:ascii="Arial" w:cs="Arial" w:hAnsi="Arial"/>
          <w:color w:val="0f1115"/>
          <w:sz w:val="28"/>
          <w:szCs w:val="28"/>
          <w:lang w:val="tg-Cyrl-TJ"/>
        </w:rPr>
      </w:pPr>
      <w:r>
        <w:rPr>
          <w:rStyle w:val="style87"/>
          <w:rFonts w:ascii="Arial" w:cs="Arial" w:hAnsi="Arial"/>
          <w:color w:val="0f1115"/>
          <w:sz w:val="28"/>
          <w:szCs w:val="28"/>
          <w:lang w:val="tg-Cyrl-TJ"/>
        </w:rPr>
        <w:t xml:space="preserve">2. </w:t>
      </w:r>
      <w:r>
        <w:rPr>
          <w:rStyle w:val="style87"/>
          <w:rFonts w:ascii="Arial" w:cs="Arial" w:hAnsi="Arial"/>
          <w:color w:val="0f1115"/>
          <w:sz w:val="28"/>
          <w:szCs w:val="28"/>
          <w:lang w:val="tg-Cyrl-TJ"/>
        </w:rPr>
        <w:t>Агар индекси даромаднокии сармоягузорӣ (PI) ба 0,9 баробар бошад, ин лоиҳа: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color w:val="0f1115"/>
          <w:sz w:val="28"/>
          <w:szCs w:val="28"/>
          <w:lang w:val="tg-Cyrl-TJ"/>
        </w:rPr>
        <w:t>а) Қабул карда мешавад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color w:val="0f1115"/>
          <w:sz w:val="28"/>
          <w:szCs w:val="28"/>
          <w:lang w:val="tg-Cyrl-TJ"/>
        </w:rPr>
        <w:t>б) Рад карда мешавад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color w:val="0f1115"/>
          <w:sz w:val="28"/>
          <w:szCs w:val="28"/>
          <w:lang w:val="tg-Cyrl-TJ"/>
        </w:rPr>
        <w:t xml:space="preserve">в) Бо фоидаи </w:t>
      </w:r>
      <w:r>
        <w:rPr>
          <w:rFonts w:ascii="Arial" w:cs="Arial" w:hAnsi="Arial"/>
          <w:color w:val="0f1115"/>
          <w:sz w:val="28"/>
          <w:szCs w:val="28"/>
          <w:lang w:val="tg-Cyrl-TJ"/>
        </w:rPr>
        <w:t xml:space="preserve">сифрӣ </w:t>
      </w:r>
      <w:r>
        <w:rPr>
          <w:rFonts w:ascii="Arial" w:cs="Arial" w:hAnsi="Arial"/>
          <w:color w:val="0f1115"/>
          <w:sz w:val="28"/>
          <w:szCs w:val="28"/>
          <w:lang w:val="tg-Cyrl-TJ"/>
        </w:rPr>
        <w:t>аст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color w:val="0f1115"/>
          <w:sz w:val="28"/>
          <w:szCs w:val="28"/>
          <w:lang w:val="tg-Cyrl-TJ"/>
        </w:rPr>
        <w:t>г) Ба таҳлили иловагӣ ниёз дорад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Style w:val="style87"/>
          <w:rFonts w:ascii="Arial" w:cs="Arial" w:hAnsi="Arial"/>
          <w:color w:val="0f1115"/>
          <w:sz w:val="28"/>
          <w:szCs w:val="28"/>
          <w:lang w:val="tg-Cyrl-TJ"/>
        </w:rPr>
        <w:t>Ҷавоби дуруст:</w:t>
      </w:r>
      <w:r>
        <w:rPr>
          <w:rFonts w:ascii="Arial" w:cs="Arial" w:hAnsi="Arial"/>
          <w:color w:val="0f1115"/>
          <w:sz w:val="28"/>
          <w:szCs w:val="28"/>
          <w:lang w:val="tg-Cyrl-TJ"/>
        </w:rPr>
        <w:t> б) Рад карда мешавад</w:t>
      </w:r>
    </w:p>
    <w:p>
      <w:pPr>
        <w:pStyle w:val="style4098"/>
        <w:shd w:val="clear" w:color="auto" w:fill="ffffff"/>
        <w:spacing w:before="0" w:beforeAutospacing="false" w:after="0" w:afterAutospacing="false" w:lineRule="auto" w:line="360"/>
        <w:rPr>
          <w:rFonts w:ascii="Arial" w:cs="Arial" w:hAnsi="Arial"/>
          <w:color w:val="0f1115"/>
          <w:sz w:val="28"/>
          <w:szCs w:val="28"/>
          <w:lang w:val="tg-Cyrl-TJ"/>
        </w:rPr>
      </w:pPr>
      <w:r>
        <w:rPr>
          <w:rStyle w:val="style87"/>
          <w:rFonts w:ascii="Arial" w:cs="Arial" w:hAnsi="Arial"/>
          <w:color w:val="0f1115"/>
          <w:sz w:val="28"/>
          <w:szCs w:val="28"/>
          <w:lang w:val="tg-Cyrl-TJ"/>
        </w:rPr>
        <w:t xml:space="preserve">3. </w:t>
      </w:r>
      <w:r>
        <w:rPr>
          <w:rStyle w:val="style87"/>
          <w:rFonts w:ascii="Arial" w:cs="Arial" w:hAnsi="Arial"/>
          <w:color w:val="0f1115"/>
          <w:sz w:val="28"/>
          <w:szCs w:val="28"/>
          <w:lang w:val="tg-Cyrl-TJ"/>
        </w:rPr>
        <w:t>Меъёри дохилии даромаднокии сармоягузорӣ (IRR) он қимати меъёри дисконт (r) аст, ки дар он: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color w:val="0f1115"/>
          <w:sz w:val="28"/>
          <w:szCs w:val="28"/>
          <w:lang w:val="tg-Cyrl-TJ"/>
        </w:rPr>
        <w:t>а) PI = 1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color w:val="0f1115"/>
          <w:sz w:val="28"/>
          <w:szCs w:val="28"/>
          <w:lang w:val="tg-Cyrl-TJ"/>
        </w:rPr>
        <w:t>б) NPV = 0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color w:val="0f1115"/>
          <w:sz w:val="28"/>
          <w:szCs w:val="28"/>
          <w:lang w:val="tg-Cyrl-TJ"/>
        </w:rPr>
        <w:t>в) DPP = PP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color w:val="0f1115"/>
          <w:sz w:val="28"/>
          <w:szCs w:val="28"/>
          <w:lang w:val="tg-Cyrl-TJ"/>
        </w:rPr>
        <w:t>г) MIRR = IRR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Style w:val="style87"/>
          <w:rFonts w:ascii="Arial" w:cs="Arial" w:hAnsi="Arial"/>
          <w:color w:val="0f1115"/>
          <w:sz w:val="28"/>
          <w:szCs w:val="28"/>
          <w:lang w:val="tg-Cyrl-TJ"/>
        </w:rPr>
        <w:t>Ҷавоби дуруст:</w:t>
      </w:r>
      <w:r>
        <w:rPr>
          <w:rFonts w:ascii="Arial" w:cs="Arial" w:hAnsi="Arial"/>
          <w:color w:val="0f1115"/>
          <w:sz w:val="28"/>
          <w:szCs w:val="28"/>
          <w:lang w:val="tg-Cyrl-TJ"/>
        </w:rPr>
        <w:t> б) NPV = 0</w:t>
      </w:r>
    </w:p>
    <w:p>
      <w:pPr>
        <w:pStyle w:val="style4098"/>
        <w:shd w:val="clear" w:color="auto" w:fill="ffffff"/>
        <w:spacing w:before="0" w:beforeAutospacing="false" w:after="0" w:afterAutospacing="false" w:lineRule="auto" w:line="360"/>
        <w:rPr>
          <w:rFonts w:ascii="Arial" w:cs="Arial" w:hAnsi="Arial"/>
          <w:color w:val="0f1115"/>
          <w:sz w:val="28"/>
          <w:szCs w:val="28"/>
          <w:lang w:val="tg-Cyrl-TJ"/>
        </w:rPr>
      </w:pPr>
      <w:r>
        <w:rPr>
          <w:rStyle w:val="style87"/>
          <w:rFonts w:ascii="Arial" w:cs="Arial" w:hAnsi="Arial"/>
          <w:color w:val="0f1115"/>
          <w:sz w:val="28"/>
          <w:szCs w:val="28"/>
          <w:lang w:val="tg-Cyrl-TJ"/>
        </w:rPr>
        <w:t xml:space="preserve">4. </w:t>
      </w:r>
      <w:r>
        <w:rPr>
          <w:rStyle w:val="style87"/>
          <w:rFonts w:ascii="Arial" w:cs="Arial" w:hAnsi="Arial"/>
          <w:color w:val="0f1115"/>
          <w:sz w:val="28"/>
          <w:szCs w:val="28"/>
          <w:lang w:val="tg-Cyrl-TJ"/>
        </w:rPr>
        <w:t>Кадоме аз нишондиҳандаҳои зерин усули динамикӣ ҳисоб намешавад?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color w:val="0f1115"/>
          <w:sz w:val="28"/>
          <w:szCs w:val="28"/>
          <w:lang w:val="tg-Cyrl-TJ"/>
        </w:rPr>
        <w:t>а) NPV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color w:val="0f1115"/>
          <w:sz w:val="28"/>
          <w:szCs w:val="28"/>
          <w:lang w:val="tg-Cyrl-TJ"/>
        </w:rPr>
        <w:t>б) IRR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color w:val="0f1115"/>
          <w:sz w:val="28"/>
          <w:szCs w:val="28"/>
          <w:lang w:val="tg-Cyrl-TJ"/>
        </w:rPr>
        <w:t>в) PP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color w:val="0f1115"/>
          <w:sz w:val="28"/>
          <w:szCs w:val="28"/>
          <w:lang w:val="tg-Cyrl-TJ"/>
        </w:rPr>
        <w:t>г) MIRR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Style w:val="style87"/>
          <w:rFonts w:ascii="Arial" w:cs="Arial" w:hAnsi="Arial"/>
          <w:color w:val="0f1115"/>
          <w:sz w:val="28"/>
          <w:szCs w:val="28"/>
          <w:lang w:val="tg-Cyrl-TJ"/>
        </w:rPr>
        <w:t>Ҷавоби дуруст:</w:t>
      </w:r>
      <w:r>
        <w:rPr>
          <w:rFonts w:ascii="Arial" w:cs="Arial" w:hAnsi="Arial"/>
          <w:color w:val="0f1115"/>
          <w:sz w:val="28"/>
          <w:szCs w:val="28"/>
          <w:lang w:val="tg-Cyrl-TJ"/>
        </w:rPr>
        <w:t> в) PP</w:t>
      </w:r>
    </w:p>
    <w:p>
      <w:pPr>
        <w:pStyle w:val="style4098"/>
        <w:shd w:val="clear" w:color="auto" w:fill="ffffff"/>
        <w:spacing w:before="0" w:beforeAutospacing="false" w:after="0" w:afterAutospacing="false" w:lineRule="auto" w:line="360"/>
        <w:rPr>
          <w:rFonts w:ascii="Arial" w:cs="Arial" w:hAnsi="Arial"/>
          <w:color w:val="0f1115"/>
          <w:sz w:val="28"/>
          <w:szCs w:val="28"/>
          <w:lang w:val="tg-Cyrl-TJ"/>
        </w:rPr>
      </w:pPr>
      <w:r>
        <w:rPr>
          <w:rStyle w:val="style87"/>
          <w:rFonts w:ascii="Arial" w:cs="Arial" w:hAnsi="Arial"/>
          <w:color w:val="0f1115"/>
          <w:sz w:val="28"/>
          <w:szCs w:val="28"/>
          <w:lang w:val="tg-Cyrl-TJ"/>
        </w:rPr>
        <w:t xml:space="preserve">5. </w:t>
      </w:r>
      <w:r>
        <w:rPr>
          <w:rStyle w:val="style87"/>
          <w:rFonts w:ascii="Arial" w:cs="Arial" w:hAnsi="Arial"/>
          <w:color w:val="0f1115"/>
          <w:sz w:val="28"/>
          <w:szCs w:val="28"/>
          <w:lang w:val="tg-Cyrl-TJ"/>
        </w:rPr>
        <w:t>Гардиши солонаи эквивалентии пулӣ (R) барои лоиҳае, ки NPV = 50 000 сомонӣ, n = 4 сол, i = 10% аст, тақрибан чӣ қадар аст?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color w:val="0f1115"/>
          <w:sz w:val="28"/>
          <w:szCs w:val="28"/>
          <w:lang w:val="tg-Cyrl-TJ"/>
        </w:rPr>
        <w:t>а) 15 000 сомонӣ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color w:val="0f1115"/>
          <w:sz w:val="28"/>
          <w:szCs w:val="28"/>
          <w:lang w:val="tg-Cyrl-TJ"/>
        </w:rPr>
        <w:t>б) 12 500 сомонӣ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color w:val="0f1115"/>
          <w:sz w:val="28"/>
          <w:szCs w:val="28"/>
          <w:lang w:val="tg-Cyrl-TJ"/>
        </w:rPr>
        <w:t>в) 10 000 сомонӣ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color w:val="0f1115"/>
          <w:sz w:val="28"/>
          <w:szCs w:val="28"/>
          <w:lang w:val="tg-Cyrl-TJ"/>
        </w:rPr>
        <w:t>г) 17 000 сомонӣ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Style w:val="style87"/>
          <w:rFonts w:ascii="Arial" w:cs="Arial" w:hAnsi="Arial"/>
          <w:color w:val="0f1115"/>
          <w:sz w:val="28"/>
          <w:szCs w:val="28"/>
          <w:lang w:val="tg-Cyrl-TJ"/>
        </w:rPr>
        <w:t>Ҷавоби дуруст:</w:t>
      </w:r>
      <w:r>
        <w:rPr>
          <w:rFonts w:ascii="Arial" w:cs="Arial" w:hAnsi="Arial"/>
          <w:color w:val="0f1115"/>
          <w:sz w:val="28"/>
          <w:szCs w:val="28"/>
          <w:lang w:val="tg-Cyrl-TJ"/>
        </w:rPr>
        <w:t> б) 12 500 сомонӣ</w:t>
      </w:r>
    </w:p>
    <w:p>
      <w:pPr>
        <w:pStyle w:val="style4098"/>
        <w:shd w:val="clear" w:color="auto" w:fill="ffffff"/>
        <w:spacing w:before="0" w:beforeAutospacing="false" w:after="0" w:afterAutospacing="false" w:lineRule="auto" w:line="360"/>
        <w:rPr>
          <w:rFonts w:ascii="Arial" w:cs="Arial" w:hAnsi="Arial"/>
          <w:color w:val="0f1115"/>
          <w:sz w:val="28"/>
          <w:szCs w:val="28"/>
          <w:lang w:val="tg-Cyrl-TJ"/>
        </w:rPr>
      </w:pPr>
      <w:r>
        <w:rPr>
          <w:rStyle w:val="style87"/>
          <w:rFonts w:ascii="Arial" w:cs="Arial" w:hAnsi="Arial"/>
          <w:color w:val="0f1115"/>
          <w:sz w:val="28"/>
          <w:szCs w:val="28"/>
          <w:lang w:val="tg-Cyrl-TJ"/>
        </w:rPr>
        <w:t>6</w:t>
      </w:r>
      <w:r>
        <w:rPr>
          <w:rStyle w:val="style87"/>
          <w:rFonts w:ascii="Arial" w:cs="Arial" w:hAnsi="Arial"/>
          <w:color w:val="0f1115"/>
          <w:sz w:val="28"/>
          <w:szCs w:val="28"/>
          <w:lang w:val="tg-Cyrl-TJ"/>
        </w:rPr>
        <w:t>. Ҳадафи асосии истифода аз меъёри дисконт дар ҳисобҳои молиявӣ чист?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color w:val="0f1115"/>
          <w:sz w:val="28"/>
          <w:szCs w:val="28"/>
          <w:lang w:val="tg-Cyrl-TJ"/>
        </w:rPr>
        <w:t>а) Зиёд кардани арзиши даромадҳои оянда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color w:val="0f1115"/>
          <w:sz w:val="28"/>
          <w:szCs w:val="28"/>
          <w:lang w:val="tg-Cyrl-TJ"/>
        </w:rPr>
        <w:t>б) Муқоисаи осони нишондиҳандаҳои солҳои гуногун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color w:val="0f1115"/>
          <w:sz w:val="28"/>
          <w:szCs w:val="28"/>
          <w:lang w:val="tg-Cyrl-TJ"/>
        </w:rPr>
        <w:t>в) Овардани ҳамаи даромадҳо ва хароҷотҳои оянда ба арзиши ягонаи имрӯза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color w:val="0f1115"/>
          <w:sz w:val="28"/>
          <w:szCs w:val="28"/>
          <w:lang w:val="tg-Cyrl-TJ"/>
        </w:rPr>
        <w:t>г) Ҳисоб кардани фоидаи бухгалтерӣ</w:t>
      </w:r>
    </w:p>
    <w:p>
      <w:pPr>
        <w:pStyle w:val="style4098"/>
        <w:shd w:val="clear" w:color="auto" w:fill="ffffff"/>
        <w:spacing w:before="0" w:beforeAutospacing="false" w:after="0" w:afterAutospacing="false" w:lineRule="auto" w:line="360"/>
        <w:rPr>
          <w:rFonts w:ascii="Arial" w:cs="Arial" w:hAnsi="Arial"/>
          <w:color w:val="0f1115"/>
          <w:sz w:val="28"/>
          <w:szCs w:val="28"/>
          <w:lang w:val="tg-Cyrl-TJ"/>
        </w:rPr>
      </w:pPr>
      <w:r>
        <w:rPr>
          <w:rStyle w:val="style87"/>
          <w:rFonts w:ascii="Arial" w:cs="Arial" w:hAnsi="Arial"/>
          <w:color w:val="0f1115"/>
          <w:sz w:val="28"/>
          <w:szCs w:val="28"/>
          <w:lang w:val="tg-Cyrl-TJ"/>
        </w:rPr>
        <w:t>Ҷавоби дуруст:</w:t>
      </w:r>
      <w:r>
        <w:rPr>
          <w:rFonts w:ascii="Arial" w:cs="Arial" w:hAnsi="Arial"/>
          <w:color w:val="0f1115"/>
          <w:sz w:val="28"/>
          <w:szCs w:val="28"/>
          <w:lang w:val="tg-Cyrl-TJ"/>
        </w:rPr>
        <w:t> в) Овардани ҳамаи даромадҳо ва хароҷотҳои оянда ба арзиши ягонаи имрӯза</w:t>
      </w:r>
    </w:p>
    <w:p>
      <w:pPr>
        <w:pStyle w:val="style0"/>
        <w:spacing w:lineRule="auto" w:line="360"/>
        <w:rPr>
          <w:rFonts w:ascii="Arial" w:cs="Arial" w:hAnsi="Arial"/>
          <w:sz w:val="28"/>
          <w:szCs w:val="28"/>
          <w:lang w:val="tg-Cyrl-TJ"/>
        </w:rPr>
      </w:pPr>
    </w:p>
    <w:p>
      <w:pPr>
        <w:pStyle w:val="style0"/>
        <w:spacing w:lineRule="auto" w:line="360"/>
        <w:rPr>
          <w:rFonts w:ascii="Arial" w:cs="Arial" w:hAnsi="Arial"/>
          <w:sz w:val="28"/>
          <w:szCs w:val="28"/>
          <w:lang w:val="tg-Cyrl-TJ"/>
        </w:rPr>
      </w:pPr>
    </w:p>
    <w:sectPr>
      <w:pgSz w:w="11906" w:h="16838" w:orient="portrait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cc"/>
    <w:family w:val="roman"/>
    <w:pitch w:val="variable"/>
    <w:sig w:usb0="E0002EFF" w:usb1="C0007843" w:usb2="00000009" w:usb3="00000000" w:csb0="000001FF" w:csb1="00000000"/>
  </w:font>
  <w:font w:name="Courier New">
    <w:altName w:val="Courier New"/>
    <w:panose1 w:val="02070309020002020404"/>
    <w:charset w:val="cc"/>
    <w:family w:val="modern"/>
    <w:pitch w:val="fixed"/>
    <w:sig w:usb0="E0002A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0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002080304"/>
    <w:charset w:val="80"/>
    <w:family w:val="modern"/>
    <w:pitch w:val="fixed"/>
    <w:sig w:usb0="E00002FF" w:usb1="6AC7FDFB" w:usb2="08000012" w:usb3="00000000" w:csb0="0002009F" w:csb1="00000000"/>
  </w:font>
  <w:font w:name="Cambria">
    <w:altName w:val="Cambria"/>
    <w:panose1 w:val="02040503050004030204"/>
    <w:charset w:val="cc"/>
    <w:family w:val="roman"/>
    <w:pitch w:val="variable"/>
    <w:sig w:usb0="E00002FF" w:usb1="400004FF" w:usb2="00000000" w:usb3="00000000" w:csb0="0000019F" w:csb1="00000000"/>
  </w:font>
  <w:font w:name="Calibri">
    <w:altName w:val="Calibri"/>
    <w:panose1 w:val="020f0502020002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D32237E8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0000001"/>
    <w:multiLevelType w:val="multilevel"/>
    <w:tmpl w:val="B63CC792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2">
    <w:nsid w:val="00000002"/>
    <w:multiLevelType w:val="multilevel"/>
    <w:tmpl w:val="0F9AD438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0000003"/>
    <w:multiLevelType w:val="multilevel"/>
    <w:tmpl w:val="E8767FFE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">
    <w:nsid w:val="00000004"/>
    <w:multiLevelType w:val="multilevel"/>
    <w:tmpl w:val="FAF8C5CA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5">
    <w:nsid w:val="00000005"/>
    <w:multiLevelType w:val="multilevel"/>
    <w:tmpl w:val="970C4736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6">
    <w:nsid w:val="00000006"/>
    <w:multiLevelType w:val="multilevel"/>
    <w:tmpl w:val="2E12CB5C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0000007"/>
    <w:multiLevelType w:val="multilevel"/>
    <w:tmpl w:val="0E8A0654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0000008"/>
    <w:multiLevelType w:val="multilevel"/>
    <w:tmpl w:val="D164A490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2"/>
  </w:num>
  <w:num w:numId="5">
    <w:abstractNumId w:val="8"/>
  </w:num>
  <w:num w:numId="6">
    <w:abstractNumId w:val="7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Times New Roman" w:cs="Times New Roman" w:eastAsia="Times New Roman" w:hAnsi="Times New Roman"/>
        <w:lang w:val="ru-RU" w:bidi="ar-SA" w:eastAsia="ru-RU"/>
      </w:rPr>
    </w:rPrDefault>
    <w:pPrDefault>
      <w:pPr/>
    </w:pPrDefault>
  </w:docDefaults>
  <w:style w:type="paragraph" w:default="1" w:styleId="style0">
    <w:name w:val="Normal"/>
    <w:next w:val="style0"/>
    <w:qFormat/>
    <w:pPr/>
    <w:rPr>
      <w:sz w:val="24"/>
      <w:szCs w:val="24"/>
    </w:rPr>
  </w:style>
  <w:style w:type="paragraph" w:styleId="style3">
    <w:name w:val="heading 3"/>
    <w:basedOn w:val="style0"/>
    <w:next w:val="style3"/>
    <w:link w:val="style4097"/>
    <w:qFormat/>
    <w:uiPriority w:val="9"/>
    <w:pPr>
      <w:spacing w:before="100" w:beforeAutospacing="true" w:after="100" w:afterAutospacing="true"/>
      <w:outlineLvl w:val="2"/>
    </w:pPr>
    <w:rPr>
      <w:b/>
      <w:bCs/>
      <w:sz w:val="27"/>
      <w:szCs w:val="27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customStyle="1" w:styleId="style4097">
    <w:name w:val="Заголовок 3 Знак"/>
    <w:basedOn w:val="style65"/>
    <w:next w:val="style4097"/>
    <w:link w:val="style3"/>
    <w:uiPriority w:val="9"/>
    <w:rPr>
      <w:b/>
      <w:bCs/>
      <w:sz w:val="27"/>
      <w:szCs w:val="27"/>
    </w:rPr>
  </w:style>
  <w:style w:type="paragraph" w:customStyle="1" w:styleId="style4098">
    <w:name w:val="ds-markdown-paragraph"/>
    <w:basedOn w:val="style0"/>
    <w:next w:val="style4098"/>
    <w:pPr>
      <w:spacing w:before="100" w:beforeAutospacing="true" w:after="100" w:afterAutospacing="true"/>
    </w:pPr>
    <w:rPr/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paragraph" w:styleId="style179">
    <w:name w:val="List Paragraph"/>
    <w:basedOn w:val="style0"/>
    <w:next w:val="style179"/>
    <w:link w:val="style4100"/>
    <w:qFormat/>
    <w:uiPriority w:val="34"/>
    <w:pPr>
      <w:ind w:left="720"/>
      <w:contextualSpacing/>
    </w:pPr>
    <w:rPr/>
  </w:style>
  <w:style w:type="character" w:customStyle="1" w:styleId="style4099">
    <w:name w:val="y2iqfc"/>
    <w:basedOn w:val="style65"/>
    <w:next w:val="style4099"/>
  </w:style>
  <w:style w:type="character" w:styleId="style88">
    <w:name w:val="Emphasis"/>
    <w:basedOn w:val="style65"/>
    <w:next w:val="style88"/>
    <w:qFormat/>
    <w:uiPriority w:val="20"/>
    <w:rPr>
      <w:i/>
      <w:iCs/>
    </w:rPr>
  </w:style>
  <w:style w:type="character" w:customStyle="1" w:styleId="style4100">
    <w:name w:val="Абзац списка Знак"/>
    <w:next w:val="style4100"/>
    <w:link w:val="style179"/>
    <w:uiPriority w:val="34"/>
    <w:rPr>
      <w:sz w:val="24"/>
      <w:szCs w:val="24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357</Words>
  <Pages>3</Pages>
  <Characters>1856</Characters>
  <Application>WPS Office</Application>
  <DocSecurity>0</DocSecurity>
  <Paragraphs>23</Paragraphs>
  <ScaleCrop>false</ScaleCrop>
  <Company>Reanimator Extreme Edition</Company>
  <LinksUpToDate>false</LinksUpToDate>
  <CharactersWithSpaces>2193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2025-11-10T19:44:41Z</dcterms:created>
  <dc:creator>123</dc:creator>
  <lastModifiedBy>2303CRA44A</lastModifiedBy>
  <dcterms:modified xsi:type="dcterms:W3CDTF">2025-11-10T19:44:41Z</dcterms:modified>
  <revision>5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3b5ca9505755425ab8878529bb024bf3</vt:lpwstr>
  </property>
</Properties>
</file>