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B18" w:rsidRDefault="004A33A0" w:rsidP="00BA7B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val="en-US" w:eastAsia="ru-RU"/>
        </w:rPr>
      </w:pPr>
      <w:r w:rsidRPr="004A33A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Course:</w:t>
      </w:r>
      <w:r w:rsidRPr="004A33A0">
        <w:rPr>
          <w:rFonts w:ascii="Times New Roman" w:eastAsia="Times New Roman" w:hAnsi="Times New Roman" w:cs="Times New Roman"/>
          <w:b/>
          <w:color w:val="0F1115"/>
          <w:sz w:val="28"/>
          <w:szCs w:val="28"/>
          <w:lang w:val="en-US" w:eastAsia="ru-RU"/>
        </w:rPr>
        <w:t> International Trade and Policy</w:t>
      </w:r>
    </w:p>
    <w:p w:rsidR="00BA7B18" w:rsidRDefault="004A33A0" w:rsidP="00BA7B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val="en-US" w:eastAsia="ru-RU"/>
        </w:rPr>
      </w:pPr>
      <w:r w:rsidRPr="004A33A0">
        <w:rPr>
          <w:rFonts w:ascii="Times New Roman" w:eastAsia="Times New Roman" w:hAnsi="Times New Roman" w:cs="Times New Roman"/>
          <w:b/>
          <w:color w:val="0F1115"/>
          <w:sz w:val="28"/>
          <w:szCs w:val="28"/>
          <w:lang w:val="en-US" w:eastAsia="ru-RU"/>
        </w:rPr>
        <w:br/>
      </w:r>
      <w:r w:rsidRPr="004A33A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Week 4:</w:t>
      </w:r>
      <w:r w:rsidRPr="004A33A0">
        <w:rPr>
          <w:rFonts w:ascii="Times New Roman" w:eastAsia="Times New Roman" w:hAnsi="Times New Roman" w:cs="Times New Roman"/>
          <w:b/>
          <w:color w:val="0F1115"/>
          <w:sz w:val="28"/>
          <w:szCs w:val="28"/>
          <w:lang w:val="en-US" w:eastAsia="ru-RU"/>
        </w:rPr>
        <w:t> Trade Theory II -- Beyond Comparative Advantage</w:t>
      </w:r>
    </w:p>
    <w:p w:rsidR="004A33A0" w:rsidRDefault="004A33A0" w:rsidP="00BA7B18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/>
          <w:color w:val="0F1115"/>
          <w:sz w:val="28"/>
          <w:szCs w:val="28"/>
          <w:lang w:val="en-US" w:eastAsia="ru-RU"/>
        </w:rPr>
      </w:pPr>
      <w:r w:rsidRPr="004A33A0">
        <w:rPr>
          <w:rFonts w:ascii="Times New Roman" w:eastAsia="Times New Roman" w:hAnsi="Times New Roman" w:cs="Times New Roman"/>
          <w:b/>
          <w:color w:val="0F1115"/>
          <w:sz w:val="28"/>
          <w:szCs w:val="28"/>
          <w:lang w:val="en-US" w:eastAsia="ru-RU"/>
        </w:rPr>
        <w:br/>
      </w:r>
      <w:r w:rsidRPr="004A33A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Instructions:</w:t>
      </w:r>
      <w:r w:rsidRPr="004A33A0">
        <w:rPr>
          <w:rFonts w:ascii="Times New Roman" w:eastAsia="Times New Roman" w:hAnsi="Times New Roman" w:cs="Times New Roman"/>
          <w:b/>
          <w:color w:val="0F1115"/>
          <w:sz w:val="28"/>
          <w:szCs w:val="28"/>
          <w:lang w:val="en-US" w:eastAsia="ru-RU"/>
        </w:rPr>
        <w:t> 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Please select the best answer for each of the following ten questions. Each question has on</w:t>
      </w:r>
      <w:bookmarkStart w:id="0" w:name="_GoBack"/>
      <w:bookmarkEnd w:id="0"/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ly one correct answer.</w:t>
      </w:r>
    </w:p>
    <w:p w:rsidR="004A33A0" w:rsidRPr="004A33A0" w:rsidRDefault="004A33A0" w:rsidP="004A33A0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color w:val="0F1115"/>
          <w:sz w:val="28"/>
          <w:szCs w:val="28"/>
          <w:lang w:val="en-US" w:eastAsia="ru-RU"/>
        </w:rPr>
      </w:pPr>
    </w:p>
    <w:p w:rsidR="004A33A0" w:rsidRPr="004A33A0" w:rsidRDefault="004A33A0" w:rsidP="004A33A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4A33A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1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</w:r>
      <w:r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W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hich of the following is a critical puzzle that comparative advantage could NOT solve, leading to the need for "Beyond Comparative Advantage" models?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The Gravity Model Puzzle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The Leontief Paradox (1953)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The Dixit-</w:t>
      </w:r>
      <w:proofErr w:type="spellStart"/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Stiglitz</w:t>
      </w:r>
      <w:proofErr w:type="spellEnd"/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 Paradox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The Specific-Factors Equilibrium</w:t>
      </w:r>
    </w:p>
    <w:p w:rsidR="004A33A0" w:rsidRPr="004A33A0" w:rsidRDefault="004A33A0" w:rsidP="004A33A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4A33A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2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In the Specific-Factors model, what is the immediate short-run effect on labor allocation when the price of manufactured goods (</w:t>
      </w:r>
      <w:r w:rsidRPr="004A33A0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val="en-US" w:eastAsia="ru-RU"/>
        </w:rPr>
        <w:t>P_M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) rises due to trade?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Labor moves from manufacturing to agriculture because wages rise faster in agriculture.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Labor is immobile and cannot move between sectors.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Labor moves from agriculture to manufacturing, driven by a higher value of the marginal product of labor (VMPL) in manufacturing.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The nominal wage remains unchanged, so no labor moves.</w:t>
      </w:r>
    </w:p>
    <w:p w:rsidR="004A33A0" w:rsidRPr="004A33A0" w:rsidRDefault="004A33A0" w:rsidP="004A33A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4A33A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3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According to the Specific-Factors model, who are the unambiguous "winners" when a country opens to trade and the price of the exported manufactured good rises?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Workers, because their nominal wage always rises more than the price increase.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Landowners (specific to agriculture), because labor leaves the land.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Owners of capital (specific to manufacturing), because the higher output price increases their real return.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All factors of production benefit equally in the short run.</w:t>
      </w:r>
    </w:p>
    <w:p w:rsidR="004A33A0" w:rsidRPr="004A33A0" w:rsidRDefault="004A33A0" w:rsidP="004A33A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4A33A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4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What is the primary characteristic of "Internal Economies of Scale"?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Cost advantages depend on the size of the entire industry cluster.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A single firm's average cost decreases as its own output increases.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Costs decrease due to geographic concentration of many small firms.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Average cost remains constant regardless of the firm's output level.</w:t>
      </w:r>
    </w:p>
    <w:p w:rsidR="004A33A0" w:rsidRPr="004A33A0" w:rsidRDefault="004A33A0" w:rsidP="004A33A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4A33A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5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The Dixit-</w:t>
      </w:r>
      <w:proofErr w:type="spellStart"/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Stiglitz</w:t>
      </w:r>
      <w:proofErr w:type="spellEnd"/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-Krugman model explains intra-industry trade between similar 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lastRenderedPageBreak/>
        <w:t>countries by combining which two key elements?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Constant returns to scale and perfect competition.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Diminishing marginal returns and homogeneous products.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Economies of scale (increasing returns) and consumer "love of variety."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External economies and path dependence.</w:t>
      </w:r>
    </w:p>
    <w:p w:rsidR="004A33A0" w:rsidRPr="004A33A0" w:rsidRDefault="004A33A0" w:rsidP="004A33A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4A33A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6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What does the Grubel-Lloyd (GL) Index measure, and what does a GL value of 0.7 for US-Japan auto trade indicate?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The level of inter-industry trade; a value of 0.7 indicates mostly inter-industry trade.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The level of intra-industry trade; a value of 0.7 indicates a high degree of two-way trade in similar products (e.g., cars for cars).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The impact of distance on trade; a value of 0.7 indicates a strong negative effect of distance.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The degree of factor price equalization; a value of 0.7 indicates factor prices are 70% equalized.</w:t>
      </w:r>
    </w:p>
    <w:p w:rsidR="004A33A0" w:rsidRPr="004A33A0" w:rsidRDefault="004A33A0" w:rsidP="004A33A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4A33A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7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In the Gravity Model of trade, what do the "multilateral resistance terms" (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Π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_</w:t>
      </w:r>
      <w:proofErr w:type="spellStart"/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i</w:t>
      </w:r>
      <w:proofErr w:type="spellEnd"/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 xml:space="preserve">, </w:t>
      </w:r>
      <w:proofErr w:type="spellStart"/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P_j</w:t>
      </w:r>
      <w:proofErr w:type="spellEnd"/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) account for?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The political resistance to signing free trade agreements.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The average transportation cost within a single country.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The fact that two countries trade more if they are both relatively isolated from the rest of the world.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The effect of exchange rate volatility on trade flows.</w:t>
      </w:r>
    </w:p>
    <w:p w:rsidR="004A33A0" w:rsidRPr="004A33A0" w:rsidRDefault="004A33A0" w:rsidP="004A33A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4A33A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8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According to the lecture notes, what is a key policy implication derived from the Specific-Factors model?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Free trade agreements need no complementary policies as all factors gain.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Governments should use strategic subsidies to shift profits from foreign firms.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Trade hurts some workers in the short run, so policy should include adjustment assistance (e.g., retraining and wage insurance).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Regional trade agreements always increase welfare for all member countries.</w:t>
      </w:r>
    </w:p>
    <w:p w:rsidR="004A33A0" w:rsidRPr="004A33A0" w:rsidRDefault="004A33A0" w:rsidP="004A33A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4A33A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t>Question 9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Which of the following is identified in the notes as a limitation of the "Beyond Comparative Advantage" models?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They cannot explain any type of trade between similar countries.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They assume that all factors of production are perfectly mobile between sectors.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Increasing returns models often struggle to predict </w:t>
      </w:r>
      <w:r w:rsidRPr="004A33A0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val="en-US" w:eastAsia="ru-RU"/>
        </w:rPr>
        <w:t>which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 product variety will win (multiple equilibria problem).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They predict that trade never creates winners and losers within a country.</w:t>
      </w:r>
    </w:p>
    <w:p w:rsidR="004A33A0" w:rsidRPr="004A33A0" w:rsidRDefault="004A33A0" w:rsidP="004A33A0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</w:pPr>
      <w:r w:rsidRPr="004A33A0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val="en-US" w:eastAsia="ru-RU"/>
        </w:rPr>
        <w:lastRenderedPageBreak/>
        <w:t>Question 10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 xml:space="preserve">In the </w:t>
      </w:r>
      <w:proofErr w:type="spellStart"/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Helpman</w:t>
      </w:r>
      <w:proofErr w:type="spellEnd"/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t>-Krugman extensions, how do inter-industry and intra-industry trade coexist?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A) Inter-industry trade is driven by economies of scale, while intra-industry trade is driven by factor endowments.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B) Inter-industry trade (based on factor endowments) occurs for different goods, while intra-industry trade (based on variety) occurs within each sector.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C) Inter-industry trade only happens between dissimilar countries, and intra-industry trade only happens in the long run.</w:t>
      </w: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val="en-US" w:eastAsia="ru-RU"/>
        </w:rPr>
        <w:br/>
        <w:t>D) They cannot coexist; a country must specialize in one type of trade.</w:t>
      </w:r>
    </w:p>
    <w:p w:rsidR="004A33A0" w:rsidRDefault="004A33A0" w:rsidP="004A33A0">
      <w:pPr>
        <w:spacing w:before="480" w:after="48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33A0" w:rsidRPr="004A33A0" w:rsidRDefault="004A33A0" w:rsidP="004A33A0">
      <w:pPr>
        <w:spacing w:before="480" w:after="48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4A33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Answer</w:t>
      </w:r>
      <w:proofErr w:type="spellEnd"/>
      <w:r w:rsidRPr="004A33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4A33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Key</w:t>
      </w:r>
      <w:proofErr w:type="spellEnd"/>
    </w:p>
    <w:p w:rsidR="004A33A0" w:rsidRPr="004A33A0" w:rsidRDefault="004A33A0" w:rsidP="004A33A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9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B</w:t>
      </w:r>
    </w:p>
    <w:p w:rsidR="004A33A0" w:rsidRPr="004A33A0" w:rsidRDefault="004A33A0" w:rsidP="004A33A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9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C</w:t>
      </w:r>
    </w:p>
    <w:p w:rsidR="004A33A0" w:rsidRPr="004A33A0" w:rsidRDefault="004A33A0" w:rsidP="004A33A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9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C</w:t>
      </w:r>
    </w:p>
    <w:p w:rsidR="004A33A0" w:rsidRPr="004A33A0" w:rsidRDefault="004A33A0" w:rsidP="004A33A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9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B</w:t>
      </w:r>
    </w:p>
    <w:p w:rsidR="004A33A0" w:rsidRPr="004A33A0" w:rsidRDefault="004A33A0" w:rsidP="004A33A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9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C</w:t>
      </w:r>
    </w:p>
    <w:p w:rsidR="004A33A0" w:rsidRPr="004A33A0" w:rsidRDefault="004A33A0" w:rsidP="004A33A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9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B</w:t>
      </w:r>
    </w:p>
    <w:p w:rsidR="004A33A0" w:rsidRPr="004A33A0" w:rsidRDefault="004A33A0" w:rsidP="004A33A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9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C</w:t>
      </w:r>
    </w:p>
    <w:p w:rsidR="004A33A0" w:rsidRPr="004A33A0" w:rsidRDefault="004A33A0" w:rsidP="004A33A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9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C</w:t>
      </w:r>
    </w:p>
    <w:p w:rsidR="004A33A0" w:rsidRPr="004A33A0" w:rsidRDefault="004A33A0" w:rsidP="004A33A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9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C</w:t>
      </w:r>
    </w:p>
    <w:p w:rsidR="004A33A0" w:rsidRPr="004A33A0" w:rsidRDefault="004A33A0" w:rsidP="004A33A0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 w:firstLine="90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4A33A0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B</w:t>
      </w:r>
    </w:p>
    <w:p w:rsidR="00D271AF" w:rsidRDefault="00D271AF"/>
    <w:sectPr w:rsidR="00D271AF" w:rsidSect="004A33A0">
      <w:pgSz w:w="11906" w:h="16838" w:code="9"/>
      <w:pgMar w:top="1138" w:right="850" w:bottom="113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E7D56"/>
    <w:multiLevelType w:val="multilevel"/>
    <w:tmpl w:val="378EB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87B"/>
    <w:rsid w:val="003F587B"/>
    <w:rsid w:val="004A33A0"/>
    <w:rsid w:val="005A01A2"/>
    <w:rsid w:val="00BA7B18"/>
    <w:rsid w:val="00D271AF"/>
    <w:rsid w:val="00E03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264B1"/>
  <w15:chartTrackingRefBased/>
  <w15:docId w15:val="{6CF38D5C-DEB0-49D7-9F96-839CB902B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A33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A33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4A33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4A33A0"/>
    <w:rPr>
      <w:b/>
      <w:bCs/>
    </w:rPr>
  </w:style>
  <w:style w:type="character" w:styleId="a4">
    <w:name w:val="Emphasis"/>
    <w:basedOn w:val="a0"/>
    <w:uiPriority w:val="20"/>
    <w:qFormat/>
    <w:rsid w:val="004A33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709</Words>
  <Characters>4043</Characters>
  <Application>Microsoft Office Word</Application>
  <DocSecurity>0</DocSecurity>
  <Lines>33</Lines>
  <Paragraphs>9</Paragraphs>
  <ScaleCrop>false</ScaleCrop>
  <Company/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Mubin Abduvaliev</dc:creator>
  <cp:keywords/>
  <dc:description/>
  <cp:lastModifiedBy>Mubin Abduvaliev</cp:lastModifiedBy>
  <cp:revision>3</cp:revision>
  <dcterms:created xsi:type="dcterms:W3CDTF">2026-04-10T10:09:00Z</dcterms:created>
  <dcterms:modified xsi:type="dcterms:W3CDTF">2026-04-10T10:11:00Z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06158f32-9045-4e4b-abed-7efc938bf0fe</vt:lpwstr>
  </property>
</Properties>
</file>