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500E" w:rsidRPr="00BF500E" w:rsidRDefault="00BF500E" w:rsidP="00BF500E">
      <w:pPr>
        <w:spacing w:before="480" w:after="240"/>
        <w:outlineLvl w:val="0"/>
        <w:rPr>
          <w:rFonts w:eastAsia="Times New Roman" w:cstheme="minorHAnsi"/>
          <w:b/>
          <w:bCs/>
          <w:color w:val="0F1115"/>
          <w:kern w:val="36"/>
          <w:sz w:val="28"/>
          <w:szCs w:val="28"/>
        </w:rPr>
      </w:pPr>
      <w:r w:rsidRPr="00BF500E">
        <w:rPr>
          <w:rFonts w:eastAsia="Times New Roman" w:cstheme="minorHAnsi"/>
          <w:b/>
          <w:bCs/>
          <w:color w:val="0F1115"/>
          <w:kern w:val="36"/>
          <w:sz w:val="28"/>
          <w:szCs w:val="28"/>
        </w:rPr>
        <w:t>INTERNATIONAL TRADE AND POLICY</w:t>
      </w: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WEEK 8 – TRADE AGREEMENTS AND REGIONAL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University:</w:t>
      </w:r>
      <w:r w:rsidRPr="00BF500E">
        <w:rPr>
          <w:rFonts w:eastAsia="Times New Roman" w:cstheme="minorHAnsi"/>
          <w:color w:val="0F1115"/>
          <w:sz w:val="28"/>
          <w:szCs w:val="28"/>
        </w:rPr>
        <w:t> Tajik State University of Commerce</w:t>
      </w:r>
      <w:r w:rsidRPr="00BF500E">
        <w:rPr>
          <w:rFonts w:eastAsia="Times New Roman" w:cstheme="minorHAnsi"/>
          <w:color w:val="0F1115"/>
          <w:sz w:val="28"/>
          <w:szCs w:val="28"/>
        </w:rPr>
        <w:br/>
      </w:r>
      <w:r w:rsidRPr="00BF500E">
        <w:rPr>
          <w:rFonts w:eastAsia="Times New Roman" w:cstheme="minorHAnsi"/>
          <w:b/>
          <w:bCs/>
          <w:color w:val="0F1115"/>
          <w:sz w:val="28"/>
          <w:szCs w:val="28"/>
        </w:rPr>
        <w:t>Lecturer:</w:t>
      </w:r>
      <w:r w:rsidRPr="00BF500E">
        <w:rPr>
          <w:rFonts w:eastAsia="Times New Roman" w:cstheme="minorHAnsi"/>
          <w:color w:val="0F1115"/>
          <w:sz w:val="28"/>
          <w:szCs w:val="28"/>
        </w:rPr>
        <w:t> Dr. Abduvaliev Mubinzhon</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LEARNING OBJECTIVES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This lecture has several learning objectives. Students will be able to define regional integration and distinguish between different types of economic integration along the spectrum from preferential trade agreements to political union. Students will analyze the key concepts of trade creation and trade diversion and evaluate whether regional integration improves or reduces welfare. Students will explain the purpose and function of rules of origin and assess their costs and benefits. Students will compare shallow versus deep trade agreements. Finally, students will evaluate two major regional integration projects—the European Union (EU) and the Eurasian Economic Union (EAEU)—as case studies.</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INTRODUCTION: WHY DO COUNTRIES INTEGRATE?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Countries pursue regional integration for multiple reasons. The economic benefits include access to larger markets, which allows firms to achieve economies of scale. Integration also attracts foreign direct investment because multinational corporations can locate production anywhere within the integrated area and serve the entire regional market. Increased competition within the integrated area forces inefficient firms to improve or exit, raising overall productivity.</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The political benefits are equally important. Regional integration has historically been used to secure peace and stability among neighboring countries that may have previously been at war. The European Union's deepest roots lie in the desire </w:t>
      </w:r>
      <w:r w:rsidRPr="00BF500E">
        <w:rPr>
          <w:rFonts w:eastAsia="Times New Roman" w:cstheme="minorHAnsi"/>
          <w:color w:val="0F1115"/>
          <w:sz w:val="28"/>
          <w:szCs w:val="28"/>
        </w:rPr>
        <w:lastRenderedPageBreak/>
        <w:t>to bind France and Germany together economically so that war between them would become unthinkable. Integration also gives smaller countries collective bargaining power in global trade negotiations, allowing them to negotiate as a bloc rather than individually.</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strategic benefits include reducing dependency on non-member states. A group of countries that integrates economically can reduce its vulnerability to external shocks or pressure from larger powers. However, integration requires countries to accept a loss of some policy sovereignty. They cannot set their own tariffs, regulate their own markets, or control their own borders as freely as they could outside the agreement. This tension between the benefits of integration and the costs of lost sovereignty is a recurring theme in the politics of regional integration.</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1: THE SPECTRUM OF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Regional integration is not a single thing but a spectrum ranging from very loose cooperation to complete political merger. The deeper the integration, the greater the economic benefits but also the greater the loss of national sovereignty. Six main types are typically distinguished.</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Preferential Trade Agreement (PTA):</w:t>
      </w:r>
      <w:r w:rsidRPr="00BF500E">
        <w:rPr>
          <w:rFonts w:eastAsia="Times New Roman" w:cstheme="minorHAnsi"/>
          <w:color w:val="0F1115"/>
          <w:sz w:val="28"/>
          <w:szCs w:val="28"/>
        </w:rPr>
        <w:t> The shallowest form of integration. Members lower tariffs on certain products from certain other members, but not all products and not to zero. The Global System of Trade Preferences (GSTP) among developing countries is an example. PTAs have limited impact because they are complex and selective. They are often used as a first step toward deeper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Free Trade Area (FTA):</w:t>
      </w:r>
      <w:r w:rsidRPr="00BF500E">
        <w:rPr>
          <w:rFonts w:eastAsia="Times New Roman" w:cstheme="minorHAnsi"/>
          <w:color w:val="0F1115"/>
          <w:sz w:val="28"/>
          <w:szCs w:val="28"/>
        </w:rPr>
        <w:t> Members eliminate internal tariffs and quotas on substantially all trade among themselves. However, each member keeps its own separate external tariff on goods from non-members. Because external tariffs differ, FTAs need rules of origin to prevent trade deflection—the practice of importing goods from a non-member through the member with the lowest external tariff. The United States-Mexico-Canada Agreement (USMCA) and the ASEAN Free Trade Area (AFTA) are examples.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lastRenderedPageBreak/>
        <w:t>Customs Union:</w:t>
      </w:r>
      <w:r w:rsidRPr="00BF500E">
        <w:rPr>
          <w:rFonts w:eastAsia="Times New Roman" w:cstheme="minorHAnsi"/>
          <w:color w:val="0F1115"/>
          <w:sz w:val="28"/>
          <w:szCs w:val="28"/>
        </w:rPr>
        <w:t> This takes the FTA one step further. Members adopt a Common External Tariff (CET) on goods from non-members. Because the external tariff is the same for all members, there is no need for rules of origin internally. Any good that enters the customs union pays the same tariff regardless of which member it enters through. The European Union was originally a customs union before deepening further. Mercosur (South America) is a partial customs union.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Common Market:</w:t>
      </w:r>
      <w:r w:rsidRPr="00BF500E">
        <w:rPr>
          <w:rFonts w:eastAsia="Times New Roman" w:cstheme="minorHAnsi"/>
          <w:color w:val="0F1115"/>
          <w:sz w:val="28"/>
          <w:szCs w:val="28"/>
        </w:rPr>
        <w:t> This adds the free movement of factors of production—labor and capital—to the customs union. Workers can move freely across borders to take jobs. Investors can locate capital anywhere in the common market. This requires mutual recognition of professional qualifications, harmonized labor laws, and integrated capital markets. The European Economic Area and the European Union after the Maastricht Treaty (1993) are examples.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Economic Union:</w:t>
      </w:r>
      <w:r w:rsidRPr="00BF500E">
        <w:rPr>
          <w:rFonts w:eastAsia="Times New Roman" w:cstheme="minorHAnsi"/>
          <w:color w:val="0F1115"/>
          <w:sz w:val="28"/>
          <w:szCs w:val="28"/>
        </w:rPr>
        <w:t> This adds harmonized economic policies to the common market. Members coordinate their fiscal policies (taxation and spending) and may share a common currency. The eurozone countries within the EU are an economic union. An economic union typically requires a central bank, budget coordination, and transfer payments from richer to poorer regions.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Political Union:</w:t>
      </w:r>
      <w:r w:rsidRPr="00BF500E">
        <w:rPr>
          <w:rFonts w:eastAsia="Times New Roman" w:cstheme="minorHAnsi"/>
          <w:color w:val="0F1115"/>
          <w:sz w:val="28"/>
          <w:szCs w:val="28"/>
        </w:rPr>
        <w:t> The deepest form of integration. Members share a common government, parliament, military, and foreign policy. Political union has not yet been fully achieved anywhere. The European Union is the closest example, but it remains intergovernmental on key issues such as defense and foreign policy. The historical example of political union is the United States after the ratification of the Constitution in 1789, which transformed a loose confederation into a single nation.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Why do countries not simply jump to political union? Loss of national sovereignty is politically difficult, even when the economic benefits are clear. Political union requires similar income levels and business cycles among members, or else the richer regions will resent subsidizing poorer regions. It requires fiscal transfers from rich to poor regions, which are politically contentious. Cultural and language barriers make common political identity harder to achieve. And democratic accountability becomes problematic when citizens are asked to accept decisions made by a supranational government they did not elect.</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lastRenderedPageBreak/>
        <w:t>SECTION 2: KEY CONCEPTS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Trade Agreements and Regional Integration Defined</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Before proceeding, it is useful to define the core terminology. A </w:t>
      </w:r>
      <w:r w:rsidRPr="00BF500E">
        <w:rPr>
          <w:rFonts w:eastAsia="Times New Roman" w:cstheme="minorHAnsi"/>
          <w:b/>
          <w:bCs/>
          <w:color w:val="0F1115"/>
          <w:sz w:val="28"/>
          <w:szCs w:val="28"/>
        </w:rPr>
        <w:t>trade agreement</w:t>
      </w:r>
      <w:r w:rsidRPr="00BF500E">
        <w:rPr>
          <w:rFonts w:eastAsia="Times New Roman" w:cstheme="minorHAnsi"/>
          <w:color w:val="0F1115"/>
          <w:sz w:val="28"/>
          <w:szCs w:val="28"/>
        </w:rPr>
        <w:t> is a pact between two or more countries on the terms of trade between them. Trade agreements may be bilateral (between two countries), regional (among neighboring countries), or multilateral (among many countries, typically through the WTO). A </w:t>
      </w:r>
      <w:r w:rsidRPr="00BF500E">
        <w:rPr>
          <w:rFonts w:eastAsia="Times New Roman" w:cstheme="minorHAnsi"/>
          <w:b/>
          <w:bCs/>
          <w:color w:val="0F1115"/>
          <w:sz w:val="28"/>
          <w:szCs w:val="28"/>
        </w:rPr>
        <w:t>regional integration</w:t>
      </w:r>
      <w:r w:rsidRPr="00BF500E">
        <w:rPr>
          <w:rFonts w:eastAsia="Times New Roman" w:cstheme="minorHAnsi"/>
          <w:color w:val="0F1115"/>
          <w:sz w:val="28"/>
          <w:szCs w:val="28"/>
        </w:rPr>
        <w:t> process is one where neighboring states cooperate through common institutions and rules, typically going beyond a simple trade agreement to include deeper cooperation.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Economists distinguish between </w:t>
      </w:r>
      <w:r w:rsidRPr="00BF500E">
        <w:rPr>
          <w:rFonts w:eastAsia="Times New Roman" w:cstheme="minorHAnsi"/>
          <w:b/>
          <w:bCs/>
          <w:color w:val="0F1115"/>
          <w:sz w:val="28"/>
          <w:szCs w:val="28"/>
        </w:rPr>
        <w:t>WTO+ provisions</w:t>
      </w:r>
      <w:r w:rsidRPr="00BF500E">
        <w:rPr>
          <w:rFonts w:eastAsia="Times New Roman" w:cstheme="minorHAnsi"/>
          <w:color w:val="0F1115"/>
          <w:sz w:val="28"/>
          <w:szCs w:val="28"/>
        </w:rPr>
        <w:t>, which go beyond existing WTO commitments (such as reducing tariffs below bound rates), and </w:t>
      </w:r>
      <w:r w:rsidRPr="00BF500E">
        <w:rPr>
          <w:rFonts w:eastAsia="Times New Roman" w:cstheme="minorHAnsi"/>
          <w:b/>
          <w:bCs/>
          <w:color w:val="0F1115"/>
          <w:sz w:val="28"/>
          <w:szCs w:val="28"/>
        </w:rPr>
        <w:t>WTO-X provisions</w:t>
      </w:r>
      <w:r w:rsidRPr="00BF500E">
        <w:rPr>
          <w:rFonts w:eastAsia="Times New Roman" w:cstheme="minorHAnsi"/>
          <w:color w:val="0F1115"/>
          <w:sz w:val="28"/>
          <w:szCs w:val="28"/>
        </w:rPr>
        <w:t>, which cover issues not addressed by the WTO at all (such as investment rules, competition policy, labor standards, and environmental provisions). The trend over the past thirty years has been toward more WTO-X provisions in regional trade agreements.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Trade Creation versus Trade Diversion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core welfare question for any regional integration agreement was first posed by economist Jacob Viner in 1950. Viner pointed out that regional integration is not automatically good for welfare. Whether it improves or reduces welfare depends on whether it creates trade or diverts trade.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Trade creation</w:t>
      </w:r>
      <w:r w:rsidRPr="00BF500E">
        <w:rPr>
          <w:rFonts w:eastAsia="Times New Roman" w:cstheme="minorHAnsi"/>
          <w:color w:val="0F1115"/>
          <w:sz w:val="28"/>
          <w:szCs w:val="28"/>
        </w:rPr>
        <w:t> is the good outcome. It occurs when high-cost domestic production is replaced by lower-cost production from a partner country within the integration area. The result is more efficient resource allocation at the global level, and world welfare increases. For example, suppose Germany previously produced wine in expensive greenhouses at high cost. If Germany joins a free trade area with France and begins importing low-cost French wine instead, trade has been created. Consumers benefit from cheaper wine, and resources that were wasted on inefficient German wine production can move to more productive uses.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Trade diversion</w:t>
      </w:r>
      <w:r w:rsidRPr="00BF500E">
        <w:rPr>
          <w:rFonts w:eastAsia="Times New Roman" w:cstheme="minorHAnsi"/>
          <w:color w:val="0F1115"/>
          <w:sz w:val="28"/>
          <w:szCs w:val="28"/>
        </w:rPr>
        <w:t xml:space="preserve"> is the potentially bad outcome. It occurs when low-cost production from a non-member country is replaced by higher-cost production </w:t>
      </w:r>
      <w:r w:rsidRPr="00BF500E">
        <w:rPr>
          <w:rFonts w:eastAsia="Times New Roman" w:cstheme="minorHAnsi"/>
          <w:color w:val="0F1115"/>
          <w:sz w:val="28"/>
          <w:szCs w:val="28"/>
        </w:rPr>
        <w:lastRenderedPageBreak/>
        <w:t>from a partner country because of tariff preferences within the integration area. The result is less efficient resource allocation at the global level, and world welfare decreases even though member countries may gain individually. For example, suppose the United Kingdom before joining the European Union bought cheap bananas from Central America. After joining the EU, the UK faces a common external tariff on Central American bananas but can buy Greek bananas tariff-free. If Greek bananas are more expensive to produce than Central American bananas, the UK will switch to Greek bananas, and global resources are now allocated less efficiently. World welfare falls, although the UK and Greece both gain relative to the situation of protecting UK banana production.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net effect of an integration agreement on a country depends on several factors. Countries with high pre-integration external tariffs have more to gain because they are starting from a more distorted position. Countries with similar cost structures among partners face less risk of trade diversion because the difference between partner costs and world costs is small. Geographic proximity lowers transport costs and makes partner production more competitive relative to distant world producers. Empirical research by the World Bank and other institutions has found that most free trade agreements are net trade-creating, but specific sectors within countries can lose.</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3: RULES OF ORIGIN</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What Are Rules of Origin and Why Are They Needed?</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Rules of origin are the criteria used to determine the economic nationality of a product in a free trade area. Because an FTA has no common external tariff, goods from non-members could enter the FTA through the member with the lowest external tariff and then move freely to other members. This is called </w:t>
      </w:r>
      <w:r w:rsidRPr="00BF500E">
        <w:rPr>
          <w:rFonts w:eastAsia="Times New Roman" w:cstheme="minorHAnsi"/>
          <w:b/>
          <w:bCs/>
          <w:color w:val="0F1115"/>
          <w:sz w:val="28"/>
          <w:szCs w:val="28"/>
        </w:rPr>
        <w:t>trade deflection</w:t>
      </w:r>
      <w:r w:rsidRPr="00BF500E">
        <w:rPr>
          <w:rFonts w:eastAsia="Times New Roman" w:cstheme="minorHAnsi"/>
          <w:color w:val="0F1115"/>
          <w:sz w:val="28"/>
          <w:szCs w:val="28"/>
        </w:rPr>
        <w:t>. Rules of origin prevent trade deflection by requiring that a good must have originated sufficiently within the FTA to receive preferential tariff treatment.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Without rules of origin, a free trade area would be unenforceable. For example, suppose the USMCA has a zero tariff on cars between the United States, Mexico, and Canada, but the United States has a twenty-five percent tariff on cars from </w:t>
      </w:r>
      <w:r w:rsidRPr="00BF500E">
        <w:rPr>
          <w:rFonts w:eastAsia="Times New Roman" w:cstheme="minorHAnsi"/>
          <w:color w:val="0F1115"/>
          <w:sz w:val="28"/>
          <w:szCs w:val="28"/>
        </w:rPr>
        <w:lastRenderedPageBreak/>
        <w:t>China. A Chinese car manufacturer could ship cars to Mexico (which might have a five percent tariff on Chinese cars), pay that low tariff, and then ship the cars to the United States tariff-free as Mexican goods. Rules of origin prevent this by requiring that a car must have a certain percentage of North American content to be treated as North American.</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Types of Rules of Origin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There are several types of rules of origin, each with different administrative costs and economic effects.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Wholly obtained</w:t>
      </w:r>
      <w:r w:rsidRPr="00BF500E">
        <w:rPr>
          <w:rFonts w:eastAsia="Times New Roman" w:cstheme="minorHAnsi"/>
          <w:color w:val="0F1115"/>
          <w:sz w:val="28"/>
          <w:szCs w:val="28"/>
        </w:rPr>
        <w:t> rules apply to agricultural products, minerals, and other goods that are entirely produced within the FTA. A fish caught in FTA waters, a mineral extracted from FTA soil, or a plant grown on FTA land is considered wholly obtained. These are straightforward to verify but apply only to primary products.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Substantial transformation</w:t>
      </w:r>
      <w:r w:rsidRPr="00BF500E">
        <w:rPr>
          <w:rFonts w:eastAsia="Times New Roman" w:cstheme="minorHAnsi"/>
          <w:color w:val="0F1115"/>
          <w:sz w:val="28"/>
          <w:szCs w:val="28"/>
        </w:rPr>
        <w:t> rules require that the good has undergone a significant manufacturing change within the FTA. The most common implementation is the </w:t>
      </w:r>
      <w:r w:rsidRPr="00BF500E">
        <w:rPr>
          <w:rFonts w:eastAsia="Times New Roman" w:cstheme="minorHAnsi"/>
          <w:b/>
          <w:bCs/>
          <w:color w:val="0F1115"/>
          <w:sz w:val="28"/>
          <w:szCs w:val="28"/>
        </w:rPr>
        <w:t>change in tariff heading (CTH)</w:t>
      </w:r>
      <w:r w:rsidRPr="00BF500E">
        <w:rPr>
          <w:rFonts w:eastAsia="Times New Roman" w:cstheme="minorHAnsi"/>
          <w:color w:val="0F1115"/>
          <w:sz w:val="28"/>
          <w:szCs w:val="28"/>
        </w:rPr>
        <w:t>rule, which requires that the final product be classified under a different harmonized system tariff heading than its non-originating inputs. For example, if you import non-originating rubber (tariff heading 4001) and export tires (tariff heading 4011), the tariff heading has changed, so the tires may qualify as originating.</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Value-added rules</w:t>
      </w:r>
      <w:r w:rsidRPr="00BF500E">
        <w:rPr>
          <w:rFonts w:eastAsia="Times New Roman" w:cstheme="minorHAnsi"/>
          <w:color w:val="0F1115"/>
          <w:sz w:val="28"/>
          <w:szCs w:val="28"/>
        </w:rPr>
        <w:t> require that a minimum percentage of the good's value originates within the FTA. For example, a rule might require that forty percent of the ex-works price of a product comes from materials or production within the FTA. Value-added rules are flexible but require detailed cost accounting and are vulnerable to manipulation through transfer pricing.</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Specific process rules</w:t>
      </w:r>
      <w:r w:rsidRPr="00BF500E">
        <w:rPr>
          <w:rFonts w:eastAsia="Times New Roman" w:cstheme="minorHAnsi"/>
          <w:color w:val="0F1115"/>
          <w:sz w:val="28"/>
          <w:szCs w:val="28"/>
        </w:rPr>
        <w:t> require that a particular manufacturing process be performed within the FTA. The most famous example is the </w:t>
      </w:r>
      <w:r w:rsidRPr="00BF500E">
        <w:rPr>
          <w:rFonts w:eastAsia="Times New Roman" w:cstheme="minorHAnsi"/>
          <w:b/>
          <w:bCs/>
          <w:color w:val="0F1115"/>
          <w:sz w:val="28"/>
          <w:szCs w:val="28"/>
        </w:rPr>
        <w:t>yarn forward</w:t>
      </w:r>
      <w:r w:rsidRPr="00BF500E">
        <w:rPr>
          <w:rFonts w:eastAsia="Times New Roman" w:cstheme="minorHAnsi"/>
          <w:color w:val="0F1115"/>
          <w:sz w:val="28"/>
          <w:szCs w:val="28"/>
        </w:rPr>
        <w:t> rule in textiles, which requires that from yarn onward, all production must occur within the FTA for the final textile product to qualify for preferences. This rule is designed to protect the entire textile supply chain rather than just final assembly.</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The Spaghetti Bowl Effect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lastRenderedPageBreak/>
        <w:t>A major problem with rules of origin is that different free trade agreements have different rules. A country that belongs to multiple overlapping FTAs</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as many countries do</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must apply different origin rules for exports to different destinations. This is known as the </w:t>
      </w:r>
      <w:r w:rsidRPr="00BF500E">
        <w:rPr>
          <w:rFonts w:eastAsia="Times New Roman" w:cstheme="minorHAnsi"/>
          <w:b/>
          <w:bCs/>
          <w:color w:val="0F1115"/>
          <w:sz w:val="28"/>
          <w:szCs w:val="28"/>
        </w:rPr>
        <w:t>spaghetti bowl effect</w:t>
      </w:r>
      <w:r w:rsidRPr="00BF500E">
        <w:rPr>
          <w:rFonts w:eastAsia="Times New Roman" w:cstheme="minorHAnsi"/>
          <w:color w:val="0F1115"/>
          <w:sz w:val="28"/>
          <w:szCs w:val="28"/>
        </w:rPr>
        <w:t>, a term coined by economist Jagdish Bhagwati.</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spaghetti bowl effect creates high compliance costs for firms. A car part manufacturer in Mexico, for example, may need to apply different origin rules for exports to the United States under USMCA, to the European Union under the EU-Mexico FTA, to Japan under the CPTPP, and to other Latin American countries under various agreements. Each set of rules requires different documentation, different cost accounting, and different production processes. The compliance burden falls disproportionately on small and medium-sized enterprises that lack the legal and accounting staff to manage complex origin determinations.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One solution to the spaghetti bowl effect is </w:t>
      </w:r>
      <w:r w:rsidRPr="00BF500E">
        <w:rPr>
          <w:rFonts w:eastAsia="Times New Roman" w:cstheme="minorHAnsi"/>
          <w:b/>
          <w:bCs/>
          <w:color w:val="0F1115"/>
          <w:sz w:val="28"/>
          <w:szCs w:val="28"/>
        </w:rPr>
        <w:t>cumulation</w:t>
      </w:r>
      <w:r w:rsidRPr="00BF500E">
        <w:rPr>
          <w:rFonts w:eastAsia="Times New Roman" w:cstheme="minorHAnsi"/>
          <w:color w:val="0F1115"/>
          <w:sz w:val="28"/>
          <w:szCs w:val="28"/>
        </w:rPr>
        <w:t>. Diagonal cumulation allows inputs from several countries within a regional cumulation zone to count toward origin requirements. Full cumulation allows any production within the zone to count regardless of where value is added. The European Union operates a Pan-Euro-Med cumulation zone that includes the EU, Morocco, Tunisia, Egypt, Israel, Jordan, and others. This allows producers across the Mediterranean to combine inputs without losing origin status.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Costs and Benefits of Rules of Origin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Rules of origin impose several costs. They increase administrative expenses for firms and customs authorities. They create uncertainty because origin determinations can be contested. They distort production decisions by encouraging firms to use more expensive local inputs to meet origin thresholds rather than cheaper imported inputs. And they can be used for protectionist purposes, as when the USMCA increased its auto regional value content requirement specifically to encourage production in North America rather than in Asia.</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However, rules of origin also serve legitimate purposes. They prevent trade deflection, which would otherwise make free trade areas unworkable. They allow countries to maintain different external tariffs while still enjoying free internal </w:t>
      </w:r>
      <w:r w:rsidRPr="00BF500E">
        <w:rPr>
          <w:rFonts w:eastAsia="Times New Roman" w:cstheme="minorHAnsi"/>
          <w:color w:val="0F1115"/>
          <w:sz w:val="28"/>
          <w:szCs w:val="28"/>
        </w:rPr>
        <w:lastRenderedPageBreak/>
        <w:t>trade. And they can be designed to encourage the development of regional supply chains, which may have positive development effects.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Real-World Example: USMCA Auto Rules of Origin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United States-Mexico-Canada Agreement (USMCA), which replaced NAFTA in 2020, significantly tightened the rules of origin for automobiles. The Regional Value Content (RVC) requirement increased from 62.5 percent under NAFTA to 75 percent under USMCA. Additionally, seventy percent of the steel and aluminum used in the vehicle must be melted and poured in North America. Most controversially, from forty to forty-five percent of auto content must be produced by workers earning at least sixteen dollars per hour—a provision clearly designed to encourage production in the United States and Canada rather than in lower-wage Mexico.</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These provisions have generated controversy. Supporters argue that they will bring auto production back to North America from Asia. Critics argue that they violate basic principles of non-discrimination and that they will raise car prices for consumers. The long-term effects remain unclear, but the USMCA illustrates how rules of origin can be used as an industrial policy tool rather than merely as an anti-fraud measure.</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4: SHALLOW VERSUS DEEP AGREEMENTS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Defining Shallow and Deep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Traditional trade agreements focused on what economists call </w:t>
      </w:r>
      <w:r w:rsidRPr="00BF500E">
        <w:rPr>
          <w:rFonts w:eastAsia="Times New Roman" w:cstheme="minorHAnsi"/>
          <w:b/>
          <w:bCs/>
          <w:color w:val="0F1115"/>
          <w:sz w:val="28"/>
          <w:szCs w:val="28"/>
        </w:rPr>
        <w:t>shallow integration</w:t>
      </w:r>
      <w:r w:rsidRPr="00BF500E">
        <w:rPr>
          <w:rFonts w:eastAsia="Times New Roman" w:cstheme="minorHAnsi"/>
          <w:color w:val="0F1115"/>
          <w:sz w:val="28"/>
          <w:szCs w:val="28"/>
        </w:rPr>
        <w:t>. They reduced tariffs and eliminated quotas on goods trade. They did not interfere with domestic regulations, labor laws, environmental standards, or investment policies. The original GATT was a shallow agreement.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Modern trade agreements increasingly pursue </w:t>
      </w:r>
      <w:r w:rsidRPr="00BF500E">
        <w:rPr>
          <w:rFonts w:eastAsia="Times New Roman" w:cstheme="minorHAnsi"/>
          <w:b/>
          <w:bCs/>
          <w:color w:val="0F1115"/>
          <w:sz w:val="28"/>
          <w:szCs w:val="28"/>
        </w:rPr>
        <w:t>deep integration</w:t>
      </w:r>
      <w:r w:rsidRPr="00BF500E">
        <w:rPr>
          <w:rFonts w:eastAsia="Times New Roman" w:cstheme="minorHAnsi"/>
          <w:color w:val="0F1115"/>
          <w:sz w:val="28"/>
          <w:szCs w:val="28"/>
        </w:rPr>
        <w:t xml:space="preserve">. They go behind the border to harmonize or mutually recognize regulations, set common standards for labor and the environment, liberalize investment and services, protect intellectual property, facilitate digital trade, and discipline state-owned </w:t>
      </w:r>
      <w:r w:rsidRPr="00BF500E">
        <w:rPr>
          <w:rFonts w:eastAsia="Times New Roman" w:cstheme="minorHAnsi"/>
          <w:color w:val="0F1115"/>
          <w:sz w:val="28"/>
          <w:szCs w:val="28"/>
        </w:rPr>
        <w:lastRenderedPageBreak/>
        <w:t>enterprises. Deep agreements represent a much more intrusive form of integration that directly affects domestic policy choices.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Examples of Deep Provisions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Deep agreements cover many issues not traditionally part of trade policy.</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Regulatory coherence</w:t>
      </w:r>
      <w:r w:rsidRPr="00BF500E">
        <w:rPr>
          <w:rFonts w:eastAsia="Times New Roman" w:cstheme="minorHAnsi"/>
          <w:color w:val="0F1115"/>
          <w:sz w:val="28"/>
          <w:szCs w:val="28"/>
        </w:rPr>
        <w:t> provisions require countries to coordinate their product standards, safety regulations, and certification procedures. Mutual recognition agreements mean that a product tested and certified in one country can be sold in another without additional testing. This reduces non-tariff barriers but also limits a country's ability to set its own regulations.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Labor and environment</w:t>
      </w:r>
      <w:r w:rsidRPr="00BF500E">
        <w:rPr>
          <w:rFonts w:eastAsia="Times New Roman" w:cstheme="minorHAnsi"/>
          <w:color w:val="0F1115"/>
          <w:sz w:val="28"/>
          <w:szCs w:val="28"/>
        </w:rPr>
        <w:t> chapters make labor rights and environmental protections enforceable under the trade agreement. The USMCA, for example, includes a rapid response mechanism that allows factories to be inspected for labor violations, with tariffs imposed on non-compliant factories. Critics argue that these provisions are used for protectionist purposes, while supporters argue they prevent a race to the bottom.</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E-commerce and data flows</w:t>
      </w:r>
      <w:r w:rsidRPr="00BF500E">
        <w:rPr>
          <w:rFonts w:eastAsia="Times New Roman" w:cstheme="minorHAnsi"/>
          <w:color w:val="0F1115"/>
          <w:sz w:val="28"/>
          <w:szCs w:val="28"/>
        </w:rPr>
        <w:t> provisions prohibit data localization requirements (mandating that data be stored on local servers) and restrict forced technology transfer. These provisions are highly controversial because they limit countries' ability to regulate digital activities within their borders.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Competition policy</w:t>
      </w:r>
      <w:r w:rsidRPr="00BF500E">
        <w:rPr>
          <w:rFonts w:eastAsia="Times New Roman" w:cstheme="minorHAnsi"/>
          <w:color w:val="0F1115"/>
          <w:sz w:val="28"/>
          <w:szCs w:val="28"/>
        </w:rPr>
        <w:t> provisions require countries to maintain antitrust laws and cooperate across borders on enforcement. This prevents large firms from using monopoly power to undermine trade liberalization.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b/>
          <w:bCs/>
          <w:color w:val="0F1115"/>
          <w:sz w:val="28"/>
          <w:szCs w:val="28"/>
        </w:rPr>
        <w:t>State-owned enterprises (SOEs)</w:t>
      </w:r>
      <w:r w:rsidRPr="00BF500E">
        <w:rPr>
          <w:rFonts w:eastAsia="Times New Roman" w:cstheme="minorHAnsi"/>
          <w:color w:val="0F1115"/>
          <w:sz w:val="28"/>
          <w:szCs w:val="28"/>
        </w:rPr>
        <w:t> provisions require that SOEs operate on commercial principles, not receive preferential subsidies, and not cross-subsidize from monopoly activities to competitive activities. These provisions are particularly important in agreements with China and other countries where SOEs play a large economic role.</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The Trend Toward Deep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The trend from shallow to deep integration has been driven by several factors. First, tariffs are now low; the average global tariff has fallen from fifteen percent </w:t>
      </w:r>
      <w:r w:rsidRPr="00BF500E">
        <w:rPr>
          <w:rFonts w:eastAsia="Times New Roman" w:cstheme="minorHAnsi"/>
          <w:color w:val="0F1115"/>
          <w:sz w:val="28"/>
          <w:szCs w:val="28"/>
        </w:rPr>
        <w:lastRenderedPageBreak/>
        <w:t>in 1995 to about five percent today. The remaining barriers to trade are non-tariff measures such as regulations, standards, and bureaucratic procedures. Second, modern trade is organized in global value chains where components cross borders multiple times. Deep integration reduces the cost of moving goods along these chains. Third, services trade, which is heavily regulated, has grown faster than goods trade.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Research by the World Bank has found that deep trade agreements raise foreign direct investment by twenty to forty percent compared to shallow agreements. The effect is even larger for agreements that include investment and intellectual property provisions. However, deep agreements also involve greater loss of sovereignty and have faced political backlash in many countries. The Brexit vote in the United Kingdom was in part a reaction against the deep integration of the European Union.</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5: CASE STUDY 1 – THE EUROPEAN UNION</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Historical Development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European Union is the most deeply integrated regional bloc in the world. It began in 1951 with the European Coal and Steel Community (ECSC), which integrated the coal and steel industries of France, West Germany, Italy, Belgium, the Netherlands, and Luxembourg. The ECSC's founders explicitly aimed to make war between France and Germany impossible by integrating their heavy industries.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1957 Treaty of Rome established the European Economic Community (EEC), which created a customs union and common market for all goods. The EEC eliminated internal tariffs, adopted a common external tariff, and began the process of harmonizing regulations. The 1986 Single European Act set a target of completing the single market by 1992, eliminating all remaining barriers to the free movement of goods, services, capital, and people.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The 1992 Maastricht Treaty created the European Union and laid the foundation for economic and monetary union. The euro was introduced as a common </w:t>
      </w:r>
      <w:r w:rsidRPr="00BF500E">
        <w:rPr>
          <w:rFonts w:eastAsia="Times New Roman" w:cstheme="minorHAnsi"/>
          <w:color w:val="0F1115"/>
          <w:sz w:val="28"/>
          <w:szCs w:val="28"/>
        </w:rPr>
        <w:lastRenderedPageBreak/>
        <w:t>currency in 1999, with euro banknotes and coins entering circulation in 2002. The Lisbon Treaty (2009) strengthened the EU's institutions and gave it a more unified foreign policy structure.</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Level of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 today is best described as an economic union with strong elements of political integration. It has a customs union (common external tariff). It has a common market with free movement of labor and capital. The eurozone countries (twenty of the twenty-seven members) share a common currency and a common central bank. The EU has supranational institutions: the European Commission proposes legislation, the European Parliament approves it, and the European Court of Justice interprets it. The Schengen area (twenty-three of the twenty-seven members) has abolished internal border controls.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However, the EU is not a political union. It has no common military, no common foreign policy (though members coordinate extensively), and no common taxation. Member states retain control over defense, foreign affairs, and most taxation. Brexit, the United Kingdom's departure from the EU in 2016–2020, was driven in part by concerns about loss of sovereignty to EU institutions.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Trade Creation and Trade Diversion in the EU</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EU's trade effects have been extensively studied. Intra-EU trade as a share of total EU trade increased from around forty percent in the 1960s to over sixty percent today. Much of this increase represents trade creation—the replacement of inefficient domestic production with more efficient production from partner countries. Germany, for example, specializes in capital goods and automobiles; France specializes in agriculture and aerospace; Italy specializes in consumer goods and machinery.</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However, there has also been trade diversion. The EU's Common External Tariff has hurt some non-member countries, particularly Turkey, Morocco, and Tunisia, which previously had privileged access to EU markets. Agricultural trade has been particularly distorted by the Common Agricultural Policy, which maintains high external tariffs on many farm products.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lastRenderedPageBreak/>
        <w:t>The net effect for EU members has been strongly positive. Most studies find that EU membership raises member countries' GDP by two to eight percent, with smaller and more open economies gaining more. The effects on non-members are mixed: neighboring countries that eventually joined gained from the prospect of membership; more distant non-members may have lost from trade diversion.</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Rules of Origin in the EU</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Within the EU single market, there are no rules of origin. Goods produced anywhere in the EU circulate freely. For goods imported from non-EU countries, the EU maintains a complex system of preferential rules of origin.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EU's most important origin system is the </w:t>
      </w:r>
      <w:r w:rsidRPr="00BF500E">
        <w:rPr>
          <w:rFonts w:eastAsia="Times New Roman" w:cstheme="minorHAnsi"/>
          <w:b/>
          <w:bCs/>
          <w:color w:val="0F1115"/>
          <w:sz w:val="28"/>
          <w:szCs w:val="28"/>
        </w:rPr>
        <w:t>Pan-Euro-Med cumulation zone</w:t>
      </w:r>
      <w:r w:rsidRPr="00BF500E">
        <w:rPr>
          <w:rFonts w:eastAsia="Times New Roman" w:cstheme="minorHAnsi"/>
          <w:color w:val="0F1115"/>
          <w:sz w:val="28"/>
          <w:szCs w:val="28"/>
        </w:rPr>
        <w:t>, which includes the EU, the European Free Trade Association countries (Norway, Switzerland, Iceland, Liechtenstein), Turkey, and the countries of North Africa and the Middle East. Within this zone, diagonal cumulation allows inputs from any zone country to count toward origin requirements. This encourages regional supply chains that can compete with Asian suppliers.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In 2021, the EU adopted a new set of origin rules that are more flexible than previous rules. The new rules allow more value to be counted from cumulation, reduce the strictness of the change-in-tariff-heading requirement, and simplify documentation. The reforms were aimed at making EU origin rules more competitive with those of other major trading blocs.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Challenges to the EU Model</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 faces several significant challenges. Brexit demonstrated that deep integration can be politically reversible. The eurozone debt crisis of 2010–2015 revealed the difficulties of monetary union without fiscal union: Greece, Italy, and other countries could not devalue their currencies to restore competitiveness and had to endure painful internal devaluations. Migration disputes expose the tension between the free movement of people (a core EU principle) and national control over borders. And regional disparities between the richer north and the poorer south remain large despite decades of transfer payments.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lastRenderedPageBreak/>
        <w:t>Despite these challenges, no EU member besides the United Kingdom has seriously considered leaving. The EU remains the most successful and deeply integrated regional bloc in world history.</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6: CASE STUDY 2 – THE EURASIAN ECONOMIC UNION</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Overview and Historical Development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Eurasian Economic Union (EAEU) was founded in 2015 by Russia, Belarus, and Kazakhstan. Armenia and Kyrgyzstan joined later the same year. The EAEU has a population of approximately 183 million people and a combined GDP of about $2.5 trillion in purchasing power parity terms. The union is built on precedent institutions: the Eurasian Economic Community (2000–2014) and the Customs Union of Russia, Belarus, and Kazakhstan (2010–2014).</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EAEU's founding treaty committed members to deep integration including free movement of goods, services, capital, and labor, as well as coordinated policies in key economic sectors. However, the EAEU has less supranational authority than the European Union, and its implementation has been incomplete.</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Level of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EAEU is officially an Economic Union. In practice, it has achieved free trade among members and a common external tariff (customs union). It also has common competition rules and has achieved free movement of workers. A citizen of any EAEU member can work in any other member without a work permit, and pensions and other social benefits are transferable.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However, the EAEU has not achieved a true common market. Free movement of capital is limited by capital controls in some members. There is no common services market. A single energy market is targeted for 2025 but has not been achieved. A common financial market with a single currency has been discussed but is far from implementation.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lastRenderedPageBreak/>
        <w:t>The EAEU's institutions are weaker than the EU's. The main decision-making body is the Eurasian Economic Commission, but it has limited supranational authority. Key decisions require consensus among member states, and enforcement of rulings is weak. The EAEU has no equivalent of the European Parliament or European Court of Justice.</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Trade Creation and Trade Diversion in the EAEU</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Intra-EAEU trade grew after the union's formation in 2015, but the growth was heavily concentrated in oil and gas. Russia's energy exports to Belarus and Kazakhstan account for a large share of intra-EAEU trade. Manufacturing trade has grown more slowly, and the EAEU has not generated the kind of deep supply chain integration seen in Europe or East Asia.</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Trade diversion has been affected by Western sanctions on Russia. Following the 2014 annexation of Crimea and the 2022 invasion of Ukraine, the United States, European Union, and other countries imposed extensive sanctions on Russia. These sanctions have reduced Russia's trade with the West and increased its trade with China, but EAEU preferences have had only a limited effect. Kazakhstan and other EAEU members have faced pressure not to help Russia evade sanctions.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net welfare effects of the EAEU are disputed. Russian officials point to increased intra-regional trade and investment. Critics argue that the EAEU has been used by Russia to maintain economic influence over its neighbors and that non-Russian members have seen limited benefits.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Rules of Origin in the EAEU</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EAEU maintains common non-preferential rules of origin for trade with non-members. These rules are used to apply the common external tariff and to administer trade remedies.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For preferential trade agreements with third countries, the EAEU has developed specific origin rules. The EAEU has FTAs with Vietnam (2015), Iran (2019), Serbia (2019), and Singapore (2019), among others. Each FTA has its own origin protocols, typically combining change-in-tariff-heading rules with value-added requirements of fifty to sixty percent.</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lastRenderedPageBreak/>
        <w:t>The EAEU also has a system of cumulation that allows inputs from other EAEU members to count toward origin requirements for exports to FTA partners. However, diagonal cumulation with non-EAEU partners is limited.</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EAEU versus EU: Key Differences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Several differences between the EAEU and EU are worth noting. The EU is more deeply integrated, with a common currency, a common parliament, and a stronger court. The EU has a much longer history and more established institutions. The EAEU is newer, less integrated, and has weaker institutions.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EU has a larger economy and population, though the gap in purchasing power parity terms is not as large as in nominal terms. The EU has more developed regional policies and transfer payments to reduce disparities; the EAEU has limited such mechanisms. Politically, the EU is a project of countries with roughly comparable levels of development; the EAEU is dominated by Russia, which is much larger than the other members.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future of the EAEU is uncertain. Western sanctions on Russia have complicated integration. Some members, particularly Kazakhstan, have pursued multi-vector foreign policies to balance Russian influence. The EAEU may continue to deepen slowly, or it may remain a looser arrangement than originally envisioned.</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SECTION 7: REGIONAL INTEGRATION IN THE WORLD</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Major Regional Integration Agreements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Several other significant regional integration agreements are worth mentioning, though they are covered in less detail.</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w:t>
      </w:r>
      <w:r w:rsidRPr="00BF500E">
        <w:rPr>
          <w:rFonts w:eastAsia="Times New Roman" w:cstheme="minorHAnsi"/>
          <w:b/>
          <w:bCs/>
          <w:color w:val="0F1115"/>
          <w:sz w:val="28"/>
          <w:szCs w:val="28"/>
        </w:rPr>
        <w:t>United States-Mexico-Canada Agreement (USMCA)</w:t>
      </w:r>
      <w:r w:rsidRPr="00BF500E">
        <w:rPr>
          <w:rFonts w:eastAsia="Times New Roman" w:cstheme="minorHAnsi"/>
          <w:color w:val="0F1115"/>
          <w:sz w:val="28"/>
          <w:szCs w:val="28"/>
        </w:rPr>
        <w:t> , which replaced NAFTA in 2020, is a free trade area with deep provisions on labor, environment, and digital trade. The </w:t>
      </w:r>
      <w:r w:rsidRPr="00BF500E">
        <w:rPr>
          <w:rFonts w:eastAsia="Times New Roman" w:cstheme="minorHAnsi"/>
          <w:b/>
          <w:bCs/>
          <w:color w:val="0F1115"/>
          <w:sz w:val="28"/>
          <w:szCs w:val="28"/>
        </w:rPr>
        <w:t>Association of Southeast Asian Nations (ASEAN)</w:t>
      </w:r>
      <w:r w:rsidRPr="00BF500E">
        <w:rPr>
          <w:rFonts w:eastAsia="Times New Roman" w:cstheme="minorHAnsi"/>
          <w:color w:val="0F1115"/>
          <w:sz w:val="28"/>
          <w:szCs w:val="28"/>
        </w:rPr>
        <w:t xml:space="preserve"> has an FTA and is moving toward a common market, though progress has been </w:t>
      </w:r>
      <w:r w:rsidRPr="00BF500E">
        <w:rPr>
          <w:rFonts w:eastAsia="Times New Roman" w:cstheme="minorHAnsi"/>
          <w:color w:val="0F1115"/>
          <w:sz w:val="28"/>
          <w:szCs w:val="28"/>
        </w:rPr>
        <w:lastRenderedPageBreak/>
        <w:t>slow. </w:t>
      </w:r>
      <w:r w:rsidRPr="00BF500E">
        <w:rPr>
          <w:rFonts w:eastAsia="Times New Roman" w:cstheme="minorHAnsi"/>
          <w:b/>
          <w:bCs/>
          <w:color w:val="0F1115"/>
          <w:sz w:val="28"/>
          <w:szCs w:val="28"/>
        </w:rPr>
        <w:t>Mercosur</w:t>
      </w:r>
      <w:r w:rsidRPr="00BF500E">
        <w:rPr>
          <w:rFonts w:eastAsia="Times New Roman" w:cstheme="minorHAnsi"/>
          <w:color w:val="0F1115"/>
          <w:sz w:val="28"/>
          <w:szCs w:val="28"/>
        </w:rPr>
        <w:t> (Argentina, Brazil, Paraguay, Uruguay) is a customs union, though it has been weakened by trade disputes among members. The </w:t>
      </w:r>
      <w:r w:rsidRPr="00BF500E">
        <w:rPr>
          <w:rFonts w:eastAsia="Times New Roman" w:cstheme="minorHAnsi"/>
          <w:b/>
          <w:bCs/>
          <w:color w:val="0F1115"/>
          <w:sz w:val="28"/>
          <w:szCs w:val="28"/>
        </w:rPr>
        <w:t>African Continental Free Trade Area (AfCFTA)</w:t>
      </w:r>
      <w:r w:rsidRPr="00BF500E">
        <w:rPr>
          <w:rFonts w:eastAsia="Times New Roman" w:cstheme="minorHAnsi"/>
          <w:color w:val="0F1115"/>
          <w:sz w:val="28"/>
          <w:szCs w:val="28"/>
        </w:rPr>
        <w:t> , launched in 2021, aims to create a single continental market for goods and services across fifty-four African countries—by number of countries, the largest FTA in the world. The </w:t>
      </w:r>
      <w:r w:rsidRPr="00BF500E">
        <w:rPr>
          <w:rFonts w:eastAsia="Times New Roman" w:cstheme="minorHAnsi"/>
          <w:b/>
          <w:bCs/>
          <w:color w:val="0F1115"/>
          <w:sz w:val="28"/>
          <w:szCs w:val="28"/>
        </w:rPr>
        <w:t>Gulf Cooperation Council (GCC)</w:t>
      </w:r>
      <w:r w:rsidRPr="00BF500E">
        <w:rPr>
          <w:rFonts w:eastAsia="Times New Roman" w:cstheme="minorHAnsi"/>
          <w:color w:val="0F1115"/>
          <w:sz w:val="28"/>
          <w:szCs w:val="28"/>
        </w:rPr>
        <w:t> is a common market among six Arab states of the Persian Gulf. The </w:t>
      </w:r>
      <w:r w:rsidRPr="00BF500E">
        <w:rPr>
          <w:rFonts w:eastAsia="Times New Roman" w:cstheme="minorHAnsi"/>
          <w:b/>
          <w:bCs/>
          <w:color w:val="0F1115"/>
          <w:sz w:val="28"/>
          <w:szCs w:val="28"/>
        </w:rPr>
        <w:t>South Asian Association for Regional Cooperation (SAARC)</w:t>
      </w:r>
      <w:r w:rsidRPr="00BF500E">
        <w:rPr>
          <w:rFonts w:eastAsia="Times New Roman" w:cstheme="minorHAnsi"/>
          <w:color w:val="0F1115"/>
          <w:sz w:val="28"/>
          <w:szCs w:val="28"/>
        </w:rPr>
        <w:t> has made little progress due to India-Pakistan tensions.</w:t>
      </w:r>
    </w:p>
    <w:p w:rsidR="00BF500E" w:rsidRPr="00BF500E" w:rsidRDefault="00BF500E" w:rsidP="00BF500E">
      <w:pPr>
        <w:spacing w:before="480" w:after="240"/>
        <w:outlineLvl w:val="2"/>
        <w:rPr>
          <w:rFonts w:eastAsia="Times New Roman" w:cstheme="minorHAnsi"/>
          <w:b/>
          <w:bCs/>
          <w:color w:val="0F1115"/>
          <w:sz w:val="28"/>
          <w:szCs w:val="28"/>
        </w:rPr>
      </w:pPr>
      <w:r w:rsidRPr="00BF500E">
        <w:rPr>
          <w:rFonts w:eastAsia="Times New Roman" w:cstheme="minorHAnsi"/>
          <w:b/>
          <w:bCs/>
          <w:color w:val="0F1115"/>
          <w:sz w:val="28"/>
          <w:szCs w:val="28"/>
        </w:rPr>
        <w:t>Future Trends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Several trends will shape regional integration in the coming decade. </w:t>
      </w:r>
      <w:r w:rsidRPr="00BF500E">
        <w:rPr>
          <w:rFonts w:eastAsia="Times New Roman" w:cstheme="minorHAnsi"/>
          <w:b/>
          <w:bCs/>
          <w:color w:val="0F1115"/>
          <w:sz w:val="28"/>
          <w:szCs w:val="28"/>
        </w:rPr>
        <w:t>Mega-regionals</w:t>
      </w:r>
      <w:r w:rsidRPr="00BF500E">
        <w:rPr>
          <w:rFonts w:eastAsia="Times New Roman" w:cstheme="minorHAnsi"/>
          <w:color w:val="0F1115"/>
          <w:sz w:val="28"/>
          <w:szCs w:val="28"/>
        </w:rPr>
        <w:t> such as the Comprehensive and Progressive Agreement for Trans-Pacific Partnership (CPTPP) and the Regional Comprehensive Economic Partnership (RCEP) bring together many countries across entire continents. </w:t>
      </w:r>
      <w:r w:rsidRPr="00BF500E">
        <w:rPr>
          <w:rFonts w:eastAsia="Times New Roman" w:cstheme="minorHAnsi"/>
          <w:b/>
          <w:bCs/>
          <w:color w:val="0F1115"/>
          <w:sz w:val="28"/>
          <w:szCs w:val="28"/>
        </w:rPr>
        <w:t>Digital trade provisions</w:t>
      </w:r>
      <w:r w:rsidRPr="00BF500E">
        <w:rPr>
          <w:rFonts w:eastAsia="Times New Roman" w:cstheme="minorHAnsi"/>
          <w:color w:val="0F1115"/>
          <w:sz w:val="28"/>
          <w:szCs w:val="28"/>
        </w:rPr>
        <w:t> will become increasingly important as e-commerce and data flows grow. </w:t>
      </w:r>
      <w:r w:rsidRPr="00BF500E">
        <w:rPr>
          <w:rFonts w:eastAsia="Times New Roman" w:cstheme="minorHAnsi"/>
          <w:b/>
          <w:bCs/>
          <w:color w:val="0F1115"/>
          <w:sz w:val="28"/>
          <w:szCs w:val="28"/>
        </w:rPr>
        <w:t>Climate provisions</w:t>
      </w:r>
      <w:r w:rsidRPr="00BF500E">
        <w:rPr>
          <w:rFonts w:eastAsia="Times New Roman" w:cstheme="minorHAnsi"/>
          <w:color w:val="0F1115"/>
          <w:sz w:val="28"/>
          <w:szCs w:val="28"/>
        </w:rPr>
        <w:t> are appearing in new trade agreements, including commitments to phase out fossil fuel subsidies and facilitate trade in environmental goods. The future of the WTO and multilateral trade liberalization will also affect whether countries pursue regional integration as a substitute for or complement to global agreements.</w:t>
      </w: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CONCLUSION AND KEY TAKEAWAYS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Several key takeaways emerge from this lecture on trade agreements and regional integration.</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First, the spectrum of integration matters greatly. Moving from a free trade area to a customs union to a common market to an economic union to a political union involves increasing economic benefits but also increasing loss of sovereignty. Each country must find its preferred point on this spectrum.</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 xml:space="preserve">Second, not all integration is welfare-improving. The concepts of trade creation and trade diversion, introduced by Jacob Viner in 1950, remain central to evaluating whether a particular integration agreement will raise or lower welfare. </w:t>
      </w:r>
      <w:r w:rsidRPr="00BF500E">
        <w:rPr>
          <w:rFonts w:eastAsia="Times New Roman" w:cstheme="minorHAnsi"/>
          <w:color w:val="0F1115"/>
          <w:sz w:val="28"/>
          <w:szCs w:val="28"/>
        </w:rPr>
        <w:lastRenderedPageBreak/>
        <w:t>Integration that creates trade</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replacing high-cost domestic production with lower-cost partner production</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improves welfare. Integration that diverts trade</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replacing low-cost world production with higher-cost partner production</w:t>
      </w:r>
      <w:r>
        <w:rPr>
          <w:rFonts w:eastAsia="Times New Roman" w:cstheme="minorHAnsi"/>
          <w:color w:val="0F1115"/>
          <w:sz w:val="28"/>
          <w:szCs w:val="28"/>
          <w:lang w:val="en-US"/>
        </w:rPr>
        <w:t xml:space="preserve"> </w:t>
      </w:r>
      <w:r w:rsidRPr="00BF500E">
        <w:rPr>
          <w:rFonts w:eastAsia="Times New Roman" w:cstheme="minorHAnsi"/>
          <w:color w:val="0F1115"/>
          <w:sz w:val="28"/>
          <w:szCs w:val="28"/>
        </w:rPr>
        <w:t>reduces welfare.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Third, rules of origin are necessary but costly. They prevent trade deflection, which would otherwise make free trade areas unworkable. However, they impose administrative costs, distort production decisions, and create a spaghetti bowl of overlapping requirements. The design of origin rules is a key determinant of whether an FTA achieves its goals.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Fourth, deep integration is the modern trend. As tariffs have fallen to low levels, trade agreements have moved behind the border to address regulations, standards, labor rights, environmental protection, intellectual property, and digital trade. Deep agreements raise FDI and facilitate global value chains but also involve greater sacrifice of sovereignty.</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Fifth, the European Union remains the gold standard for deep integration. It has achieved a common market, a common currency for most members, and strong supranational institutions. However, Brexit and other challenges show that deep integration faces political limits.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Sixth, the Eurasian Economic Union is a newer, less deeply integrated model. It has achieved free trade, a common external tariff, and free movement of workers, but it has not achieved a common market or common currency. Its future is uncertain, particularly given Western sanctions on its largest member, Russia.</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The future trend will likely involve more mega-regional agreements, deeper digital and climate provisions, and continued experimentation with different models of integration. Countries must weigh the benefits of larger markets and collective bargaining power against the costs of lost sovereignty and possible trade diversion.</w:t>
      </w:r>
    </w:p>
    <w:p w:rsidR="00BF500E" w:rsidRDefault="00BF500E" w:rsidP="00BF500E">
      <w:pPr>
        <w:spacing w:before="480" w:after="480"/>
        <w:rPr>
          <w:rFonts w:eastAsia="Times New Roman" w:cstheme="minorHAnsi"/>
          <w:sz w:val="28"/>
          <w:szCs w:val="28"/>
        </w:rPr>
      </w:pPr>
    </w:p>
    <w:p w:rsidR="00BF500E" w:rsidRPr="00BF500E" w:rsidRDefault="00BF500E" w:rsidP="00BF500E">
      <w:pPr>
        <w:spacing w:before="480" w:after="480"/>
        <w:rPr>
          <w:rFonts w:eastAsia="Times New Roman" w:cstheme="minorHAnsi"/>
          <w:sz w:val="28"/>
          <w:szCs w:val="28"/>
        </w:rPr>
      </w:pPr>
    </w:p>
    <w:p w:rsidR="00BF500E" w:rsidRPr="00BF500E" w:rsidRDefault="00BF500E" w:rsidP="00BF500E">
      <w:pPr>
        <w:spacing w:before="480" w:after="240"/>
        <w:outlineLvl w:val="1"/>
        <w:rPr>
          <w:rFonts w:eastAsia="Times New Roman" w:cstheme="minorHAnsi"/>
          <w:b/>
          <w:bCs/>
          <w:color w:val="0F1115"/>
          <w:sz w:val="28"/>
          <w:szCs w:val="28"/>
        </w:rPr>
      </w:pPr>
      <w:r w:rsidRPr="00BF500E">
        <w:rPr>
          <w:rFonts w:eastAsia="Times New Roman" w:cstheme="minorHAnsi"/>
          <w:b/>
          <w:bCs/>
          <w:color w:val="0F1115"/>
          <w:sz w:val="28"/>
          <w:szCs w:val="28"/>
        </w:rPr>
        <w:lastRenderedPageBreak/>
        <w:t>DISCUSSION QUESTIONS</w:t>
      </w:r>
    </w:p>
    <w:p w:rsidR="00BF500E" w:rsidRPr="00BF500E" w:rsidRDefault="00BF500E" w:rsidP="00BF500E">
      <w:pPr>
        <w:numPr>
          <w:ilvl w:val="0"/>
          <w:numId w:val="1"/>
        </w:numPr>
        <w:rPr>
          <w:rFonts w:eastAsia="Times New Roman" w:cstheme="minorHAnsi"/>
          <w:color w:val="0F1115"/>
          <w:sz w:val="28"/>
          <w:szCs w:val="28"/>
        </w:rPr>
      </w:pPr>
      <w:r w:rsidRPr="00BF500E">
        <w:rPr>
          <w:rFonts w:eastAsia="Times New Roman" w:cstheme="minorHAnsi"/>
          <w:color w:val="0F1115"/>
          <w:sz w:val="28"/>
          <w:szCs w:val="28"/>
        </w:rPr>
        <w:t>Why would a country choose a Free Trade Area over a Customs Union, given that FTAs require costly rules of origin? What political or economic considerations might favor the FTA approach?</w:t>
      </w:r>
    </w:p>
    <w:p w:rsidR="00BF500E" w:rsidRPr="00BF500E" w:rsidRDefault="00BF500E" w:rsidP="00BF500E">
      <w:pPr>
        <w:numPr>
          <w:ilvl w:val="0"/>
          <w:numId w:val="1"/>
        </w:numPr>
        <w:rPr>
          <w:rFonts w:eastAsia="Times New Roman" w:cstheme="minorHAnsi"/>
          <w:color w:val="0F1115"/>
          <w:sz w:val="28"/>
          <w:szCs w:val="28"/>
        </w:rPr>
      </w:pPr>
      <w:r w:rsidRPr="00BF500E">
        <w:rPr>
          <w:rFonts w:eastAsia="Times New Roman" w:cstheme="minorHAnsi"/>
          <w:color w:val="0F1115"/>
          <w:sz w:val="28"/>
          <w:szCs w:val="28"/>
        </w:rPr>
        <w:t>Using Jacob Viner's concepts of trade creation and trade diversion, evaluate whether Tajikistan would gain or lose from joining the Eurasian Economic Union. What sectors would likely experience trade creation? What sectors would risk trade diversion?</w:t>
      </w:r>
    </w:p>
    <w:p w:rsidR="00BF500E" w:rsidRPr="00BF500E" w:rsidRDefault="00BF500E" w:rsidP="00BF500E">
      <w:pPr>
        <w:numPr>
          <w:ilvl w:val="0"/>
          <w:numId w:val="1"/>
        </w:numPr>
        <w:rPr>
          <w:rFonts w:eastAsia="Times New Roman" w:cstheme="minorHAnsi"/>
          <w:color w:val="0F1115"/>
          <w:sz w:val="28"/>
          <w:szCs w:val="28"/>
        </w:rPr>
      </w:pPr>
      <w:r w:rsidRPr="00BF500E">
        <w:rPr>
          <w:rFonts w:eastAsia="Times New Roman" w:cstheme="minorHAnsi"/>
          <w:color w:val="0F1115"/>
          <w:sz w:val="28"/>
          <w:szCs w:val="28"/>
        </w:rPr>
        <w:t>The European Union has achieved much deeper integration than any other regional bloc. What factors explain this difference? Why has the EU succeeded where other regions have failed?</w:t>
      </w:r>
    </w:p>
    <w:p w:rsidR="00BF500E" w:rsidRPr="00BF500E" w:rsidRDefault="00BF500E" w:rsidP="00BF500E">
      <w:pPr>
        <w:numPr>
          <w:ilvl w:val="0"/>
          <w:numId w:val="1"/>
        </w:numPr>
        <w:rPr>
          <w:rFonts w:eastAsia="Times New Roman" w:cstheme="minorHAnsi"/>
          <w:color w:val="0F1115"/>
          <w:sz w:val="28"/>
          <w:szCs w:val="28"/>
        </w:rPr>
      </w:pPr>
      <w:r w:rsidRPr="00BF500E">
        <w:rPr>
          <w:rFonts w:eastAsia="Times New Roman" w:cstheme="minorHAnsi"/>
          <w:color w:val="0F1115"/>
          <w:sz w:val="28"/>
          <w:szCs w:val="28"/>
        </w:rPr>
        <w:t>Are deep trade agreements that include labor and environment provisions a good thing for developing countries? Do they prevent a race to the bottom, or are they used as disguised protectionism by rich countries?</w:t>
      </w:r>
    </w:p>
    <w:p w:rsidR="00BF500E" w:rsidRDefault="00BF500E" w:rsidP="00BF500E">
      <w:pPr>
        <w:numPr>
          <w:ilvl w:val="0"/>
          <w:numId w:val="1"/>
        </w:numPr>
        <w:rPr>
          <w:rFonts w:eastAsia="Times New Roman" w:cstheme="minorHAnsi"/>
          <w:color w:val="0F1115"/>
          <w:sz w:val="28"/>
          <w:szCs w:val="28"/>
        </w:rPr>
      </w:pPr>
      <w:r w:rsidRPr="00BF500E">
        <w:rPr>
          <w:rFonts w:eastAsia="Times New Roman" w:cstheme="minorHAnsi"/>
          <w:color w:val="0F1115"/>
          <w:sz w:val="28"/>
          <w:szCs w:val="28"/>
        </w:rPr>
        <w:t>Rules of origin are a necessary evil in free trade areas. If you were designing an FTA for Central Asia, what type of origin rules would you recommend and why?</w:t>
      </w:r>
    </w:p>
    <w:p w:rsidR="00BF500E" w:rsidRPr="00BF500E" w:rsidRDefault="00BF500E" w:rsidP="00BF500E">
      <w:pPr>
        <w:ind w:left="720"/>
        <w:rPr>
          <w:rFonts w:eastAsia="Times New Roman" w:cstheme="minorHAnsi"/>
          <w:color w:val="0F1115"/>
          <w:sz w:val="28"/>
          <w:szCs w:val="28"/>
        </w:rPr>
      </w:pPr>
    </w:p>
    <w:p w:rsidR="00BF500E" w:rsidRPr="00BF500E" w:rsidRDefault="00BF500E" w:rsidP="00BF500E">
      <w:pPr>
        <w:spacing w:after="240"/>
        <w:outlineLvl w:val="1"/>
        <w:rPr>
          <w:rFonts w:eastAsia="Times New Roman" w:cstheme="minorHAnsi"/>
          <w:b/>
          <w:bCs/>
          <w:color w:val="0F1115"/>
          <w:sz w:val="28"/>
          <w:szCs w:val="28"/>
        </w:rPr>
      </w:pPr>
      <w:r w:rsidRPr="00BF500E">
        <w:rPr>
          <w:rFonts w:eastAsia="Times New Roman" w:cstheme="minorHAnsi"/>
          <w:b/>
          <w:bCs/>
          <w:color w:val="0F1115"/>
          <w:sz w:val="28"/>
          <w:szCs w:val="28"/>
        </w:rPr>
        <w:t>REFERENCES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Baldwin, R. (2016). </w:t>
      </w:r>
      <w:r w:rsidRPr="00BF500E">
        <w:rPr>
          <w:rFonts w:eastAsia="Times New Roman" w:cstheme="minorHAnsi"/>
          <w:i/>
          <w:iCs/>
          <w:color w:val="0F1115"/>
          <w:sz w:val="28"/>
          <w:szCs w:val="28"/>
        </w:rPr>
        <w:t>The Great Convergence: Information Technology and the New Globalization</w:t>
      </w:r>
      <w:r w:rsidRPr="00BF500E">
        <w:rPr>
          <w:rFonts w:eastAsia="Times New Roman" w:cstheme="minorHAnsi"/>
          <w:color w:val="0F1115"/>
          <w:sz w:val="28"/>
          <w:szCs w:val="28"/>
        </w:rPr>
        <w:t>. Harvard University Press.</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Dezan Shira &amp; Associates. (2023). India Expands Industrial Cooperation with the Eurasian Economic Union. </w:t>
      </w:r>
      <w:r w:rsidRPr="00BF500E">
        <w:rPr>
          <w:rFonts w:eastAsia="Times New Roman" w:cstheme="minorHAnsi"/>
          <w:i/>
          <w:iCs/>
          <w:color w:val="0F1115"/>
          <w:sz w:val="28"/>
          <w:szCs w:val="28"/>
        </w:rPr>
        <w:t>India Briefing</w:t>
      </w:r>
      <w:r w:rsidRPr="00BF500E">
        <w:rPr>
          <w:rFonts w:eastAsia="Times New Roman" w:cstheme="minorHAnsi"/>
          <w:color w:val="0F1115"/>
          <w:sz w:val="28"/>
          <w:szCs w:val="28"/>
        </w:rPr>
        <w:t>. Retrieved from </w:t>
      </w:r>
      <w:hyperlink r:id="rId8" w:tgtFrame="_blank" w:history="1">
        <w:r w:rsidRPr="00BF500E">
          <w:rPr>
            <w:rFonts w:eastAsia="Times New Roman" w:cstheme="minorHAnsi"/>
            <w:color w:val="0000FF"/>
            <w:sz w:val="28"/>
            <w:szCs w:val="28"/>
            <w:u w:val="single"/>
          </w:rPr>
          <w:t>https://www.india-briefing.com</w:t>
        </w:r>
      </w:hyperlink>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European Commission. (2021). </w:t>
      </w:r>
      <w:r w:rsidRPr="00BF500E">
        <w:rPr>
          <w:rFonts w:eastAsia="Times New Roman" w:cstheme="minorHAnsi"/>
          <w:i/>
          <w:iCs/>
          <w:color w:val="0F1115"/>
          <w:sz w:val="28"/>
          <w:szCs w:val="28"/>
        </w:rPr>
        <w:t>Rules of Origin for Preferential Trade Agreements: Pan-Euro-Mediterranean Cumulation Zone</w:t>
      </w:r>
      <w:r w:rsidRPr="00BF500E">
        <w:rPr>
          <w:rFonts w:eastAsia="Times New Roman" w:cstheme="minorHAnsi"/>
          <w:color w:val="0F1115"/>
          <w:sz w:val="28"/>
          <w:szCs w:val="28"/>
        </w:rPr>
        <w:t>. Directorate-General for Trade.</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Ionescu, V. R. (2020). Globalisation, Global Challenges and Global Chaos. The Need of a New Approach. </w:t>
      </w:r>
      <w:r w:rsidRPr="00BF500E">
        <w:rPr>
          <w:rFonts w:eastAsia="Times New Roman" w:cstheme="minorHAnsi"/>
          <w:i/>
          <w:iCs/>
          <w:color w:val="0F1115"/>
          <w:sz w:val="28"/>
          <w:szCs w:val="28"/>
        </w:rPr>
        <w:t>Public Administration &amp; Regional Studies</w:t>
      </w:r>
      <w:r w:rsidRPr="00BF500E">
        <w:rPr>
          <w:rFonts w:eastAsia="Times New Roman" w:cstheme="minorHAnsi"/>
          <w:color w:val="0F1115"/>
          <w:sz w:val="28"/>
          <w:szCs w:val="28"/>
        </w:rPr>
        <w:t>, 13(1), 4-17.</w:t>
      </w:r>
    </w:p>
    <w:p w:rsidR="00BF500E"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Viner, J. (1950). </w:t>
      </w:r>
      <w:r w:rsidRPr="00BF500E">
        <w:rPr>
          <w:rFonts w:eastAsia="Times New Roman" w:cstheme="minorHAnsi"/>
          <w:i/>
          <w:iCs/>
          <w:color w:val="0F1115"/>
          <w:sz w:val="28"/>
          <w:szCs w:val="28"/>
        </w:rPr>
        <w:t>The Customs Union Issue</w:t>
      </w:r>
      <w:r w:rsidRPr="00BF500E">
        <w:rPr>
          <w:rFonts w:eastAsia="Times New Roman" w:cstheme="minorHAnsi"/>
          <w:color w:val="0F1115"/>
          <w:sz w:val="28"/>
          <w:szCs w:val="28"/>
        </w:rPr>
        <w:t>. Carnegie Endowment for International Peace.</w:t>
      </w:r>
    </w:p>
    <w:p w:rsidR="0046059F" w:rsidRPr="00BF500E" w:rsidRDefault="00BF500E" w:rsidP="00BF500E">
      <w:pPr>
        <w:spacing w:before="240" w:after="240"/>
        <w:rPr>
          <w:rFonts w:eastAsia="Times New Roman" w:cstheme="minorHAnsi"/>
          <w:color w:val="0F1115"/>
          <w:sz w:val="28"/>
          <w:szCs w:val="28"/>
        </w:rPr>
      </w:pPr>
      <w:r w:rsidRPr="00BF500E">
        <w:rPr>
          <w:rFonts w:eastAsia="Times New Roman" w:cstheme="minorHAnsi"/>
          <w:color w:val="0F1115"/>
          <w:sz w:val="28"/>
          <w:szCs w:val="28"/>
        </w:rPr>
        <w:t>World Bank. (2021). </w:t>
      </w:r>
      <w:r w:rsidRPr="00BF500E">
        <w:rPr>
          <w:rFonts w:eastAsia="Times New Roman" w:cstheme="minorHAnsi"/>
          <w:i/>
          <w:iCs/>
          <w:color w:val="0F1115"/>
          <w:sz w:val="28"/>
          <w:szCs w:val="28"/>
        </w:rPr>
        <w:t>Deep Trade Agreements and Foreign Direct Investment</w:t>
      </w:r>
      <w:r w:rsidRPr="00BF500E">
        <w:rPr>
          <w:rFonts w:eastAsia="Times New Roman" w:cstheme="minorHAnsi"/>
          <w:color w:val="0F1115"/>
          <w:sz w:val="28"/>
          <w:szCs w:val="28"/>
        </w:rPr>
        <w:t>. World Bank Publications.</w:t>
      </w:r>
    </w:p>
    <w:sectPr w:rsidR="0046059F" w:rsidRPr="00BF500E">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5C70" w:rsidRDefault="004F5C70" w:rsidP="008C10B3">
      <w:r>
        <w:separator/>
      </w:r>
    </w:p>
  </w:endnote>
  <w:endnote w:type="continuationSeparator" w:id="0">
    <w:p w:rsidR="004F5C70" w:rsidRDefault="004F5C70" w:rsidP="008C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1448994"/>
      <w:docPartObj>
        <w:docPartGallery w:val="Page Numbers (Bottom of Page)"/>
        <w:docPartUnique/>
      </w:docPartObj>
    </w:sdtPr>
    <w:sdtContent>
      <w:p w:rsidR="008C10B3" w:rsidRDefault="008C10B3" w:rsidP="00700F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C10B3" w:rsidRDefault="008C10B3" w:rsidP="008C10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2029470"/>
      <w:docPartObj>
        <w:docPartGallery w:val="Page Numbers (Bottom of Page)"/>
        <w:docPartUnique/>
      </w:docPartObj>
    </w:sdtPr>
    <w:sdtContent>
      <w:p w:rsidR="008C10B3" w:rsidRDefault="008C10B3" w:rsidP="00700F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C10B3" w:rsidRDefault="008C10B3" w:rsidP="008C10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5C70" w:rsidRDefault="004F5C70" w:rsidP="008C10B3">
      <w:r>
        <w:separator/>
      </w:r>
    </w:p>
  </w:footnote>
  <w:footnote w:type="continuationSeparator" w:id="0">
    <w:p w:rsidR="004F5C70" w:rsidRDefault="004F5C70" w:rsidP="008C1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E1515"/>
    <w:multiLevelType w:val="multilevel"/>
    <w:tmpl w:val="0CCC7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6068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9F"/>
    <w:rsid w:val="0046059F"/>
    <w:rsid w:val="004F5C70"/>
    <w:rsid w:val="008C10B3"/>
    <w:rsid w:val="00BF500E"/>
  </w:rsids>
  <m:mathPr>
    <m:mathFont m:val="Cambria Math"/>
    <m:brkBin m:val="before"/>
    <m:brkBinSub m:val="--"/>
    <m:smallFrac m:val="0"/>
    <m:dispDef/>
    <m:lMargin m:val="0"/>
    <m:rMargin m:val="0"/>
    <m:defJc m:val="centerGroup"/>
    <m:wrapIndent m:val="1440"/>
    <m:intLim m:val="subSup"/>
    <m:naryLim m:val="undOvr"/>
  </m:mathPr>
  <w:themeFontLang w:val="en-T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5EB32"/>
  <w15:chartTrackingRefBased/>
  <w15:docId w15:val="{BC194B42-1465-2C47-A2AD-045FD6538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J"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500E"/>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F500E"/>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F500E"/>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00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F500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F500E"/>
    <w:rPr>
      <w:rFonts w:ascii="Times New Roman" w:eastAsia="Times New Roman" w:hAnsi="Times New Roman" w:cs="Times New Roman"/>
      <w:b/>
      <w:bCs/>
      <w:sz w:val="27"/>
      <w:szCs w:val="27"/>
    </w:rPr>
  </w:style>
  <w:style w:type="paragraph" w:customStyle="1" w:styleId="ds-markdown-paragraph">
    <w:name w:val="ds-markdown-paragraph"/>
    <w:basedOn w:val="Normal"/>
    <w:rsid w:val="00BF500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F500E"/>
    <w:rPr>
      <w:b/>
      <w:bCs/>
    </w:rPr>
  </w:style>
  <w:style w:type="character" w:customStyle="1" w:styleId="apple-converted-space">
    <w:name w:val="apple-converted-space"/>
    <w:basedOn w:val="DefaultParagraphFont"/>
    <w:rsid w:val="00BF500E"/>
  </w:style>
  <w:style w:type="character" w:styleId="Emphasis">
    <w:name w:val="Emphasis"/>
    <w:basedOn w:val="DefaultParagraphFont"/>
    <w:uiPriority w:val="20"/>
    <w:qFormat/>
    <w:rsid w:val="00BF500E"/>
    <w:rPr>
      <w:i/>
      <w:iCs/>
    </w:rPr>
  </w:style>
  <w:style w:type="character" w:styleId="Hyperlink">
    <w:name w:val="Hyperlink"/>
    <w:basedOn w:val="DefaultParagraphFont"/>
    <w:uiPriority w:val="99"/>
    <w:semiHidden/>
    <w:unhideWhenUsed/>
    <w:rsid w:val="00BF500E"/>
    <w:rPr>
      <w:color w:val="0000FF"/>
      <w:u w:val="single"/>
    </w:rPr>
  </w:style>
  <w:style w:type="paragraph" w:styleId="Footer">
    <w:name w:val="footer"/>
    <w:basedOn w:val="Normal"/>
    <w:link w:val="FooterChar"/>
    <w:uiPriority w:val="99"/>
    <w:unhideWhenUsed/>
    <w:rsid w:val="008C10B3"/>
    <w:pPr>
      <w:tabs>
        <w:tab w:val="center" w:pos="4680"/>
        <w:tab w:val="right" w:pos="9360"/>
      </w:tabs>
    </w:pPr>
  </w:style>
  <w:style w:type="character" w:customStyle="1" w:styleId="FooterChar">
    <w:name w:val="Footer Char"/>
    <w:basedOn w:val="DefaultParagraphFont"/>
    <w:link w:val="Footer"/>
    <w:uiPriority w:val="99"/>
    <w:rsid w:val="008C10B3"/>
  </w:style>
  <w:style w:type="character" w:styleId="PageNumber">
    <w:name w:val="page number"/>
    <w:basedOn w:val="DefaultParagraphFont"/>
    <w:uiPriority w:val="99"/>
    <w:semiHidden/>
    <w:unhideWhenUsed/>
    <w:rsid w:val="008C1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2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a-briefin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CC66-A5FD-2140-A876-9D646DBA8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5398</Words>
  <Characters>30770</Characters>
  <Application>Microsoft Office Word</Application>
  <DocSecurity>0</DocSecurity>
  <Lines>256</Lines>
  <Paragraphs>72</Paragraphs>
  <ScaleCrop>false</ScaleCrop>
  <Company/>
  <LinksUpToDate>false</LinksUpToDate>
  <CharactersWithSpaces>36096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Mubinzhon Abduvaliev</dc:creator>
  <cp:keywords/>
  <dc:description/>
  <cp:lastModifiedBy>Mubinzhon Abduvaliev</cp:lastModifiedBy>
  <cp:revision>3</cp:revision>
  <dcterms:created xsi:type="dcterms:W3CDTF">2026-05-08T18:57:00Z</dcterms:created>
  <dcterms:modified xsi:type="dcterms:W3CDTF">2026-05-08T19:02:00Z</dcterms:modified>
</cp:coreProperties>
</file>