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Course: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</w:t>
      </w:r>
      <w:r w:rsidRPr="00E3342C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International Trade and Policy</w:t>
      </w:r>
      <w:r w:rsidRPr="00E3342C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br/>
      </w: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Week 12:</w:t>
      </w:r>
      <w:r w:rsidRPr="00E3342C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 Global Is</w:t>
      </w:r>
      <w:bookmarkStart w:id="0" w:name="_GoBack"/>
      <w:bookmarkEnd w:id="0"/>
      <w:r w:rsidRPr="00E3342C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sues I – Trade and the Environment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Instructions: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Please select the best answer for each of the following ten questions. Each question has only one correct answer.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1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does the pollution havens hypothesis predict?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Firms relocate production to countries with stricter environmental regulations.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“Dirty” industries concentrate where compliance costs are highest.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Firms relocate production to countries with weaker environmental regulations, leading to concentration of pollution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noBreakHyphen/>
        <w:t>intensive industries.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Trade liberalization always reduces global pollution levels.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2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lecture, what is the typical estimated carbon leakage rate for OECD carbon taxes?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0–5%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5–25%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30–50%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Above 50%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3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of the following is a channel of carbon leakage identified in the presentation?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Labor mobility channel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Competitiveness channel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Technology diffusion channel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Foreign direct investment reverse channel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4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was the key ruling of the WTO Appellate Body in the Shrimp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noBreakHyphen/>
        <w:t>Turtle case (1998)?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Unilateral process and production methods (PPMs) are always illegal under GATT.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 US ban on shrimp imports was upheld unconditionally.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Unilateral PPMs can be WTO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noBreakHyphen/>
        <w:t>legal if they are non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noBreakHyphen/>
        <w:t>arbitrary and the country first negotiates multilateral agreements.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D)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Environmental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measures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can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never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justify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trade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restrictions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5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multilateral environmental agreement (MEA) is cited in the PPT as a success story where trade bans on ozone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noBreakHyphen/>
        <w:t>depleting substances led to universal participation without any WTO challenge?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Paris Agreement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Basel Convention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lastRenderedPageBreak/>
        <w:t>C) Rotterdam Convention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Montreal Protocol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6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Under the EU Carbon Border Adjustment Mechanism (CBAM), what do importers of covered goods (e.g., cement, steel) have to do?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Pay the full EU carbon price regardless of carbon price already paid in the origin country.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Buy certificates equal to the EU carbon price minus any carbon price already paid in the origin country.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Provide a letter of exemption from the European Commission.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Only pay a flat administrative fee.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7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lecture, which sectors are most vulnerable to carbon leakage because they have trade intensity above 30% and energy costs above 10% of production value?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Textiles and apparel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 xml:space="preserve">B) Cement, steel,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aluminium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, refining,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fertilisers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Electronics and semiconductors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Agricultural products (wheat, corn)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8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is a developing country concern regarding environmental non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noBreakHyphen/>
        <w:t>tariff barriers (NTBs), as illustrated by the EU Deforestation Regulation (2024)?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Environmental NTBs always lower production costs.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Compliance costs (testing, certification, geolocation) are high, and small producers may be excluded from supply chains.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Environmental NTBs have no impact on trade flows.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WTO prohibits all environmental NTBs.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9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of the following best describes the current legal relationship between MEAs and WTO rules according to the PPT?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WTO rules explicitly exempt all MEA trade measures.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There is a formal hierarchy where MEAs override WTO rules.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No WTO agreement explicitly exempts MEA trade measures, but no WTO dispute has yet struck down an MEA measure.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Paris Agreement contains explicit trade sanctions authorized by the WTO.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10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does the case study of China’s waste import ban (National Sword policy, 2018) illustrate?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Unilateral environmental bans always solve global pollution problems.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A unilateral ban can shift the problem to other countries (waste diverted to SE Asia), leading to global Basel amendments in 2019.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lastRenderedPageBreak/>
        <w:t>C) The Basel Convention prohibits any country from banning waste imports.</w:t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D)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Trade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measures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have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no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environmental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effects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E3342C" w:rsidRPr="00E3342C" w:rsidRDefault="00E3342C" w:rsidP="00E3342C">
      <w:pPr>
        <w:shd w:val="clear" w:color="auto" w:fill="FFFFFF"/>
        <w:spacing w:before="240" w:after="240" w:line="240" w:lineRule="auto"/>
        <w:ind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E3342C" w:rsidRPr="00E3342C" w:rsidRDefault="00E3342C" w:rsidP="00E3342C">
      <w:pPr>
        <w:shd w:val="clear" w:color="auto" w:fill="FFFFFF"/>
        <w:spacing w:before="240" w:after="240" w:line="240" w:lineRule="auto"/>
        <w:ind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Answer</w:t>
      </w:r>
      <w:proofErr w:type="spellEnd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Key</w:t>
      </w:r>
      <w:proofErr w:type="spellEnd"/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D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45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E3342C" w:rsidRPr="00E3342C" w:rsidRDefault="00E3342C" w:rsidP="00E3342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3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E3342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sectPr w:rsidR="00E3342C" w:rsidRPr="00E3342C" w:rsidSect="00E3342C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239BD"/>
    <w:multiLevelType w:val="multilevel"/>
    <w:tmpl w:val="9022F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71"/>
    <w:rsid w:val="005A01A2"/>
    <w:rsid w:val="00CE1971"/>
    <w:rsid w:val="00D271AF"/>
    <w:rsid w:val="00E031F5"/>
    <w:rsid w:val="00E3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D5C0"/>
  <w15:chartTrackingRefBased/>
  <w15:docId w15:val="{869683C3-6054-4F77-BEEA-E96B5070E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334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342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E33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33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8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 Abduvaliev</dc:creator>
  <cp:keywords/>
  <dc:description/>
  <cp:lastModifiedBy>Mubin Abduvaliev</cp:lastModifiedBy>
  <cp:revision>2</cp:revision>
  <dcterms:created xsi:type="dcterms:W3CDTF">2026-05-28T03:58:00Z</dcterms:created>
  <dcterms:modified xsi:type="dcterms:W3CDTF">2026-05-28T03:59:00Z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b3984639-4984-4bf6-a6e5-5f10c1218a5d</vt:lpwstr>
  </property>
</Properties>
</file>