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6AA" w:rsidRPr="006A36AA" w:rsidRDefault="006A36AA" w:rsidP="006A36AA">
      <w:pPr>
        <w:pStyle w:val="ds-markdown-paragraph"/>
        <w:shd w:val="clear" w:color="auto" w:fill="FFFFFF"/>
        <w:spacing w:before="0" w:beforeAutospacing="0" w:after="0" w:afterAutospacing="0" w:line="276" w:lineRule="auto"/>
        <w:jc w:val="center"/>
        <w:rPr>
          <w:b/>
          <w:color w:val="0F1115"/>
          <w:sz w:val="28"/>
          <w:szCs w:val="28"/>
          <w:lang w:val="en-US"/>
        </w:rPr>
      </w:pPr>
      <w:r w:rsidRPr="006A36AA">
        <w:rPr>
          <w:b/>
          <w:color w:val="0F1115"/>
          <w:sz w:val="28"/>
          <w:szCs w:val="28"/>
          <w:lang w:val="en-US"/>
        </w:rPr>
        <w:t>The New Protectionism: Supply Chains and Trade Fragmentation</w:t>
      </w:r>
    </w:p>
    <w:p w:rsidR="006A36AA" w:rsidRPr="006A36AA" w:rsidRDefault="006A36AA" w:rsidP="006A36AA">
      <w:pPr>
        <w:pStyle w:val="ds-markdown-paragraph"/>
        <w:shd w:val="clear" w:color="auto" w:fill="FFFFFF"/>
        <w:spacing w:before="0" w:beforeAutospacing="0" w:after="0" w:afterAutospacing="0" w:line="276" w:lineRule="auto"/>
        <w:jc w:val="center"/>
        <w:rPr>
          <w:b/>
          <w:color w:val="0F1115"/>
          <w:sz w:val="28"/>
          <w:szCs w:val="28"/>
          <w:lang w:val="en-US"/>
        </w:rPr>
      </w:pPr>
      <w:r w:rsidRPr="006A36AA">
        <w:rPr>
          <w:b/>
          <w:color w:val="0F1115"/>
          <w:sz w:val="28"/>
          <w:szCs w:val="28"/>
          <w:lang w:val="en-US"/>
        </w:rPr>
        <w:t>University: Tajik State University of Commerce</w:t>
      </w:r>
    </w:p>
    <w:p w:rsidR="006A36AA" w:rsidRDefault="006A36AA" w:rsidP="006A36AA">
      <w:pPr>
        <w:pStyle w:val="ds-markdown-paragraph"/>
        <w:shd w:val="clear" w:color="auto" w:fill="FFFFFF"/>
        <w:spacing w:before="0" w:beforeAutospacing="0" w:after="0" w:afterAutospacing="0" w:line="276" w:lineRule="auto"/>
        <w:jc w:val="center"/>
        <w:rPr>
          <w:b/>
          <w:color w:val="0F1115"/>
          <w:sz w:val="28"/>
          <w:szCs w:val="28"/>
          <w:lang w:val="en-US"/>
        </w:rPr>
      </w:pPr>
      <w:r w:rsidRPr="006A36AA">
        <w:rPr>
          <w:b/>
          <w:color w:val="0F1115"/>
          <w:sz w:val="28"/>
          <w:szCs w:val="28"/>
          <w:lang w:val="en-US"/>
        </w:rPr>
        <w:t>Lecturer: Abduvaliev Mubinzhon, PhD</w:t>
      </w:r>
    </w:p>
    <w:p w:rsidR="006A36AA" w:rsidRPr="006A36AA" w:rsidRDefault="006A36AA" w:rsidP="006A36AA">
      <w:pPr>
        <w:pStyle w:val="ds-markdown-paragraph"/>
        <w:shd w:val="clear" w:color="auto" w:fill="FFFFFF"/>
        <w:spacing w:before="0" w:beforeAutospacing="0" w:after="0" w:afterAutospacing="0" w:line="276" w:lineRule="auto"/>
        <w:jc w:val="center"/>
        <w:rPr>
          <w:b/>
          <w:color w:val="0F1115"/>
          <w:sz w:val="28"/>
          <w:szCs w:val="28"/>
          <w:lang w:val="en-US"/>
        </w:rPr>
      </w:pP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Opening</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Pr>
          <w:color w:val="0F1115"/>
          <w:sz w:val="28"/>
          <w:szCs w:val="28"/>
          <w:lang w:val="en-US"/>
        </w:rPr>
        <w:t>Dear students</w:t>
      </w:r>
      <w:r w:rsidRPr="006A36AA">
        <w:rPr>
          <w:color w:val="0F1115"/>
          <w:sz w:val="28"/>
          <w:szCs w:val="28"/>
          <w:lang w:val="en-US"/>
        </w:rPr>
        <w:t>. Welcome to Week 13 of our International Trade and Policy course. Over the past twelve weeks, we have covered trade theory, trade policy instruments, international institutions, trade and development, and trade and the environment. Today we address a fundamental shift in the global trading system that has accelerated since approximately 2018. This lecture is titled “The New Protectionism: Supply Chains and Trade Fragmentation.”</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We will cover six main topics. First, we will distinguish the old protectionism from the new protectionism. Second, we will examine how global supply chains have come under pressure from trade wars, pandemics, and geopolitical shocks. Third, we will analyze trade fragmentation, including the evidence and trends that show the world splitting into rival blocs. Fourth, we will study export controls as geopolitical tools, with a deep dive into semiconductor restrictions. Fifth, we will explore strategies for building supply chain resilience, from diversification to nearshoring. Finally, we will consider the future outlook and strategic recommendations for companies and policymakers.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central question is this: After three decades of hyper globalization, are we now witnessing a permanent reversal? And if so, what are the costs and consequences?</w:t>
      </w:r>
    </w:p>
    <w:p w:rsidR="006A36AA" w:rsidRPr="006A36AA" w:rsidRDefault="006A36AA" w:rsidP="006A36AA">
      <w:pPr>
        <w:pStyle w:val="ds-markdown-paragraph"/>
        <w:shd w:val="clear" w:color="auto" w:fill="FFFFFF"/>
        <w:spacing w:before="240" w:beforeAutospacing="0" w:after="240" w:afterAutospacing="0" w:line="360" w:lineRule="auto"/>
        <w:rPr>
          <w:b/>
          <w:color w:val="0F1115"/>
          <w:sz w:val="28"/>
          <w:szCs w:val="28"/>
          <w:lang w:val="en-US"/>
        </w:rPr>
      </w:pPr>
      <w:r w:rsidRPr="006A36AA">
        <w:rPr>
          <w:b/>
          <w:color w:val="0F1115"/>
          <w:sz w:val="28"/>
          <w:szCs w:val="28"/>
          <w:lang w:val="en-US"/>
        </w:rPr>
        <w:t>Section 1 – Setting the Stage</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What Is Protectionism? The Traditional View</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 xml:space="preserve">Let us begin by defining our terms. In the traditional view, protectionism refers to tariffs, quotas, and subsidies designed to protect domestic industries from foreign competition. The classic example is the Smoot Hawley Tariff of 1930, which </w:t>
      </w:r>
      <w:r w:rsidRPr="006A36AA">
        <w:rPr>
          <w:color w:val="0F1115"/>
          <w:sz w:val="28"/>
          <w:szCs w:val="28"/>
          <w:lang w:val="en-US"/>
        </w:rPr>
        <w:lastRenderedPageBreak/>
        <w:t>raised US tariffs on over 20,000 imported goods. This triggered retaliation from trading partners and contributed to the collapse of world trade during the Great Depression. For most of the post World War II period, multilateral trade liberalization under the GATT and then the WTO steadily reduced these traditional barriers.</w:t>
      </w:r>
    </w:p>
    <w:p w:rsid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New Protectionism – A Definition</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new protectionism is fundamentally different. It relies not on tariffs but on non tariff barriers. It invokes national security arguments to justify trade restrictions. It uses industrial policy and technology decoupling as tools of economic statecraft. Concrete examples include the United States CHIPS Act, which provides over $50 billion in subsidies for domestic semiconductor manufacturing, and the European Union Net Zero Industry Act, which aims to scale up clean technology production within Europe. These are not traditional protectionist measures. They are strategic interventions justified by security and competitiveness concerns.</w:t>
      </w:r>
    </w:p>
    <w:p w:rsid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Why Now? Key Drivers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Four major drivers have accelerated the shift toward the new protectionism. First, US China strategic competition. The United States has identified China as its primary strategic rival, and trade policy has become a central arena for this competition. Second, COVID 19 supply shocks. The pandemic revealed the fragility of just in time supply chains, particularly for medical goods. Third, the Russia Ukraine war and the weaponization of trade. Russia’s invasion demonstrated that energy, grain, and critical materials could be used as geopolitical weapons. Fourth, climate and energy transitions are creating new forms of strategic competition over clean technology supply chains.</w:t>
      </w:r>
    </w:p>
    <w:p w:rsid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From Globalization to Fragmentation</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visual on this slide shows a striking transformation. The figure depicts one global circle, representing the integrated global economy of the 1990s and 2000s, fragmenting into three blocs. These are a US led bloc, a China led bloc, and a neutral or aligned middle. The definition of trade fragmentation is the reverse of globalization. Trade growth has slowed. Since approximately 2019, WTO data shows that global trade growth has consistently fallen below global GDP growth, a reversal of the pattern that held for decades.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What is at Stake?</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stakes are enormous. The International Monetary Fund estimates that trade fragmentation could cost the global economy between 0.2 percent and 7 percent of global GDP, depending on the severity of the decoupling. The lower end assumes limited fragmentation. The higher end assumes a full split into two separate trading blocs with minimal trade between them. Additional costs include higher inflation, as supply chains become less efficient, and less product variety for consumers. Geopolitical instability also increases, as economic interdependence, which historically reduced conflict incentives, declines.</w:t>
      </w:r>
    </w:p>
    <w:p w:rsidR="006A36AA" w:rsidRDefault="006A36AA" w:rsidP="006A36AA">
      <w:pPr>
        <w:pStyle w:val="ds-markdown-paragraph"/>
        <w:shd w:val="clear" w:color="auto" w:fill="FFFFFF"/>
        <w:spacing w:before="240" w:beforeAutospacing="0" w:after="240" w:afterAutospacing="0" w:line="360" w:lineRule="auto"/>
        <w:rPr>
          <w:b/>
          <w:color w:val="0F1115"/>
          <w:sz w:val="28"/>
          <w:szCs w:val="28"/>
          <w:lang w:val="en-US"/>
        </w:rPr>
      </w:pPr>
    </w:p>
    <w:p w:rsidR="006A36AA" w:rsidRPr="006A36AA" w:rsidRDefault="006A36AA" w:rsidP="006A36AA">
      <w:pPr>
        <w:pStyle w:val="ds-markdown-paragraph"/>
        <w:shd w:val="clear" w:color="auto" w:fill="FFFFFF"/>
        <w:spacing w:before="240" w:beforeAutospacing="0" w:after="240" w:afterAutospacing="0" w:line="360" w:lineRule="auto"/>
        <w:rPr>
          <w:b/>
          <w:color w:val="0F1115"/>
          <w:sz w:val="28"/>
          <w:szCs w:val="28"/>
          <w:lang w:val="en-US"/>
        </w:rPr>
      </w:pPr>
      <w:r w:rsidRPr="006A36AA">
        <w:rPr>
          <w:b/>
          <w:color w:val="0F1115"/>
          <w:sz w:val="28"/>
          <w:szCs w:val="28"/>
          <w:lang w:val="en-US"/>
        </w:rPr>
        <w:t>Section 2 – Supply Chains Under Stress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Golden Era of Supply Chains (1990 to 2010)</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 xml:space="preserve">To understand the current stresses, we must first understand the golden era of supply chains. From approximately 1990 to 2010, global supply chains were optimized for efficiency. The logic was just in time inventory management. Firms held minimal inventory and relied on precise coordination with suppliers. The dominant strategy was low labor cost arbitrage, with China serving as the factory </w:t>
      </w:r>
      <w:r w:rsidRPr="006A36AA">
        <w:rPr>
          <w:color w:val="0F1115"/>
          <w:sz w:val="28"/>
          <w:szCs w:val="28"/>
          <w:lang w:val="en-US"/>
        </w:rPr>
        <w:lastRenderedPageBreak/>
        <w:t>of the world. This system produced unprecedented efficiency gains. However, it also created fragility. A single disruption could cascade through the entire chain.</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First Cracks (2018 to 2019)</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first cracks appeared before the pandemic. The US China trade war, which began in 2018, introduced tariffs on hundreds of billions of dollars of traded goods. The Huawei ban and early technology decoupling measures signaled that the era of unrestricted technology transfer was ending. In response, companies began adopting what became known as China plus one strategies. They maintained their China operations but added production capacity in other countries, such as Vietnam, Mexico, or India, to reduce concentration risk.</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COVID 19 – The Great Reveal</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COVID 19 was the great reveal. The pandemic exposed the fragility of just in time supply chains for medical goods. Personal protective equipment, ventilators, and active pharmaceutical ingredients all experienced severe shortages. Container shipping chaos followed, with port congestion and skyrocketing freight rates. The just in time model became just too late. The figure on this slide shows the dramatic spike in shipping costs and delivery delays during 2020 and 2021.</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Geopolitical Shocks (2022 to 2024)</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pandemic was followed by a series of geopolitical shocks. The Russia Ukraine war disrupted global grain supplies, energy markets, and the supply of neon gas, which is critical for semiconductor manufacturing. The Red Sea and Suez Canal disruptions, resulting from attacks on shipping, forced vessels to reroute around Africa, adding weeks to transit times. Concerns about a potential Taiwan invasion, while not materializing, led to semiconductor panic buying and stockpiling. Each shock reinforced the lesson that global supply chains were vulnerable to geopolitical events.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lastRenderedPageBreak/>
        <w:t>Visual – Supply Chain Concentration Risk</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figure on this slide is a map showing critical supply chain concentration risks. Over 70 percent of advanced semiconductors are manufactured in Taiwan and South Korea combined. Approximately 80 percent of rare earth refining is controlled by China. These high risk nodes are highlighted in red. A disruption at any of these nodes could bring global industries to a halt.</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Cost of Disruption</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costs of supply chain disruptions are substantial. According to McKinsey, the average supply chain disruption costs over $80 million per event. When a company discloses a major supply chain disruption, its share price typically drops by 7 to 10 percent following the announcement. Additional costs include inventory write offs and expediting fees, which can run into the tens of millions of dollars.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From JIT to JIC (Just in Case)</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 xml:space="preserve">The response to these disruptions has been a strategic shift from just in time to just in case. Firms are building inventory buffers. They are adopting dual sourcing, meaning they maintain at least two suppliers for critical components. They are pursuing nearshoring, moving production closer to end markets. Governments are also acting, creating strategic stockpiles such as the European Union’s medical reserves. The visual on this slide contrasts the lean, efficient JIT model with the </w:t>
      </w:r>
      <w:proofErr w:type="gramStart"/>
      <w:r w:rsidRPr="006A36AA">
        <w:rPr>
          <w:color w:val="0F1115"/>
          <w:sz w:val="28"/>
          <w:szCs w:val="28"/>
          <w:lang w:val="en-US"/>
        </w:rPr>
        <w:t>more costly</w:t>
      </w:r>
      <w:proofErr w:type="gramEnd"/>
      <w:r w:rsidRPr="006A36AA">
        <w:rPr>
          <w:color w:val="0F1115"/>
          <w:sz w:val="28"/>
          <w:szCs w:val="28"/>
          <w:lang w:val="en-US"/>
        </w:rPr>
        <w:t xml:space="preserve"> but more resilient JIC model.</w:t>
      </w:r>
    </w:p>
    <w:p w:rsidR="006A36AA" w:rsidRPr="006A36AA" w:rsidRDefault="006A36AA" w:rsidP="006A36AA">
      <w:pPr>
        <w:pStyle w:val="ds-markdown-paragraph"/>
        <w:shd w:val="clear" w:color="auto" w:fill="FFFFFF"/>
        <w:spacing w:before="240" w:beforeAutospacing="0" w:after="240" w:afterAutospacing="0" w:line="360" w:lineRule="auto"/>
        <w:rPr>
          <w:b/>
          <w:color w:val="0F1115"/>
          <w:sz w:val="28"/>
          <w:szCs w:val="28"/>
          <w:lang w:val="en-US"/>
        </w:rPr>
      </w:pPr>
    </w:p>
    <w:p w:rsidR="006A36AA" w:rsidRPr="006A36AA" w:rsidRDefault="006A36AA" w:rsidP="006A36AA">
      <w:pPr>
        <w:pStyle w:val="ds-markdown-paragraph"/>
        <w:shd w:val="clear" w:color="auto" w:fill="FFFFFF"/>
        <w:spacing w:before="240" w:beforeAutospacing="0" w:after="240" w:afterAutospacing="0" w:line="360" w:lineRule="auto"/>
        <w:rPr>
          <w:b/>
          <w:color w:val="0F1115"/>
          <w:sz w:val="28"/>
          <w:szCs w:val="28"/>
          <w:lang w:val="en-US"/>
        </w:rPr>
      </w:pPr>
      <w:r w:rsidRPr="006A36AA">
        <w:rPr>
          <w:b/>
          <w:color w:val="0F1115"/>
          <w:sz w:val="28"/>
          <w:szCs w:val="28"/>
          <w:lang w:val="en-US"/>
        </w:rPr>
        <w:t>Section 3 – Trade Fragmentation: Evidence and Trends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Defining Trade Fragmentation</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 xml:space="preserve">Trade fragmentation refers to the splitting of global trade into rival regional blocs. It is important to distinguish between trade diversion and trade creation. Trade </w:t>
      </w:r>
      <w:r w:rsidRPr="006A36AA">
        <w:rPr>
          <w:color w:val="0F1115"/>
          <w:sz w:val="28"/>
          <w:szCs w:val="28"/>
          <w:lang w:val="en-US"/>
        </w:rPr>
        <w:lastRenderedPageBreak/>
        <w:t>diversion occurs when trade shifts from a more efficient supplier outside a bloc to a less efficient supplier inside the bloc due to preferential treatment. Trade creation occurs when new trade is generated within a bloc. Fragmentation is associated with trade diversion, which reduces overall welfare. The visual on this slide shows three blocs with internal preferences, represented by thicker arrows within each bloc and thinner arrows between blocs.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Measuring Fragmentation</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How do we measure fragmentation? Several indicators are available. WTO data shows that global trade growth was only 2.4 percent in 2023, compared to a historical average of approximately 5 percent. The number of discriminatory trade measures, meaning measures that favor some trading partners over others, has tripled since 2010. Regional trade agreements have increased, while WTO dispute settlement usage has declined. These trends are consistent with a fragmented trading system.</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Bloc 1 – The US Led Network</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first bloc is the US led network. Its members include North America under the United States Mexico Canada Agreement, or USMCA. The Indo Pacific Economic Framework, or IPEF, includes the United States and several Asian partners. The EU US Trade and Technology Council, or TTC, coordinates transatlantic technology policy. The guiding principle of this bloc is friend shoring, meaning that trade is preferentially directed toward trusted partners with shared democratic values and security alignments.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Bloc 2 – The China Led Network</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 xml:space="preserve">The second bloc is the China led network. Its centerpiece is the Regional Comprehensive Economic Partnership, or RCEP, which includes China, Japan, South Korea, Australia, New Zealand, and the ASEAN countries. China’s Belt and Road Initiative, or BRI, includes infrastructure and trade agreements with over 140 </w:t>
      </w:r>
      <w:r w:rsidRPr="006A36AA">
        <w:rPr>
          <w:color w:val="0F1115"/>
          <w:sz w:val="28"/>
          <w:szCs w:val="28"/>
          <w:lang w:val="en-US"/>
        </w:rPr>
        <w:lastRenderedPageBreak/>
        <w:t>countries. China has also deepened bilateral deals with Russia, Iran, and other Global South partners. An emerging element is the use of renminbi settlement to bypass the SWIFT financial messaging system, reducing dependence on dollar based trade.</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Bloc 3 – The Neutral or Aligned Middle</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third group consists of countries that seek to trade with both blocs while maintaining strategic autonomy. Examples include India, Brazil, Turkey, Vietnam, and Indonesia. These countries face increasing pressure from both sides to choose. However, they also benefit from investment diversion, as companies relocate factories from China to these neutral countries to avoid tariffs and reduce concentration risk. The visual on this slide shows these three groups with arrows indicating trade flows.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Sectoral Deep Dive – Critical Minerals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Let us examine one sector in detail: critical minerals. China controls between 60 and 90 percent of global refining capacity for lithium, cobalt, and graphite, all essential for batteries and electronics. In August 2023, China imposed export controls on gallium and germanium, two critical minerals for semiconductor production. The Western response has been to create mineral security partnerships with Canada, Australia, and African countries to develop alternative supply chains. However, building new refining capacity takes years, so dependence on China will persist for the foreseeable future.</w:t>
      </w:r>
    </w:p>
    <w:p w:rsidR="006A36AA" w:rsidRDefault="006A36AA" w:rsidP="006A36AA">
      <w:pPr>
        <w:pStyle w:val="ds-markdown-paragraph"/>
        <w:shd w:val="clear" w:color="auto" w:fill="FFFFFF"/>
        <w:spacing w:before="240" w:beforeAutospacing="0" w:after="240" w:afterAutospacing="0" w:line="360" w:lineRule="auto"/>
        <w:rPr>
          <w:b/>
          <w:color w:val="0F1115"/>
          <w:sz w:val="28"/>
          <w:szCs w:val="28"/>
          <w:lang w:val="en-US"/>
        </w:rPr>
      </w:pPr>
    </w:p>
    <w:p w:rsidR="006A36AA" w:rsidRPr="006A36AA" w:rsidRDefault="006A36AA" w:rsidP="006A36AA">
      <w:pPr>
        <w:pStyle w:val="ds-markdown-paragraph"/>
        <w:shd w:val="clear" w:color="auto" w:fill="FFFFFF"/>
        <w:spacing w:before="240" w:beforeAutospacing="0" w:after="240" w:afterAutospacing="0" w:line="360" w:lineRule="auto"/>
        <w:rPr>
          <w:b/>
          <w:color w:val="0F1115"/>
          <w:sz w:val="28"/>
          <w:szCs w:val="28"/>
          <w:lang w:val="en-US"/>
        </w:rPr>
      </w:pPr>
      <w:r w:rsidRPr="006A36AA">
        <w:rPr>
          <w:b/>
          <w:color w:val="0F1115"/>
          <w:sz w:val="28"/>
          <w:szCs w:val="28"/>
          <w:lang w:val="en-US"/>
        </w:rPr>
        <w:t>Section 4 – Export Controls: The New Frontier</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What Are Export Controls?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 xml:space="preserve">Export controls are restrictions on selling goods, software, or technology to certain countries. They focus on dual use items, meaning products that have both civilian </w:t>
      </w:r>
      <w:r w:rsidRPr="006A36AA">
        <w:rPr>
          <w:color w:val="0F1115"/>
          <w:sz w:val="28"/>
          <w:szCs w:val="28"/>
          <w:lang w:val="en-US"/>
        </w:rPr>
        <w:lastRenderedPageBreak/>
        <w:t>and military applications. The old regime for export controls was the Wassenaar Arrangement, a post Cold War multilateral agreement among 42 countries. The Wassenaar Arrangement relied on consensus and was not aggressive. The new export control regime is unilateral, aggressive, and targeted at strategic rivals.</w:t>
      </w:r>
    </w:p>
    <w:p w:rsid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Why Export Controls Now?</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Export controls have become a primary tool of geopolitical competition for three reasons. First, to slow rival military and artificial intelligence advancements. The belief is that denying access to advanced chips and manufacturing equipment will delay China’s technological progress. Second, to protect foundational technologies that are seen as too important to share. Third, to enforce foreign policy and human rights objectives, such as restricting exports to entities involved in human rights abuses.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Case Study – US Semiconductor Controls (October 2022 and October 2023)</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most significant export control actions in recent years are the US semiconductor controls imposed in October 2022 and expanded in October 2023. These controls ban the export to China of advanced chips, chipmaking equipment, and supercomputers. The Foreign Direct Product Rule is particularly aggressive. It applies US export controls to products made outside the United States if they contain any US origin technology, even in minimal amounts. The controls also specifically target Chinese companies, including Huawei, the Semiconductor Manufacturing International Corporation, and Yangtze Memory Technologies.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Allied Coordination</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 xml:space="preserve">The United States has not acted alone. It has coordinated with key allies to maximize the impact. The Netherlands, home to ASML which makes the most advanced lithography machines, now requires export licenses for deep ultraviolet </w:t>
      </w:r>
      <w:r w:rsidRPr="006A36AA">
        <w:rPr>
          <w:color w:val="0F1115"/>
          <w:sz w:val="28"/>
          <w:szCs w:val="28"/>
          <w:lang w:val="en-US"/>
        </w:rPr>
        <w:lastRenderedPageBreak/>
        <w:t>lithography equipment. Japan, home to Tokyo Electron and Nikon, has imposed similar restrictions. South Korea and Taiwan, major semiconductor producers, have been pressured to comply but remain cautious due to their economic dependence on the Chinese market. The visual on this slide shows the network of coordinated export controls.</w:t>
      </w:r>
    </w:p>
    <w:p w:rsid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China’s Response</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China has responded in several ways. It imposed export controls on gallium, germanium, and graphite, critical materials for Western semiconductor and defense industries. It banned the export of rare earth processing technology. It has accelerated research and development in domestic chips, including the Loongson processor family and reported progress toward 5 nanometer production at SMIC. However, China remains dependent on foreign equipment and software, so the full impact of the controls is still unfolding.</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Unintended Consequences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Export controls have produced several unintended consequences. First, they are choking innovation by reducing cross border research collaboration. Scientists from controlled countries face increasing barriers to working together. Second, smuggling and third party transshipments have emerged. Goods subject to controls are being shipped through countries such as Turkey, the United Arab Emirates, and Mexico to evade restrictions. Third, WTO legal challenges have been filed, but their effect is limited because national security exceptions give countries broad discretion.</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Beyond Semiconductors – Next Targets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 xml:space="preserve">The logic of export controls is spreading beyond semiconductors. The next targets likely include artificial intelligence models and algorithms. There is an ongoing </w:t>
      </w:r>
      <w:r w:rsidRPr="006A36AA">
        <w:rPr>
          <w:color w:val="0F1115"/>
          <w:sz w:val="28"/>
          <w:szCs w:val="28"/>
          <w:lang w:val="en-US"/>
        </w:rPr>
        <w:lastRenderedPageBreak/>
        <w:t>debate about whether to restrict the export of open weight models versus closed weight models. Quantum computing is another frontier, with concerns that quantum capabilities could break current encryption. Biotech synthesis tools, which could be used to engineer pathogens, are also under scrutiny. Finally, drones and autonomous weapons components are increasingly controlled. The visual on this slide lists these emerging targets.</w:t>
      </w:r>
    </w:p>
    <w:p w:rsid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p>
    <w:p w:rsidR="006A36AA" w:rsidRPr="006A36AA" w:rsidRDefault="006A36AA" w:rsidP="006A36AA">
      <w:pPr>
        <w:pStyle w:val="ds-markdown-paragraph"/>
        <w:shd w:val="clear" w:color="auto" w:fill="FFFFFF"/>
        <w:spacing w:before="240" w:beforeAutospacing="0" w:after="240" w:afterAutospacing="0" w:line="360" w:lineRule="auto"/>
        <w:rPr>
          <w:b/>
          <w:color w:val="0F1115"/>
          <w:sz w:val="28"/>
          <w:szCs w:val="28"/>
          <w:lang w:val="en-US"/>
        </w:rPr>
      </w:pPr>
      <w:r w:rsidRPr="006A36AA">
        <w:rPr>
          <w:b/>
          <w:color w:val="0F1115"/>
          <w:sz w:val="28"/>
          <w:szCs w:val="28"/>
          <w:lang w:val="en-US"/>
        </w:rPr>
        <w:t>Section 5 – Building Supply Chain Resilience</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What Is Supply Chain Resilience?</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 xml:space="preserve">Given these pressures, how can firms and countries build resilience? Supply chain resilience is the ability to anticipate, withstand, and recover from disruptions. It is important to note that resilience is not 100 percent self sufficiency, which would be impossibly costly. There is a trade off. Resilience typically costs between 2 and 5 percent more than a pure efficiency optimized supply chain. The question is whether that additional cost is worth paying. After the shocks of recent years, </w:t>
      </w:r>
      <w:proofErr w:type="gramStart"/>
      <w:r w:rsidRPr="006A36AA">
        <w:rPr>
          <w:color w:val="0F1115"/>
          <w:sz w:val="28"/>
          <w:szCs w:val="28"/>
          <w:lang w:val="en-US"/>
        </w:rPr>
        <w:t>most large</w:t>
      </w:r>
      <w:proofErr w:type="gramEnd"/>
      <w:r w:rsidRPr="006A36AA">
        <w:rPr>
          <w:color w:val="0F1115"/>
          <w:sz w:val="28"/>
          <w:szCs w:val="28"/>
          <w:lang w:val="en-US"/>
        </w:rPr>
        <w:t xml:space="preserve"> firms have concluded that it is.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Resilience Strategy 1 – Diversification</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first resilience strategy is diversification. Instead of sourcing from a single country, firms pursue China plus one, meaning they maintain China operations but add capacity in Vietnam, Mexico, or India. For critical components, firms maintain multiple suppliers to avoid single points of failure. The visual on this slide shows a diversified supply chain with arrows from multiple source countries to the final market.</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Resilience Strategy 2 – Nearshoring and Friend shoring</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 xml:space="preserve">The second strategy is nearshoring and friend shoring. Nearshoring means moving production closer to the end market. For the United States market, Mexico is the </w:t>
      </w:r>
      <w:r w:rsidRPr="006A36AA">
        <w:rPr>
          <w:color w:val="0F1115"/>
          <w:sz w:val="28"/>
          <w:szCs w:val="28"/>
          <w:lang w:val="en-US"/>
        </w:rPr>
        <w:lastRenderedPageBreak/>
        <w:t>primary nearshoring destination. For the European market, Eastern European countries such as Poland and Romania are the primary destinations. Friend shoring means restricting sourcing to democratic or trusted nations. Examples include Tesla’s Gigafactory in Mexico and Intel’s new factory in Germany.</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Resilience Strategy 3 – Inventory Buffers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third strategy is the return of inventory buffers. Just in case inventory management means holding safety stock of critical components. Governments are also holding strategic reserves of medical supplies, energy, and critical minerals. Digital twins, which are virtual models of supply chains, help optimize where to place these buffers for maximum benefit.</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Resilience Strategy 4 – Visibility and Digitalization</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fourth strategy is end to end supply chain visibility. Firms are mapping their supply chains from raw material extraction all the way to final delivery. Artificial intelligence powered disruption early warning systems can predict potential bottlenecks. Blockchain technology is being used for provenance tracking and compliance verification. The visual on this slide shows a dashboard with real time supply chain status.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Resilience Strategy 5 – Redundancy</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The fifth strategy is redundancy. This means maintaining multiple production lines across different geographies. It also means having surge capacity contracts that allow rapid scaling up of production during emergencies. In the automobile industry, dual sourcing for chips is now mandatory, a sharp break from the past when single sourcing was the norm for cost reasons.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Role of Government Policy</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 xml:space="preserve">Governments are not passive observers. They are actively promoting resilience through subsidies, tariffs, and national strategies. The US CHIPS Act and the EU </w:t>
      </w:r>
      <w:r w:rsidRPr="006A36AA">
        <w:rPr>
          <w:color w:val="0F1115"/>
          <w:sz w:val="28"/>
          <w:szCs w:val="28"/>
          <w:lang w:val="en-US"/>
        </w:rPr>
        <w:lastRenderedPageBreak/>
        <w:t>Chips Act provide subsidies for domestic semiconductor production. Tariffs on non resilient sources, such as the US tariffs on Chinese goods, create incentives for diversification. Japan, South Korea, and Germany have all published national resilience strategies that identify critical supply chains and mandate reporting requirements.</w:t>
      </w:r>
    </w:p>
    <w:p w:rsid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Cost of Resilience – Industry Survey</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What are firms actually spending? An industry survey cited on this slide found that 85 percent of large firms are increasing their resilience spending. The average increase is approximately 4 percent of the procurement budget. Firms are accepting unit cost increases of 10 to 15 percent for strategic goods in exchange for greater security of supply. This represents a permanent shift in procurement strategy.</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Section 6 – Future Outlook and Conclusions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Three Future Scenarios for 2030</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Looking ahead to 2030, we can imagine three scenarios. The first scenario is contested globalization. This is the current trend continuing. Trade persists, but with higher tariffs, more export controls, and persistent geopolitical tensions. The second scenario is decoupled blocs. This would mean two separate technology universes, one led by the United States and one led by China, with minimal trade between them. The third scenario is a renaissance of multilateralism, where countries return to the WTO and rebuild cooperative trade governance. This is unlikely given current political trends, but it cannot be ruled out entirely.</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What Will Likely Happen?</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 xml:space="preserve">The most probable outcome is a middle path. Persistent high tariffs will remain on strategic sectors such as semiconductors, critical minerals, and clean technology. Dual supply chains will emerge, one for the Western market and one for the rest of </w:t>
      </w:r>
      <w:r w:rsidRPr="006A36AA">
        <w:rPr>
          <w:color w:val="0F1115"/>
          <w:sz w:val="28"/>
          <w:szCs w:val="28"/>
          <w:lang w:val="en-US"/>
        </w:rPr>
        <w:lastRenderedPageBreak/>
        <w:t>the world. Full decoupling is unlikely because it would be too costly for both sides. Trade will continue, but with permanent guardrails and restrictions. The visual on this slide shows the expected trajectory, with trade volumes remaining substantial but trade policy becoming increasingly managed.</w:t>
      </w:r>
    </w:p>
    <w:p w:rsid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p>
    <w:p w:rsid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Risks Ahead</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Several risks could worsen the outlook. A Taiwan conflict would almost certainly cause a semiconductor stop, with catastrophic global economic consequences. Energy price spikes from a Middle East escalation would raise production costs and inflation. Overregulation in the name of security could stifle innovation. Finally, excluding the Global South from trade governance could deepen inequality and push developing countries toward the China led bloc.</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Strategic Recommendations for Companies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Let me conclude with strategic recommendations. For companies, the first priority is to map your multi tier supply chain, not just tier one suppliers but all the way to tier four. Second, build scenario playbooks for different escalation levels, from limited trade restrictions to full decoupling. Third, invest in dual sourcing and regional hubs. Fourth, lobby for phased in resilience mandates, rather than abrupt changes that would disrupt operations.</w:t>
      </w:r>
    </w:p>
    <w:p w:rsidR="006A36AA" w:rsidRDefault="006A36AA" w:rsidP="006A36AA">
      <w:pPr>
        <w:pStyle w:val="ds-markdown-paragraph"/>
        <w:shd w:val="clear" w:color="auto" w:fill="FFFFFF"/>
        <w:spacing w:before="240" w:beforeAutospacing="0" w:after="240" w:afterAutospacing="0" w:line="360" w:lineRule="auto"/>
        <w:rPr>
          <w:color w:val="0F1115"/>
          <w:sz w:val="28"/>
          <w:szCs w:val="28"/>
        </w:rPr>
      </w:pPr>
    </w:p>
    <w:p w:rsidR="006A36AA" w:rsidRPr="006A36AA" w:rsidRDefault="006A36AA" w:rsidP="006A36AA">
      <w:pPr>
        <w:pStyle w:val="ds-markdown-paragraph"/>
        <w:shd w:val="clear" w:color="auto" w:fill="FFFFFF"/>
        <w:spacing w:before="240" w:beforeAutospacing="0" w:after="240" w:afterAutospacing="0" w:line="360" w:lineRule="auto"/>
        <w:rPr>
          <w:b/>
          <w:color w:val="0F1115"/>
          <w:sz w:val="28"/>
          <w:szCs w:val="28"/>
        </w:rPr>
      </w:pPr>
      <w:r w:rsidRPr="006A36AA">
        <w:rPr>
          <w:b/>
          <w:color w:val="0F1115"/>
          <w:sz w:val="28"/>
          <w:szCs w:val="28"/>
        </w:rPr>
        <w:t>Strategic Recommendations for Policymakers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 xml:space="preserve">For policymakers, the recommendations are as follows. Avoid indiscriminate decoupling. Targeting specific risks is more effective than blanket restrictions. Maintain allied coordination to prevent leakage through third countries. Create </w:t>
      </w:r>
      <w:r w:rsidRPr="006A36AA">
        <w:rPr>
          <w:color w:val="0F1115"/>
          <w:sz w:val="28"/>
          <w:szCs w:val="28"/>
          <w:lang w:val="en-US"/>
        </w:rPr>
        <w:lastRenderedPageBreak/>
        <w:t>resilience credits, not just tariffs, to reward firms that invest in diversified supply chains. Finally, keep the WTO as a floor, not a ceiling. Even if deeper cooperation is impossible, preserving the basic rules based system prevents a slide into chaos.</w:t>
      </w:r>
    </w:p>
    <w:p w:rsidR="006A36AA" w:rsidRPr="006A36AA" w:rsidRDefault="006A36AA" w:rsidP="006A36AA">
      <w:pPr>
        <w:pStyle w:val="ds-markdown-paragraph"/>
        <w:shd w:val="clear" w:color="auto" w:fill="FFFFFF"/>
        <w:spacing w:before="240" w:beforeAutospacing="0" w:after="240" w:afterAutospacing="0" w:line="360" w:lineRule="auto"/>
        <w:rPr>
          <w:b/>
          <w:color w:val="0F1115"/>
          <w:sz w:val="28"/>
          <w:szCs w:val="28"/>
        </w:rPr>
      </w:pPr>
      <w:r w:rsidRPr="006A36AA">
        <w:rPr>
          <w:b/>
          <w:color w:val="0F1115"/>
          <w:sz w:val="28"/>
          <w:szCs w:val="28"/>
        </w:rPr>
        <w:t>Key Takeaways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Let me summarize the key takeaways from today’s lecture. First, the new protectionism uses national security tools such as export controls and subsidies, not just tariffs. Second, supply chains have permanently shifted from just in time efficiency to just in case resilience. Third, trade fragmentation is splitting the world into a US led bloc, a China led bloc, and a neutral middle. Fourth, export controls on semiconductors and critical minerals are now the primary geopolitical weapon in trade policy. Fifth, resilience requires diversification, nearshoring, inventory buffers, visibility, and redundancy. Sixth, full decoupling is unlikely, but contested globalization with permanent guardrails is here to stay.</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Final Thought</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Trade has always been shaped by politics. For thirty years after the Cold War, politics favored openness. Today, politics favors security and resilience. The challenge for the next generation of trade policymakers, and for you as students of trade, is to find ways to preserve the gains from trade while responding to legitimate security concerns. That balance will define the global economy for decades to come.</w:t>
      </w:r>
    </w:p>
    <w:p w:rsid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p>
    <w:p w:rsidR="006A36AA" w:rsidRPr="006A36AA" w:rsidRDefault="006A36AA" w:rsidP="006A36AA">
      <w:pPr>
        <w:pStyle w:val="ds-markdown-paragraph"/>
        <w:shd w:val="clear" w:color="auto" w:fill="FFFFFF"/>
        <w:spacing w:before="240" w:beforeAutospacing="0" w:after="240" w:afterAutospacing="0" w:line="360" w:lineRule="auto"/>
        <w:rPr>
          <w:b/>
          <w:color w:val="0F1115"/>
          <w:sz w:val="28"/>
          <w:szCs w:val="28"/>
          <w:lang w:val="en-US"/>
        </w:rPr>
      </w:pPr>
      <w:r w:rsidRPr="006A36AA">
        <w:rPr>
          <w:b/>
          <w:color w:val="0F1115"/>
          <w:sz w:val="28"/>
          <w:szCs w:val="28"/>
          <w:lang w:val="en-US"/>
        </w:rPr>
        <w:t>References</w:t>
      </w:r>
    </w:p>
    <w:p w:rsidR="006A36AA" w:rsidRPr="006A36AA" w:rsidRDefault="006A36AA" w:rsidP="006A36AA">
      <w:pPr>
        <w:pStyle w:val="ds-markdown-paragraph"/>
        <w:shd w:val="clear" w:color="auto" w:fill="FFFFFF"/>
        <w:spacing w:before="240" w:beforeAutospacing="0" w:after="240" w:afterAutospacing="0" w:line="360" w:lineRule="auto"/>
        <w:rPr>
          <w:color w:val="0F1115"/>
          <w:sz w:val="28"/>
          <w:szCs w:val="28"/>
          <w:lang w:val="en-US"/>
        </w:rPr>
      </w:pPr>
      <w:r w:rsidRPr="006A36AA">
        <w:rPr>
          <w:color w:val="0F1115"/>
          <w:sz w:val="28"/>
          <w:szCs w:val="28"/>
          <w:lang w:val="en-US"/>
        </w:rPr>
        <w:t xml:space="preserve">The references for this lecture include Antras, P. (2020). </w:t>
      </w:r>
      <w:bookmarkStart w:id="0" w:name="_GoBack"/>
      <w:bookmarkEnd w:id="0"/>
      <w:r w:rsidRPr="006A36AA">
        <w:rPr>
          <w:color w:val="0F1115"/>
          <w:sz w:val="28"/>
          <w:szCs w:val="28"/>
          <w:lang w:val="en-US"/>
        </w:rPr>
        <w:t xml:space="preserve">De globalisation Global value chains in the post COVID 19 age, National Bureau of Economic Research Working Paper No. 28115. Evenett, S. J. (2021). What’s wrong with the new protectionism Supply chains, sovereignty, and strategic rivalry, Journal of </w:t>
      </w:r>
      <w:r w:rsidRPr="006A36AA">
        <w:rPr>
          <w:color w:val="0F1115"/>
          <w:sz w:val="28"/>
          <w:szCs w:val="28"/>
          <w:lang w:val="en-US"/>
        </w:rPr>
        <w:lastRenderedPageBreak/>
        <w:t>International Economic Policy. Gopinath, G. (2022). The new protectionism and the fragmentation of global trade, Foreign Affairs. Irwin, D. A. (2023). The return of trade protectionism Supply chain security and economic decoupling, Journal of Economic Perspectives. And the World Trade Organization (2023). World Trade Report 2023 Re globalization for a secure, inclusive and sustainable future.</w:t>
      </w:r>
    </w:p>
    <w:p w:rsidR="00D271AF" w:rsidRPr="006A36AA" w:rsidRDefault="00D271AF" w:rsidP="006A36AA">
      <w:pPr>
        <w:spacing w:line="360" w:lineRule="auto"/>
        <w:rPr>
          <w:rFonts w:ascii="Times New Roman" w:hAnsi="Times New Roman" w:cs="Times New Roman"/>
          <w:sz w:val="28"/>
          <w:szCs w:val="28"/>
          <w:lang w:val="en-US"/>
        </w:rPr>
      </w:pPr>
    </w:p>
    <w:sectPr w:rsidR="00D271AF" w:rsidRPr="006A36AA" w:rsidSect="006A36AA">
      <w:footerReference w:type="default" r:id="rId6"/>
      <w:pgSz w:w="11906" w:h="16838"/>
      <w:pgMar w:top="1138" w:right="850" w:bottom="1138"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6C1" w:rsidRDefault="00C236C1" w:rsidP="006A36AA">
      <w:pPr>
        <w:spacing w:after="0" w:line="240" w:lineRule="auto"/>
      </w:pPr>
      <w:r>
        <w:separator/>
      </w:r>
    </w:p>
  </w:endnote>
  <w:endnote w:type="continuationSeparator" w:id="0">
    <w:p w:rsidR="00C236C1" w:rsidRDefault="00C236C1" w:rsidP="006A3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7139213"/>
      <w:docPartObj>
        <w:docPartGallery w:val="Page Numbers (Bottom of Page)"/>
        <w:docPartUnique/>
      </w:docPartObj>
    </w:sdtPr>
    <w:sdtContent>
      <w:p w:rsidR="006A36AA" w:rsidRDefault="006A36AA">
        <w:pPr>
          <w:pStyle w:val="a5"/>
        </w:pPr>
        <w:r>
          <w:fldChar w:fldCharType="begin"/>
        </w:r>
        <w:r>
          <w:instrText>PAGE   \* MERGEFORMAT</w:instrText>
        </w:r>
        <w:r>
          <w:fldChar w:fldCharType="separate"/>
        </w:r>
        <w:r>
          <w:rPr>
            <w:noProof/>
          </w:rPr>
          <w:t>15</w:t>
        </w:r>
        <w:r>
          <w:fldChar w:fldCharType="end"/>
        </w:r>
      </w:p>
    </w:sdtContent>
  </w:sdt>
  <w:p w:rsidR="006A36AA" w:rsidRDefault="006A36AA">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6C1" w:rsidRDefault="00C236C1" w:rsidP="006A36AA">
      <w:pPr>
        <w:spacing w:after="0" w:line="240" w:lineRule="auto"/>
      </w:pPr>
      <w:r>
        <w:separator/>
      </w:r>
    </w:p>
  </w:footnote>
  <w:footnote w:type="continuationSeparator" w:id="0">
    <w:p w:rsidR="00C236C1" w:rsidRDefault="00C236C1" w:rsidP="006A36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CE8"/>
    <w:rsid w:val="000B4CE8"/>
    <w:rsid w:val="005A01A2"/>
    <w:rsid w:val="006A36AA"/>
    <w:rsid w:val="00C236C1"/>
    <w:rsid w:val="00D271AF"/>
    <w:rsid w:val="00E031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DDF92"/>
  <w15:chartTrackingRefBased/>
  <w15:docId w15:val="{AC2D2E5C-82A7-4AD3-AA4B-DF12EEE68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s-markdown-paragraph">
    <w:name w:val="ds-markdown-paragraph"/>
    <w:basedOn w:val="a"/>
    <w:rsid w:val="006A36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header"/>
    <w:basedOn w:val="a"/>
    <w:link w:val="a4"/>
    <w:uiPriority w:val="99"/>
    <w:unhideWhenUsed/>
    <w:rsid w:val="006A36A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A36AA"/>
  </w:style>
  <w:style w:type="paragraph" w:styleId="a5">
    <w:name w:val="footer"/>
    <w:basedOn w:val="a"/>
    <w:link w:val="a6"/>
    <w:uiPriority w:val="99"/>
    <w:unhideWhenUsed/>
    <w:rsid w:val="006A36A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A36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7072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3666</Words>
  <Characters>20897</Characters>
  <Application>Microsoft Office Word</Application>
  <DocSecurity>0</DocSecurity>
  <Lines>174</Lines>
  <Paragraphs>49</Paragraphs>
  <ScaleCrop>false</ScaleCrop>
  <Company/>
  <LinksUpToDate>false</LinksUpToDate>
  <CharactersWithSpaces>24514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 Abduvaliev</dc:creator>
  <cp:keywords/>
  <dc:description/>
  <cp:lastModifiedBy>Mubin Abduvaliev</cp:lastModifiedBy>
  <cp:revision>2</cp:revision>
  <dcterms:created xsi:type="dcterms:W3CDTF">2026-05-28T04:05:00Z</dcterms:created>
  <dcterms:modified xsi:type="dcterms:W3CDTF">2026-05-28T04:11:00Z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2f1b38b7-a1b4-4f98-a565-ab4e43c6c815</vt:lpwstr>
  </property>
</Properties>
</file>