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50E7" w:rsidRPr="00F550E7" w:rsidRDefault="00F550E7" w:rsidP="00F550E7">
      <w:pPr>
        <w:pStyle w:val="ds-markdown-paragraph"/>
        <w:shd w:val="clear" w:color="auto" w:fill="FFFFFF"/>
        <w:spacing w:before="240" w:beforeAutospacing="0" w:after="240" w:afterAutospacing="0" w:line="360" w:lineRule="auto"/>
        <w:jc w:val="center"/>
        <w:rPr>
          <w:b/>
          <w:color w:val="000000" w:themeColor="text1"/>
          <w:sz w:val="30"/>
          <w:szCs w:val="30"/>
          <w:lang w:val="en-US"/>
        </w:rPr>
      </w:pPr>
      <w:r w:rsidRPr="00F550E7">
        <w:rPr>
          <w:b/>
          <w:color w:val="000000" w:themeColor="text1"/>
          <w:sz w:val="30"/>
          <w:szCs w:val="30"/>
          <w:lang w:val="en-US"/>
        </w:rPr>
        <w:t>Applied Policy Debates and Workshops: Digital Trade, Agricultural Subsidies, National Security and Trade Controls</w:t>
      </w:r>
    </w:p>
    <w:p w:rsidR="00F550E7" w:rsidRPr="00F550E7" w:rsidRDefault="00F550E7" w:rsidP="00F550E7">
      <w:pPr>
        <w:pStyle w:val="ds-markdown-paragraph"/>
        <w:shd w:val="clear" w:color="auto" w:fill="FFFFFF"/>
        <w:spacing w:before="240" w:beforeAutospacing="0" w:after="240" w:afterAutospacing="0" w:line="360" w:lineRule="auto"/>
        <w:jc w:val="center"/>
        <w:rPr>
          <w:b/>
          <w:color w:val="000000" w:themeColor="text1"/>
          <w:sz w:val="30"/>
          <w:szCs w:val="30"/>
          <w:lang w:val="en-US"/>
        </w:rPr>
      </w:pPr>
      <w:r w:rsidRPr="00F550E7">
        <w:rPr>
          <w:b/>
          <w:color w:val="000000" w:themeColor="text1"/>
          <w:sz w:val="30"/>
          <w:szCs w:val="30"/>
          <w:lang w:val="en-US"/>
        </w:rPr>
        <w:t>University: Tajik State University of Commerce</w:t>
      </w:r>
    </w:p>
    <w:p w:rsidR="00F550E7" w:rsidRDefault="00F550E7" w:rsidP="00F550E7">
      <w:pPr>
        <w:pStyle w:val="ds-markdown-paragraph"/>
        <w:shd w:val="clear" w:color="auto" w:fill="FFFFFF"/>
        <w:spacing w:before="240" w:beforeAutospacing="0" w:after="240" w:afterAutospacing="0" w:line="360" w:lineRule="auto"/>
        <w:jc w:val="center"/>
        <w:rPr>
          <w:b/>
          <w:color w:val="000000" w:themeColor="text1"/>
          <w:sz w:val="30"/>
          <w:szCs w:val="30"/>
          <w:lang w:val="en-US"/>
        </w:rPr>
      </w:pPr>
      <w:r w:rsidRPr="00F550E7">
        <w:rPr>
          <w:b/>
          <w:color w:val="000000" w:themeColor="text1"/>
          <w:sz w:val="30"/>
          <w:szCs w:val="30"/>
          <w:lang w:val="en-US"/>
        </w:rPr>
        <w:t xml:space="preserve">Lecturer: Abduvaliev </w:t>
      </w:r>
      <w:proofErr w:type="spellStart"/>
      <w:r w:rsidRPr="00F550E7">
        <w:rPr>
          <w:b/>
          <w:color w:val="000000" w:themeColor="text1"/>
          <w:sz w:val="30"/>
          <w:szCs w:val="30"/>
          <w:lang w:val="en-US"/>
        </w:rPr>
        <w:t>Mubinzhon</w:t>
      </w:r>
      <w:proofErr w:type="spellEnd"/>
      <w:r w:rsidRPr="00F550E7">
        <w:rPr>
          <w:b/>
          <w:color w:val="000000" w:themeColor="text1"/>
          <w:sz w:val="30"/>
          <w:szCs w:val="30"/>
          <w:lang w:val="en-US"/>
        </w:rPr>
        <w:t>, PhD</w:t>
      </w:r>
    </w:p>
    <w:p w:rsidR="00F550E7" w:rsidRPr="00F550E7" w:rsidRDefault="00F550E7" w:rsidP="00F550E7">
      <w:pPr>
        <w:pStyle w:val="ds-markdown-paragraph"/>
        <w:shd w:val="clear" w:color="auto" w:fill="FFFFFF"/>
        <w:spacing w:before="240" w:beforeAutospacing="0" w:after="240" w:afterAutospacing="0" w:line="360" w:lineRule="auto"/>
        <w:jc w:val="center"/>
        <w:rPr>
          <w:b/>
          <w:color w:val="000000" w:themeColor="text1"/>
          <w:sz w:val="30"/>
          <w:szCs w:val="30"/>
          <w:lang w:val="en-US"/>
        </w:rPr>
      </w:pP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Opening</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Good morning, everyone. Welcome to Week 15, the final lecture of our International Trade and Policy course. Over the past fourteen weeks, we have covered trade theory, trade policy instruments, international institutions, trade and development, trade and the environment, the new protectionism, and trade, labor, and inequality. Today we bring all of these themes together in an applied policy workshop format.</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 xml:space="preserve">This lecture is titled “Applied Policy Debates and Workshops: Digital Trade, Agricultural Subsidies, National Security and Trade Controls.” Unlike previous weeks, today’s session is interactive. We will move through three policy modules, each with a short introduction, a structured debate, and a synthesis discussion. We will then examine a major trade dispute case study, followed by a group debate and policy simulation. By the end of this session, you will have practiced analyzing contemporary trade policy debates, evaluating </w:t>
      </w:r>
      <w:proofErr w:type="spellStart"/>
      <w:r w:rsidRPr="00F550E7">
        <w:rPr>
          <w:color w:val="000000" w:themeColor="text1"/>
          <w:sz w:val="30"/>
          <w:szCs w:val="30"/>
          <w:lang w:val="en-US"/>
        </w:rPr>
        <w:t>trade offs</w:t>
      </w:r>
      <w:proofErr w:type="spellEnd"/>
      <w:r w:rsidRPr="00F550E7">
        <w:rPr>
          <w:color w:val="000000" w:themeColor="text1"/>
          <w:sz w:val="30"/>
          <w:szCs w:val="30"/>
          <w:lang w:val="en-US"/>
        </w:rPr>
        <w:t xml:space="preserve"> between economic efficiency, security, and equity, role playing stakeholder positions, and proposing applied policy recommendations.</w:t>
      </w:r>
    </w:p>
    <w:p w:rsid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p>
    <w:p w:rsid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lastRenderedPageBreak/>
        <w:t>Workshop Rules and Learning Objectives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 xml:space="preserve">Before we begin, let me explain the workshop rules. Each module follows a consistent format: a </w:t>
      </w:r>
      <w:proofErr w:type="gramStart"/>
      <w:r w:rsidRPr="00F550E7">
        <w:rPr>
          <w:color w:val="000000" w:themeColor="text1"/>
          <w:sz w:val="30"/>
          <w:szCs w:val="30"/>
          <w:lang w:val="en-US"/>
        </w:rPr>
        <w:t>10 minute</w:t>
      </w:r>
      <w:proofErr w:type="gramEnd"/>
      <w:r w:rsidRPr="00F550E7">
        <w:rPr>
          <w:color w:val="000000" w:themeColor="text1"/>
          <w:sz w:val="30"/>
          <w:szCs w:val="30"/>
          <w:lang w:val="en-US"/>
        </w:rPr>
        <w:t xml:space="preserve"> introduction, a 20 minute debate, and a 10 minute synthesis. We will operate under the Chatham House Rule, which means that participants are free to use the information discussed, but the identity and affiliation of speakers may not be revealed. This allows for candid discussion. Teams are assigned to four roles: Government, Industry, Civil Society, and International Organization. Your output will be a policy memo following the template provided.</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 xml:space="preserve">The learning objectives for today are as follows. You will analyze contemporary trade policy debates. You will evaluate </w:t>
      </w:r>
      <w:proofErr w:type="spellStart"/>
      <w:r w:rsidRPr="00F550E7">
        <w:rPr>
          <w:color w:val="000000" w:themeColor="text1"/>
          <w:sz w:val="30"/>
          <w:szCs w:val="30"/>
          <w:lang w:val="en-US"/>
        </w:rPr>
        <w:t>trade offs</w:t>
      </w:r>
      <w:proofErr w:type="spellEnd"/>
      <w:r w:rsidRPr="00F550E7">
        <w:rPr>
          <w:color w:val="000000" w:themeColor="text1"/>
          <w:sz w:val="30"/>
          <w:szCs w:val="30"/>
          <w:lang w:val="en-US"/>
        </w:rPr>
        <w:t xml:space="preserve"> between economic efficiency, security, and equity. You will role play stakeholder positions in policy workshops. And you will propose applied policy recommendations.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Module 1 – Digital Trade and Data Governance</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Let us begin with Module 1: Digital Trade and Data Governance. The key tensions in this area are threefold. First, cross border data flows versus data localization. Should data be allowed to flow freely across borders, or should it be required to stay within national boundaries? Second, privacy, surveillance, and digital sovereignty. Different countries have different values and laws regarding privacy and government access to data. Third, the e commerce tariffs moratorium. The WTO moratorium on imposing customs duties on electronic transmissions is expiring, and its extension is contested.</w:t>
      </w:r>
    </w:p>
    <w:p w:rsid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p>
    <w:p w:rsid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lastRenderedPageBreak/>
        <w:t>Core Concepts in Digital Trade</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Let me define the core concepts. Digital trade refers to services and goods delivered electronically. This includes everything from streaming movies to software downloads to cloud computing services. Data governance refers to the question of who controls data. Is it firms, states, or users? The key agreements governing digital trade include the Comprehensive and Progressive Agreement for Trans Pacific Partnership, or CPTPP, the Regional Comprehensive Economic Partnership, or RCEP, and the digital chapter of the United States Mexico Canada Agreement, or USMCA.</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Policy Debate 1 – Data Localization</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The first policy debate motion is as follows. Countries should require all personal data to be stored locally. The arguments for data localization include national security, privacy enforcement, and local economic benefits. If data is stored locally, it is subject to local laws and protections, and it cannot be accessed by foreign intelligence services. Data centers also create local jobs. The arguments against data localization include higher costs for firms, which must build or rent data centers in every country where they operate. It stifles small and medium enterprises that cannot afford multiple data centers. And it fragments the global internet, reducing its efficiency and resilience. The figure on this slide shows the estimated cost of data localization policies to global GDP, ranging from 0.5 to 1.5 percent annually.</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Case Example – European Union versus United States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 xml:space="preserve">A concrete case example is the conflict between the European Union and the United States over data transfers. The </w:t>
      </w:r>
      <w:proofErr w:type="spellStart"/>
      <w:r w:rsidRPr="00F550E7">
        <w:rPr>
          <w:color w:val="000000" w:themeColor="text1"/>
          <w:sz w:val="30"/>
          <w:szCs w:val="30"/>
          <w:lang w:val="en-US"/>
        </w:rPr>
        <w:t>Schrems</w:t>
      </w:r>
      <w:proofErr w:type="spellEnd"/>
      <w:r w:rsidRPr="00F550E7">
        <w:rPr>
          <w:color w:val="000000" w:themeColor="text1"/>
          <w:sz w:val="30"/>
          <w:szCs w:val="30"/>
          <w:lang w:val="en-US"/>
        </w:rPr>
        <w:t xml:space="preserve"> II ruling by the Court of Justice of the European Union invalidated the Privacy Shield framework, </w:t>
      </w:r>
      <w:r w:rsidRPr="00F550E7">
        <w:rPr>
          <w:color w:val="000000" w:themeColor="text1"/>
          <w:sz w:val="30"/>
          <w:szCs w:val="30"/>
          <w:lang w:val="en-US"/>
        </w:rPr>
        <w:lastRenderedPageBreak/>
        <w:t>which had allowed companies to transfer personal data from the EU to the US. The conflict is between the EU’s General Data Protection Regulation, or GDPR, which has strong privacy protections, and the US CLOUD Act, which allows US law enforcement to access data stored by US companies anywhere in the world. The result was a new EU US Data Privacy Framework agreed in 2023, but this framework remains contested and faces likely legal challenges.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Workshop Prompt – Digital Trade</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 xml:space="preserve">Now we move to the workshop prompt for digital trade. You will be divided into four groups. Each group will write a </w:t>
      </w:r>
      <w:proofErr w:type="gramStart"/>
      <w:r w:rsidRPr="00F550E7">
        <w:rPr>
          <w:color w:val="000000" w:themeColor="text1"/>
          <w:sz w:val="30"/>
          <w:szCs w:val="30"/>
          <w:lang w:val="en-US"/>
        </w:rPr>
        <w:t>two minute</w:t>
      </w:r>
      <w:proofErr w:type="gramEnd"/>
      <w:r w:rsidRPr="00F550E7">
        <w:rPr>
          <w:color w:val="000000" w:themeColor="text1"/>
          <w:sz w:val="30"/>
          <w:szCs w:val="30"/>
          <w:lang w:val="en-US"/>
        </w:rPr>
        <w:t xml:space="preserve"> position statement. Group 1 represents a US technology giant such as Google or Meta. Your position is that data should flow freely across borders with minimal restrictions. Group 2 represents the EU data protection authority. Your position is that strong privacy protections require data localization or strict adequacy decisions. Group 3 represents the Indian government, which advocates data localization for digital sovereignty and industrial policy reasons. Group 4 represents an African small and medium enterprise e commerce association. Your members need access to global cloud services but cannot afford multiple data centers. You will have ten minutes to prepare, then each group will present. After presentations, we will have an open discussion.</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Module 2 – Agricultural Trade and Subsidies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We now turn to Module 2: Agricultural Trade and Subsidies. The core issues in agricultural trade are domestic subsidies, market access and tariff escalation, and the tension between food security and comparative advantage. Agriculture is the most protected sector in global trade, with average tariffs much higher than for manufactured goods.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lastRenderedPageBreak/>
        <w:t>WTO Agricultural Subsidy Rules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The WTO classifies agricultural subsidies into three boxes. The Amber box contains trade distorting subsidies, such as price support programs that guarantee farmers a minimum price. These are bound to be reduced. The Blue box contains less distorting subsidies, such as direct payments to farmers that are limited by production levels. These are exempt from reduction commitments. The Green box contains subsidies that cause minimal trade distortion, such as spending on research and development, environmental programs, and domestic food aid. These are allowed without limit. The figure on this slide shows the distribution of global agricultural subsidies by box, with the EU, US, China, and India as the largest subsidizers.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Policy Debate 2 – Cotton Subsidies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The second policy debate motion is as follows. Developed countries should eliminate all cotton subsidies immediately. The arguments in favor are compelling. West African farmers lose an estimated $250 million or more annually due to cotton subsidies in the United States and China. These subsidies depress global cotton prices, making it impossible for poor African farmers to compete on a level playing field. The arguments against elimination are also significant. Domestic political economy in developed countries makes subsidy reform extremely difficult. Cotton farmers in the US and China have powerful lobbies. Transition costs would be high, and sudden elimination could destabilize rural communities in developed countries as well.</w:t>
      </w:r>
    </w:p>
    <w:p w:rsid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lastRenderedPageBreak/>
        <w:t>Case Study – India’s Sugar Subsidies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A concrete case study is India’s sugar subsidies. India provides export subsidies to its sugar producers, allowing them to sell sugar on world markets below the cost of production. Brazil and Australia, both major sugar exporters, challenged these subsidies at the WTO in 2019. In 2021, the WTO ruled against India, finding that its subsidies exceeded allowable limits. India appealed the ruling, and the case remains unresolved. This case shows the conflict between developing country food security concerns and fair trade. India argues that its subsidies support millions of poor sugarcane farmers. Brazil and Australia argue that the subsidies depress global prices and hurt their farmers. The figure on this slide shows the trend in global sugar prices and the estimated impact of Indian subsidies.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Workshop Prompt – Agricultural Subsidies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 xml:space="preserve">Now we move to the workshop prompt for agricultural subsidies. We will role play a negotiation in the WTO Committee on Agriculture. Group A represents the European Union, which is advocating for reform of the Common Agricultural Policy, or CAP, toward green subsidies. Your position is that subsidies should be shifted from production support to environmental payments. Group B represents Brazil, a competitive agricultural exporter that wants deep cuts to all trade distorting subsidies. Group C represents Indonesia, which is concerned about food security and wants a special safeguard mechanism that allows temporary tariff increases when food imports surge. Group D represents the United States, which wants to maintain the farm bill status quo with strong support for domestic agriculture. Your goal as a committee is to produce a </w:t>
      </w:r>
      <w:proofErr w:type="gramStart"/>
      <w:r w:rsidRPr="00F550E7">
        <w:rPr>
          <w:color w:val="000000" w:themeColor="text1"/>
          <w:sz w:val="30"/>
          <w:szCs w:val="30"/>
          <w:lang w:val="en-US"/>
        </w:rPr>
        <w:t>five point</w:t>
      </w:r>
      <w:proofErr w:type="gramEnd"/>
      <w:r w:rsidRPr="00F550E7">
        <w:rPr>
          <w:color w:val="000000" w:themeColor="text1"/>
          <w:sz w:val="30"/>
          <w:szCs w:val="30"/>
          <w:lang w:val="en-US"/>
        </w:rPr>
        <w:t xml:space="preserve"> joint statement on subsidy reform. You have 20 minutes to negotiate.</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lastRenderedPageBreak/>
        <w:t>Module 3 – National Security and Trade Controls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We now turn to Module 3: National Security and Trade Controls, with a focus on semiconductors. The key instruments in this area are export controls, such as US limits on advanced chips to China, investment screening through bodies like the US Committee on Foreign Investment in the United States, or CFIUS, and the EU Foreign Direct Investment Regulation, and supply chain decoupling versus interdependence.</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Why Semiconductors?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Why are semiconductors the focus of national security trade policy? Semiconductors are the foundation of artificial intelligence, 5G communications, and defense systems. Approximately 80 percent of advanced semiconductors are manufactured in Taiwan by the Taiwan Semiconductor Manufacturing Company, or TSMC. This concentration creates a geopolitical leverage point. The United States, China, Japan, and the European Union are all competing to build domestic semiconductor capacity. The figure on this slide shows the global semiconductor supply chain, highlighting the concentration of design, manufacturing, and assembly in specific countries.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Policy Instruments for Semiconductors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 xml:space="preserve">Three main policy instruments are being used. First, export controls. The US Bureau of Industry and Security, or BIS, maintains an Entity List of restricted parties. The Foreign Direct Product Rule extends US export controls to products made outside the United States if they contain any US origin technology. Second, outbound investment screening. US Executive Order 14105 of 2023 restricts US investments in Chinese semiconductor, quantum </w:t>
      </w:r>
      <w:r w:rsidRPr="00F550E7">
        <w:rPr>
          <w:color w:val="000000" w:themeColor="text1"/>
          <w:sz w:val="30"/>
          <w:szCs w:val="30"/>
          <w:lang w:val="en-US"/>
        </w:rPr>
        <w:lastRenderedPageBreak/>
        <w:t>computing, and artificial intelligence companies. Third, subsidies. The US CHIPS Act provides </w:t>
      </w:r>
      <w:r w:rsidRPr="00F550E7">
        <w:rPr>
          <w:rStyle w:val="katex-mathml"/>
          <w:color w:val="000000" w:themeColor="text1"/>
          <w:sz w:val="30"/>
          <w:szCs w:val="30"/>
          <w:bdr w:val="none" w:sz="0" w:space="0" w:color="auto" w:frame="1"/>
          <w:lang w:val="en-US"/>
        </w:rPr>
        <w:t>52billionfordomesticsemiconductorproduction.TheEUChipsActprovidesapproximately</w:t>
      </w:r>
      <w:r w:rsidRPr="00F550E7">
        <w:rPr>
          <w:rStyle w:val="mord"/>
          <w:color w:val="000000" w:themeColor="text1"/>
          <w:sz w:val="30"/>
          <w:szCs w:val="30"/>
          <w:lang w:val="en-US"/>
        </w:rPr>
        <w:t>52</w:t>
      </w:r>
      <w:r w:rsidRPr="00F550E7">
        <w:rPr>
          <w:rStyle w:val="mord"/>
          <w:i/>
          <w:iCs/>
          <w:color w:val="000000" w:themeColor="text1"/>
          <w:sz w:val="30"/>
          <w:szCs w:val="30"/>
          <w:lang w:val="en-US"/>
        </w:rPr>
        <w:t>billionfordomesticsemiconductorproduction</w:t>
      </w:r>
      <w:r w:rsidRPr="00F550E7">
        <w:rPr>
          <w:rStyle w:val="mord"/>
          <w:color w:val="000000" w:themeColor="text1"/>
          <w:sz w:val="30"/>
          <w:szCs w:val="30"/>
          <w:lang w:val="en-US"/>
        </w:rPr>
        <w:t>.</w:t>
      </w:r>
      <w:r w:rsidRPr="00F550E7">
        <w:rPr>
          <w:rStyle w:val="mord"/>
          <w:i/>
          <w:iCs/>
          <w:color w:val="000000" w:themeColor="text1"/>
          <w:sz w:val="30"/>
          <w:szCs w:val="30"/>
          <w:lang w:val="en-US"/>
        </w:rPr>
        <w:t>TheEUChipsActprovidesapproximately</w:t>
      </w:r>
      <w:r w:rsidRPr="00F550E7">
        <w:rPr>
          <w:color w:val="000000" w:themeColor="text1"/>
          <w:sz w:val="30"/>
          <w:szCs w:val="30"/>
          <w:lang w:val="en-US"/>
        </w:rPr>
        <w:t>43 billion.</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Policy Debate 3 – Decoupling</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 xml:space="preserve">The third policy debate motion is as follows. Countries should prioritize semiconductor </w:t>
      </w:r>
      <w:proofErr w:type="spellStart"/>
      <w:r w:rsidRPr="00F550E7">
        <w:rPr>
          <w:color w:val="000000" w:themeColor="text1"/>
          <w:sz w:val="30"/>
          <w:szCs w:val="30"/>
          <w:lang w:val="en-US"/>
        </w:rPr>
        <w:t>self sufficiency</w:t>
      </w:r>
      <w:proofErr w:type="spellEnd"/>
      <w:r w:rsidRPr="00F550E7">
        <w:rPr>
          <w:color w:val="000000" w:themeColor="text1"/>
          <w:sz w:val="30"/>
          <w:szCs w:val="30"/>
          <w:lang w:val="en-US"/>
        </w:rPr>
        <w:t xml:space="preserve"> even at high economic cost. The arguments in favor are national security and the avoidance of coercion. A country that depends on foreign semiconductors could be cut off in a conflict. </w:t>
      </w:r>
      <w:proofErr w:type="spellStart"/>
      <w:r w:rsidRPr="00F550E7">
        <w:rPr>
          <w:color w:val="000000" w:themeColor="text1"/>
          <w:sz w:val="30"/>
          <w:szCs w:val="30"/>
          <w:lang w:val="en-US"/>
        </w:rPr>
        <w:t>Self sufficiency</w:t>
      </w:r>
      <w:proofErr w:type="spellEnd"/>
      <w:r w:rsidRPr="00F550E7">
        <w:rPr>
          <w:color w:val="000000" w:themeColor="text1"/>
          <w:sz w:val="30"/>
          <w:szCs w:val="30"/>
          <w:lang w:val="en-US"/>
        </w:rPr>
        <w:t xml:space="preserve"> is insurance. The arguments against are that </w:t>
      </w:r>
      <w:proofErr w:type="spellStart"/>
      <w:r w:rsidRPr="00F550E7">
        <w:rPr>
          <w:color w:val="000000" w:themeColor="text1"/>
          <w:sz w:val="30"/>
          <w:szCs w:val="30"/>
          <w:lang w:val="en-US"/>
        </w:rPr>
        <w:t>self sufficiency</w:t>
      </w:r>
      <w:proofErr w:type="spellEnd"/>
      <w:r w:rsidRPr="00F550E7">
        <w:rPr>
          <w:color w:val="000000" w:themeColor="text1"/>
          <w:sz w:val="30"/>
          <w:szCs w:val="30"/>
          <w:lang w:val="en-US"/>
        </w:rPr>
        <w:t xml:space="preserve"> is inefficient, slows innovation because it fragments the global research ecosystem, and triggers retaliation from trading partners who lose access to markets.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Case Study – US versus China Semiconductor Restrictions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 xml:space="preserve">Let us examine the case study of US versus China semiconductor restrictions. In October 2022, the United States restricted exports of advanced chips and </w:t>
      </w:r>
      <w:proofErr w:type="spellStart"/>
      <w:r w:rsidRPr="00F550E7">
        <w:rPr>
          <w:color w:val="000000" w:themeColor="text1"/>
          <w:sz w:val="30"/>
          <w:szCs w:val="30"/>
          <w:lang w:val="en-US"/>
        </w:rPr>
        <w:t>chipmaking</w:t>
      </w:r>
      <w:proofErr w:type="spellEnd"/>
      <w:r w:rsidRPr="00F550E7">
        <w:rPr>
          <w:color w:val="000000" w:themeColor="text1"/>
          <w:sz w:val="30"/>
          <w:szCs w:val="30"/>
          <w:lang w:val="en-US"/>
        </w:rPr>
        <w:t xml:space="preserve"> equipment to China. This included restrictions on chips below certain node sizes and on equipment from companies like ASML in the Netherlands and Tokyo Electron in Japan. China retaliated by restricting exports of gallium and germanium, two critical minerals for semiconductor production. The impact has been significant. Dutch, Japanese, and Korean firms are caught in the middle, facing pressure from both sides. The figure on this slide shows the timeline of semiconductor export controls from 2022 to 2024.</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lastRenderedPageBreak/>
        <w:t>Workshop Prompt – National Security</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Now we move to the workshop prompt for national security. This is a crisis simulation. A new artificial intelligence capable chip has emerged, and China has it. Your team must advise decision makers. The National Security Council advocates for a broad export ban on all chips that could enable AI. The Commerce Department advocates for targeted controls only on the most advanced chips, to preserve market access for other products. The technology industry coalition warns of lost revenues and that overbroad controls will drive innovation elsewhere. The allies, represented by Japan and the Netherlands, demand coordination and warn that unilateral US controls put their companies at a competitive disadvantage. Your deliverable is three recommended actions. You have 15 minutes to prepare and will present your recommendations to the class.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Case Study of a Major Trade Dispute – US China Phase One Trade War</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Now we turn to a major trade dispute case study: the US China Phase One trade war of 2017 to 2020. The dispute involved tariffs, allegations of technology theft under Section 301 of the US Trade Act of 1974, and forced technology transfer.</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Timeline of the Dispute</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 xml:space="preserve">Let me walk you through the timeline. In 2017, the United States launched a Section 301 investigation into Chinese intellectual property practices. </w:t>
      </w:r>
      <w:r>
        <w:rPr>
          <w:color w:val="000000" w:themeColor="text1"/>
          <w:sz w:val="30"/>
          <w:szCs w:val="30"/>
          <w:lang w:val="en-US"/>
        </w:rPr>
        <w:t xml:space="preserve">In 2018, the US imposed tariffs </w:t>
      </w:r>
      <w:r w:rsidRPr="00F550E7">
        <w:rPr>
          <w:color w:val="000000" w:themeColor="text1"/>
          <w:sz w:val="30"/>
          <w:szCs w:val="30"/>
          <w:lang w:val="en-US"/>
        </w:rPr>
        <w:t>on </w:t>
      </w:r>
      <w:r w:rsidRPr="00F550E7">
        <w:rPr>
          <w:rStyle w:val="katex-mathml"/>
          <w:color w:val="000000" w:themeColor="text1"/>
          <w:sz w:val="30"/>
          <w:szCs w:val="30"/>
          <w:bdr w:val="none" w:sz="0" w:space="0" w:color="auto" w:frame="1"/>
          <w:lang w:val="en-US"/>
        </w:rPr>
        <w:t>250</w:t>
      </w:r>
      <w:r>
        <w:rPr>
          <w:rStyle w:val="katex-mathml"/>
          <w:color w:val="000000" w:themeColor="text1"/>
          <w:sz w:val="30"/>
          <w:szCs w:val="30"/>
          <w:bdr w:val="none" w:sz="0" w:space="0" w:color="auto" w:frame="1"/>
          <w:lang w:val="en-US"/>
        </w:rPr>
        <w:t xml:space="preserve"> </w:t>
      </w:r>
      <w:r w:rsidRPr="00F550E7">
        <w:rPr>
          <w:rStyle w:val="katex-mathml"/>
          <w:color w:val="000000" w:themeColor="text1"/>
          <w:sz w:val="30"/>
          <w:szCs w:val="30"/>
          <w:bdr w:val="none" w:sz="0" w:space="0" w:color="auto" w:frame="1"/>
          <w:lang w:val="en-US"/>
        </w:rPr>
        <w:t>billion</w:t>
      </w:r>
      <w:r>
        <w:rPr>
          <w:rStyle w:val="katex-mathml"/>
          <w:color w:val="000000" w:themeColor="text1"/>
          <w:sz w:val="30"/>
          <w:szCs w:val="30"/>
          <w:bdr w:val="none" w:sz="0" w:space="0" w:color="auto" w:frame="1"/>
          <w:lang w:val="en-US"/>
        </w:rPr>
        <w:t xml:space="preserve"> </w:t>
      </w:r>
      <w:r w:rsidRPr="00F550E7">
        <w:rPr>
          <w:rStyle w:val="katex-mathml"/>
          <w:color w:val="000000" w:themeColor="text1"/>
          <w:sz w:val="30"/>
          <w:szCs w:val="30"/>
          <w:bdr w:val="none" w:sz="0" w:space="0" w:color="auto" w:frame="1"/>
          <w:lang w:val="en-US"/>
        </w:rPr>
        <w:t>of</w:t>
      </w:r>
      <w:r>
        <w:rPr>
          <w:rStyle w:val="katex-mathml"/>
          <w:color w:val="000000" w:themeColor="text1"/>
          <w:sz w:val="30"/>
          <w:szCs w:val="30"/>
          <w:bdr w:val="none" w:sz="0" w:space="0" w:color="auto" w:frame="1"/>
          <w:lang w:val="en-US"/>
        </w:rPr>
        <w:t xml:space="preserve"> </w:t>
      </w:r>
      <w:r w:rsidRPr="00F550E7">
        <w:rPr>
          <w:rStyle w:val="katex-mathml"/>
          <w:color w:val="000000" w:themeColor="text1"/>
          <w:sz w:val="30"/>
          <w:szCs w:val="30"/>
          <w:bdr w:val="none" w:sz="0" w:space="0" w:color="auto" w:frame="1"/>
          <w:lang w:val="en-US"/>
        </w:rPr>
        <w:t>Chinese</w:t>
      </w:r>
      <w:r>
        <w:rPr>
          <w:rStyle w:val="katex-mathml"/>
          <w:color w:val="000000" w:themeColor="text1"/>
          <w:sz w:val="30"/>
          <w:szCs w:val="30"/>
          <w:bdr w:val="none" w:sz="0" w:space="0" w:color="auto" w:frame="1"/>
          <w:lang w:val="en-US"/>
        </w:rPr>
        <w:t xml:space="preserve"> </w:t>
      </w:r>
      <w:r w:rsidRPr="00F550E7">
        <w:rPr>
          <w:rStyle w:val="katex-mathml"/>
          <w:color w:val="000000" w:themeColor="text1"/>
          <w:sz w:val="30"/>
          <w:szCs w:val="30"/>
          <w:bdr w:val="none" w:sz="0" w:space="0" w:color="auto" w:frame="1"/>
          <w:lang w:val="en-US"/>
        </w:rPr>
        <w:t>goods.</w:t>
      </w:r>
      <w:r>
        <w:rPr>
          <w:rStyle w:val="katex-mathml"/>
          <w:color w:val="000000" w:themeColor="text1"/>
          <w:sz w:val="30"/>
          <w:szCs w:val="30"/>
          <w:bdr w:val="none" w:sz="0" w:space="0" w:color="auto" w:frame="1"/>
          <w:lang w:val="en-US"/>
        </w:rPr>
        <w:t xml:space="preserve"> </w:t>
      </w:r>
      <w:r w:rsidRPr="00F550E7">
        <w:rPr>
          <w:rStyle w:val="katex-mathml"/>
          <w:color w:val="000000" w:themeColor="text1"/>
          <w:sz w:val="30"/>
          <w:szCs w:val="30"/>
          <w:bdr w:val="none" w:sz="0" w:space="0" w:color="auto" w:frame="1"/>
          <w:lang w:val="en-US"/>
        </w:rPr>
        <w:t>China</w:t>
      </w:r>
      <w:r>
        <w:rPr>
          <w:rStyle w:val="katex-mathml"/>
          <w:color w:val="000000" w:themeColor="text1"/>
          <w:sz w:val="30"/>
          <w:szCs w:val="30"/>
          <w:bdr w:val="none" w:sz="0" w:space="0" w:color="auto" w:frame="1"/>
          <w:lang w:val="en-US"/>
        </w:rPr>
        <w:t xml:space="preserve"> </w:t>
      </w:r>
      <w:r w:rsidRPr="00F550E7">
        <w:rPr>
          <w:rStyle w:val="katex-mathml"/>
          <w:color w:val="000000" w:themeColor="text1"/>
          <w:sz w:val="30"/>
          <w:szCs w:val="30"/>
          <w:bdr w:val="none" w:sz="0" w:space="0" w:color="auto" w:frame="1"/>
          <w:lang w:val="en-US"/>
        </w:rPr>
        <w:t>retaliated</w:t>
      </w:r>
      <w:r>
        <w:rPr>
          <w:rStyle w:val="katex-mathml"/>
          <w:color w:val="000000" w:themeColor="text1"/>
          <w:sz w:val="30"/>
          <w:szCs w:val="30"/>
          <w:bdr w:val="none" w:sz="0" w:space="0" w:color="auto" w:frame="1"/>
          <w:lang w:val="en-US"/>
        </w:rPr>
        <w:t xml:space="preserve"> </w:t>
      </w:r>
      <w:r w:rsidRPr="00F550E7">
        <w:rPr>
          <w:rStyle w:val="katex-mathml"/>
          <w:color w:val="000000" w:themeColor="text1"/>
          <w:sz w:val="30"/>
          <w:szCs w:val="30"/>
          <w:bdr w:val="none" w:sz="0" w:space="0" w:color="auto" w:frame="1"/>
          <w:lang w:val="en-US"/>
        </w:rPr>
        <w:t>with</w:t>
      </w:r>
      <w:r>
        <w:rPr>
          <w:rStyle w:val="katex-mathml"/>
          <w:color w:val="000000" w:themeColor="text1"/>
          <w:sz w:val="30"/>
          <w:szCs w:val="30"/>
          <w:bdr w:val="none" w:sz="0" w:space="0" w:color="auto" w:frame="1"/>
          <w:lang w:val="en-US"/>
        </w:rPr>
        <w:t xml:space="preserve"> </w:t>
      </w:r>
      <w:r w:rsidRPr="00F550E7">
        <w:rPr>
          <w:rStyle w:val="katex-mathml"/>
          <w:color w:val="000000" w:themeColor="text1"/>
          <w:sz w:val="30"/>
          <w:szCs w:val="30"/>
          <w:bdr w:val="none" w:sz="0" w:space="0" w:color="auto" w:frame="1"/>
          <w:lang w:val="en-US"/>
        </w:rPr>
        <w:t>tariffs</w:t>
      </w:r>
      <w:r>
        <w:rPr>
          <w:rStyle w:val="katex-mathml"/>
          <w:color w:val="000000" w:themeColor="text1"/>
          <w:sz w:val="30"/>
          <w:szCs w:val="30"/>
          <w:bdr w:val="none" w:sz="0" w:space="0" w:color="auto" w:frame="1"/>
          <w:lang w:val="en-US"/>
        </w:rPr>
        <w:t xml:space="preserve"> </w:t>
      </w:r>
      <w:r w:rsidRPr="00F550E7">
        <w:rPr>
          <w:rStyle w:val="katex-mathml"/>
          <w:color w:val="000000" w:themeColor="text1"/>
          <w:sz w:val="30"/>
          <w:szCs w:val="30"/>
          <w:bdr w:val="none" w:sz="0" w:space="0" w:color="auto" w:frame="1"/>
          <w:lang w:val="en-US"/>
        </w:rPr>
        <w:t>on</w:t>
      </w:r>
      <w:r>
        <w:rPr>
          <w:rStyle w:val="katex-mathml"/>
          <w:color w:val="000000" w:themeColor="text1"/>
          <w:sz w:val="30"/>
          <w:szCs w:val="30"/>
          <w:bdr w:val="none" w:sz="0" w:space="0" w:color="auto" w:frame="1"/>
          <w:lang w:val="en-US"/>
        </w:rPr>
        <w:t xml:space="preserve"> </w:t>
      </w:r>
      <w:r w:rsidRPr="00F550E7">
        <w:rPr>
          <w:rStyle w:val="katex-mathml"/>
          <w:color w:val="000000" w:themeColor="text1"/>
          <w:sz w:val="30"/>
          <w:szCs w:val="30"/>
          <w:bdr w:val="none" w:sz="0" w:space="0" w:color="auto" w:frame="1"/>
          <w:lang w:val="en-US"/>
        </w:rPr>
        <w:t>US</w:t>
      </w:r>
      <w:r>
        <w:rPr>
          <w:rStyle w:val="katex-mathml"/>
          <w:color w:val="000000" w:themeColor="text1"/>
          <w:sz w:val="30"/>
          <w:szCs w:val="30"/>
          <w:bdr w:val="none" w:sz="0" w:space="0" w:color="auto" w:frame="1"/>
          <w:lang w:val="en-US"/>
        </w:rPr>
        <w:t xml:space="preserve"> </w:t>
      </w:r>
      <w:proofErr w:type="gramStart"/>
      <w:r w:rsidRPr="00F550E7">
        <w:rPr>
          <w:rStyle w:val="katex-mathml"/>
          <w:color w:val="000000" w:themeColor="text1"/>
          <w:sz w:val="30"/>
          <w:szCs w:val="30"/>
          <w:bdr w:val="none" w:sz="0" w:space="0" w:color="auto" w:frame="1"/>
          <w:lang w:val="en-US"/>
        </w:rPr>
        <w:t>goods</w:t>
      </w:r>
      <w:r>
        <w:rPr>
          <w:rStyle w:val="katex-mathml"/>
          <w:color w:val="000000" w:themeColor="text1"/>
          <w:sz w:val="30"/>
          <w:szCs w:val="30"/>
          <w:bdr w:val="none" w:sz="0" w:space="0" w:color="auto" w:frame="1"/>
          <w:lang w:val="en-US"/>
        </w:rPr>
        <w:t xml:space="preserve"> </w:t>
      </w:r>
      <w:r w:rsidRPr="00F550E7">
        <w:rPr>
          <w:rStyle w:val="katex-mathml"/>
          <w:color w:val="000000" w:themeColor="text1"/>
          <w:sz w:val="30"/>
          <w:szCs w:val="30"/>
          <w:bdr w:val="none" w:sz="0" w:space="0" w:color="auto" w:frame="1"/>
          <w:lang w:val="en-US"/>
        </w:rPr>
        <w:t>,</w:t>
      </w:r>
      <w:proofErr w:type="gramEnd"/>
      <w:r>
        <w:rPr>
          <w:rStyle w:val="katex-mathml"/>
          <w:color w:val="000000" w:themeColor="text1"/>
          <w:sz w:val="30"/>
          <w:szCs w:val="30"/>
          <w:bdr w:val="none" w:sz="0" w:space="0" w:color="auto" w:frame="1"/>
          <w:lang w:val="en-US"/>
        </w:rPr>
        <w:t xml:space="preserve"> </w:t>
      </w:r>
      <w:r w:rsidRPr="00F550E7">
        <w:rPr>
          <w:rStyle w:val="katex-mathml"/>
          <w:color w:val="000000" w:themeColor="text1"/>
          <w:sz w:val="30"/>
          <w:szCs w:val="30"/>
          <w:bdr w:val="none" w:sz="0" w:space="0" w:color="auto" w:frame="1"/>
          <w:lang w:val="en-US"/>
        </w:rPr>
        <w:t>including</w:t>
      </w:r>
      <w:r>
        <w:rPr>
          <w:rStyle w:val="katex-mathml"/>
          <w:color w:val="000000" w:themeColor="text1"/>
          <w:sz w:val="30"/>
          <w:szCs w:val="30"/>
          <w:bdr w:val="none" w:sz="0" w:space="0" w:color="auto" w:frame="1"/>
          <w:lang w:val="en-US"/>
        </w:rPr>
        <w:t xml:space="preserve"> </w:t>
      </w:r>
      <w:r w:rsidRPr="00F550E7">
        <w:rPr>
          <w:rStyle w:val="katex-mathml"/>
          <w:color w:val="000000" w:themeColor="text1"/>
          <w:sz w:val="30"/>
          <w:szCs w:val="30"/>
          <w:bdr w:val="none" w:sz="0" w:space="0" w:color="auto" w:frame="1"/>
          <w:lang w:val="en-US"/>
        </w:rPr>
        <w:t>agricultural</w:t>
      </w:r>
      <w:r>
        <w:rPr>
          <w:rStyle w:val="katex-mathml"/>
          <w:color w:val="000000" w:themeColor="text1"/>
          <w:sz w:val="30"/>
          <w:szCs w:val="30"/>
          <w:bdr w:val="none" w:sz="0" w:space="0" w:color="auto" w:frame="1"/>
          <w:lang w:val="en-US"/>
        </w:rPr>
        <w:t xml:space="preserve"> </w:t>
      </w:r>
      <w:r w:rsidRPr="00F550E7">
        <w:rPr>
          <w:rStyle w:val="katex-mathml"/>
          <w:color w:val="000000" w:themeColor="text1"/>
          <w:sz w:val="30"/>
          <w:szCs w:val="30"/>
          <w:bdr w:val="none" w:sz="0" w:space="0" w:color="auto" w:frame="1"/>
          <w:lang w:val="en-US"/>
        </w:rPr>
        <w:t>products.</w:t>
      </w:r>
      <w:r>
        <w:rPr>
          <w:rStyle w:val="katex-mathml"/>
          <w:color w:val="000000" w:themeColor="text1"/>
          <w:sz w:val="30"/>
          <w:szCs w:val="30"/>
          <w:bdr w:val="none" w:sz="0" w:space="0" w:color="auto" w:frame="1"/>
          <w:lang w:val="en-US"/>
        </w:rPr>
        <w:t xml:space="preserve"> </w:t>
      </w:r>
      <w:r w:rsidRPr="00F550E7">
        <w:rPr>
          <w:rStyle w:val="katex-mathml"/>
          <w:color w:val="000000" w:themeColor="text1"/>
          <w:sz w:val="30"/>
          <w:szCs w:val="30"/>
          <w:bdr w:val="none" w:sz="0" w:space="0" w:color="auto" w:frame="1"/>
          <w:lang w:val="en-US"/>
        </w:rPr>
        <w:t>In</w:t>
      </w:r>
      <w:r>
        <w:rPr>
          <w:rStyle w:val="katex-mathml"/>
          <w:color w:val="000000" w:themeColor="text1"/>
          <w:sz w:val="30"/>
          <w:szCs w:val="30"/>
          <w:bdr w:val="none" w:sz="0" w:space="0" w:color="auto" w:frame="1"/>
          <w:lang w:val="en-US"/>
        </w:rPr>
        <w:t xml:space="preserve"> </w:t>
      </w:r>
      <w:r w:rsidRPr="00F550E7">
        <w:rPr>
          <w:rStyle w:val="katex-mathml"/>
          <w:color w:val="000000" w:themeColor="text1"/>
          <w:sz w:val="30"/>
          <w:szCs w:val="30"/>
          <w:bdr w:val="none" w:sz="0" w:space="0" w:color="auto" w:frame="1"/>
          <w:lang w:val="en-US"/>
        </w:rPr>
        <w:t>2020,</w:t>
      </w:r>
      <w:r>
        <w:rPr>
          <w:rStyle w:val="katex-mathml"/>
          <w:color w:val="000000" w:themeColor="text1"/>
          <w:sz w:val="30"/>
          <w:szCs w:val="30"/>
          <w:bdr w:val="none" w:sz="0" w:space="0" w:color="auto" w:frame="1"/>
          <w:lang w:val="en-US"/>
        </w:rPr>
        <w:t xml:space="preserve"> </w:t>
      </w:r>
      <w:r w:rsidRPr="00F550E7">
        <w:rPr>
          <w:sz w:val="30"/>
          <w:szCs w:val="30"/>
          <w:lang w:val="en-US"/>
        </w:rPr>
        <w:t>the</w:t>
      </w:r>
      <w:r w:rsidRPr="00F550E7">
        <w:rPr>
          <w:sz w:val="30"/>
          <w:szCs w:val="30"/>
        </w:rPr>
        <w:t xml:space="preserve"> </w:t>
      </w:r>
      <w:r w:rsidRPr="00F550E7">
        <w:rPr>
          <w:sz w:val="30"/>
          <w:szCs w:val="30"/>
          <w:lang w:val="en-US"/>
        </w:rPr>
        <w:t>two</w:t>
      </w:r>
      <w:r w:rsidRPr="00F550E7">
        <w:rPr>
          <w:sz w:val="30"/>
          <w:szCs w:val="30"/>
        </w:rPr>
        <w:t xml:space="preserve"> </w:t>
      </w:r>
      <w:r w:rsidRPr="00F550E7">
        <w:rPr>
          <w:sz w:val="30"/>
          <w:szCs w:val="30"/>
          <w:lang w:val="en-US"/>
        </w:rPr>
        <w:t>sides</w:t>
      </w:r>
      <w:r w:rsidRPr="00F550E7">
        <w:rPr>
          <w:sz w:val="30"/>
          <w:szCs w:val="30"/>
        </w:rPr>
        <w:t xml:space="preserve"> </w:t>
      </w:r>
      <w:r w:rsidRPr="00F550E7">
        <w:rPr>
          <w:sz w:val="30"/>
          <w:szCs w:val="30"/>
          <w:lang w:val="en-US"/>
        </w:rPr>
        <w:t>signed</w:t>
      </w:r>
      <w:r w:rsidRPr="00F550E7">
        <w:rPr>
          <w:sz w:val="30"/>
          <w:szCs w:val="30"/>
        </w:rPr>
        <w:t xml:space="preserve"> </w:t>
      </w:r>
      <w:r w:rsidRPr="00F550E7">
        <w:rPr>
          <w:sz w:val="30"/>
          <w:szCs w:val="30"/>
          <w:lang w:val="en-US"/>
        </w:rPr>
        <w:t>a</w:t>
      </w:r>
      <w:r w:rsidRPr="00F550E7">
        <w:rPr>
          <w:sz w:val="30"/>
          <w:szCs w:val="30"/>
        </w:rPr>
        <w:t xml:space="preserve"> </w:t>
      </w:r>
      <w:r w:rsidRPr="00F550E7">
        <w:rPr>
          <w:sz w:val="30"/>
          <w:szCs w:val="30"/>
          <w:lang w:val="en-US"/>
        </w:rPr>
        <w:t>Phase</w:t>
      </w:r>
      <w:r w:rsidRPr="00F550E7">
        <w:rPr>
          <w:sz w:val="30"/>
          <w:szCs w:val="30"/>
        </w:rPr>
        <w:t xml:space="preserve"> </w:t>
      </w:r>
      <w:r w:rsidRPr="00F550E7">
        <w:rPr>
          <w:sz w:val="30"/>
          <w:szCs w:val="30"/>
          <w:lang w:val="en-US"/>
        </w:rPr>
        <w:t>One</w:t>
      </w:r>
      <w:r w:rsidRPr="00F550E7">
        <w:rPr>
          <w:sz w:val="30"/>
          <w:szCs w:val="30"/>
        </w:rPr>
        <w:t xml:space="preserve"> </w:t>
      </w:r>
      <w:proofErr w:type="gramStart"/>
      <w:r w:rsidRPr="00F550E7">
        <w:rPr>
          <w:sz w:val="30"/>
          <w:szCs w:val="30"/>
          <w:lang w:val="en-US"/>
        </w:rPr>
        <w:t>agreement</w:t>
      </w:r>
      <w:r w:rsidRPr="00F550E7">
        <w:rPr>
          <w:sz w:val="30"/>
          <w:szCs w:val="30"/>
        </w:rPr>
        <w:t xml:space="preserve"> </w:t>
      </w:r>
      <w:r w:rsidRPr="00F550E7">
        <w:rPr>
          <w:sz w:val="30"/>
          <w:szCs w:val="30"/>
          <w:lang w:val="en-US"/>
        </w:rPr>
        <w:t>,</w:t>
      </w:r>
      <w:proofErr w:type="gramEnd"/>
      <w:r w:rsidRPr="00F550E7">
        <w:rPr>
          <w:sz w:val="30"/>
          <w:szCs w:val="30"/>
        </w:rPr>
        <w:t xml:space="preserve"> </w:t>
      </w:r>
      <w:r w:rsidRPr="00F550E7">
        <w:rPr>
          <w:sz w:val="30"/>
          <w:szCs w:val="30"/>
          <w:lang w:val="en-US"/>
        </w:rPr>
        <w:t>under</w:t>
      </w:r>
      <w:r w:rsidRPr="00F550E7">
        <w:rPr>
          <w:sz w:val="30"/>
          <w:szCs w:val="30"/>
        </w:rPr>
        <w:t xml:space="preserve"> </w:t>
      </w:r>
      <w:r w:rsidRPr="00F550E7">
        <w:rPr>
          <w:sz w:val="30"/>
          <w:szCs w:val="30"/>
          <w:lang w:val="en-US"/>
        </w:rPr>
        <w:t>which</w:t>
      </w:r>
      <w:r w:rsidRPr="00F550E7">
        <w:rPr>
          <w:sz w:val="30"/>
          <w:szCs w:val="30"/>
        </w:rPr>
        <w:t xml:space="preserve"> </w:t>
      </w:r>
      <w:r w:rsidRPr="00F550E7">
        <w:rPr>
          <w:sz w:val="30"/>
          <w:szCs w:val="30"/>
          <w:lang w:val="en-US"/>
        </w:rPr>
        <w:t>China</w:t>
      </w:r>
      <w:r w:rsidRPr="00F550E7">
        <w:rPr>
          <w:sz w:val="30"/>
          <w:szCs w:val="30"/>
        </w:rPr>
        <w:t xml:space="preserve"> </w:t>
      </w:r>
      <w:r w:rsidRPr="00F550E7">
        <w:rPr>
          <w:sz w:val="30"/>
          <w:szCs w:val="30"/>
          <w:lang w:val="en-US"/>
        </w:rPr>
        <w:t>pledged</w:t>
      </w:r>
      <w:r w:rsidRPr="00F550E7">
        <w:rPr>
          <w:sz w:val="30"/>
          <w:szCs w:val="30"/>
        </w:rPr>
        <w:t xml:space="preserve"> </w:t>
      </w:r>
      <w:r w:rsidRPr="00F550E7">
        <w:rPr>
          <w:sz w:val="30"/>
          <w:szCs w:val="30"/>
          <w:lang w:val="en-US"/>
        </w:rPr>
        <w:t>to</w:t>
      </w:r>
      <w:r w:rsidRPr="00F550E7">
        <w:rPr>
          <w:sz w:val="30"/>
          <w:szCs w:val="30"/>
        </w:rPr>
        <w:t xml:space="preserve"> </w:t>
      </w:r>
      <w:r w:rsidRPr="00F550E7">
        <w:rPr>
          <w:sz w:val="30"/>
          <w:szCs w:val="30"/>
          <w:lang w:val="en-US"/>
        </w:rPr>
        <w:t>purchase</w:t>
      </w:r>
      <w:r w:rsidRPr="00F550E7">
        <w:rPr>
          <w:sz w:val="30"/>
          <w:szCs w:val="30"/>
        </w:rPr>
        <w:t xml:space="preserve"> </w:t>
      </w:r>
      <w:r w:rsidRPr="00F550E7">
        <w:rPr>
          <w:sz w:val="30"/>
          <w:szCs w:val="30"/>
          <w:lang w:val="en-US"/>
        </w:rPr>
        <w:t>an</w:t>
      </w:r>
      <w:r w:rsidRPr="00F550E7">
        <w:rPr>
          <w:sz w:val="30"/>
          <w:szCs w:val="30"/>
        </w:rPr>
        <w:t xml:space="preserve"> </w:t>
      </w:r>
      <w:r w:rsidRPr="00F550E7">
        <w:rPr>
          <w:sz w:val="30"/>
          <w:szCs w:val="30"/>
          <w:lang w:val="en-US"/>
        </w:rPr>
        <w:t>additional</w:t>
      </w:r>
      <w:r w:rsidRPr="00F550E7">
        <w:rPr>
          <w:sz w:val="30"/>
          <w:szCs w:val="30"/>
        </w:rPr>
        <w:t xml:space="preserve"> </w:t>
      </w:r>
      <w:r w:rsidRPr="00F550E7">
        <w:rPr>
          <w:sz w:val="30"/>
          <w:szCs w:val="30"/>
          <w:lang w:val="en-US"/>
        </w:rPr>
        <w:t>250</w:t>
      </w:r>
      <w:r w:rsidRPr="00F550E7">
        <w:rPr>
          <w:sz w:val="30"/>
          <w:szCs w:val="30"/>
        </w:rPr>
        <w:t xml:space="preserve"> </w:t>
      </w:r>
      <w:r w:rsidRPr="00F550E7">
        <w:rPr>
          <w:sz w:val="30"/>
          <w:szCs w:val="30"/>
          <w:lang w:val="en-US"/>
        </w:rPr>
        <w:t>billion</w:t>
      </w:r>
      <w:r w:rsidRPr="00F550E7">
        <w:rPr>
          <w:sz w:val="30"/>
          <w:szCs w:val="30"/>
        </w:rPr>
        <w:t xml:space="preserve"> </w:t>
      </w:r>
      <w:r w:rsidRPr="00F550E7">
        <w:rPr>
          <w:sz w:val="30"/>
          <w:szCs w:val="30"/>
          <w:lang w:val="en-US"/>
        </w:rPr>
        <w:t>of</w:t>
      </w:r>
      <w:r w:rsidRPr="00F550E7">
        <w:rPr>
          <w:sz w:val="30"/>
          <w:szCs w:val="30"/>
        </w:rPr>
        <w:t xml:space="preserve"> </w:t>
      </w:r>
      <w:r w:rsidRPr="00F550E7">
        <w:rPr>
          <w:sz w:val="30"/>
          <w:szCs w:val="30"/>
          <w:lang w:val="en-US"/>
        </w:rPr>
        <w:t>Chinese</w:t>
      </w:r>
      <w:r w:rsidRPr="00F550E7">
        <w:rPr>
          <w:sz w:val="30"/>
          <w:szCs w:val="30"/>
        </w:rPr>
        <w:t xml:space="preserve"> </w:t>
      </w:r>
      <w:r w:rsidRPr="00F550E7">
        <w:rPr>
          <w:sz w:val="30"/>
          <w:szCs w:val="30"/>
          <w:lang w:val="en-US"/>
        </w:rPr>
        <w:t>goods.</w:t>
      </w:r>
      <w:r w:rsidRPr="00F550E7">
        <w:rPr>
          <w:sz w:val="30"/>
          <w:szCs w:val="30"/>
        </w:rPr>
        <w:t xml:space="preserve"> </w:t>
      </w:r>
      <w:r w:rsidRPr="00F550E7">
        <w:rPr>
          <w:sz w:val="30"/>
          <w:szCs w:val="30"/>
          <w:lang w:val="en-US"/>
        </w:rPr>
        <w:t xml:space="preserve">China retaliated with </w:t>
      </w:r>
      <w:r w:rsidRPr="00F550E7">
        <w:rPr>
          <w:sz w:val="30"/>
          <w:szCs w:val="30"/>
          <w:lang w:val="en-US"/>
        </w:rPr>
        <w:lastRenderedPageBreak/>
        <w:t>tariffs on US goods, including agricultural products. In</w:t>
      </w:r>
      <w:r>
        <w:rPr>
          <w:sz w:val="30"/>
          <w:szCs w:val="30"/>
          <w:lang w:val="en-US"/>
        </w:rPr>
        <w:t xml:space="preserve"> </w:t>
      </w:r>
      <w:r w:rsidRPr="00F550E7">
        <w:rPr>
          <w:sz w:val="30"/>
          <w:szCs w:val="30"/>
          <w:lang w:val="en-US"/>
        </w:rPr>
        <w:t>2020, the two sides signed a Phase One agreement, under which China</w:t>
      </w:r>
      <w:r>
        <w:rPr>
          <w:sz w:val="30"/>
          <w:szCs w:val="30"/>
          <w:lang w:val="en-US"/>
        </w:rPr>
        <w:t xml:space="preserve"> </w:t>
      </w:r>
      <w:r w:rsidRPr="00F550E7">
        <w:rPr>
          <w:sz w:val="30"/>
          <w:szCs w:val="30"/>
          <w:lang w:val="en-US"/>
        </w:rPr>
        <w:t xml:space="preserve">pledged to purchase an additional </w:t>
      </w:r>
      <w:r w:rsidRPr="00F550E7">
        <w:rPr>
          <w:color w:val="000000" w:themeColor="text1"/>
          <w:sz w:val="30"/>
          <w:szCs w:val="30"/>
          <w:lang w:val="en-US"/>
        </w:rPr>
        <w:t>200 billion of US goods over two years. However, by 2024, the dispute had escalated again, with new export controls on electric vehicles and semiconductors.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Key Stakeholders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Who were the key stakeholders in this dispute? US steel and agriculture gained from reduced Chinese imports and from Chinese purchase commitments. US manufacturing lost because higher input costs made American products less competitive globally. China accelerated its indigenous innovation efforts, investing heavily in domestic semiconductor and AI capabilities. The WTO emerged weaker, as its dispute settlement system was bypassed and its authority challenged.</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What Did We Learn?</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 xml:space="preserve">What lessons can we draw from this dispute? First, the national security justification for trade restrictions has been expanded far beyond its traditional military meaning. Second, tariffs are not effective in changing core practices such as intellectual property protection or subsidy policies. The Phase One agreement did not resolve the underlying structural issues. Third, allies face collateral damage. When the US restricts trade with China, European, Japanese, and Korean firms lose sales. This creates a need for </w:t>
      </w:r>
      <w:proofErr w:type="spellStart"/>
      <w:r w:rsidRPr="00F550E7">
        <w:rPr>
          <w:color w:val="000000" w:themeColor="text1"/>
          <w:sz w:val="30"/>
          <w:szCs w:val="30"/>
          <w:lang w:val="en-US"/>
        </w:rPr>
        <w:t>plurilateral</w:t>
      </w:r>
      <w:proofErr w:type="spellEnd"/>
      <w:r w:rsidRPr="00F550E7">
        <w:rPr>
          <w:color w:val="000000" w:themeColor="text1"/>
          <w:sz w:val="30"/>
          <w:szCs w:val="30"/>
          <w:lang w:val="en-US"/>
        </w:rPr>
        <w:t xml:space="preserve"> coordination.</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Workshop – Apply to a New Dispute</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 xml:space="preserve">Now we will apply these lessons to a new dispute. The scenario is as follows. The European Union imposes a Carbon Border Adjustment Mechanism, or </w:t>
      </w:r>
      <w:r w:rsidRPr="00F550E7">
        <w:rPr>
          <w:color w:val="000000" w:themeColor="text1"/>
          <w:sz w:val="30"/>
          <w:szCs w:val="30"/>
          <w:lang w:val="en-US"/>
        </w:rPr>
        <w:lastRenderedPageBreak/>
        <w:t xml:space="preserve">CBAM, on imports of carbon intensive goods. Brazil challenges the measure as protectionist disguised as environmental policy. Teams are assigned as follows. The EU defends CBAM as a legitimate climate measure. Brazil argues that CBAM violates WTO principles of </w:t>
      </w:r>
      <w:proofErr w:type="spellStart"/>
      <w:r w:rsidRPr="00F550E7">
        <w:rPr>
          <w:color w:val="000000" w:themeColor="text1"/>
          <w:sz w:val="30"/>
          <w:szCs w:val="30"/>
          <w:lang w:val="en-US"/>
        </w:rPr>
        <w:t>non discrimination</w:t>
      </w:r>
      <w:proofErr w:type="spellEnd"/>
      <w:r w:rsidRPr="00F550E7">
        <w:rPr>
          <w:color w:val="000000" w:themeColor="text1"/>
          <w:sz w:val="30"/>
          <w:szCs w:val="30"/>
          <w:lang w:val="en-US"/>
        </w:rPr>
        <w:t>. The WTO Secretariat provides an objective legal analysis. The Global South coalition argues that CBAM unfairly burdens developing countries. Your task is to draft a three paragraph dispute settlement proposal, including a statement of facts, legal arguments, and a proposed resolution. You have 20 minutes.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Group Debate – National Security Exceptions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 xml:space="preserve">We now move to the main group debate. The motion is as follows. This house believes that national security exceptions under GATT Article XXI are overused and should be subject to WTO dispute review. Two teams will debate. The Proposition argues that national security exceptions should be reviewable by WTO panels. The Opposition argues that national security is inherently non justiciable and should remain </w:t>
      </w:r>
      <w:proofErr w:type="spellStart"/>
      <w:r w:rsidRPr="00F550E7">
        <w:rPr>
          <w:color w:val="000000" w:themeColor="text1"/>
          <w:sz w:val="30"/>
          <w:szCs w:val="30"/>
          <w:lang w:val="en-US"/>
        </w:rPr>
        <w:t>self judging</w:t>
      </w:r>
      <w:proofErr w:type="spellEnd"/>
      <w:r w:rsidRPr="00F550E7">
        <w:rPr>
          <w:color w:val="000000" w:themeColor="text1"/>
          <w:sz w:val="30"/>
          <w:szCs w:val="30"/>
          <w:lang w:val="en-US"/>
        </w:rPr>
        <w:t>. The debate format is three minutes for each opening statement, ten minutes of open floor debate, and two minutes for each closing statement.</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Debate Preparation Tips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 xml:space="preserve">Let me give you some debate preparation tips. Use evidence from WTO case law. The Russia Traffic in Transit case of 2019 established that WTO panels can review national security claims, at least to determine whether the invoking country has met minimum standards of good faith. The Saudi Arabia Intellectual Property Rights case further clarified the standard. Define national security broadly or narrowly depending on your position. Consider the systemic impact. A slippery slope argument warns that allowing WTO review of national security claims could lead to endless litigation. A </w:t>
      </w:r>
      <w:r w:rsidRPr="00F550E7">
        <w:rPr>
          <w:color w:val="000000" w:themeColor="text1"/>
          <w:sz w:val="30"/>
          <w:szCs w:val="30"/>
          <w:lang w:val="en-US"/>
        </w:rPr>
        <w:lastRenderedPageBreak/>
        <w:t>necessary flexibility argument warns that without review, any trade restriction could be justified as a national security measure.</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Policy Memo Exercise</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 xml:space="preserve">Each participant will now write a </w:t>
      </w:r>
      <w:proofErr w:type="gramStart"/>
      <w:r w:rsidRPr="00F550E7">
        <w:rPr>
          <w:color w:val="000000" w:themeColor="text1"/>
          <w:sz w:val="30"/>
          <w:szCs w:val="30"/>
          <w:lang w:val="en-US"/>
        </w:rPr>
        <w:t>one page</w:t>
      </w:r>
      <w:proofErr w:type="gramEnd"/>
      <w:r w:rsidRPr="00F550E7">
        <w:rPr>
          <w:color w:val="000000" w:themeColor="text1"/>
          <w:sz w:val="30"/>
          <w:szCs w:val="30"/>
          <w:lang w:val="en-US"/>
        </w:rPr>
        <w:t xml:space="preserve"> policy memo on the following topic. Should the WTO create a new agreement on digital trade? You have 30 minutes. Your memo must include four sections: issue statement, stakeholder positions, policy options, and recommendations.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Sample Memo – Digital Trade Agreement</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 xml:space="preserve">Let me provide a sample structure for your memo. For policy options, you have three. Option 1 is a multilateral agreement through the WTO Joint Statement Initiative. This approach has low ambition because consensus is difficult, but potentially high membership. Option 2 is a </w:t>
      </w:r>
      <w:proofErr w:type="spellStart"/>
      <w:r w:rsidRPr="00F550E7">
        <w:rPr>
          <w:color w:val="000000" w:themeColor="text1"/>
          <w:sz w:val="30"/>
          <w:szCs w:val="30"/>
          <w:lang w:val="en-US"/>
        </w:rPr>
        <w:t>plurilateral</w:t>
      </w:r>
      <w:proofErr w:type="spellEnd"/>
      <w:r w:rsidRPr="00F550E7">
        <w:rPr>
          <w:color w:val="000000" w:themeColor="text1"/>
          <w:sz w:val="30"/>
          <w:szCs w:val="30"/>
          <w:lang w:val="en-US"/>
        </w:rPr>
        <w:t xml:space="preserve"> agreement such as the Indo Pacific Economic Framework. This approach is faster and can set higher standards, but it is exclusionary and could fragment global digital trade. Option 3 is an open </w:t>
      </w:r>
      <w:proofErr w:type="spellStart"/>
      <w:r w:rsidRPr="00F550E7">
        <w:rPr>
          <w:color w:val="000000" w:themeColor="text1"/>
          <w:sz w:val="30"/>
          <w:szCs w:val="30"/>
          <w:lang w:val="en-US"/>
        </w:rPr>
        <w:t>plurilateral</w:t>
      </w:r>
      <w:proofErr w:type="spellEnd"/>
      <w:r w:rsidRPr="00F550E7">
        <w:rPr>
          <w:color w:val="000000" w:themeColor="text1"/>
          <w:sz w:val="30"/>
          <w:szCs w:val="30"/>
          <w:lang w:val="en-US"/>
        </w:rPr>
        <w:t xml:space="preserve"> agreement with most favored nation extension. Under this approach, a coalition of willing members agrees to new rules, but they are extended to all WTO members on an MFN basis. This balances ambition and inclusion.</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Key Takeaways – Digital Trade</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 xml:space="preserve">Let me summarize the key takeaways from Module 1. Data governance will define 21st century trade. The rules we set today for cross border data flows, privacy, and digital sovereignty will shape the global economy for decades. There is a serious risk of fragmentation, as different regions adopt incompatible standards. The solution is interoperability, not harmonization, meaning different systems can work together without becoming identical. </w:t>
      </w:r>
      <w:r w:rsidRPr="00F550E7">
        <w:rPr>
          <w:color w:val="000000" w:themeColor="text1"/>
          <w:sz w:val="30"/>
          <w:szCs w:val="30"/>
          <w:lang w:val="en-US"/>
        </w:rPr>
        <w:lastRenderedPageBreak/>
        <w:t>Developing countries need digital capacity building to participate fully in digital trade.</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Key Takeaways – Agriculture</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From Module 2, the key takeaways are as follows. Subsidy reform is stuck due to the impasse between developed and developing countries. Developed countries want to keep their subsidies. Developing countries want policy space for their own subsidies. Climate change will force new green subsidy rules, as governments use trade policy to promote environmental goals. Food security exemptions are likely to expand, as countries worry about dependence on foreign food supplies.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Key Takeaways – National Security</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From Module 3, the key takeaways are as follows. Economic security is now considered national security. Export controls are the new normal, but they need multilateral guardrails to prevent escalation spirals. The semiconductor race will intensify, as countries compete for leadership in the most strategic technology of our era.</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Cross Cutting Themes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Three cross cutting themes emerge across all three modules. First, the tension between resilience and efficiency in supply chains. Second, the tension between unilateralism and multilateralism, and the resulting question of the WTO’s relevance. Third, the North South divide, which appears as the digital divide, as disputes over subsidy space, and as disagreements over security exceptions.</w:t>
      </w:r>
    </w:p>
    <w:p w:rsid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bookmarkStart w:id="0" w:name="_GoBack"/>
      <w:bookmarkEnd w:id="0"/>
      <w:r w:rsidRPr="00F550E7">
        <w:rPr>
          <w:color w:val="000000" w:themeColor="text1"/>
          <w:sz w:val="30"/>
          <w:szCs w:val="30"/>
          <w:lang w:val="en-US"/>
        </w:rPr>
        <w:lastRenderedPageBreak/>
        <w:t>Policy Recommendations – Short Term</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Let me offer policy recommendations, first for the short term. First, extend the WTO e commerce moratorium for two years with a development review. This provides continuity while allowing time to address developing country concerns. Second, launch a WTO agricultural reform track focused on green subsidies. Shift the debate from old amber box subsidies to new green box environmental payments. Third, create a G7 or G20 semiconductor export control coordination mechanism to align policies among allies and reduce collateral damage.</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Policy Recommendations – Long Term</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For the long term, three recommendations. First, negotiate a new WTO agreement on data governance that addresses both privacy and cross border data flows. Second, rebalance agricultural subsidies toward research and development and climate resilience, away from production support. Third, establish multilateral investment screening principles to avoid an escalation spiral where each country’s screening triggers another’s.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Closing Discussion</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Before we end, let me pose three closing questions for discussion. One thing you would change in current trade policy. One thing you would keep. And one action you will take after this workshop, whether in your professional career or in your further studies.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Further Reading</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 xml:space="preserve">For further reading, I recommend the WTO World Trade Report 2023 on re globalization, CSIS reports on semiconductor supply chains, and the textbook WTO Law and Policy by </w:t>
      </w:r>
      <w:proofErr w:type="spellStart"/>
      <w:r w:rsidRPr="00F550E7">
        <w:rPr>
          <w:color w:val="000000" w:themeColor="text1"/>
          <w:sz w:val="30"/>
          <w:szCs w:val="30"/>
          <w:lang w:val="en-US"/>
        </w:rPr>
        <w:t>Hoekman</w:t>
      </w:r>
      <w:proofErr w:type="spellEnd"/>
      <w:r w:rsidRPr="00F550E7">
        <w:rPr>
          <w:color w:val="000000" w:themeColor="text1"/>
          <w:sz w:val="30"/>
          <w:szCs w:val="30"/>
          <w:lang w:val="en-US"/>
        </w:rPr>
        <w:t xml:space="preserve"> and </w:t>
      </w:r>
      <w:proofErr w:type="spellStart"/>
      <w:r w:rsidRPr="00F550E7">
        <w:rPr>
          <w:color w:val="000000" w:themeColor="text1"/>
          <w:sz w:val="30"/>
          <w:szCs w:val="30"/>
          <w:lang w:val="en-US"/>
        </w:rPr>
        <w:t>Mavroidis</w:t>
      </w:r>
      <w:proofErr w:type="spellEnd"/>
      <w:r w:rsidRPr="00F550E7">
        <w:rPr>
          <w:color w:val="000000" w:themeColor="text1"/>
          <w:sz w:val="30"/>
          <w:szCs w:val="30"/>
          <w:lang w:val="en-US"/>
        </w:rPr>
        <w:t>, third edition.</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lastRenderedPageBreak/>
        <w:t>Appendix – Debate Scoring Rubric</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The debate scoring rubric is as follows. Use of evidence is worth up to 4 points. Rebuttal quality is worth up to 4 points. Clarity and persuasion are worth up to 3 points. Teamwork is worth up to 2 points. Policy relevance is worth up to 2 points. The total is 15 points.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References</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 xml:space="preserve">The references for this lecture include the WTO World Trade Report 2023. </w:t>
      </w:r>
      <w:proofErr w:type="spellStart"/>
      <w:r w:rsidRPr="00F550E7">
        <w:rPr>
          <w:color w:val="000000" w:themeColor="text1"/>
          <w:sz w:val="30"/>
          <w:szCs w:val="30"/>
          <w:lang w:val="en-US"/>
        </w:rPr>
        <w:t>Hoekman</w:t>
      </w:r>
      <w:proofErr w:type="spellEnd"/>
      <w:r w:rsidRPr="00F550E7">
        <w:rPr>
          <w:color w:val="000000" w:themeColor="text1"/>
          <w:sz w:val="30"/>
          <w:szCs w:val="30"/>
          <w:lang w:val="en-US"/>
        </w:rPr>
        <w:t xml:space="preserve"> and </w:t>
      </w:r>
      <w:proofErr w:type="spellStart"/>
      <w:r w:rsidRPr="00F550E7">
        <w:rPr>
          <w:color w:val="000000" w:themeColor="text1"/>
          <w:sz w:val="30"/>
          <w:szCs w:val="30"/>
          <w:lang w:val="en-US"/>
        </w:rPr>
        <w:t>Mavroidis</w:t>
      </w:r>
      <w:proofErr w:type="spellEnd"/>
      <w:r w:rsidRPr="00F550E7">
        <w:rPr>
          <w:color w:val="000000" w:themeColor="text1"/>
          <w:sz w:val="30"/>
          <w:szCs w:val="30"/>
          <w:lang w:val="en-US"/>
        </w:rPr>
        <w:t xml:space="preserve">, WTO Law and Policy, third edition. </w:t>
      </w:r>
      <w:proofErr w:type="spellStart"/>
      <w:r w:rsidRPr="00F550E7">
        <w:rPr>
          <w:color w:val="000000" w:themeColor="text1"/>
          <w:sz w:val="30"/>
          <w:szCs w:val="30"/>
          <w:lang w:val="en-US"/>
        </w:rPr>
        <w:t>Bown</w:t>
      </w:r>
      <w:proofErr w:type="spellEnd"/>
      <w:r w:rsidRPr="00F550E7">
        <w:rPr>
          <w:color w:val="000000" w:themeColor="text1"/>
          <w:sz w:val="30"/>
          <w:szCs w:val="30"/>
          <w:lang w:val="en-US"/>
        </w:rPr>
        <w:t xml:space="preserve">, The US China Trade War and Phase One Agreement from the Peterson Institute for International Economics. WTO Appellate Body </w:t>
      </w:r>
      <w:proofErr w:type="gramStart"/>
      <w:r w:rsidRPr="00F550E7">
        <w:rPr>
          <w:color w:val="000000" w:themeColor="text1"/>
          <w:sz w:val="30"/>
          <w:szCs w:val="30"/>
          <w:lang w:val="en-US"/>
        </w:rPr>
        <w:t>case</w:t>
      </w:r>
      <w:proofErr w:type="gramEnd"/>
      <w:r w:rsidRPr="00F550E7">
        <w:rPr>
          <w:color w:val="000000" w:themeColor="text1"/>
          <w:sz w:val="30"/>
          <w:szCs w:val="30"/>
          <w:lang w:val="en-US"/>
        </w:rPr>
        <w:t xml:space="preserve"> United States Tariff Measures on Certain Goods from China, DS543. The Chatham House Rule. The WTO panel report on United States Tariff Measures on Certain Goods from China. And the Congressional Research Service report on semiconductor export controls, R47691.</w:t>
      </w:r>
    </w:p>
    <w:p w:rsidR="00F550E7" w:rsidRPr="00F550E7" w:rsidRDefault="00F550E7" w:rsidP="00F550E7">
      <w:pPr>
        <w:pStyle w:val="ds-markdown-paragraph"/>
        <w:shd w:val="clear" w:color="auto" w:fill="FFFFFF"/>
        <w:spacing w:before="240" w:beforeAutospacing="0" w:after="240" w:afterAutospacing="0" w:line="360" w:lineRule="auto"/>
        <w:rPr>
          <w:color w:val="000000" w:themeColor="text1"/>
          <w:sz w:val="30"/>
          <w:szCs w:val="30"/>
          <w:lang w:val="en-US"/>
        </w:rPr>
      </w:pPr>
      <w:r w:rsidRPr="00F550E7">
        <w:rPr>
          <w:color w:val="000000" w:themeColor="text1"/>
          <w:sz w:val="30"/>
          <w:szCs w:val="30"/>
          <w:lang w:val="en-US"/>
        </w:rPr>
        <w:t>Thank You</w:t>
      </w:r>
    </w:p>
    <w:p w:rsidR="00F550E7" w:rsidRPr="00F550E7" w:rsidRDefault="00F550E7" w:rsidP="00F550E7">
      <w:pPr>
        <w:pStyle w:val="ds-markdown-paragraph"/>
        <w:shd w:val="clear" w:color="auto" w:fill="FFFFFF"/>
        <w:spacing w:before="240" w:beforeAutospacing="0" w:line="360" w:lineRule="auto"/>
        <w:rPr>
          <w:color w:val="000000" w:themeColor="text1"/>
          <w:sz w:val="30"/>
          <w:szCs w:val="30"/>
          <w:lang w:val="en-US"/>
        </w:rPr>
      </w:pPr>
      <w:r w:rsidRPr="00F550E7">
        <w:rPr>
          <w:color w:val="000000" w:themeColor="text1"/>
          <w:sz w:val="30"/>
          <w:szCs w:val="30"/>
          <w:lang w:val="en-US"/>
        </w:rPr>
        <w:t>Thank you for your participation throughout this course. You have covered the full range of international trade and policy topics, from classical trade theory to contemporary debates over digital trade, agricultural subsidies, and national security controls. The tools you have learned will serve you well whether you pursue careers in government, international business, law, or academia. I wish you all the best in your future endeavors.</w:t>
      </w:r>
    </w:p>
    <w:p w:rsidR="00D271AF" w:rsidRPr="00F550E7" w:rsidRDefault="00D271AF" w:rsidP="00F550E7">
      <w:pPr>
        <w:spacing w:line="360" w:lineRule="auto"/>
        <w:rPr>
          <w:rFonts w:ascii="Times New Roman" w:hAnsi="Times New Roman" w:cs="Times New Roman"/>
          <w:color w:val="000000" w:themeColor="text1"/>
          <w:sz w:val="30"/>
          <w:szCs w:val="30"/>
          <w:lang w:val="en-US"/>
        </w:rPr>
      </w:pPr>
    </w:p>
    <w:sectPr w:rsidR="00D271AF" w:rsidRPr="00F550E7" w:rsidSect="00F550E7">
      <w:footerReference w:type="default" r:id="rId6"/>
      <w:pgSz w:w="11906" w:h="16838"/>
      <w:pgMar w:top="1138" w:right="850" w:bottom="1138"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0E42" w:rsidRDefault="00390E42" w:rsidP="00F550E7">
      <w:pPr>
        <w:spacing w:after="0" w:line="240" w:lineRule="auto"/>
      </w:pPr>
      <w:r>
        <w:separator/>
      </w:r>
    </w:p>
  </w:endnote>
  <w:endnote w:type="continuationSeparator" w:id="0">
    <w:p w:rsidR="00390E42" w:rsidRDefault="00390E42" w:rsidP="00F550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3824464"/>
      <w:docPartObj>
        <w:docPartGallery w:val="Page Numbers (Bottom of Page)"/>
        <w:docPartUnique/>
      </w:docPartObj>
    </w:sdtPr>
    <w:sdtContent>
      <w:p w:rsidR="00F550E7" w:rsidRDefault="00F550E7">
        <w:pPr>
          <w:pStyle w:val="a5"/>
          <w:jc w:val="center"/>
        </w:pPr>
        <w:r>
          <w:fldChar w:fldCharType="begin"/>
        </w:r>
        <w:r>
          <w:instrText>PAGE   \* MERGEFORMAT</w:instrText>
        </w:r>
        <w:r>
          <w:fldChar w:fldCharType="separate"/>
        </w:r>
        <w:r>
          <w:rPr>
            <w:noProof/>
          </w:rPr>
          <w:t>15</w:t>
        </w:r>
        <w:r>
          <w:fldChar w:fldCharType="end"/>
        </w:r>
      </w:p>
    </w:sdtContent>
  </w:sdt>
  <w:p w:rsidR="00F550E7" w:rsidRDefault="00F550E7">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0E42" w:rsidRDefault="00390E42" w:rsidP="00F550E7">
      <w:pPr>
        <w:spacing w:after="0" w:line="240" w:lineRule="auto"/>
      </w:pPr>
      <w:r>
        <w:separator/>
      </w:r>
    </w:p>
  </w:footnote>
  <w:footnote w:type="continuationSeparator" w:id="0">
    <w:p w:rsidR="00390E42" w:rsidRDefault="00390E42" w:rsidP="00F550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E92"/>
    <w:rsid w:val="002A2E92"/>
    <w:rsid w:val="00390E42"/>
    <w:rsid w:val="005A01A2"/>
    <w:rsid w:val="00D271AF"/>
    <w:rsid w:val="00E031F5"/>
    <w:rsid w:val="00F550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DC27C"/>
  <w15:chartTrackingRefBased/>
  <w15:docId w15:val="{89A4CDB6-00C3-45E9-8102-615A416F6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s-markdown-paragraph">
    <w:name w:val="ds-markdown-paragraph"/>
    <w:basedOn w:val="a"/>
    <w:rsid w:val="00F550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katex-mathml">
    <w:name w:val="katex-mathml"/>
    <w:basedOn w:val="a0"/>
    <w:rsid w:val="00F550E7"/>
  </w:style>
  <w:style w:type="character" w:customStyle="1" w:styleId="mord">
    <w:name w:val="mord"/>
    <w:basedOn w:val="a0"/>
    <w:rsid w:val="00F550E7"/>
  </w:style>
  <w:style w:type="character" w:customStyle="1" w:styleId="mpunct">
    <w:name w:val="mpunct"/>
    <w:basedOn w:val="a0"/>
    <w:rsid w:val="00F550E7"/>
  </w:style>
  <w:style w:type="paragraph" w:styleId="a3">
    <w:name w:val="header"/>
    <w:basedOn w:val="a"/>
    <w:link w:val="a4"/>
    <w:uiPriority w:val="99"/>
    <w:unhideWhenUsed/>
    <w:rsid w:val="00F550E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550E7"/>
  </w:style>
  <w:style w:type="paragraph" w:styleId="a5">
    <w:name w:val="footer"/>
    <w:basedOn w:val="a"/>
    <w:link w:val="a6"/>
    <w:uiPriority w:val="99"/>
    <w:unhideWhenUsed/>
    <w:rsid w:val="00F550E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550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2625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3530</Words>
  <Characters>20122</Characters>
  <Application>Microsoft Office Word</Application>
  <DocSecurity>0</DocSecurity>
  <Lines>167</Lines>
  <Paragraphs>47</Paragraphs>
  <ScaleCrop>false</ScaleCrop>
  <Company/>
  <LinksUpToDate>false</LinksUpToDate>
  <CharactersWithSpaces>23605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Mubin Abduvaliev</dc:creator>
  <cp:keywords/>
  <dc:description/>
  <cp:lastModifiedBy>Mubin Abduvaliev</cp:lastModifiedBy>
  <cp:revision>2</cp:revision>
  <dcterms:created xsi:type="dcterms:W3CDTF">2026-05-28T04:25:00Z</dcterms:created>
  <dcterms:modified xsi:type="dcterms:W3CDTF">2026-05-28T04:29:00Z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03da1dcf-b7c8-41d4-9008-021b7950aa2f</vt:lpwstr>
  </property>
</Properties>
</file>