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B37" w:rsidRPr="001D02A6" w:rsidRDefault="00D42B37" w:rsidP="001D02A6">
      <w:pPr>
        <w:pStyle w:val="ds-markdown-paragraph"/>
        <w:shd w:val="clear" w:color="auto" w:fill="FFFFFF"/>
        <w:spacing w:before="240" w:beforeAutospacing="0" w:after="240" w:afterAutospacing="0" w:line="360" w:lineRule="auto"/>
        <w:jc w:val="center"/>
        <w:rPr>
          <w:b/>
          <w:color w:val="0F1115"/>
          <w:sz w:val="30"/>
          <w:szCs w:val="30"/>
          <w:lang w:val="en-US"/>
        </w:rPr>
      </w:pPr>
      <w:r w:rsidRPr="001D02A6">
        <w:rPr>
          <w:b/>
          <w:color w:val="0F1115"/>
          <w:sz w:val="30"/>
          <w:szCs w:val="30"/>
          <w:lang w:val="en-US"/>
        </w:rPr>
        <w:t>Synthesis and Final Review: From Trade Models to Real World Policy and the Future of the Global Trading System</w:t>
      </w:r>
    </w:p>
    <w:p w:rsidR="00D42B37" w:rsidRPr="001D02A6" w:rsidRDefault="00D42B37" w:rsidP="001D02A6">
      <w:pPr>
        <w:pStyle w:val="ds-markdown-paragraph"/>
        <w:shd w:val="clear" w:color="auto" w:fill="FFFFFF"/>
        <w:spacing w:before="240" w:beforeAutospacing="0" w:after="240" w:afterAutospacing="0" w:line="360" w:lineRule="auto"/>
        <w:jc w:val="center"/>
        <w:rPr>
          <w:b/>
          <w:color w:val="0F1115"/>
          <w:sz w:val="30"/>
          <w:szCs w:val="30"/>
          <w:lang w:val="en-US"/>
        </w:rPr>
      </w:pPr>
      <w:r w:rsidRPr="001D02A6">
        <w:rPr>
          <w:b/>
          <w:color w:val="0F1115"/>
          <w:sz w:val="30"/>
          <w:szCs w:val="30"/>
          <w:lang w:val="en-US"/>
        </w:rPr>
        <w:t>University: Tajik State University of Commerce</w:t>
      </w:r>
    </w:p>
    <w:p w:rsidR="00D42B37" w:rsidRPr="001D02A6" w:rsidRDefault="00D42B37" w:rsidP="001D02A6">
      <w:pPr>
        <w:pStyle w:val="ds-markdown-paragraph"/>
        <w:shd w:val="clear" w:color="auto" w:fill="FFFFFF"/>
        <w:spacing w:before="240" w:beforeAutospacing="0" w:after="240" w:afterAutospacing="0" w:line="360" w:lineRule="auto"/>
        <w:jc w:val="center"/>
        <w:rPr>
          <w:b/>
          <w:color w:val="0F1115"/>
          <w:sz w:val="30"/>
          <w:szCs w:val="30"/>
          <w:lang w:val="en-US"/>
        </w:rPr>
      </w:pPr>
      <w:r w:rsidRPr="001D02A6">
        <w:rPr>
          <w:b/>
          <w:color w:val="0F1115"/>
          <w:sz w:val="30"/>
          <w:szCs w:val="30"/>
          <w:lang w:val="en-US"/>
        </w:rPr>
        <w:t>Lectur</w:t>
      </w:r>
      <w:bookmarkStart w:id="0" w:name="_GoBack"/>
      <w:bookmarkEnd w:id="0"/>
      <w:r w:rsidRPr="001D02A6">
        <w:rPr>
          <w:b/>
          <w:color w:val="0F1115"/>
          <w:sz w:val="30"/>
          <w:szCs w:val="30"/>
          <w:lang w:val="en-US"/>
        </w:rPr>
        <w:t>er: Abduvaliev Mubinzhon, PhD</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Opening</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Good morning, everyone. Welcome to Week 16, the final session of our International Trade and Policy course. Over the past fifteen weeks, we have covered the full arc of international trade economics and policy, from the classical models of Ricardo and Heckscher Ohlin to the contemporary debates over digital trade, climate policy, and national security controls. Today we synthesize everything into a coherent framework for analysis and prepare for your cumulative examination.</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This lecture is titled “Synthesis and Final Review: From Trade Models to Real World Policy and the Future of the Global Trading System.” We will cover five main parts. Part I reviews the core trade models from Weeks 1 through 5. Part II examines how these models inform real world policy decisions, drawing on Weeks 6 through 9. Part III provides a deep dive into Weeks 10 through 14, covering trade policy tools, the WTO, disputes, regional agreements, industrial policy, and supply chains. Part IV looks forward to the future of the global trading system, identifying four mega trends and two possible scenarios. Part V prepares you for the cumulative exam with sample questions, answer frameworks, and key empirical papers to remember.</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 xml:space="preserve">The key question driving this entire course has been this. If trade models show net gains from trade, why is there so much policy conflict? The answer, </w:t>
      </w:r>
      <w:r w:rsidRPr="00D42B37">
        <w:rPr>
          <w:color w:val="0F1115"/>
          <w:sz w:val="30"/>
          <w:szCs w:val="30"/>
          <w:lang w:val="en-US"/>
        </w:rPr>
        <w:lastRenderedPageBreak/>
        <w:t>as we have seen repeatedly, is that distributional effects matter more than aggregate efficiency in political economy. Trade creates winners and losers, and the losers often have more political power than their numbers would suggest.</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Part I: Review of Core Trade Models (Weeks 1 through 5)</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Why This Review Matters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Before we dive into the models, let me explain why this review matters. Your exam will test application, not just memorization. You will not be asked simply to recite the assumptions of the Heckscher Ohlin model. You will be asked to apply it to a real world policy problem. Policy makers use trade models to predict winners and losers, to design compensation programs, and to negotiate trade agreements. The future of trade is being shaped by geopolitics, climate, digital transformation, and fragmentation. Understanding the models gives you the tools to analyze these developments.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Cumulative Scope – What is Emphasized</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The cumulative exam emphasizes the following areas. Weeks 1 through 5 cover the foundations: Ricardo’s comparative advantage, the Heckscher Ohlin model, the Specific Factors model, and New Trade Theory. Weeks 6 through 9 cover the gains from trade, distributional effects, and the gravity model. Weeks 10 through 14 receive special emphasis. These weeks cover tariffs versus non tariff barriers, WTO rules, trade disputes, regional agreements, industrial policy, and supply chains.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Brief Recap – Comparative Advantage (Ricardo)</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 xml:space="preserve">Let us begin with the oldest and most foundational model: Ricardo’s theory of comparative advantage. The model shows that technology differences </w:t>
      </w:r>
      <w:r w:rsidRPr="00D42B37">
        <w:rPr>
          <w:color w:val="0F1115"/>
          <w:sz w:val="30"/>
          <w:szCs w:val="30"/>
          <w:lang w:val="en-US"/>
        </w:rPr>
        <w:lastRenderedPageBreak/>
        <w:t>between countries lead to specialization, and specialization leads to gains from trade. Even if one country is worse at producing everything than another country, both can still gain from trade by specializing in what they do relatively best. The policy insight from Ricardo is that free trade raises global output. However, the model assumes full employment and no mobility costs. In the real world, resources do not move instantly and costlessly from declining sectors to expanding sectors. The figure on this slide shows the classic numerical example of comparative advantage between Portugal and England.</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Part II: How Trade Models Inform Policy (Weeks 6 through 9)</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Heckscher Ohlin Model and Income Distribution</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The Heckscher Ohlin model moves beyond technology to focus on factor endowments. Countries export goods that use their abundant factors intensively and import goods that use their scarce factors intensively. The Stolper Samuelson Theorem, which is the key policy insight from this model, states that trade benefits owners of abundant factors and hurts owners of scarce factors. In a skill scarce country like the United States in the 19th century, trade hurt skilled workers. In a skill abundant country like the United States today, trade benefits skilled workers and hurts unskilled workers. Policy makers use this model to predict which labor groups will support or oppose trade deals. The figure on this slide shows the Stolper Samuelson logic applied to US China trade.</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Specific Factors Model – Short Run Politics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 xml:space="preserve">The Specific Factors model takes a shorter run perspective. Factors of production are specific to particular sectors. Capital and labor in the auto </w:t>
      </w:r>
      <w:r w:rsidRPr="00D42B37">
        <w:rPr>
          <w:color w:val="0F1115"/>
          <w:sz w:val="30"/>
          <w:szCs w:val="30"/>
          <w:lang w:val="en-US"/>
        </w:rPr>
        <w:lastRenderedPageBreak/>
        <w:t>industry cannot be easily moved to the software industry. Trade shocks therefore create winners and losers by industry, not by factor. Auto workers lose from import competition, while software engineers gain from export opportunities. This model explains why protectionism is often sectoral. Steel tariffs, agricultural subsidies, and textile quotas are all examples of sector specific protectionism. The political coalitions that form around trade policy are typically industry based, not class based.</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New Trade Theory (Krugman) – Economies of Scale and Variety</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New Trade Theory, associated with Paul Krugman, introduced increasing returns to scale and product differentiation into trade models. Countries trade not</w:t>
      </w:r>
      <w:r w:rsidRPr="00D42B37">
        <w:rPr>
          <w:rFonts w:eastAsia="MS Gothic"/>
          <w:color w:val="0F1115"/>
          <w:sz w:val="30"/>
          <w:szCs w:val="30"/>
        </w:rPr>
        <w:t>只是因</w:t>
      </w:r>
      <w:r w:rsidRPr="00D42B37">
        <w:rPr>
          <w:rFonts w:eastAsia="Microsoft JhengHei"/>
          <w:color w:val="0F1115"/>
          <w:sz w:val="30"/>
          <w:szCs w:val="30"/>
        </w:rPr>
        <w:t>为技术差异</w:t>
      </w:r>
      <w:r w:rsidRPr="00D42B37">
        <w:rPr>
          <w:rFonts w:eastAsia="Microsoft JhengHei"/>
          <w:color w:val="0F1115"/>
          <w:sz w:val="30"/>
          <w:szCs w:val="30"/>
          <w:lang w:val="en-US"/>
        </w:rPr>
        <w:t>，</w:t>
      </w:r>
      <w:r w:rsidRPr="00D42B37">
        <w:rPr>
          <w:color w:val="0F1115"/>
          <w:sz w:val="30"/>
          <w:szCs w:val="30"/>
          <w:lang w:val="en-US"/>
        </w:rPr>
        <w:t xml:space="preserve"> but because larger markets allow firms to achieve economies of scale and offer consumers greater variety. First mover advantage matters. The first firm or country to achieve large scale production can capture the global market. The policy implication is strategic trade policy. Governments may subsidize domestic firms to help them become first movers, capturing rents that would otherwise go to foreign firms. The classic example is the competition between Airbus and Boeing. However, strategic trade policy risks retaliation and rent seeking. The figure on this slide shows the economies of scale curve and the strategic subsidy argument.</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Gravity Model – The Workhorse of Applied Trade</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 xml:space="preserve">The Gravity model is the workhorse of applied trade economics. It states that trade between two countries is proportional to the product of their GDPs and inversely proportional to the distance between them. In equation form, trade is approximately equal to GDP of country i times GDP of country j divided by distance. The model predicts actual trade flows with high accuracy, far </w:t>
      </w:r>
      <w:r w:rsidRPr="00D42B37">
        <w:rPr>
          <w:color w:val="0F1115"/>
          <w:sz w:val="30"/>
          <w:szCs w:val="30"/>
          <w:lang w:val="en-US"/>
        </w:rPr>
        <w:lastRenderedPageBreak/>
        <w:t>better than any theoretical model. Policy makers use the gravity model to estimate the effects of trade agreements, the impact of Brexit, or the consequences of trade wars. For example, the gravity model predicted that Brexit would reduce UK EU trade by 15 to 30 percent, which is roughly what occurred.</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Evidence – Does Theory Match Reality?</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How well do these models match reality? Ricardo holds for broad aggregates. The pattern of trade between China and the United States broadly reflects comparative advantage. However, perfect specialization, which Ricardo predicted, does not occur. Most countries both import and export similar products. The Heckscher Ohlin model has weak empirical support. The Leontief paradox showed that the United States, a capital abundant country, exported labor intensive goods and imported capital intensive goods. This contradicted the model. Technology differences turned out to matter more than factor endowments. New Trade Theory has strong support for intra industry trade, which is trade within the same industry. The European Union and NAFTA both saw large increases in intra industry trade after integration. The figure on this slide summarizes the empirical evidence for each model.</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Part III: Weeks 10 through 14 – Deep Dive</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Trade Models and Tariff Setting – A Framework</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 xml:space="preserve">How do trade models inform tariff setting? The optimal tariff argument states that a large country can improve its terms of trade by taxing imports. By reducing demand for foreign goods, the large country forces foreign exporters to lower their prices. However, retaliation eliminates these gains. When both sides impose tariffs, both lose. The US China trade war of 2018 to 2019 </w:t>
      </w:r>
      <w:r w:rsidRPr="00D42B37">
        <w:rPr>
          <w:color w:val="0F1115"/>
          <w:sz w:val="30"/>
          <w:szCs w:val="30"/>
          <w:lang w:val="en-US"/>
        </w:rPr>
        <w:lastRenderedPageBreak/>
        <w:t>illustrates this dynamic. The policy lesson is that small countries should pursue free trade unilaterally, because they cannot affect their terms of trade. Large countries should negotiate reciprocity through trade agreements.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Modeling Non Tariff Barriers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Non tariff barriers include quotas, standards, and subsidies. These are equivalent to tariffs in their trade restricting effect, but they are more opaque and harder to quantify. Evidence shows that non tariff barriers have grown while tariffs have fallen. WTO data indicates that the number of non tariff measures notified to the WTO has increased steadily. The policy challenge is that non tariff barriers are harder to negotiate away than tariffs. A tariff is a number that can be reduced. A standard or regulation is a complex legal text.</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Trade and Labor Markets – What Models Miss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Trade models assume frictionless adjustment. Workers who lose jobs in import competing sectors immediately find new jobs in export sectors. Reality is very different. Job displacement leads to unemployment, regional decay, and long term earnings losses. The policy response has been Trade Adjustment Assistance, or TAA, but these programs are generally underfunded and weak. The political consequence has been populist backlash against trade. The China Shock studies by Autor, Dorn, and Hanson showed that communities more exposed to Chinese import competition experienced persistent declines in employment and earnings, even years after the shock.</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Summary Table of Models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 xml:space="preserve">The table on this slide summarizes the core models. Ricardo’s core insight is specialization gains. Its policy use is free trade advocacy. A real world example is NAFTA. The Heckscher Ohlin model with Stolper Samuelson </w:t>
      </w:r>
      <w:r w:rsidRPr="00D42B37">
        <w:rPr>
          <w:color w:val="0F1115"/>
          <w:sz w:val="30"/>
          <w:szCs w:val="30"/>
          <w:lang w:val="en-US"/>
        </w:rPr>
        <w:lastRenderedPageBreak/>
        <w:t>focuses on factor distribution. Its policy use is compensation design. A real world example is EU cohesion funds. The Specific Factors model focuses on sectoral coalitions. Its policy use is safeguard tariffs. A real world example is US steel tariffs in 2018. New Trade Theory focuses on scale economies. Its policy use is strategic subsidies. A real world example is Airbus versus Boeing. The Gravity model focuses on proximity and size. Its policy use is estimating trade agreement effects. A real world example is Brexit estimates.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Weeks 10 through 14 – Focus Areas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The deep dive weeks focused on several key areas. WTO structure and rules. Trade disputes and the dispute settlement mechanism. Regional trade agreements. Industrial policy and supply chains. Trade and climate change. And future challenges. Each of these areas illustrates the gap between model predictions and real world policy constraints.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The WTO – Core Principles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The WTO is built on four core principles. Most Favored Nation treatment, or MFN, means no discrimination among members. Any trade advantage given to one member must be given to all. National treatment means that foreign goods, once inside the market, must be treated no less favorably than domestic goods. Binding commitments mean that tariff ceilings are legally enforceable. Transparency means that trade regulations must be published and notified to the WTO. The figure on this slide shows the WTO structure and the relationship between the Ministerial Conference, the General Council, and the Dispute Settlement Body.</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WTO’s Dispute Settlement Understanding</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lastRenderedPageBreak/>
        <w:t>The Dispute Settlement Understanding, or DSU, is the WTO’s enforcement mechanism. The process has several stages. Consultation between the parties, lasting 60 days. If consultation fails, a panel is established. The panel issues a report. Either party can appeal to the Appellate Body. The report is adopted by the Dispute Settlement Body. The losing party must implement the ruling. If not, the winner can retaliate. The system has been successful, with over 600 disputes and a compliance rate of approximately 90 percent. However, the system is now in crisis. The United States has blocked Appellate Body appointments since 2019, leaving the Appellate Body without a quorum.</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Case Study – US China Tariff War (2018 to 2020)</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The US China tariff war is a critical case study. The United States launched a Section 301 investigation into alleged Chinese intellectual property theft. The US imposed tariffs on $350 billion of Chinese goods. China retaliated with tariffs on US goods. Model predictions showed welfare losses for both countries, approximately 0.5 percent of GDP for the United States and 0.8 percent of GDP for China. Evidence shows trade diversion to Vietnam and Mexico. US farmers were hurt by Chinese retaliation, which targeted agricultural products. The figure on this slide shows the tariff escalation timeline and the estimated welfare effects.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Case Study – Airbus versus Boeing (WTO Disputes DS316 and DS353)</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The Airbus versus Boeing dispute is the longest running in WTO history. The European Union and the United States each accused the other of providing illegal subsidies to their aircraft manufacturers. WTO rulings found both guilty. The United States was authorized to retaliate against </w:t>
      </w:r>
      <w:proofErr w:type="gramStart"/>
      <w:r w:rsidRPr="00D42B37">
        <w:rPr>
          <w:rStyle w:val="katex-mathml"/>
          <w:color w:val="0F1115"/>
          <w:sz w:val="30"/>
          <w:szCs w:val="30"/>
          <w:bdr w:val="none" w:sz="0" w:space="0" w:color="auto" w:frame="1"/>
          <w:lang w:val="en-US"/>
        </w:rPr>
        <w:t>7.5billionofEUgoods.TheEUwasauthorizedtoretaliateagainst</w:t>
      </w:r>
      <w:proofErr w:type="gramEnd"/>
      <w:r w:rsidRPr="00D42B37">
        <w:rPr>
          <w:rStyle w:val="mord"/>
          <w:color w:val="0F1115"/>
          <w:sz w:val="30"/>
          <w:szCs w:val="30"/>
          <w:lang w:val="en-US"/>
        </w:rPr>
        <w:t>7.5</w:t>
      </w:r>
      <w:r w:rsidRPr="00D42B37">
        <w:rPr>
          <w:rStyle w:val="mord"/>
          <w:i/>
          <w:iCs/>
          <w:color w:val="0F1115"/>
          <w:sz w:val="30"/>
          <w:szCs w:val="30"/>
          <w:lang w:val="en-US"/>
        </w:rPr>
        <w:t>billionofEUgoods</w:t>
      </w:r>
      <w:r w:rsidRPr="00D42B37">
        <w:rPr>
          <w:rStyle w:val="mord"/>
          <w:color w:val="0F1115"/>
          <w:sz w:val="30"/>
          <w:szCs w:val="30"/>
          <w:lang w:val="en-US"/>
        </w:rPr>
        <w:t>.</w:t>
      </w:r>
      <w:r w:rsidRPr="00D42B37">
        <w:rPr>
          <w:rStyle w:val="mord"/>
          <w:i/>
          <w:iCs/>
          <w:color w:val="0F1115"/>
          <w:sz w:val="30"/>
          <w:szCs w:val="30"/>
          <w:lang w:val="en-US"/>
        </w:rPr>
        <w:t>TheEUwasauthorizedtoretaliateagainst</w:t>
      </w:r>
      <w:r w:rsidRPr="00D42B37">
        <w:rPr>
          <w:color w:val="0F1115"/>
          <w:sz w:val="30"/>
          <w:szCs w:val="30"/>
          <w:lang w:val="en-US"/>
        </w:rPr>
        <w:t xml:space="preserve">4 billion of US goods. A </w:t>
      </w:r>
      <w:r w:rsidRPr="00D42B37">
        <w:rPr>
          <w:color w:val="0F1115"/>
          <w:sz w:val="30"/>
          <w:szCs w:val="30"/>
          <w:lang w:val="en-US"/>
        </w:rPr>
        <w:lastRenderedPageBreak/>
        <w:t>ceasefire in 2021 showed the limits of litigation. Even when the WTO rules, political agreements are often necessary to resolve underlying conflicts.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Proliferation of Regional Trade Agreements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Regional trade agreements, or RTAs, have proliferated. Over 350 RTAs are now in force, compared to only 50 in 1990. Models explain that RTAs allow deeper integration in services and intellectual property beyond what the WTO can achieve. The key distinction is between trade creation and trade diversion. Trade creation occurs when an RTA generates new trade between members. Trade diversion occurs when trade shifts from a more efficient non member to a less efficient member. Evidence shows net trade creation from most RTAs, but hub and spoke effects can disadvantage non members.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RTA Case – USMCA (Replacing NAFTA)</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The United States Mexico Canada Agreement, or USMCA, replaced NAFTA in 2020. Key changes include new rules of origin for automobiles. To qualify for tariff free treatment, autos must have 75 percent North American content, up from 62.5 percent under NAFTA. Additionally, 40 to 45 percent of auto content must be produced by workers earning at least $16 per hour. The agreement also includes enforceable labor and environment provisions. Model estimates show modest trade creation within North America but some trade diversion away from China and other Asian suppliers.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Industrial Policy Returns – Why Now</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 xml:space="preserve">Industrial policy has returned after decades of disfavor. The drivers include post COVID supply chain fragility and national security concerns. The US CHIPS Act provides $52 billion for domestic semiconductor production. The EU Green Deal includes massive subsidies for clean technology. China has </w:t>
      </w:r>
      <w:r w:rsidRPr="00D42B37">
        <w:rPr>
          <w:color w:val="0F1115"/>
          <w:sz w:val="30"/>
          <w:szCs w:val="30"/>
          <w:lang w:val="en-US"/>
        </w:rPr>
        <w:lastRenderedPageBreak/>
        <w:t>long used industrial policy. Trade models caution that if subsidies distort trade, they can spark subsidy wars. Each country subsidizes its own firms, and no one gains. The figure on this slide shows the growth of industrial policy measures since 2020.</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Supply Chain Resilience – Modeling Rerouting</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The gravity model can be extended to analyze supply chain rerouting. The shocks of COVID and war have led firms to pursue diversification and friend shoring. Evidence shows foreign direct investment shifting to Vietnam, India, and Mexico. The policy trade off is resilience versus efficiency. Estimates suggest that fully resilient supply chains would cost 10 to 20 percent more than efficiency optimized supply chains. Whether this premium is worth paying depends on the perceived risk of disruption.</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Trade and Climate Change – Uncharted Territory</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Trade and climate change is largely uncharted territory. Border Carbon Adjustments, or BCAs, such as the EU’s CBAM scheduled for 2026, are the leading policy instrument. The trade model logic is that BCAs correct carbon leakage by ensuring that imports face the same carbon price as domestic goods. However, BCAs risk protectionism if they are designed in a discriminatory way. WTO compatibility is likely if the measure is non discriminatory and based on legitimate environmental objectives.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Digital Trade – What Models Do Not Capture</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 xml:space="preserve">Digital trade presents challenges that traditional trade models do not capture. Data flows, cross border e commerce, and digital services taxes are all new phenomena. The WTO e commerce moratorium, which prevents tariffs on digital transmissions, is expiring. The future is uncertain. Could WTO rules </w:t>
      </w:r>
      <w:r w:rsidRPr="00D42B37">
        <w:rPr>
          <w:color w:val="0F1115"/>
          <w:sz w:val="30"/>
          <w:szCs w:val="30"/>
          <w:lang w:val="en-US"/>
        </w:rPr>
        <w:lastRenderedPageBreak/>
        <w:t>adapt? The Joint Initiative on E commerce is stalled. The figure on this slide shows the growth of digital trade relative to goods trade.</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Key Evidence from Weeks 10 through 14 – Summary</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Let me summarize the key evidence from the deep dive weeks. WTO dispute settlement is effective but now crippled by the Appellate Body crisis. Regional trade agreements are the new frontier of trade rules, filling gaps that the WTO cannot address. Industrial policy is back, with significant risks of subsidy races. Climate and digital trade are the next battlegrounds, where the rules are yet to be written.</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Exam Style Question on Weeks 10 through 14</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Let me give you an exam style question. Prompt: The WTO is no longer relevant for modern trade policy. Agree or disagree using evidence from dispute settlement, regional trade agreements, and industrial policy. Answer framework: Disagree. The WTO still sets the baseline rules that all members follow. Its dispute settlement system, though crippled, has a long record of success. However, yes, its negotiating function is weak. Regional trade agreements fill the gaps, particularly on services, intellectual property, and digital trade. Industrial policy is difficult for the WTO to discipline. So the correct answer is that the WTO remains relevant but is no longer sufficient. The trading system now operates on multiple levels.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Part IV: The Future of the Global Trading System</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Four Mega Trends Reshaping Trade</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 xml:space="preserve">Four mega trends are reshaping the global trading system. First, geopolitical fragmentation, particularly US China decoupling. Second, climate imperatives, including carbon borders and green subsidies. Third, </w:t>
      </w:r>
      <w:r w:rsidRPr="00D42B37">
        <w:rPr>
          <w:color w:val="0F1115"/>
          <w:sz w:val="30"/>
          <w:szCs w:val="30"/>
          <w:lang w:val="en-US"/>
        </w:rPr>
        <w:lastRenderedPageBreak/>
        <w:t>technological change, including digitalization, artificial intelligence, and services trade. Fourth, the rise of state capitalism, including industrial policy and state owned enterprises.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Scenario A – Fragmentation (WTO Weak, Blocs Emerge)</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The first future scenario is fragmentation. In this scenario, the WTO remains weak and rival blocs emerge. A Western bloc including the United States, the European Union, and allies faces an Eastern bloc including China, Russia, and non aligned countries. Model predictions show large welfare losses. The WTO estimates that full fragmentation could cost 5 percent of global GDP. Evidence already shows that trade growth between geopolitical rivals has slowed significantly since 2022.</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Scenario B – WTO 2.0 (Reform and Revival)</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The second scenario is WTO 2.0, a reformed and revived trading system. The reforms needed include fixing the Appellate Body, creating new rules for digital trade and climate, and shifting to plurilateral agreements as a pathway when multilateral consensus is impossible. Is this scenario possible? Political will is currently lacking, but reform is necessary for global public goods. The figure on this slide shows the reform proposals under discussion.</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Trade and National Security – The New Loophole</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GATT Article XXI allows any member to impose trade restrictions for essential security reasons. This exception was rarely invoked during the Cold War. It is now increasingly invoked for economic security. The United States invokes it for steel tariffs and China technology restrictions. The risk is that the exception swallows the rule. If every trade restriction can be justified as a national security measure, the rules based system erodes.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lastRenderedPageBreak/>
        <w:t>Future of Supply Chains – Predicted Path</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 xml:space="preserve">What is the predicted path for supply chains? Near shoring to Mexico and Turkey and friend shoring to allied countries will continue. Essential goods such as semiconductors, medical supplies, and critical minerals will be prioritized for domestic production or trusted sources. The model insight is that there is an efficiency loss but a stability </w:t>
      </w:r>
      <w:proofErr w:type="gramStart"/>
      <w:r w:rsidRPr="00D42B37">
        <w:rPr>
          <w:color w:val="0F1115"/>
          <w:sz w:val="30"/>
          <w:szCs w:val="30"/>
          <w:lang w:val="en-US"/>
        </w:rPr>
        <w:t>gain</w:t>
      </w:r>
      <w:proofErr w:type="gramEnd"/>
      <w:r w:rsidRPr="00D42B37">
        <w:rPr>
          <w:color w:val="0F1115"/>
          <w:sz w:val="30"/>
          <w:szCs w:val="30"/>
          <w:lang w:val="en-US"/>
        </w:rPr>
        <w:t>. Whether the trade off is worth it depends on risk preference.</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What Should Policy Makers Do? Evidence Based Recommendations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Let me offer evidence based recommendations for policy makers. First, compensate losers. Trade Adjustment Assistance, place based policies, and wage insurance reduce political backlash against trade. Second, pursue WTO reform plus plurilateral deals. Do not give up on multilateralism, but do not wait for it either. Third, use tariffs only for genuine externalities such as carbon emissions or security threats. Fourth, avoid subsidy races. Negotiate rules on industrial policy to prevent costly and futile subsidy wars.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Your Role – Using Trade Models as a Policy Analyst</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As a policy analyst, you will use trade models in four steps. Step 1: Identify the relevant model. Use Ricardo for efficiency questions, Heckscher Ohlin for distribution questions, Specific Factors for short run sectoral questions, New Trade Theory for scale and variety questions, and the Gravity model for flow predictions. Step 2: Gather evidence. Find trade elasticities, adjustment costs, and political constraints. Step 3: Predict winners and losers and design complementary policies. Step 4: Evaluate feasibility, including WTO law and retaliation risk.</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The Core Takeaway</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lastRenderedPageBreak/>
        <w:t>Let me give you the core takeaway of this entire course. Trade models do not give simple answers. They do not say free trade is always good or protectionism is always bad. They give structured ways to trace consequences across four dimensions. Efficiency: how much aggregate gain or loss. Distribution: who wins and who loses. Stability: does trade create or reduce risk. Legality: is the policy consistent with WTO rules. Good policy integrates all four dimensions. The figure on this slide shows these four dimensions as a decision framework.</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Part V: Cumulative Exam Preparation</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Sample Cumulative Exam Questions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Let me give you sample cumulative exam questions. Short answer: Explain Stolper Samuelson using China US trade. Your answer should state the theorem, identify the abundant and scarce factors in each country, and predict the distributional effects. Essay: How do the Specific Factors and New Trade Theory models explain opposition to the Trans Pacific Partnership differently? Your answer should contrast the sectoral basis of opposition under Specific Factors with the scale and variety concerns under New Trade Theory. Policy memo: You advise the European Union on imposing a carbon border adjustment. Use WTO rules and trade models to justify or critique the policy. Your memo should address efficiency, distribution, stability, and legality.</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 xml:space="preserve">How to Integrate Theory and Evidence in Your </w:t>
      </w:r>
      <w:proofErr w:type="gramStart"/>
      <w:r w:rsidRPr="00D42B37">
        <w:rPr>
          <w:color w:val="0F1115"/>
          <w:sz w:val="30"/>
          <w:szCs w:val="30"/>
          <w:lang w:val="en-US"/>
        </w:rPr>
        <w:t>Answers</w:t>
      </w:r>
      <w:proofErr w:type="gramEnd"/>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 xml:space="preserve">Let me give you a formula for integrating theory and evidence. State the model. Predict the outcome. Cite an empirical study, such as Autor, Dorn, and Hanson on the China shock. Acknowledge the limitations of the model. </w:t>
      </w:r>
      <w:r w:rsidRPr="00D42B37">
        <w:rPr>
          <w:color w:val="0F1115"/>
          <w:sz w:val="30"/>
          <w:szCs w:val="30"/>
          <w:lang w:val="en-US"/>
        </w:rPr>
        <w:lastRenderedPageBreak/>
        <w:t>State the policy implication. This structure shows that you understand both the power and the limits of trade theory.</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Key Empirical Papers to Remember</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Here are the key empirical papers to remember. Broda and Weinstein, 2006, on gains from product variety. Autor, Dorn, and Hanson, 2013, on China trade shocks and US labor markets. Bown and Irwin, 2021, on Trump’s tariffs and retaliation. And the WTO World Trade Report 2023 on geopolitics and fragmentation.</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Final Advice</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Let me give you final advice for the exam. Focus on mechanisms, not just conclusions. When you see a policy question, always ask compared to what. Free trade compared to what? No deal? An alternative regional agreement? Bring the models to life with real cases. Use US China, USMCA, and Airbus Boeing as examples. And remember that good trade policy is not about choosing free trade or protectionism. It is about designing complementary policies to help the losers while capturing the gains.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Closing</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Thank you for your attention throughout this course. You have covered the full range of international trade and policy, from Ricardo to CBAM, from the gravity model to supply chain resilience. The tools you have learned will serve you well. Good luck on the exam.</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References</w:t>
      </w:r>
    </w:p>
    <w:p w:rsidR="00D42B37" w:rsidRPr="00D42B37" w:rsidRDefault="00D42B37" w:rsidP="00D42B37">
      <w:pPr>
        <w:pStyle w:val="ds-markdown-paragraph"/>
        <w:shd w:val="clear" w:color="auto" w:fill="FFFFFF"/>
        <w:spacing w:before="240" w:beforeAutospacing="0" w:after="240" w:afterAutospacing="0" w:line="360" w:lineRule="auto"/>
        <w:rPr>
          <w:color w:val="0F1115"/>
          <w:sz w:val="30"/>
          <w:szCs w:val="30"/>
          <w:lang w:val="en-US"/>
        </w:rPr>
      </w:pPr>
      <w:r w:rsidRPr="00D42B37">
        <w:rPr>
          <w:color w:val="0F1115"/>
          <w:sz w:val="30"/>
          <w:szCs w:val="30"/>
          <w:lang w:val="en-US"/>
        </w:rPr>
        <w:t xml:space="preserve">The references for this lecture include Autor, Dorn, and Hanson, The China Syndrome Local Labor Market Effects of Import Competition in the United </w:t>
      </w:r>
      <w:r w:rsidRPr="00D42B37">
        <w:rPr>
          <w:color w:val="0F1115"/>
          <w:sz w:val="30"/>
          <w:szCs w:val="30"/>
          <w:lang w:val="en-US"/>
        </w:rPr>
        <w:lastRenderedPageBreak/>
        <w:t>States, American Economic Review, 2013. Krugman, Scale Economies, Product Differentiation, and the Pattern of Trade, American Economic Review, 1980. Stolper and Samuelson, Protection and Real Wages, Review of Economic Studies, 1941. Melitz, The Impact of Trade on Intra Industry Reallocations and Aggregate Industry Productivity, Econometrica, 2003. Bown and Irwin, Trump’s Tariffs and the WTO, Peterson Institute for International Economics Working Paper, 2021. And the World Trade Organization, World Trade Report 2023.</w:t>
      </w:r>
    </w:p>
    <w:p w:rsidR="00D42B37" w:rsidRPr="00D42B37" w:rsidRDefault="00D42B37" w:rsidP="00D42B37">
      <w:pPr>
        <w:pStyle w:val="ds-markdown-paragraph"/>
        <w:shd w:val="clear" w:color="auto" w:fill="FFFFFF"/>
        <w:spacing w:before="240" w:beforeAutospacing="0" w:line="360" w:lineRule="auto"/>
        <w:rPr>
          <w:color w:val="0F1115"/>
          <w:sz w:val="30"/>
          <w:szCs w:val="30"/>
          <w:lang w:val="en-US"/>
        </w:rPr>
      </w:pPr>
      <w:r w:rsidRPr="00D42B37">
        <w:rPr>
          <w:color w:val="0F1115"/>
          <w:sz w:val="30"/>
          <w:szCs w:val="30"/>
          <w:lang w:val="en-US"/>
        </w:rPr>
        <w:t>Good luck on the exam.</w:t>
      </w:r>
    </w:p>
    <w:p w:rsidR="00D271AF" w:rsidRPr="00D42B37" w:rsidRDefault="00D271AF" w:rsidP="00D42B37">
      <w:pPr>
        <w:spacing w:line="360" w:lineRule="auto"/>
        <w:rPr>
          <w:rFonts w:ascii="Times New Roman" w:hAnsi="Times New Roman" w:cs="Times New Roman"/>
          <w:sz w:val="30"/>
          <w:szCs w:val="30"/>
          <w:lang w:val="en-US"/>
        </w:rPr>
      </w:pPr>
    </w:p>
    <w:sectPr w:rsidR="00D271AF" w:rsidRPr="00D42B37" w:rsidSect="00D42B37">
      <w:footerReference w:type="default" r:id="rId6"/>
      <w:pgSz w:w="11906" w:h="16838"/>
      <w:pgMar w:top="1138" w:right="850" w:bottom="1138"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793" w:rsidRDefault="00264793" w:rsidP="00D42B37">
      <w:pPr>
        <w:spacing w:after="0" w:line="240" w:lineRule="auto"/>
      </w:pPr>
      <w:r>
        <w:separator/>
      </w:r>
    </w:p>
  </w:endnote>
  <w:endnote w:type="continuationSeparator" w:id="0">
    <w:p w:rsidR="00264793" w:rsidRDefault="00264793" w:rsidP="00D42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1814617"/>
      <w:docPartObj>
        <w:docPartGallery w:val="Page Numbers (Bottom of Page)"/>
        <w:docPartUnique/>
      </w:docPartObj>
    </w:sdtPr>
    <w:sdtContent>
      <w:p w:rsidR="00D42B37" w:rsidRDefault="00D42B37">
        <w:pPr>
          <w:pStyle w:val="a5"/>
          <w:jc w:val="center"/>
        </w:pPr>
        <w:r>
          <w:fldChar w:fldCharType="begin"/>
        </w:r>
        <w:r>
          <w:instrText>PAGE   \* MERGEFORMAT</w:instrText>
        </w:r>
        <w:r>
          <w:fldChar w:fldCharType="separate"/>
        </w:r>
        <w:r w:rsidR="001D02A6">
          <w:rPr>
            <w:noProof/>
          </w:rPr>
          <w:t>1</w:t>
        </w:r>
        <w:r>
          <w:fldChar w:fldCharType="end"/>
        </w:r>
      </w:p>
    </w:sdtContent>
  </w:sdt>
  <w:p w:rsidR="00D42B37" w:rsidRDefault="00D42B37">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793" w:rsidRDefault="00264793" w:rsidP="00D42B37">
      <w:pPr>
        <w:spacing w:after="0" w:line="240" w:lineRule="auto"/>
      </w:pPr>
      <w:r>
        <w:separator/>
      </w:r>
    </w:p>
  </w:footnote>
  <w:footnote w:type="continuationSeparator" w:id="0">
    <w:p w:rsidR="00264793" w:rsidRDefault="00264793" w:rsidP="00D42B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E03"/>
    <w:rsid w:val="001D02A6"/>
    <w:rsid w:val="00264793"/>
    <w:rsid w:val="005A01A2"/>
    <w:rsid w:val="00772E03"/>
    <w:rsid w:val="00D271AF"/>
    <w:rsid w:val="00D42B37"/>
    <w:rsid w:val="00E031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1A481B-4CDE-4A51-8E07-90560AEE0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s-markdown-paragraph">
    <w:name w:val="ds-markdown-paragraph"/>
    <w:basedOn w:val="a"/>
    <w:rsid w:val="00D42B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katex-mathml">
    <w:name w:val="katex-mathml"/>
    <w:basedOn w:val="a0"/>
    <w:rsid w:val="00D42B37"/>
  </w:style>
  <w:style w:type="character" w:customStyle="1" w:styleId="mord">
    <w:name w:val="mord"/>
    <w:basedOn w:val="a0"/>
    <w:rsid w:val="00D42B37"/>
  </w:style>
  <w:style w:type="paragraph" w:styleId="a3">
    <w:name w:val="header"/>
    <w:basedOn w:val="a"/>
    <w:link w:val="a4"/>
    <w:uiPriority w:val="99"/>
    <w:unhideWhenUsed/>
    <w:rsid w:val="00D42B3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42B37"/>
  </w:style>
  <w:style w:type="paragraph" w:styleId="a5">
    <w:name w:val="footer"/>
    <w:basedOn w:val="a"/>
    <w:link w:val="a6"/>
    <w:uiPriority w:val="99"/>
    <w:unhideWhenUsed/>
    <w:rsid w:val="00D42B3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42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8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3812</Words>
  <Characters>21733</Characters>
  <Application>Microsoft Office Word</Application>
  <DocSecurity>0</DocSecurity>
  <Lines>181</Lines>
  <Paragraphs>50</Paragraphs>
  <ScaleCrop>false</ScaleCrop>
  <Company/>
  <LinksUpToDate>false</LinksUpToDate>
  <CharactersWithSpaces>25495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Mubin Abduvaliev</dc:creator>
  <cp:keywords/>
  <dc:description/>
  <cp:lastModifiedBy>Mubin Abduvaliev</cp:lastModifiedBy>
  <cp:revision>3</cp:revision>
  <dcterms:created xsi:type="dcterms:W3CDTF">2026-05-28T04:33:00Z</dcterms:created>
  <dcterms:modified xsi:type="dcterms:W3CDTF">2026-05-28T04:34:00Z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bdc0824a-3ad4-4bbc-924f-bdad2b7265d4</vt:lpwstr>
  </property>
</Properties>
</file>